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00BF72AF" w:rsidR="00A77EED" w:rsidRPr="00FA0166" w:rsidRDefault="007E4200" w:rsidP="00A77EED">
            <w:pPr>
              <w:pStyle w:val="Subtitle"/>
              <w:rPr>
                <w:szCs w:val="28"/>
              </w:rPr>
            </w:pPr>
            <w:r w:rsidRPr="00505009">
              <w:rPr>
                <w:rFonts w:cs="Arial"/>
              </w:rPr>
              <w:t xml:space="preserve">MiFIR </w:t>
            </w:r>
            <w:r>
              <w:rPr>
                <w:rFonts w:cs="Arial"/>
              </w:rPr>
              <w:t xml:space="preserve">review report on the obligations </w:t>
            </w:r>
            <w:r w:rsidRPr="00D21ACA">
              <w:rPr>
                <w:rFonts w:cs="Arial"/>
              </w:rPr>
              <w:t>to report transactions</w:t>
            </w:r>
            <w:r>
              <w:rPr>
                <w:rFonts w:cs="Arial"/>
              </w:rPr>
              <w:t xml:space="preserve"> and reference data</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122F7DB8" w14:textId="35F8A076" w:rsidR="00E862D0" w:rsidRPr="00AB6157" w:rsidRDefault="00E862D0" w:rsidP="00E862D0">
      <w:r w:rsidRPr="00AB6157">
        <w:t xml:space="preserve">ESMA invites comments on all matters in this paper and in particular on the specific questions summarised in </w:t>
      </w:r>
      <w:r w:rsidR="004A7C5F">
        <w:t xml:space="preserve">the </w:t>
      </w:r>
      <w:r w:rsidRPr="00AB6157">
        <w:t>Annex. Comments are most helpful if they:</w:t>
      </w:r>
    </w:p>
    <w:p w14:paraId="42F6B7E6" w14:textId="77777777" w:rsidR="00E862D0" w:rsidRPr="00AB6157" w:rsidRDefault="00E862D0" w:rsidP="00990D80">
      <w:pPr>
        <w:numPr>
          <w:ilvl w:val="0"/>
          <w:numId w:val="7"/>
        </w:numPr>
      </w:pPr>
      <w:r w:rsidRPr="00AB6157">
        <w:t>respond to the question stated;</w:t>
      </w:r>
    </w:p>
    <w:p w14:paraId="0DF9CFA8" w14:textId="77777777" w:rsidR="00E862D0" w:rsidRPr="00AB6157" w:rsidRDefault="00E862D0" w:rsidP="00990D80">
      <w:pPr>
        <w:numPr>
          <w:ilvl w:val="0"/>
          <w:numId w:val="7"/>
        </w:numPr>
      </w:pPr>
      <w:r w:rsidRPr="00AB6157">
        <w:t>indicate the specific question to which the comment relates;</w:t>
      </w:r>
    </w:p>
    <w:p w14:paraId="43A01AC6" w14:textId="77777777" w:rsidR="00E862D0" w:rsidRPr="00AB6157" w:rsidRDefault="00E862D0" w:rsidP="00990D80">
      <w:pPr>
        <w:numPr>
          <w:ilvl w:val="0"/>
          <w:numId w:val="7"/>
        </w:numPr>
      </w:pPr>
      <w:r w:rsidRPr="00AB6157">
        <w:t>contain a clear rationale; and</w:t>
      </w:r>
    </w:p>
    <w:p w14:paraId="7030075A" w14:textId="77777777" w:rsidR="00E862D0" w:rsidRPr="00AB6157" w:rsidRDefault="00E862D0" w:rsidP="00990D80">
      <w:pPr>
        <w:numPr>
          <w:ilvl w:val="0"/>
          <w:numId w:val="7"/>
        </w:numPr>
      </w:pPr>
      <w:r w:rsidRPr="00AB6157">
        <w:t>describe any alternatives ESMA should consider.</w:t>
      </w:r>
    </w:p>
    <w:p w14:paraId="7D96F756" w14:textId="19170519" w:rsidR="00E862D0" w:rsidRPr="00AB6157" w:rsidRDefault="00E862D0" w:rsidP="00E862D0">
      <w:r w:rsidRPr="002D118A">
        <w:t>ESMA</w:t>
      </w:r>
      <w:r w:rsidRPr="00AB6157">
        <w:t xml:space="preserve"> will consider all comments received </w:t>
      </w:r>
      <w:r w:rsidRPr="002D118A">
        <w:t xml:space="preserve">by </w:t>
      </w:r>
      <w:r w:rsidR="00270F0F">
        <w:rPr>
          <w:b/>
        </w:rPr>
        <w:t>20</w:t>
      </w:r>
      <w:r w:rsidRPr="00B92D25">
        <w:rPr>
          <w:b/>
        </w:rPr>
        <w:t xml:space="preserve"> November 2020</w:t>
      </w:r>
      <w:r w:rsidRPr="002D118A">
        <w:rPr>
          <w:b/>
        </w:rPr>
        <w:t>.</w:t>
      </w:r>
      <w:r w:rsidRPr="00AB6157">
        <w:rPr>
          <w:b/>
        </w:rPr>
        <w:t xml:space="preserve"> </w:t>
      </w:r>
    </w:p>
    <w:p w14:paraId="239B90F6" w14:textId="77777777" w:rsidR="00E862D0" w:rsidRPr="00AB6157" w:rsidRDefault="00E862D0" w:rsidP="00E862D0">
      <w:r w:rsidRPr="00AB6157">
        <w:t xml:space="preserve">All contributions should be submitted online at </w:t>
      </w:r>
      <w:hyperlink r:id="rId14" w:history="1">
        <w:r w:rsidRPr="00AB6157">
          <w:rPr>
            <w:color w:val="0563C1" w:themeColor="hyperlink"/>
            <w:u w:val="single"/>
          </w:rPr>
          <w:t>www.esma.europa.eu</w:t>
        </w:r>
      </w:hyperlink>
      <w:r w:rsidRPr="00AB6157">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DD092F8"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270F0F">
        <w:rPr>
          <w:rFonts w:cstheme="minorBidi"/>
          <w:szCs w:val="20"/>
        </w:rPr>
        <w:t>TRRF</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13EC0284"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ESMA_T</w:t>
      </w:r>
      <w:r w:rsidR="00270F0F">
        <w:rPr>
          <w:rFonts w:cstheme="minorBidi"/>
          <w:szCs w:val="20"/>
        </w:rPr>
        <w:t>RRF</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270F0F">
        <w:rPr>
          <w:rFonts w:cstheme="minorBidi"/>
          <w:szCs w:val="20"/>
        </w:rPr>
        <w:t>TRRF</w:t>
      </w:r>
      <w:r w:rsidRPr="00C85C8B">
        <w:rPr>
          <w:rFonts w:cstheme="minorBidi"/>
          <w:szCs w:val="20"/>
        </w:rPr>
        <w:t>_ABCD_RESPONSEFORM.</w:t>
      </w:r>
    </w:p>
    <w:p w14:paraId="7AA884C0" w14:textId="7447FB9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Upload the form containing your responses, in Word format, to ESMA’s website (</w:t>
      </w:r>
      <w:hyperlink r:id="rId15"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“Consultation </w:t>
      </w:r>
      <w:r w:rsidR="00AB140D">
        <w:rPr>
          <w:rFonts w:cstheme="minorBidi"/>
          <w:szCs w:val="20"/>
        </w:rPr>
        <w:t xml:space="preserve">paper on </w:t>
      </w:r>
      <w:r w:rsidR="00AB140D" w:rsidRPr="00505009">
        <w:rPr>
          <w:rFonts w:cs="Arial"/>
        </w:rPr>
        <w:t xml:space="preserve">MiFIR </w:t>
      </w:r>
      <w:r w:rsidR="00AB140D">
        <w:rPr>
          <w:rFonts w:cs="Arial"/>
        </w:rPr>
        <w:t xml:space="preserve">review report on the obligations </w:t>
      </w:r>
      <w:r w:rsidR="00AB140D" w:rsidRPr="00D21ACA">
        <w:rPr>
          <w:rFonts w:cs="Arial"/>
        </w:rPr>
        <w:t>to report transactions</w:t>
      </w:r>
      <w:r w:rsidR="00AB140D">
        <w:rPr>
          <w:rFonts w:cs="Arial"/>
        </w:rPr>
        <w:t xml:space="preserve"> and reference data</w:t>
      </w:r>
      <w:r w:rsidRPr="00C85C8B">
        <w:rPr>
          <w:rFonts w:cstheme="minorBidi"/>
          <w:szCs w:val="20"/>
        </w:rPr>
        <w:t>”).</w:t>
      </w:r>
    </w:p>
    <w:p w14:paraId="2DF9B383" w14:textId="77777777" w:rsidR="00E862D0" w:rsidRPr="00C1698A" w:rsidRDefault="00E862D0" w:rsidP="00E862D0"/>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16" w:history="1">
        <w:r w:rsidRPr="00AB6157">
          <w:rPr>
            <w:color w:val="0563C1" w:themeColor="hyperlink"/>
            <w:u w:val="single"/>
          </w:rPr>
          <w:t>www.esma.europa.eu</w:t>
        </w:r>
      </w:hyperlink>
      <w:r w:rsidRPr="00AB6157">
        <w:t xml:space="preserve"> under the heading </w:t>
      </w:r>
      <w:hyperlink r:id="rId17"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3C7935BB" w14:textId="6296E833" w:rsidR="00E862D0" w:rsidRPr="00662BA1" w:rsidRDefault="008C1AB8" w:rsidP="00662BA1">
      <w:pPr>
        <w:spacing w:after="120" w:line="264" w:lineRule="auto"/>
        <w:rPr>
          <w:szCs w:val="22"/>
        </w:rPr>
        <w:sectPr w:rsidR="00E862D0" w:rsidRPr="00662BA1"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r>
        <w:t xml:space="preserve">This document will be of interest to all stakeholders involved in the securities markets. It is primarily of interest to competent authorities and firms that are subject to MiFID II and MiFIR – in particular, investment firms and credit institutions performing investment services and </w:t>
      </w:r>
      <w:r>
        <w:rPr>
          <w:szCs w:val="22"/>
        </w:rPr>
        <w:t>activities and trading venues. This paper is also important for trade associations and industry bodies, institutional and retail investors and their advisers, and consumer groups, as well as any market participant because the MiFID II and MiFIR requirements seek to implement enhanced provisions to ensure the transparency and orderly running of financial markets with potential impacts for anyone engaged in the dealing with or processing of financial instruments.</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bookmarkStart w:id="1" w:name="_Toc515564428"/>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EndPr/>
          <w:sdtContent>
            <w:tc>
              <w:tcPr>
                <w:tcW w:w="5595" w:type="dxa"/>
                <w:shd w:val="clear" w:color="auto" w:fill="auto"/>
              </w:tcPr>
              <w:p w14:paraId="040F9675" w14:textId="3BF5F4AE" w:rsidR="00997DA7" w:rsidRPr="00C85C8B" w:rsidRDefault="00BF6B8F" w:rsidP="00A402A0">
                <w:pPr>
                  <w:rPr>
                    <w:rFonts w:ascii="Arial" w:hAnsi="Arial" w:cs="Arial"/>
                    <w:color w:val="808080"/>
                    <w:sz w:val="20"/>
                    <w:lang w:eastAsia="de-DE"/>
                  </w:rPr>
                </w:pPr>
                <w:r>
                  <w:rPr>
                    <w:rFonts w:ascii="Arial" w:hAnsi="Arial" w:cs="Arial"/>
                    <w:sz w:val="20"/>
                    <w:lang w:eastAsia="de-DE"/>
                  </w:rPr>
                  <w:t xml:space="preserve">EuropeanIssuers </w:t>
                </w:r>
              </w:p>
            </w:tc>
          </w:sdtContent>
        </w:sdt>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15632AD7" w:rsidR="00997DA7" w:rsidRPr="00C85C8B" w:rsidRDefault="00894658"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F6B8F">
                  <w:rPr>
                    <w:rFonts w:ascii="Arial" w:hAnsi="Arial" w:cs="Arial"/>
                    <w:sz w:val="20"/>
                    <w:lang w:eastAsia="de-DE"/>
                  </w:rPr>
                  <w:t>Non-financial counterparty</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978DA0" w14:textId="06EB0769" w:rsidR="00997DA7" w:rsidRPr="00C85C8B" w:rsidRDefault="00BF6B8F" w:rsidP="00A402A0">
                <w:pPr>
                  <w:rPr>
                    <w:rFonts w:ascii="Arial" w:hAnsi="Arial" w:cs="Arial"/>
                    <w:sz w:val="20"/>
                    <w:lang w:eastAsia="de-DE"/>
                  </w:rPr>
                </w:pPr>
                <w:r>
                  <w:rPr>
                    <w:rFonts w:ascii="MS Gothic" w:eastAsia="MS Gothic" w:hAnsi="MS Gothic" w:cs="Arial" w:hint="eastAsia"/>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5AAC3FBA" w:rsidR="00997DA7" w:rsidRPr="00C85C8B" w:rsidRDefault="00BF6B8F" w:rsidP="00A402A0">
                <w:pPr>
                  <w:rPr>
                    <w:rFonts w:ascii="Arial" w:hAnsi="Arial" w:cs="Arial"/>
                    <w:sz w:val="20"/>
                    <w:lang w:eastAsia="de-DE"/>
                  </w:rPr>
                </w:pPr>
                <w:r>
                  <w:rPr>
                    <w:rFonts w:ascii="Arial" w:hAnsi="Arial" w:cs="Arial"/>
                    <w:sz w:val="20"/>
                    <w:lang w:eastAsia="de-DE"/>
                  </w:rPr>
                  <w:t>Belgium</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018F5BF9" w:rsidR="00E862D0" w:rsidRPr="00C85C8B" w:rsidRDefault="00E862D0" w:rsidP="00E862D0">
      <w:r w:rsidRPr="00C85C8B">
        <w:t>&lt;ESMA_COMMENT_</w:t>
      </w:r>
      <w:r>
        <w:t>CP_</w:t>
      </w:r>
      <w:r w:rsidR="00662BA1">
        <w:t>TRRF</w:t>
      </w:r>
      <w:r w:rsidRPr="00C85C8B">
        <w:t>_1&gt;</w:t>
      </w:r>
    </w:p>
    <w:p w14:paraId="5FA339C0" w14:textId="1C10F8BA" w:rsidR="00BF6B8F" w:rsidRPr="0017189C" w:rsidRDefault="00BF6B8F" w:rsidP="003846EA">
      <w:pPr>
        <w:spacing w:after="200"/>
        <w:rPr>
          <w:rFonts w:eastAsiaTheme="minorHAnsi" w:cstheme="minorHAnsi"/>
        </w:rPr>
      </w:pPr>
      <w:bookmarkStart w:id="2" w:name="_Hlk508725789"/>
      <w:permStart w:id="2008832412" w:edGrp="everyone"/>
      <w:r>
        <w:rPr>
          <w:rFonts w:eastAsiaTheme="minorHAnsi" w:cstheme="minorHAnsi"/>
        </w:rPr>
        <w:t xml:space="preserve">EuropeanIssuers (EI) </w:t>
      </w:r>
      <w:r w:rsidRPr="0017189C">
        <w:rPr>
          <w:rFonts w:eastAsiaTheme="minorHAnsi" w:cstheme="minorHAnsi"/>
        </w:rPr>
        <w:t>very much welcome</w:t>
      </w:r>
      <w:r>
        <w:rPr>
          <w:rFonts w:eastAsiaTheme="minorHAnsi" w:cstheme="minorHAnsi"/>
        </w:rPr>
        <w:t>s</w:t>
      </w:r>
      <w:r w:rsidRPr="0017189C">
        <w:rPr>
          <w:rFonts w:eastAsiaTheme="minorHAnsi" w:cstheme="minorHAnsi"/>
        </w:rPr>
        <w:t xml:space="preserve"> the consultation on MiFIR review report on transaction and reference data reporting obligations, which, on the perimeter of financial instruments, can benefit from other related streams, such as fitness check of supervisory reporting and EMIR Refit.</w:t>
      </w:r>
    </w:p>
    <w:p w14:paraId="13EB6E25" w14:textId="1AE9A879" w:rsidR="00BF6B8F" w:rsidRPr="0017189C" w:rsidRDefault="00BF6B8F" w:rsidP="003846EA">
      <w:pPr>
        <w:spacing w:after="200"/>
        <w:rPr>
          <w:rFonts w:eastAsiaTheme="minorHAnsi" w:cstheme="minorHAnsi"/>
        </w:rPr>
      </w:pPr>
      <w:r>
        <w:rPr>
          <w:rFonts w:eastAsiaTheme="minorHAnsi" w:cstheme="minorHAnsi"/>
        </w:rPr>
        <w:t xml:space="preserve">For EI, </w:t>
      </w:r>
      <w:r w:rsidRPr="0017189C">
        <w:rPr>
          <w:rFonts w:eastAsiaTheme="minorHAnsi" w:cstheme="minorHAnsi"/>
        </w:rPr>
        <w:t>it is important to capitali</w:t>
      </w:r>
      <w:r w:rsidR="003846EA">
        <w:rPr>
          <w:rFonts w:eastAsiaTheme="minorHAnsi" w:cstheme="minorHAnsi"/>
        </w:rPr>
        <w:t>s</w:t>
      </w:r>
      <w:r w:rsidRPr="0017189C">
        <w:rPr>
          <w:rFonts w:eastAsiaTheme="minorHAnsi" w:cstheme="minorHAnsi"/>
        </w:rPr>
        <w:t>e EC mandates to ESMA under Article 26(10) of MiFIR and under EMIR Refit in order to simplify and to increase efficiency and data quality of MiFIR transaction and reference data reporting and EMIR reporting. In fact, the convergence between these two reporting regimes could lead to further harmonisation with additional reporting regimes on financial instruments such as MAR, REMIT, SFTR and Short Selling Regulation.</w:t>
      </w:r>
    </w:p>
    <w:p w14:paraId="49ED2A6D" w14:textId="77777777" w:rsidR="00BF6B8F" w:rsidRPr="0017189C" w:rsidRDefault="00BF6B8F" w:rsidP="003846EA">
      <w:pPr>
        <w:spacing w:after="200"/>
        <w:rPr>
          <w:rFonts w:eastAsia="Times New Roman"/>
        </w:rPr>
      </w:pPr>
      <w:r w:rsidRPr="0017189C">
        <w:rPr>
          <w:rFonts w:eastAsiaTheme="minorHAnsi" w:cstheme="minorHAnsi"/>
        </w:rPr>
        <w:t xml:space="preserve">In view of such convergence process, we see as crucial to focus on the technical IT aspects of reporting regimes, taking advantage of new available digital developments </w:t>
      </w:r>
      <w:r w:rsidRPr="0017189C">
        <w:rPr>
          <w:rFonts w:eastAsia="Times New Roman"/>
        </w:rPr>
        <w:t>(Big Data and Data Lake architectures, hedge computing, distributed ledger technologies, AI applications) in order to develop an IT architecture for reporting in line with EU new objectives in term of sustainability (efficient use of resources) and digitalization.</w:t>
      </w:r>
    </w:p>
    <w:p w14:paraId="2A817F26" w14:textId="77777777" w:rsidR="00BF6B8F" w:rsidRPr="0017189C" w:rsidRDefault="00BF6B8F" w:rsidP="003846EA">
      <w:pPr>
        <w:spacing w:after="200"/>
        <w:rPr>
          <w:rFonts w:eastAsiaTheme="minorHAnsi" w:cstheme="minorHAnsi"/>
        </w:rPr>
      </w:pPr>
      <w:r w:rsidRPr="0017189C">
        <w:rPr>
          <w:rFonts w:eastAsiaTheme="minorHAnsi" w:cstheme="minorHAnsi"/>
        </w:rPr>
        <w:t xml:space="preserve">ESMA has already moved towards said direction with the progressive standardization of reference data, formats and communication protocol and the development of Financial </w:t>
      </w:r>
      <w:r w:rsidRPr="0017189C">
        <w:rPr>
          <w:rFonts w:eastAsiaTheme="minorHAnsi" w:cstheme="minorHAnsi"/>
        </w:rPr>
        <w:lastRenderedPageBreak/>
        <w:t>Instruments Reference Data System (FIRDS), Transaction Reporting Exchange interface (TREM) and Hub.</w:t>
      </w:r>
    </w:p>
    <w:p w14:paraId="44F7AFB1" w14:textId="1E28FA56" w:rsidR="00BF6B8F" w:rsidRPr="0017189C" w:rsidRDefault="00BF6B8F" w:rsidP="003846EA">
      <w:pPr>
        <w:spacing w:after="200"/>
        <w:rPr>
          <w:rFonts w:eastAsiaTheme="minorHAnsi" w:cstheme="minorHAnsi"/>
        </w:rPr>
      </w:pPr>
      <w:r w:rsidRPr="0017189C">
        <w:rPr>
          <w:rFonts w:eastAsiaTheme="minorHAnsi" w:cstheme="minorHAnsi"/>
        </w:rPr>
        <w:t>In our view</w:t>
      </w:r>
      <w:r w:rsidR="003846EA">
        <w:rPr>
          <w:rFonts w:eastAsiaTheme="minorHAnsi" w:cstheme="minorHAnsi"/>
        </w:rPr>
        <w:t xml:space="preserve">, currently, </w:t>
      </w:r>
      <w:r>
        <w:rPr>
          <w:rFonts w:eastAsiaTheme="minorHAnsi" w:cstheme="minorHAnsi"/>
        </w:rPr>
        <w:t>on one side</w:t>
      </w:r>
      <w:r w:rsidRPr="0017189C">
        <w:rPr>
          <w:rFonts w:eastAsiaTheme="minorHAnsi" w:cstheme="minorHAnsi"/>
        </w:rPr>
        <w:t xml:space="preserve"> it is important to define a clear perimeter of Traded on Trading Venues (</w:t>
      </w:r>
      <w:proofErr w:type="spellStart"/>
      <w:r w:rsidRPr="0017189C">
        <w:rPr>
          <w:rFonts w:eastAsiaTheme="minorHAnsi" w:cstheme="minorHAnsi"/>
        </w:rPr>
        <w:t>ToTV</w:t>
      </w:r>
      <w:proofErr w:type="spellEnd"/>
      <w:r w:rsidRPr="0017189C">
        <w:rPr>
          <w:rFonts w:eastAsiaTheme="minorHAnsi" w:cstheme="minorHAnsi"/>
        </w:rPr>
        <w:t xml:space="preserve">), for which fully digitalised reporting can be guaranteed from a technical standpoint directly via IT trading platforms (Trading Venues and CCPs), with little if any direct involvement of market participants’ IT proprietary systems. </w:t>
      </w:r>
      <w:proofErr w:type="spellStart"/>
      <w:r w:rsidRPr="0017189C">
        <w:rPr>
          <w:rFonts w:eastAsiaTheme="minorHAnsi" w:cstheme="minorHAnsi"/>
        </w:rPr>
        <w:t>ToTV</w:t>
      </w:r>
      <w:proofErr w:type="spellEnd"/>
      <w:r w:rsidRPr="0017189C">
        <w:rPr>
          <w:rFonts w:eastAsiaTheme="minorHAnsi" w:cstheme="minorHAnsi"/>
        </w:rPr>
        <w:t xml:space="preserve"> perimeter should include all financial instruments that are standardised and electronically traded via </w:t>
      </w:r>
      <w:r>
        <w:rPr>
          <w:rFonts w:eastAsiaTheme="minorHAnsi" w:cstheme="minorHAnsi"/>
        </w:rPr>
        <w:t xml:space="preserve">Trading Venues/CCPs </w:t>
      </w:r>
      <w:r w:rsidRPr="0017189C">
        <w:rPr>
          <w:rFonts w:eastAsiaTheme="minorHAnsi" w:cstheme="minorHAnsi"/>
        </w:rPr>
        <w:t xml:space="preserve">IT platforms, </w:t>
      </w:r>
      <w:r>
        <w:rPr>
          <w:rFonts w:eastAsiaTheme="minorHAnsi" w:cstheme="minorHAnsi"/>
        </w:rPr>
        <w:t xml:space="preserve">as well as via </w:t>
      </w:r>
      <w:r w:rsidRPr="0017189C">
        <w:rPr>
          <w:rFonts w:eastAsiaTheme="minorHAnsi" w:cstheme="minorHAnsi"/>
        </w:rPr>
        <w:t xml:space="preserve">SIs. </w:t>
      </w:r>
      <w:r>
        <w:rPr>
          <w:rFonts w:eastAsiaTheme="minorHAnsi" w:cstheme="minorHAnsi"/>
        </w:rPr>
        <w:t>On the other side, a definition of non-standardised bespoke instruments traded OTC should be also clarified, in order to ring-fence their different nature and compliance requirements. For</w:t>
      </w:r>
      <w:r w:rsidRPr="0017189C">
        <w:rPr>
          <w:rFonts w:eastAsiaTheme="minorHAnsi" w:cstheme="minorHAnsi"/>
        </w:rPr>
        <w:t xml:space="preserve"> guarantee</w:t>
      </w:r>
      <w:r>
        <w:rPr>
          <w:rFonts w:eastAsiaTheme="minorHAnsi" w:cstheme="minorHAnsi"/>
        </w:rPr>
        <w:t>ing</w:t>
      </w:r>
      <w:r w:rsidRPr="0017189C">
        <w:rPr>
          <w:rFonts w:eastAsiaTheme="minorHAnsi" w:cstheme="minorHAnsi"/>
        </w:rPr>
        <w:t xml:space="preserve"> convergence of MiFIR and </w:t>
      </w:r>
      <w:r>
        <w:rPr>
          <w:rFonts w:eastAsiaTheme="minorHAnsi" w:cstheme="minorHAnsi"/>
        </w:rPr>
        <w:t xml:space="preserve">other supervisory reporting regimes, such as </w:t>
      </w:r>
      <w:r w:rsidRPr="0017189C">
        <w:rPr>
          <w:rFonts w:eastAsiaTheme="minorHAnsi" w:cstheme="minorHAnsi"/>
        </w:rPr>
        <w:t xml:space="preserve">EMIR, </w:t>
      </w:r>
      <w:proofErr w:type="spellStart"/>
      <w:r w:rsidRPr="0017189C">
        <w:rPr>
          <w:rFonts w:eastAsiaTheme="minorHAnsi" w:cstheme="minorHAnsi"/>
        </w:rPr>
        <w:t>ToTV</w:t>
      </w:r>
      <w:proofErr w:type="spellEnd"/>
      <w:r w:rsidRPr="0017189C">
        <w:rPr>
          <w:rFonts w:eastAsiaTheme="minorHAnsi" w:cstheme="minorHAnsi"/>
        </w:rPr>
        <w:t xml:space="preserve"> and </w:t>
      </w:r>
      <w:r>
        <w:rPr>
          <w:rFonts w:eastAsiaTheme="minorHAnsi" w:cstheme="minorHAnsi"/>
        </w:rPr>
        <w:t>bespoke/</w:t>
      </w:r>
      <w:r w:rsidRPr="0017189C">
        <w:rPr>
          <w:rFonts w:eastAsiaTheme="minorHAnsi" w:cstheme="minorHAnsi"/>
        </w:rPr>
        <w:t>OTC definitions should be harmonised across all relevant regulations.</w:t>
      </w:r>
    </w:p>
    <w:p w14:paraId="6D1BFFCD" w14:textId="77777777" w:rsidR="00BF6B8F" w:rsidRPr="0017189C" w:rsidRDefault="00BF6B8F" w:rsidP="003846EA">
      <w:pPr>
        <w:spacing w:after="200"/>
        <w:rPr>
          <w:rFonts w:eastAsia="Times New Roman"/>
        </w:rPr>
      </w:pPr>
      <w:r w:rsidRPr="0017189C">
        <w:rPr>
          <w:rFonts w:eastAsiaTheme="minorHAnsi" w:cstheme="minorHAnsi"/>
        </w:rPr>
        <w:t>Then, for removing another relevant obstacle to convergence between MiFIR transaction and reference data reporting and EMIR reporting, the focus should be dedicated to rationalisation of different IT architectures supporting the two reporting regimes, in particular c</w:t>
      </w:r>
      <w:r w:rsidRPr="0017189C">
        <w:rPr>
          <w:rFonts w:eastAsia="Times New Roman"/>
        </w:rPr>
        <w:t>larifying/simplifying the role of Trade Repositories platforms for EMIR reporting with respect to the FIRDS-TREM-HUB based IT architecture for MiFIR transaction and reference data reporting, in view of a further harmonization with MAR and REMIT reporting.</w:t>
      </w:r>
    </w:p>
    <w:p w14:paraId="663147E4" w14:textId="77777777" w:rsidR="00BF6B8F" w:rsidRPr="0017189C" w:rsidRDefault="00BF6B8F" w:rsidP="003846EA">
      <w:pPr>
        <w:spacing w:after="200"/>
        <w:rPr>
          <w:rFonts w:eastAsiaTheme="minorHAnsi" w:cstheme="minorHAnsi"/>
        </w:rPr>
      </w:pPr>
      <w:r w:rsidRPr="0017189C">
        <w:rPr>
          <w:rFonts w:eastAsiaTheme="minorHAnsi" w:cstheme="minorHAnsi"/>
        </w:rPr>
        <w:t xml:space="preserve">Harmonising definitions and perimeters, completing standardisation of reference data, formats and communication protocols, leveraging the role of Trading Venues/CCPs IT platforms on </w:t>
      </w:r>
      <w:proofErr w:type="spellStart"/>
      <w:r w:rsidRPr="0017189C">
        <w:rPr>
          <w:rFonts w:eastAsiaTheme="minorHAnsi" w:cstheme="minorHAnsi"/>
        </w:rPr>
        <w:t>ToTV</w:t>
      </w:r>
      <w:proofErr w:type="spellEnd"/>
      <w:r w:rsidRPr="0017189C">
        <w:rPr>
          <w:rFonts w:eastAsiaTheme="minorHAnsi" w:cstheme="minorHAnsi"/>
        </w:rPr>
        <w:t xml:space="preserve"> and rationalising IT architectures will not only support an effective convergence amongst reporting regimes, even in the presence of different regulatory goals, but will also guarantee better data quality and resource efficiency.</w:t>
      </w:r>
    </w:p>
    <w:p w14:paraId="424B3880" w14:textId="0B9FEFBD" w:rsidR="000B0D26" w:rsidRDefault="00BF6B8F" w:rsidP="003846EA">
      <w:r w:rsidRPr="0017189C">
        <w:rPr>
          <w:rFonts w:eastAsiaTheme="minorHAnsi" w:cstheme="minorHAnsi"/>
        </w:rPr>
        <w:t>We are thankful for the consideration given to our proposals and we remain at disposal to discuss further.</w:t>
      </w:r>
      <w:bookmarkEnd w:id="2"/>
    </w:p>
    <w:permEnd w:id="2008832412"/>
    <w:p w14:paraId="37768D94" w14:textId="5C7738E9" w:rsidR="00E862D0" w:rsidRPr="00662BA1" w:rsidRDefault="00E862D0" w:rsidP="00E862D0">
      <w:pPr>
        <w:rPr>
          <w:lang w:val="fr-FR"/>
        </w:rPr>
      </w:pPr>
      <w:r w:rsidRPr="00662BA1">
        <w:rPr>
          <w:lang w:val="fr-FR"/>
        </w:rPr>
        <w:t>&lt;ESMA_COMMENT_CP_</w:t>
      </w:r>
      <w:r w:rsidR="00662BA1" w:rsidRPr="00662BA1">
        <w:rPr>
          <w:lang w:val="fr-FR"/>
        </w:rPr>
        <w:t>TRRF</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lastRenderedPageBreak/>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2849AD1B" w14:textId="77777777" w:rsidR="000B0D26" w:rsidRPr="004815AE" w:rsidRDefault="000B0D26" w:rsidP="00990D80">
      <w:pPr>
        <w:pStyle w:val="Questionstyle"/>
      </w:pPr>
      <w:r w:rsidRPr="004815AE">
        <w:t>: Do you foresee any challenges for UCITS management companies and AIF managers in providing transaction reports to NCAs? If yes, please explain and provide alternative proposals.</w:t>
      </w:r>
    </w:p>
    <w:p w14:paraId="2D82B954" w14:textId="77777777" w:rsidR="000B0D26" w:rsidRDefault="000B0D26" w:rsidP="000B0D26">
      <w:r>
        <w:t>&lt;ESMA_QUESTION_TRRF_1&gt;</w:t>
      </w:r>
    </w:p>
    <w:p w14:paraId="0B0CA12A" w14:textId="77777777" w:rsidR="000B0D26" w:rsidRDefault="000B0D26" w:rsidP="000B0D26">
      <w:permStart w:id="1600792670" w:edGrp="everyone"/>
      <w:r>
        <w:t>TYPE YOUR TEXT HERE</w:t>
      </w:r>
    </w:p>
    <w:permEnd w:id="1600792670"/>
    <w:p w14:paraId="7E8F6CF8" w14:textId="77777777" w:rsidR="000B0D26" w:rsidRDefault="000B0D26" w:rsidP="000B0D26">
      <w:r>
        <w:t>&lt;ESMA_QUESTION_TRRF_1&gt;</w:t>
      </w:r>
    </w:p>
    <w:p w14:paraId="5F546672" w14:textId="77777777" w:rsidR="000B0D26" w:rsidRDefault="000B0D26" w:rsidP="000B0D26"/>
    <w:p w14:paraId="43EB0319" w14:textId="77777777" w:rsidR="000B0D26" w:rsidRDefault="000B0D26" w:rsidP="00990D80">
      <w:pPr>
        <w:pStyle w:val="Questionstyle"/>
      </w:pPr>
      <w:r>
        <w:t>: Do you foresee any challenges with the outlined approach? If yes, please explain and provide alternative proposals.</w:t>
      </w:r>
    </w:p>
    <w:p w14:paraId="29E2AE33" w14:textId="77777777" w:rsidR="000B0D26" w:rsidRDefault="000B0D26" w:rsidP="000B0D26">
      <w:r>
        <w:t>&lt;ESMA_QUESTION_TRRF_2&gt;</w:t>
      </w:r>
    </w:p>
    <w:p w14:paraId="7841A561" w14:textId="77777777" w:rsidR="000B0D26" w:rsidRDefault="000B0D26" w:rsidP="000B0D26">
      <w:permStart w:id="999892361" w:edGrp="everyone"/>
      <w:r>
        <w:t>TYPE YOUR TEXT HERE</w:t>
      </w:r>
    </w:p>
    <w:permEnd w:id="999892361"/>
    <w:p w14:paraId="097265B0" w14:textId="77777777" w:rsidR="000B0D26" w:rsidRDefault="000B0D26" w:rsidP="000B0D26">
      <w:r>
        <w:t>&lt;ESMA_QUESTION_TRRF_2&gt;</w:t>
      </w:r>
    </w:p>
    <w:p w14:paraId="04B3D6B3" w14:textId="77777777" w:rsidR="000B0D26" w:rsidRDefault="000B0D26" w:rsidP="000B0D26"/>
    <w:p w14:paraId="024048A1" w14:textId="77777777" w:rsidR="000B0D26" w:rsidRDefault="000B0D26" w:rsidP="00990D80">
      <w:pPr>
        <w:pStyle w:val="Questionstyle"/>
      </w:pPr>
      <w:r>
        <w:t>: Do you foresee any challenges with the outlined approach? If yes, please explain and provide alternative proposals.</w:t>
      </w:r>
    </w:p>
    <w:p w14:paraId="772EF36B" w14:textId="77777777" w:rsidR="000B0D26" w:rsidRDefault="000B0D26" w:rsidP="000B0D26">
      <w:r>
        <w:t>&lt;ESMA_QUESTION_TRRF_3&gt;</w:t>
      </w:r>
    </w:p>
    <w:p w14:paraId="5F3D5325" w14:textId="77777777" w:rsidR="000B0D26" w:rsidRDefault="000B0D26" w:rsidP="000B0D26">
      <w:permStart w:id="1042289045" w:edGrp="everyone"/>
      <w:r>
        <w:t>TYPE YOUR TEXT HERE</w:t>
      </w:r>
    </w:p>
    <w:permEnd w:id="1042289045"/>
    <w:p w14:paraId="4EABAC59" w14:textId="77777777" w:rsidR="000B0D26" w:rsidRDefault="000B0D26" w:rsidP="000B0D26">
      <w:r>
        <w:t>&lt;ESMA_QUESTION_TRRF_3&gt;</w:t>
      </w:r>
    </w:p>
    <w:p w14:paraId="2AFFC07A" w14:textId="77777777" w:rsidR="000B0D26" w:rsidRDefault="000B0D26" w:rsidP="000B0D26"/>
    <w:p w14:paraId="3087E29C" w14:textId="77777777" w:rsidR="000B0D26" w:rsidRDefault="000B0D26" w:rsidP="00990D80">
      <w:pPr>
        <w:pStyle w:val="Questionstyle"/>
      </w:pPr>
      <w:r>
        <w:t>: Do you foresee any challenges with the outlined approach? If yes, please explain and provide alternative proposals.</w:t>
      </w:r>
    </w:p>
    <w:p w14:paraId="680D4FCA" w14:textId="77777777" w:rsidR="000B0D26" w:rsidRDefault="000B0D26" w:rsidP="000B0D26">
      <w:r>
        <w:t>&lt;ESMA_QUESTION_TRRF_4&gt;</w:t>
      </w:r>
    </w:p>
    <w:p w14:paraId="61BADF68" w14:textId="77777777" w:rsidR="000B0D26" w:rsidRDefault="000B0D26" w:rsidP="000B0D26">
      <w:permStart w:id="1998264754" w:edGrp="everyone"/>
      <w:r>
        <w:lastRenderedPageBreak/>
        <w:t>TYPE YOUR TEXT HERE</w:t>
      </w:r>
    </w:p>
    <w:permEnd w:id="1998264754"/>
    <w:p w14:paraId="59198F9E" w14:textId="77777777" w:rsidR="000B0D26" w:rsidRDefault="000B0D26" w:rsidP="000B0D26">
      <w:r>
        <w:t>&lt;ESMA_QUESTION_TRRF_4&gt;</w:t>
      </w:r>
    </w:p>
    <w:p w14:paraId="44A77D62" w14:textId="77777777" w:rsidR="000B0D26" w:rsidRDefault="000B0D26" w:rsidP="000B0D26"/>
    <w:p w14:paraId="68820266" w14:textId="77777777" w:rsidR="000B0D26" w:rsidRDefault="000B0D26" w:rsidP="00990D80">
      <w:pPr>
        <w:pStyle w:val="Questionstyle"/>
      </w:pPr>
      <w:r>
        <w:t>: Do you envisage any challenges in increasing the scope including derivative instruments traded through an SI as an alternative to the expanded ToTV concept? Please justify your position and if you disagree please suggest alternatives.</w:t>
      </w:r>
    </w:p>
    <w:p w14:paraId="5EA2EF2D" w14:textId="77777777" w:rsidR="000B0D26" w:rsidRDefault="000B0D26" w:rsidP="000B0D26">
      <w:r>
        <w:t>&lt;ESMA_QUESTION_TRRF_5&gt;</w:t>
      </w:r>
    </w:p>
    <w:p w14:paraId="34E29271" w14:textId="63D88006" w:rsidR="003846EA" w:rsidRDefault="00BF6B8F" w:rsidP="003846EA">
      <w:pPr>
        <w:pStyle w:val="Default"/>
        <w:spacing w:after="10" w:line="276" w:lineRule="auto"/>
        <w:jc w:val="both"/>
        <w:rPr>
          <w:rFonts w:asciiTheme="minorHAnsi" w:eastAsia="Times New Roman" w:hAnsiTheme="minorHAnsi" w:cstheme="minorHAnsi"/>
          <w:color w:val="auto"/>
          <w:sz w:val="22"/>
          <w:szCs w:val="22"/>
        </w:rPr>
      </w:pPr>
      <w:permStart w:id="1725236856" w:edGrp="everyone"/>
      <w:r>
        <w:rPr>
          <w:rFonts w:asciiTheme="minorHAnsi" w:eastAsia="Times New Roman" w:hAnsiTheme="minorHAnsi" w:cstheme="minorHAnsi"/>
          <w:color w:val="auto"/>
          <w:sz w:val="22"/>
          <w:szCs w:val="22"/>
        </w:rPr>
        <w:t>In term</w:t>
      </w:r>
      <w:r w:rsidR="003846EA">
        <w:rPr>
          <w:rFonts w:asciiTheme="minorHAnsi" w:eastAsia="Times New Roman" w:hAnsiTheme="minorHAnsi" w:cstheme="minorHAnsi"/>
          <w:color w:val="auto"/>
          <w:sz w:val="22"/>
          <w:szCs w:val="22"/>
        </w:rPr>
        <w:t>s</w:t>
      </w:r>
      <w:r>
        <w:rPr>
          <w:rFonts w:asciiTheme="minorHAnsi" w:eastAsia="Times New Roman" w:hAnsiTheme="minorHAnsi" w:cstheme="minorHAnsi"/>
          <w:color w:val="auto"/>
          <w:sz w:val="22"/>
          <w:szCs w:val="22"/>
        </w:rPr>
        <w:t xml:space="preserve"> of definition, a distinction between technical modality for reporting and perimeter of instruments subject to transparency, transaction and reference data reporting would help to clarify current situation.</w:t>
      </w:r>
    </w:p>
    <w:p w14:paraId="763AC22C" w14:textId="7777777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From a technical standpoint</w:t>
      </w:r>
      <w:r>
        <w:rPr>
          <w:rFonts w:asciiTheme="minorHAnsi" w:eastAsia="Times New Roman" w:hAnsiTheme="minorHAnsi" w:cstheme="minorHAnsi"/>
          <w:color w:val="auto"/>
          <w:sz w:val="22"/>
          <w:szCs w:val="22"/>
        </w:rPr>
        <w:t xml:space="preserve"> focused on the modality for reporting, financial instruments traded on</w:t>
      </w:r>
      <w:r w:rsidRPr="0017189C">
        <w:rPr>
          <w:rFonts w:asciiTheme="minorHAnsi" w:eastAsia="Times New Roman" w:hAnsiTheme="minorHAnsi" w:cstheme="minorHAnsi"/>
          <w:color w:val="auto"/>
          <w:sz w:val="22"/>
          <w:szCs w:val="22"/>
        </w:rPr>
        <w:t xml:space="preserve"> Systematic </w:t>
      </w:r>
      <w:proofErr w:type="spellStart"/>
      <w:r w:rsidRPr="0017189C">
        <w:rPr>
          <w:rFonts w:asciiTheme="minorHAnsi" w:eastAsia="Times New Roman" w:hAnsiTheme="minorHAnsi" w:cstheme="minorHAnsi"/>
          <w:color w:val="auto"/>
          <w:sz w:val="22"/>
          <w:szCs w:val="22"/>
        </w:rPr>
        <w:t>Internalisers</w:t>
      </w:r>
      <w:proofErr w:type="spellEnd"/>
      <w:r>
        <w:rPr>
          <w:rFonts w:asciiTheme="minorHAnsi" w:eastAsia="Times New Roman" w:hAnsiTheme="minorHAnsi" w:cstheme="minorHAnsi"/>
          <w:color w:val="auto"/>
          <w:sz w:val="22"/>
          <w:szCs w:val="22"/>
        </w:rPr>
        <w:t xml:space="preserve">’ IT platforms are not different from financial instruments </w:t>
      </w:r>
      <w:proofErr w:type="spellStart"/>
      <w:r>
        <w:rPr>
          <w:rFonts w:asciiTheme="minorHAnsi" w:eastAsia="Times New Roman" w:hAnsiTheme="minorHAnsi" w:cstheme="minorHAnsi"/>
          <w:color w:val="auto"/>
          <w:sz w:val="22"/>
          <w:szCs w:val="22"/>
        </w:rPr>
        <w:t>ToTV</w:t>
      </w:r>
      <w:proofErr w:type="spellEnd"/>
      <w:r>
        <w:rPr>
          <w:rFonts w:asciiTheme="minorHAnsi" w:eastAsia="Times New Roman" w:hAnsiTheme="minorHAnsi" w:cstheme="minorHAnsi"/>
          <w:color w:val="auto"/>
          <w:sz w:val="22"/>
          <w:szCs w:val="22"/>
        </w:rPr>
        <w:t xml:space="preserve">, therefore having a perimeter that include SI and </w:t>
      </w:r>
      <w:proofErr w:type="spellStart"/>
      <w:r>
        <w:rPr>
          <w:rFonts w:asciiTheme="minorHAnsi" w:eastAsia="Times New Roman" w:hAnsiTheme="minorHAnsi" w:cstheme="minorHAnsi"/>
          <w:color w:val="auto"/>
          <w:sz w:val="22"/>
          <w:szCs w:val="22"/>
        </w:rPr>
        <w:t>ToTV</w:t>
      </w:r>
      <w:proofErr w:type="spellEnd"/>
      <w:r>
        <w:rPr>
          <w:rFonts w:asciiTheme="minorHAnsi" w:eastAsia="Times New Roman" w:hAnsiTheme="minorHAnsi" w:cstheme="minorHAnsi"/>
          <w:color w:val="auto"/>
          <w:sz w:val="22"/>
          <w:szCs w:val="22"/>
        </w:rPr>
        <w:t xml:space="preserve"> would </w:t>
      </w:r>
      <w:r w:rsidRPr="0017189C">
        <w:rPr>
          <w:rFonts w:asciiTheme="minorHAnsi" w:eastAsia="Times New Roman" w:hAnsiTheme="minorHAnsi" w:cstheme="minorHAnsi"/>
          <w:color w:val="auto"/>
          <w:sz w:val="22"/>
          <w:szCs w:val="22"/>
        </w:rPr>
        <w:t xml:space="preserve"> be a viable solutions in order to create a clear distinction between </w:t>
      </w:r>
      <w:r>
        <w:rPr>
          <w:rFonts w:asciiTheme="minorHAnsi" w:eastAsia="Times New Roman" w:hAnsiTheme="minorHAnsi" w:cstheme="minorHAnsi"/>
          <w:color w:val="auto"/>
          <w:sz w:val="22"/>
          <w:szCs w:val="22"/>
        </w:rPr>
        <w:t xml:space="preserve">how to report </w:t>
      </w:r>
      <w:r w:rsidRPr="0017189C">
        <w:rPr>
          <w:rFonts w:asciiTheme="minorHAnsi" w:eastAsia="Times New Roman" w:hAnsiTheme="minorHAnsi" w:cstheme="minorHAnsi"/>
          <w:color w:val="auto"/>
          <w:sz w:val="22"/>
          <w:szCs w:val="22"/>
        </w:rPr>
        <w:t>standardized financial instruments</w:t>
      </w:r>
      <w:r>
        <w:rPr>
          <w:rFonts w:asciiTheme="minorHAnsi" w:eastAsia="Times New Roman" w:hAnsiTheme="minorHAnsi" w:cstheme="minorHAnsi"/>
          <w:color w:val="auto"/>
          <w:sz w:val="22"/>
          <w:szCs w:val="22"/>
        </w:rPr>
        <w:t xml:space="preserve"> traded electronically</w:t>
      </w:r>
      <w:r w:rsidRPr="0017189C">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 xml:space="preserve">with respect to </w:t>
      </w:r>
      <w:r w:rsidRPr="0017189C">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 xml:space="preserve">how to report </w:t>
      </w:r>
      <w:r w:rsidRPr="0017189C">
        <w:rPr>
          <w:rFonts w:asciiTheme="minorHAnsi" w:eastAsia="Times New Roman" w:hAnsiTheme="minorHAnsi" w:cstheme="minorHAnsi"/>
          <w:color w:val="auto"/>
          <w:sz w:val="22"/>
          <w:szCs w:val="22"/>
        </w:rPr>
        <w:t xml:space="preserve">non-standardized financial instruments traded bilaterally on Over the Counter basis, i.e. </w:t>
      </w:r>
      <w:r>
        <w:rPr>
          <w:rFonts w:asciiTheme="minorHAnsi" w:eastAsia="Times New Roman" w:hAnsiTheme="minorHAnsi" w:cstheme="minorHAnsi"/>
          <w:color w:val="auto"/>
          <w:sz w:val="22"/>
          <w:szCs w:val="22"/>
        </w:rPr>
        <w:t xml:space="preserve"> bespoke/OTC</w:t>
      </w:r>
      <w:r w:rsidRPr="0017189C">
        <w:rPr>
          <w:rFonts w:asciiTheme="minorHAnsi" w:eastAsia="Times New Roman" w:hAnsiTheme="minorHAnsi" w:cstheme="minorHAnsi"/>
          <w:color w:val="auto"/>
          <w:sz w:val="22"/>
          <w:szCs w:val="22"/>
        </w:rPr>
        <w:t>.</w:t>
      </w:r>
    </w:p>
    <w:p w14:paraId="4738079F" w14:textId="7777777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Th</w:t>
      </w:r>
      <w:r>
        <w:rPr>
          <w:rFonts w:asciiTheme="minorHAnsi" w:eastAsia="Times New Roman" w:hAnsiTheme="minorHAnsi" w:cstheme="minorHAnsi"/>
          <w:color w:val="auto"/>
          <w:sz w:val="22"/>
          <w:szCs w:val="22"/>
        </w:rPr>
        <w:t>is</w:t>
      </w:r>
      <w:r w:rsidRPr="0017189C">
        <w:rPr>
          <w:rFonts w:asciiTheme="minorHAnsi" w:eastAsia="Times New Roman" w:hAnsiTheme="minorHAnsi" w:cstheme="minorHAnsi"/>
          <w:color w:val="auto"/>
          <w:sz w:val="22"/>
          <w:szCs w:val="22"/>
        </w:rPr>
        <w:t xml:space="preserve"> might be very useful for different regulatory application perimeters, such as for example all reporting regimes on financial instruments.</w:t>
      </w:r>
    </w:p>
    <w:p w14:paraId="4B893F7E" w14:textId="38056F1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u w:val="single"/>
        </w:rPr>
        <w:t>In term</w:t>
      </w:r>
      <w:r w:rsidR="003846EA">
        <w:rPr>
          <w:rFonts w:asciiTheme="minorHAnsi" w:eastAsia="Times New Roman" w:hAnsiTheme="minorHAnsi" w:cstheme="minorHAnsi"/>
          <w:color w:val="auto"/>
          <w:sz w:val="22"/>
          <w:szCs w:val="22"/>
          <w:u w:val="single"/>
        </w:rPr>
        <w:t>s</w:t>
      </w:r>
      <w:r w:rsidRPr="0017189C">
        <w:rPr>
          <w:rFonts w:asciiTheme="minorHAnsi" w:eastAsia="Times New Roman" w:hAnsiTheme="minorHAnsi" w:cstheme="minorHAnsi"/>
          <w:color w:val="auto"/>
          <w:sz w:val="22"/>
          <w:szCs w:val="22"/>
          <w:u w:val="single"/>
        </w:rPr>
        <w:t xml:space="preserve"> of IT architecture</w:t>
      </w:r>
      <w:r w:rsidR="003846EA">
        <w:rPr>
          <w:rFonts w:asciiTheme="minorHAnsi" w:eastAsia="Times New Roman" w:hAnsiTheme="minorHAnsi" w:cstheme="minorHAnsi"/>
          <w:color w:val="auto"/>
          <w:sz w:val="22"/>
          <w:szCs w:val="22"/>
          <w:u w:val="single"/>
        </w:rPr>
        <w:t>,</w:t>
      </w:r>
      <w:r w:rsidRPr="0017189C">
        <w:rPr>
          <w:rFonts w:asciiTheme="minorHAnsi" w:eastAsia="Times New Roman" w:hAnsiTheme="minorHAnsi" w:cstheme="minorHAnsi"/>
          <w:color w:val="auto"/>
          <w:sz w:val="22"/>
          <w:szCs w:val="22"/>
        </w:rPr>
        <w:t xml:space="preserve"> there is little doubt that for all standardised financial instruments electronically-traded on digital platforms it is more expensive and less efficient to involve all market participants in data reporting flows, whereby centralised electronic platforms operated by Trading Venues/CCPs are in the best position to efficiently provide all information on transaction or position basis with better data quality.</w:t>
      </w:r>
    </w:p>
    <w:p w14:paraId="6B55B1B8" w14:textId="7777777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Statistics published by BIS testify growing success of electronic trading via digital platforms, which are inherently more transparent, secure and cleared, while limiting the bilateral OTC paper trading at the non-standard customised financial instruments, often used for covering client specific hedging needs. Not leveraging such widespread digitalisation in terms of reporting would definitively be a missed opportunity. Defining a category of financial instruments Traded on Trading Venues (including SIs) would allow to efficiently retrieve all data necessary for regulatory reporting directly from Trading Venues platforms (mainly pre-trade info, orders and executed trades) and Clearing platforms (mainly post trade info on collateral exchange), considering that transaction and position reporting are already circulated daily by TVs/CCPs to market participants.</w:t>
      </w:r>
    </w:p>
    <w:p w14:paraId="518FBDBA" w14:textId="7777777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 xml:space="preserve">In the past world characterised by OTC paper trading bilaterally negotiated directly between 2 Counterparties, it was natural for Regulators to rely on the same Counterparties for reporting, but in the new world of electronic trading where negotiation and execution happen on Trading </w:t>
      </w:r>
      <w:r w:rsidRPr="0017189C">
        <w:rPr>
          <w:rFonts w:asciiTheme="minorHAnsi" w:eastAsia="Times New Roman" w:hAnsiTheme="minorHAnsi" w:cstheme="minorHAnsi"/>
          <w:color w:val="auto"/>
          <w:sz w:val="22"/>
          <w:szCs w:val="22"/>
        </w:rPr>
        <w:lastRenderedPageBreak/>
        <w:t>Venues/Clearing House IT platforms, it is more efficient and effective to rely on data already securely stored in a digital format on said platforms.</w:t>
      </w:r>
    </w:p>
    <w:p w14:paraId="126E7957" w14:textId="7777777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 xml:space="preserve">In essence, the proposal </w:t>
      </w:r>
      <w:r>
        <w:rPr>
          <w:rFonts w:asciiTheme="minorHAnsi" w:eastAsia="Times New Roman" w:hAnsiTheme="minorHAnsi" w:cstheme="minorHAnsi"/>
          <w:color w:val="auto"/>
          <w:sz w:val="22"/>
          <w:szCs w:val="22"/>
        </w:rPr>
        <w:t xml:space="preserve">to equate </w:t>
      </w:r>
      <w:r w:rsidRPr="0017189C">
        <w:rPr>
          <w:rFonts w:asciiTheme="minorHAnsi" w:eastAsia="Times New Roman" w:hAnsiTheme="minorHAnsi" w:cstheme="minorHAnsi"/>
          <w:color w:val="auto"/>
          <w:sz w:val="22"/>
          <w:szCs w:val="22"/>
        </w:rPr>
        <w:t>SIs</w:t>
      </w:r>
      <w:r>
        <w:rPr>
          <w:rFonts w:asciiTheme="minorHAnsi" w:eastAsia="Times New Roman" w:hAnsiTheme="minorHAnsi" w:cstheme="minorHAnsi"/>
          <w:color w:val="auto"/>
          <w:sz w:val="22"/>
          <w:szCs w:val="22"/>
        </w:rPr>
        <w:t xml:space="preserve"> to </w:t>
      </w:r>
      <w:proofErr w:type="spellStart"/>
      <w:r>
        <w:rPr>
          <w:rFonts w:asciiTheme="minorHAnsi" w:eastAsia="Times New Roman" w:hAnsiTheme="minorHAnsi" w:cstheme="minorHAnsi"/>
          <w:color w:val="auto"/>
          <w:sz w:val="22"/>
          <w:szCs w:val="22"/>
        </w:rPr>
        <w:t>ToTV</w:t>
      </w:r>
      <w:proofErr w:type="spellEnd"/>
      <w:r>
        <w:rPr>
          <w:rFonts w:asciiTheme="minorHAnsi" w:eastAsia="Times New Roman" w:hAnsiTheme="minorHAnsi" w:cstheme="minorHAnsi"/>
          <w:color w:val="auto"/>
          <w:sz w:val="22"/>
          <w:szCs w:val="22"/>
        </w:rPr>
        <w:t xml:space="preserve"> for the technical modality of reporting is</w:t>
      </w:r>
      <w:r w:rsidRPr="0017189C">
        <w:rPr>
          <w:rFonts w:asciiTheme="minorHAnsi" w:eastAsia="Times New Roman" w:hAnsiTheme="minorHAnsi" w:cstheme="minorHAnsi"/>
          <w:color w:val="auto"/>
          <w:sz w:val="22"/>
          <w:szCs w:val="22"/>
        </w:rPr>
        <w:t xml:space="preserve"> supported in view of a simplification of regulatory reporting regime on all financial instruments Traded on Trading Venues</w:t>
      </w:r>
      <w:r>
        <w:rPr>
          <w:rFonts w:asciiTheme="minorHAnsi" w:eastAsia="Times New Roman" w:hAnsiTheme="minorHAnsi" w:cstheme="minorHAnsi"/>
          <w:color w:val="auto"/>
          <w:sz w:val="22"/>
          <w:szCs w:val="22"/>
        </w:rPr>
        <w:t>:</w:t>
      </w:r>
      <w:r w:rsidRPr="0017189C">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to this purpose the t</w:t>
      </w:r>
      <w:r w:rsidRPr="0017189C">
        <w:rPr>
          <w:rFonts w:asciiTheme="minorHAnsi" w:eastAsia="Times New Roman" w:hAnsiTheme="minorHAnsi" w:cstheme="minorHAnsi"/>
          <w:color w:val="auto"/>
          <w:sz w:val="22"/>
          <w:szCs w:val="22"/>
        </w:rPr>
        <w:t>ransaction, position and reference data reporting should not involve market participants</w:t>
      </w:r>
      <w:r>
        <w:rPr>
          <w:rFonts w:asciiTheme="minorHAnsi" w:eastAsia="Times New Roman" w:hAnsiTheme="minorHAnsi" w:cstheme="minorHAnsi"/>
          <w:color w:val="auto"/>
          <w:sz w:val="22"/>
          <w:szCs w:val="22"/>
        </w:rPr>
        <w:t>,</w:t>
      </w:r>
      <w:r w:rsidRPr="0017189C">
        <w:rPr>
          <w:rFonts w:asciiTheme="minorHAnsi" w:eastAsia="Times New Roman" w:hAnsiTheme="minorHAnsi" w:cstheme="minorHAnsi"/>
          <w:color w:val="auto"/>
          <w:sz w:val="22"/>
          <w:szCs w:val="22"/>
        </w:rPr>
        <w:t xml:space="preserve"> but should rather be based on data directly provided by </w:t>
      </w:r>
      <w:r>
        <w:rPr>
          <w:rFonts w:asciiTheme="minorHAnsi" w:eastAsia="Times New Roman" w:hAnsiTheme="minorHAnsi" w:cstheme="minorHAnsi"/>
          <w:color w:val="auto"/>
          <w:sz w:val="22"/>
          <w:szCs w:val="22"/>
        </w:rPr>
        <w:t>TVs and SIs</w:t>
      </w:r>
      <w:r w:rsidRPr="0017189C">
        <w:rPr>
          <w:rFonts w:asciiTheme="minorHAnsi" w:eastAsia="Times New Roman" w:hAnsiTheme="minorHAnsi" w:cstheme="minorHAnsi"/>
          <w:color w:val="auto"/>
          <w:sz w:val="22"/>
          <w:szCs w:val="22"/>
        </w:rPr>
        <w:t>.</w:t>
      </w:r>
    </w:p>
    <w:p w14:paraId="3331C03E" w14:textId="7777777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p>
    <w:p w14:paraId="16A8E8DC" w14:textId="77777777" w:rsidR="00BF6B8F" w:rsidRDefault="00BF6B8F" w:rsidP="003846EA">
      <w:pPr>
        <w:pStyle w:val="Default"/>
        <w:spacing w:after="10" w:line="276" w:lineRule="auto"/>
        <w:jc w:val="both"/>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When we move the focus on the perimeter for application of transparency, transaction and reference data reporting, t</w:t>
      </w:r>
      <w:r w:rsidRPr="0017189C">
        <w:rPr>
          <w:rFonts w:asciiTheme="minorHAnsi" w:eastAsia="Times New Roman" w:hAnsiTheme="minorHAnsi" w:cstheme="minorHAnsi"/>
          <w:color w:val="auto"/>
          <w:sz w:val="22"/>
          <w:szCs w:val="22"/>
        </w:rPr>
        <w:t xml:space="preserve">he </w:t>
      </w:r>
      <w:proofErr w:type="spellStart"/>
      <w:r w:rsidRPr="0017189C">
        <w:rPr>
          <w:rFonts w:asciiTheme="minorHAnsi" w:eastAsia="Times New Roman" w:hAnsiTheme="minorHAnsi" w:cstheme="minorHAnsi"/>
          <w:color w:val="auto"/>
          <w:sz w:val="22"/>
          <w:szCs w:val="22"/>
        </w:rPr>
        <w:t>ToTV</w:t>
      </w:r>
      <w:proofErr w:type="spellEnd"/>
      <w:r w:rsidRPr="0017189C">
        <w:rPr>
          <w:rFonts w:asciiTheme="minorHAnsi" w:eastAsia="Times New Roman" w:hAnsiTheme="minorHAnsi" w:cstheme="minorHAnsi"/>
          <w:color w:val="auto"/>
          <w:sz w:val="22"/>
          <w:szCs w:val="22"/>
        </w:rPr>
        <w:t xml:space="preserve"> definition should be </w:t>
      </w:r>
      <w:r>
        <w:rPr>
          <w:rFonts w:asciiTheme="minorHAnsi" w:eastAsia="Times New Roman" w:hAnsiTheme="minorHAnsi" w:cstheme="minorHAnsi"/>
          <w:color w:val="auto"/>
          <w:sz w:val="22"/>
          <w:szCs w:val="22"/>
        </w:rPr>
        <w:t>complemented</w:t>
      </w:r>
      <w:r w:rsidRPr="0017189C">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by</w:t>
      </w:r>
      <w:r w:rsidRPr="0017189C">
        <w:rPr>
          <w:rFonts w:asciiTheme="minorHAnsi" w:eastAsia="Times New Roman" w:hAnsiTheme="minorHAnsi" w:cstheme="minorHAnsi"/>
          <w:color w:val="auto"/>
          <w:sz w:val="22"/>
          <w:szCs w:val="22"/>
        </w:rPr>
        <w:t xml:space="preserve"> the definition of the perimeter of Over the Counter </w:t>
      </w:r>
      <w:r>
        <w:rPr>
          <w:rFonts w:asciiTheme="minorHAnsi" w:eastAsia="Times New Roman" w:hAnsiTheme="minorHAnsi" w:cstheme="minorHAnsi"/>
          <w:color w:val="auto"/>
          <w:sz w:val="22"/>
          <w:szCs w:val="22"/>
        </w:rPr>
        <w:t xml:space="preserve">bespoke </w:t>
      </w:r>
      <w:r w:rsidRPr="0017189C">
        <w:rPr>
          <w:rFonts w:asciiTheme="minorHAnsi" w:eastAsia="Times New Roman" w:hAnsiTheme="minorHAnsi" w:cstheme="minorHAnsi"/>
          <w:color w:val="auto"/>
          <w:sz w:val="22"/>
          <w:szCs w:val="22"/>
        </w:rPr>
        <w:t xml:space="preserve">financial instruments, i.e. the </w:t>
      </w:r>
      <w:r>
        <w:rPr>
          <w:rFonts w:asciiTheme="minorHAnsi" w:eastAsia="Times New Roman" w:hAnsiTheme="minorHAnsi" w:cstheme="minorHAnsi"/>
          <w:color w:val="auto"/>
          <w:sz w:val="22"/>
          <w:szCs w:val="22"/>
        </w:rPr>
        <w:t xml:space="preserve">non-standardised </w:t>
      </w:r>
      <w:r w:rsidRPr="0017189C">
        <w:rPr>
          <w:rFonts w:asciiTheme="minorHAnsi" w:eastAsia="Times New Roman" w:hAnsiTheme="minorHAnsi" w:cstheme="minorHAnsi"/>
          <w:color w:val="auto"/>
          <w:sz w:val="22"/>
          <w:szCs w:val="22"/>
        </w:rPr>
        <w:t>instruments traded bilaterally</w:t>
      </w:r>
      <w:r>
        <w:rPr>
          <w:rFonts w:asciiTheme="minorHAnsi" w:eastAsia="Times New Roman" w:hAnsiTheme="minorHAnsi" w:cstheme="minorHAnsi"/>
          <w:color w:val="auto"/>
          <w:sz w:val="22"/>
          <w:szCs w:val="22"/>
        </w:rPr>
        <w:t>, often but not always traded off</w:t>
      </w:r>
      <w:r w:rsidRPr="0017189C">
        <w:rPr>
          <w:rFonts w:asciiTheme="minorHAnsi" w:eastAsia="Times New Roman" w:hAnsiTheme="minorHAnsi" w:cstheme="minorHAnsi"/>
          <w:color w:val="auto"/>
          <w:sz w:val="22"/>
          <w:szCs w:val="22"/>
        </w:rPr>
        <w:t xml:space="preserve"> Trading Venues</w:t>
      </w:r>
      <w:r>
        <w:rPr>
          <w:rFonts w:asciiTheme="minorHAnsi" w:eastAsia="Times New Roman" w:hAnsiTheme="minorHAnsi" w:cstheme="minorHAnsi"/>
          <w:color w:val="auto"/>
          <w:sz w:val="22"/>
          <w:szCs w:val="22"/>
        </w:rPr>
        <w:t>.</w:t>
      </w:r>
      <w:r w:rsidRPr="0017189C">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B</w:t>
      </w:r>
      <w:r w:rsidRPr="0017189C">
        <w:rPr>
          <w:rFonts w:asciiTheme="minorHAnsi" w:eastAsia="Times New Roman" w:hAnsiTheme="minorHAnsi" w:cstheme="minorHAnsi"/>
          <w:color w:val="auto"/>
          <w:sz w:val="22"/>
          <w:szCs w:val="22"/>
        </w:rPr>
        <w:t xml:space="preserve">oth </w:t>
      </w:r>
      <w:proofErr w:type="spellStart"/>
      <w:r w:rsidRPr="0017189C">
        <w:rPr>
          <w:rFonts w:asciiTheme="minorHAnsi" w:eastAsia="Times New Roman" w:hAnsiTheme="minorHAnsi" w:cstheme="minorHAnsi"/>
          <w:color w:val="auto"/>
          <w:sz w:val="22"/>
          <w:szCs w:val="22"/>
        </w:rPr>
        <w:t>ToTV</w:t>
      </w:r>
      <w:proofErr w:type="spellEnd"/>
      <w:r w:rsidRPr="0017189C">
        <w:rPr>
          <w:rFonts w:asciiTheme="minorHAnsi" w:eastAsia="Times New Roman" w:hAnsiTheme="minorHAnsi" w:cstheme="minorHAnsi"/>
          <w:color w:val="auto"/>
          <w:sz w:val="22"/>
          <w:szCs w:val="22"/>
        </w:rPr>
        <w:t xml:space="preserve"> and </w:t>
      </w:r>
      <w:r>
        <w:rPr>
          <w:rFonts w:asciiTheme="minorHAnsi" w:eastAsia="Times New Roman" w:hAnsiTheme="minorHAnsi" w:cstheme="minorHAnsi"/>
          <w:color w:val="auto"/>
          <w:sz w:val="22"/>
          <w:szCs w:val="22"/>
        </w:rPr>
        <w:t>bespoke/</w:t>
      </w:r>
      <w:r w:rsidRPr="0017189C">
        <w:rPr>
          <w:rFonts w:asciiTheme="minorHAnsi" w:eastAsia="Times New Roman" w:hAnsiTheme="minorHAnsi" w:cstheme="minorHAnsi"/>
          <w:color w:val="auto"/>
          <w:sz w:val="22"/>
          <w:szCs w:val="22"/>
        </w:rPr>
        <w:t>OTC concepts are impacting different compliance regimes</w:t>
      </w:r>
      <w:r>
        <w:rPr>
          <w:rFonts w:asciiTheme="minorHAnsi" w:eastAsia="Times New Roman" w:hAnsiTheme="minorHAnsi" w:cstheme="minorHAnsi"/>
          <w:color w:val="auto"/>
          <w:sz w:val="22"/>
          <w:szCs w:val="22"/>
        </w:rPr>
        <w:t xml:space="preserve"> but should respond to different purposes: </w:t>
      </w:r>
      <w:proofErr w:type="spellStart"/>
      <w:r>
        <w:rPr>
          <w:rFonts w:asciiTheme="minorHAnsi" w:eastAsia="Times New Roman" w:hAnsiTheme="minorHAnsi" w:cstheme="minorHAnsi"/>
          <w:color w:val="auto"/>
          <w:sz w:val="22"/>
          <w:szCs w:val="22"/>
        </w:rPr>
        <w:t>ToTV</w:t>
      </w:r>
      <w:proofErr w:type="spellEnd"/>
      <w:r>
        <w:rPr>
          <w:rFonts w:asciiTheme="minorHAnsi" w:eastAsia="Times New Roman" w:hAnsiTheme="minorHAnsi" w:cstheme="minorHAnsi"/>
          <w:color w:val="auto"/>
          <w:sz w:val="22"/>
          <w:szCs w:val="22"/>
        </w:rPr>
        <w:t xml:space="preserve"> definition, including SIs, identifies a technical perimeter of standardised instruments that can be managed digitally for all supervisory reporting regimes, bespoke/OTC definition identifies the category of non-standardised instruments traded OTC</w:t>
      </w:r>
      <w:r w:rsidRPr="00416E99">
        <w:rPr>
          <w:rFonts w:asciiTheme="minorHAnsi" w:eastAsia="Times New Roman" w:hAnsiTheme="minorHAnsi" w:cstheme="minorHAnsi"/>
          <w:color w:val="auto"/>
          <w:sz w:val="22"/>
          <w:szCs w:val="22"/>
        </w:rPr>
        <w:t>, in order to ring-fence their different nature and compliance requirements.</w:t>
      </w:r>
    </w:p>
    <w:p w14:paraId="68FA0DB2" w14:textId="7777777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p>
    <w:p w14:paraId="5BEC5455" w14:textId="77777777" w:rsidR="00BF6B8F" w:rsidRPr="0017189C" w:rsidRDefault="00BF6B8F" w:rsidP="003846EA">
      <w:pPr>
        <w:pStyle w:val="Default"/>
        <w:spacing w:after="10" w:line="276" w:lineRule="auto"/>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A schematization of current definitions across main regulations which require reporting on financial instruments is represented in following Table 1:</w:t>
      </w:r>
    </w:p>
    <w:p w14:paraId="146C2596" w14:textId="77777777" w:rsidR="00BF6B8F" w:rsidRPr="0017189C" w:rsidRDefault="00BF6B8F" w:rsidP="00BF6B8F">
      <w:pPr>
        <w:pStyle w:val="Default"/>
        <w:spacing w:after="10"/>
        <w:jc w:val="both"/>
        <w:rPr>
          <w:rFonts w:asciiTheme="minorHAnsi" w:eastAsia="Times New Roman" w:hAnsiTheme="minorHAnsi" w:cstheme="minorHAnsi"/>
          <w:color w:val="auto"/>
          <w:sz w:val="22"/>
          <w:szCs w:val="22"/>
        </w:rPr>
      </w:pPr>
    </w:p>
    <w:p w14:paraId="7F70236B" w14:textId="788B3A5C" w:rsidR="00BF6B8F" w:rsidRPr="00E734E1" w:rsidRDefault="00BF6B8F" w:rsidP="00E734E1">
      <w:pPr>
        <w:rPr>
          <w:rFonts w:eastAsia="Times New Roman" w:cstheme="minorHAnsi"/>
        </w:rPr>
      </w:pPr>
      <w:r w:rsidRPr="0017189C">
        <w:rPr>
          <w:rFonts w:eastAsia="Times New Roman" w:cs="Times New Roman"/>
          <w:i/>
          <w:lang w:eastAsia="fr-FR"/>
        </w:rPr>
        <w:t>Table 1: Execution facilities and definition of Trading Venues and OTC across main regulations with financial instruments reporting requirements</w:t>
      </w:r>
    </w:p>
    <w:tbl>
      <w:tblPr>
        <w:tblW w:w="94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39"/>
        <w:gridCol w:w="1984"/>
        <w:gridCol w:w="1829"/>
        <w:gridCol w:w="1787"/>
      </w:tblGrid>
      <w:tr w:rsidR="00BF6B8F" w:rsidRPr="0017189C" w14:paraId="7D4069DA" w14:textId="77777777" w:rsidTr="00196C48">
        <w:trPr>
          <w:trHeight w:val="1134"/>
        </w:trPr>
        <w:tc>
          <w:tcPr>
            <w:tcW w:w="1949" w:type="dxa"/>
            <w:tcBorders>
              <w:right w:val="single" w:sz="24" w:space="0" w:color="auto"/>
            </w:tcBorders>
            <w:shd w:val="clear" w:color="auto" w:fill="D0CECE"/>
            <w:vAlign w:val="center"/>
          </w:tcPr>
          <w:p w14:paraId="0C0BB6C9" w14:textId="77777777" w:rsidR="00BF6B8F" w:rsidRPr="0017189C" w:rsidRDefault="00BF6B8F" w:rsidP="00196C48">
            <w:pPr>
              <w:spacing w:after="0" w:line="240" w:lineRule="auto"/>
              <w:jc w:val="center"/>
              <w:rPr>
                <w:rFonts w:eastAsia="Times New Roman"/>
                <w:b/>
                <w:i/>
                <w:color w:val="2E74B5"/>
                <w:sz w:val="28"/>
                <w:szCs w:val="28"/>
                <w:lang w:eastAsia="fr-FR"/>
              </w:rPr>
            </w:pPr>
            <w:r w:rsidRPr="0017189C">
              <w:rPr>
                <w:rFonts w:eastAsia="Times New Roman"/>
                <w:b/>
                <w:i/>
                <w:color w:val="2E74B5"/>
                <w:sz w:val="28"/>
                <w:szCs w:val="28"/>
                <w:lang w:eastAsia="fr-FR"/>
              </w:rPr>
              <w:t>EXECUTION FACILITY</w:t>
            </w:r>
          </w:p>
        </w:tc>
        <w:tc>
          <w:tcPr>
            <w:tcW w:w="1939" w:type="dxa"/>
            <w:tcBorders>
              <w:top w:val="single" w:sz="24" w:space="0" w:color="auto"/>
              <w:left w:val="single" w:sz="24" w:space="0" w:color="auto"/>
              <w:bottom w:val="single" w:sz="24" w:space="0" w:color="auto"/>
            </w:tcBorders>
            <w:shd w:val="clear" w:color="auto" w:fill="D0CECE"/>
            <w:vAlign w:val="center"/>
          </w:tcPr>
          <w:p w14:paraId="386FFAB0" w14:textId="77777777" w:rsidR="00BF6B8F" w:rsidRPr="0017189C" w:rsidRDefault="00BF6B8F" w:rsidP="00196C48">
            <w:pPr>
              <w:spacing w:after="0" w:line="240" w:lineRule="auto"/>
              <w:jc w:val="center"/>
              <w:rPr>
                <w:rFonts w:eastAsia="Times New Roman"/>
                <w:b/>
                <w:i/>
                <w:color w:val="2E74B5"/>
                <w:sz w:val="28"/>
                <w:szCs w:val="28"/>
                <w:lang w:eastAsia="fr-FR"/>
              </w:rPr>
            </w:pPr>
            <w:r w:rsidRPr="0017189C">
              <w:rPr>
                <w:rFonts w:eastAsia="Times New Roman"/>
                <w:b/>
                <w:i/>
                <w:color w:val="2E74B5"/>
                <w:sz w:val="28"/>
                <w:szCs w:val="28"/>
                <w:lang w:eastAsia="fr-FR"/>
              </w:rPr>
              <w:t>MIFID II /MiFIR</w:t>
            </w:r>
          </w:p>
        </w:tc>
        <w:tc>
          <w:tcPr>
            <w:tcW w:w="1984" w:type="dxa"/>
            <w:tcBorders>
              <w:top w:val="single" w:sz="24" w:space="0" w:color="auto"/>
              <w:bottom w:val="single" w:sz="24" w:space="0" w:color="auto"/>
              <w:right w:val="single" w:sz="24" w:space="0" w:color="auto"/>
            </w:tcBorders>
            <w:shd w:val="clear" w:color="auto" w:fill="D0CECE"/>
          </w:tcPr>
          <w:p w14:paraId="3AF0F839" w14:textId="77777777" w:rsidR="00BF6B8F" w:rsidRPr="0017189C" w:rsidRDefault="00BF6B8F" w:rsidP="00196C48">
            <w:pPr>
              <w:spacing w:after="0" w:line="240" w:lineRule="auto"/>
              <w:jc w:val="center"/>
              <w:rPr>
                <w:rFonts w:eastAsia="Times New Roman"/>
                <w:b/>
                <w:i/>
                <w:color w:val="2E74B5"/>
                <w:sz w:val="28"/>
                <w:szCs w:val="28"/>
                <w:lang w:eastAsia="fr-FR"/>
              </w:rPr>
            </w:pPr>
          </w:p>
          <w:p w14:paraId="496F64B8" w14:textId="77777777" w:rsidR="00BF6B8F" w:rsidRPr="0017189C" w:rsidRDefault="00BF6B8F" w:rsidP="00196C48">
            <w:pPr>
              <w:spacing w:after="0" w:line="240" w:lineRule="auto"/>
              <w:jc w:val="center"/>
              <w:rPr>
                <w:rFonts w:eastAsia="Times New Roman"/>
                <w:b/>
                <w:i/>
                <w:color w:val="2E74B5"/>
                <w:sz w:val="28"/>
                <w:szCs w:val="28"/>
                <w:lang w:eastAsia="fr-FR"/>
              </w:rPr>
            </w:pPr>
            <w:r w:rsidRPr="0017189C">
              <w:rPr>
                <w:rFonts w:eastAsia="Times New Roman"/>
                <w:b/>
                <w:i/>
                <w:color w:val="2E74B5"/>
                <w:sz w:val="28"/>
                <w:szCs w:val="28"/>
                <w:lang w:eastAsia="fr-FR"/>
              </w:rPr>
              <w:t>MAR</w:t>
            </w:r>
          </w:p>
        </w:tc>
        <w:tc>
          <w:tcPr>
            <w:tcW w:w="1829" w:type="dxa"/>
            <w:tcBorders>
              <w:left w:val="single" w:sz="24" w:space="0" w:color="auto"/>
            </w:tcBorders>
            <w:shd w:val="clear" w:color="auto" w:fill="D0CECE"/>
            <w:vAlign w:val="center"/>
          </w:tcPr>
          <w:p w14:paraId="5177C1A8" w14:textId="77777777" w:rsidR="00BF6B8F" w:rsidRPr="0017189C" w:rsidRDefault="00BF6B8F" w:rsidP="00196C48">
            <w:pPr>
              <w:spacing w:after="0" w:line="240" w:lineRule="auto"/>
              <w:jc w:val="center"/>
              <w:rPr>
                <w:rFonts w:eastAsia="Times New Roman"/>
                <w:b/>
                <w:i/>
                <w:color w:val="2E74B5"/>
                <w:sz w:val="28"/>
                <w:szCs w:val="28"/>
                <w:lang w:eastAsia="fr-FR"/>
              </w:rPr>
            </w:pPr>
            <w:r w:rsidRPr="0017189C">
              <w:rPr>
                <w:rFonts w:eastAsia="Times New Roman"/>
                <w:b/>
                <w:i/>
                <w:color w:val="2E74B5"/>
                <w:sz w:val="28"/>
                <w:szCs w:val="28"/>
                <w:lang w:eastAsia="fr-FR"/>
              </w:rPr>
              <w:t>EMIR</w:t>
            </w:r>
          </w:p>
        </w:tc>
        <w:tc>
          <w:tcPr>
            <w:tcW w:w="1787" w:type="dxa"/>
            <w:shd w:val="clear" w:color="auto" w:fill="D0CECE"/>
            <w:vAlign w:val="center"/>
          </w:tcPr>
          <w:p w14:paraId="7A4D2990" w14:textId="77777777" w:rsidR="00BF6B8F" w:rsidRPr="0017189C" w:rsidRDefault="00BF6B8F" w:rsidP="00196C48">
            <w:pPr>
              <w:spacing w:after="0" w:line="240" w:lineRule="auto"/>
              <w:jc w:val="center"/>
              <w:rPr>
                <w:rFonts w:eastAsia="Times New Roman"/>
                <w:b/>
                <w:i/>
                <w:color w:val="2E74B5"/>
                <w:sz w:val="28"/>
                <w:szCs w:val="28"/>
                <w:lang w:eastAsia="fr-FR"/>
              </w:rPr>
            </w:pPr>
            <w:r w:rsidRPr="0017189C">
              <w:rPr>
                <w:rFonts w:eastAsia="Times New Roman"/>
                <w:b/>
                <w:i/>
                <w:color w:val="2E74B5"/>
                <w:sz w:val="28"/>
                <w:szCs w:val="28"/>
                <w:lang w:eastAsia="fr-FR"/>
              </w:rPr>
              <w:t>REMIT</w:t>
            </w:r>
          </w:p>
        </w:tc>
      </w:tr>
      <w:tr w:rsidR="00BF6B8F" w:rsidRPr="0017189C" w14:paraId="55368BBC" w14:textId="77777777" w:rsidTr="00196C48">
        <w:trPr>
          <w:trHeight w:val="1701"/>
        </w:trPr>
        <w:tc>
          <w:tcPr>
            <w:tcW w:w="1949" w:type="dxa"/>
            <w:tcBorders>
              <w:right w:val="single" w:sz="24" w:space="0" w:color="auto"/>
            </w:tcBorders>
            <w:shd w:val="clear" w:color="auto" w:fill="auto"/>
            <w:vAlign w:val="center"/>
          </w:tcPr>
          <w:p w14:paraId="2B29C9CE"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Regulated Market</w:t>
            </w:r>
          </w:p>
          <w:p w14:paraId="7D2FB62E"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(RM)</w:t>
            </w:r>
          </w:p>
        </w:tc>
        <w:tc>
          <w:tcPr>
            <w:tcW w:w="1939" w:type="dxa"/>
            <w:vMerge w:val="restart"/>
            <w:tcBorders>
              <w:left w:val="single" w:sz="24" w:space="0" w:color="auto"/>
              <w:bottom w:val="single" w:sz="24" w:space="0" w:color="auto"/>
            </w:tcBorders>
            <w:shd w:val="clear" w:color="auto" w:fill="auto"/>
            <w:vAlign w:val="center"/>
          </w:tcPr>
          <w:p w14:paraId="2A6CF474"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Trading Venue (TV)</w:t>
            </w:r>
          </w:p>
          <w:p w14:paraId="30EAD5CA" w14:textId="77777777" w:rsidR="00BF6B8F" w:rsidRPr="0017189C" w:rsidRDefault="00BF6B8F" w:rsidP="00196C48">
            <w:pPr>
              <w:spacing w:after="0" w:line="240" w:lineRule="auto"/>
              <w:rPr>
                <w:rFonts w:eastAsia="Times New Roman"/>
                <w:i/>
                <w:color w:val="2E74B5"/>
                <w:sz w:val="24"/>
                <w:szCs w:val="24"/>
                <w:lang w:eastAsia="fr-FR"/>
              </w:rPr>
            </w:pPr>
          </w:p>
          <w:p w14:paraId="3C188372" w14:textId="77777777" w:rsidR="00BF6B8F" w:rsidRPr="0017189C" w:rsidRDefault="00BF6B8F" w:rsidP="00196C48">
            <w:pPr>
              <w:spacing w:after="0" w:line="240" w:lineRule="auto"/>
              <w:rPr>
                <w:rFonts w:eastAsia="Times New Roman"/>
                <w:i/>
                <w:color w:val="2E74B5"/>
                <w:sz w:val="20"/>
                <w:lang w:eastAsia="fr-FR"/>
              </w:rPr>
            </w:pPr>
            <w:r w:rsidRPr="0017189C">
              <w:rPr>
                <w:rFonts w:eastAsia="Times New Roman"/>
                <w:i/>
                <w:color w:val="2E74B5"/>
                <w:sz w:val="20"/>
                <w:lang w:eastAsia="fr-FR"/>
              </w:rPr>
              <w:t>Financial derivatives traded on such markets are also named “Traded On Trading Venues” (TOTV)</w:t>
            </w:r>
          </w:p>
        </w:tc>
        <w:tc>
          <w:tcPr>
            <w:tcW w:w="1984" w:type="dxa"/>
            <w:vMerge w:val="restart"/>
            <w:tcBorders>
              <w:bottom w:val="single" w:sz="24" w:space="0" w:color="auto"/>
              <w:right w:val="single" w:sz="24" w:space="0" w:color="auto"/>
            </w:tcBorders>
          </w:tcPr>
          <w:p w14:paraId="137776D2" w14:textId="77777777" w:rsidR="00BF6B8F" w:rsidRPr="0017189C" w:rsidRDefault="00BF6B8F" w:rsidP="00196C48">
            <w:pPr>
              <w:spacing w:after="0" w:line="240" w:lineRule="auto"/>
              <w:rPr>
                <w:rFonts w:eastAsia="Times New Roman"/>
                <w:b/>
                <w:i/>
                <w:color w:val="2E74B5"/>
                <w:sz w:val="24"/>
                <w:szCs w:val="24"/>
                <w:lang w:eastAsia="fr-FR"/>
              </w:rPr>
            </w:pPr>
          </w:p>
          <w:p w14:paraId="691617ED" w14:textId="77777777" w:rsidR="00BF6B8F" w:rsidRPr="0017189C" w:rsidRDefault="00BF6B8F" w:rsidP="00196C48">
            <w:pPr>
              <w:spacing w:after="0" w:line="240" w:lineRule="auto"/>
              <w:rPr>
                <w:rFonts w:eastAsia="Times New Roman"/>
                <w:b/>
                <w:i/>
                <w:color w:val="2E74B5"/>
                <w:sz w:val="24"/>
                <w:szCs w:val="24"/>
                <w:lang w:eastAsia="fr-FR"/>
              </w:rPr>
            </w:pPr>
          </w:p>
          <w:p w14:paraId="0FA0BD70" w14:textId="77777777" w:rsidR="00BF6B8F" w:rsidRPr="0017189C" w:rsidRDefault="00BF6B8F" w:rsidP="00196C48">
            <w:pPr>
              <w:spacing w:after="0" w:line="240" w:lineRule="auto"/>
              <w:rPr>
                <w:rFonts w:eastAsia="Times New Roman"/>
                <w:i/>
                <w:color w:val="2E74B5"/>
                <w:sz w:val="20"/>
                <w:lang w:eastAsia="fr-FR"/>
              </w:rPr>
            </w:pPr>
            <w:r w:rsidRPr="0017189C">
              <w:rPr>
                <w:rFonts w:eastAsia="Times New Roman"/>
                <w:b/>
                <w:i/>
                <w:color w:val="2E74B5"/>
                <w:sz w:val="24"/>
                <w:szCs w:val="24"/>
                <w:lang w:eastAsia="fr-FR"/>
              </w:rPr>
              <w:t>Trading Venue (TV)</w:t>
            </w:r>
            <w:r w:rsidRPr="0017189C">
              <w:rPr>
                <w:rFonts w:eastAsia="Times New Roman"/>
                <w:i/>
                <w:color w:val="2E74B5"/>
                <w:sz w:val="20"/>
                <w:lang w:eastAsia="fr-FR"/>
              </w:rPr>
              <w:t xml:space="preserve"> </w:t>
            </w:r>
          </w:p>
          <w:p w14:paraId="2490191A" w14:textId="77777777" w:rsidR="00BF6B8F" w:rsidRPr="0017189C" w:rsidRDefault="00BF6B8F" w:rsidP="00196C48">
            <w:pPr>
              <w:spacing w:after="0" w:line="240" w:lineRule="auto"/>
              <w:rPr>
                <w:rFonts w:eastAsia="Times New Roman"/>
                <w:i/>
                <w:color w:val="2E74B5"/>
                <w:sz w:val="20"/>
                <w:lang w:eastAsia="fr-FR"/>
              </w:rPr>
            </w:pPr>
          </w:p>
          <w:p w14:paraId="471FC2C0" w14:textId="77777777" w:rsidR="00BF6B8F" w:rsidRPr="0017189C" w:rsidRDefault="00BF6B8F" w:rsidP="00196C48">
            <w:pPr>
              <w:spacing w:after="0" w:line="240" w:lineRule="auto"/>
              <w:rPr>
                <w:rFonts w:eastAsia="Times New Roman"/>
                <w:i/>
                <w:color w:val="2E74B5"/>
                <w:sz w:val="20"/>
                <w:lang w:eastAsia="fr-FR"/>
              </w:rPr>
            </w:pPr>
          </w:p>
          <w:p w14:paraId="287F2475"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i/>
                <w:color w:val="2E74B5"/>
                <w:sz w:val="20"/>
                <w:lang w:eastAsia="fr-FR"/>
              </w:rPr>
              <w:t>Financial derivatives traded on such markets are also named “Traded On Trading Venues” (TOTV)</w:t>
            </w:r>
          </w:p>
        </w:tc>
        <w:tc>
          <w:tcPr>
            <w:tcW w:w="1829" w:type="dxa"/>
            <w:tcBorders>
              <w:left w:val="single" w:sz="24" w:space="0" w:color="auto"/>
            </w:tcBorders>
            <w:shd w:val="clear" w:color="auto" w:fill="auto"/>
            <w:vAlign w:val="center"/>
          </w:tcPr>
          <w:p w14:paraId="30A654C7"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ETD</w:t>
            </w:r>
            <w:r>
              <w:rPr>
                <w:rFonts w:eastAsia="Times New Roman"/>
                <w:b/>
                <w:i/>
                <w:color w:val="2E74B5"/>
                <w:sz w:val="24"/>
                <w:szCs w:val="24"/>
                <w:lang w:eastAsia="fr-FR"/>
              </w:rPr>
              <w:t>s</w:t>
            </w:r>
            <w:r w:rsidRPr="0017189C">
              <w:rPr>
                <w:rFonts w:eastAsia="Times New Roman"/>
                <w:b/>
                <w:i/>
                <w:color w:val="2E74B5"/>
                <w:sz w:val="24"/>
                <w:szCs w:val="24"/>
                <w:lang w:eastAsia="fr-FR"/>
              </w:rPr>
              <w:t xml:space="preserve"> </w:t>
            </w:r>
          </w:p>
          <w:p w14:paraId="780F1993"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 xml:space="preserve">Exchange Trade Derivatives </w:t>
            </w:r>
          </w:p>
          <w:p w14:paraId="765520F3" w14:textId="77777777" w:rsidR="00BF6B8F" w:rsidRPr="0017189C" w:rsidRDefault="00BF6B8F" w:rsidP="00196C48">
            <w:pPr>
              <w:spacing w:after="0" w:line="240" w:lineRule="auto"/>
              <w:rPr>
                <w:rFonts w:eastAsia="Times New Roman"/>
                <w:i/>
                <w:color w:val="2E74B5"/>
                <w:sz w:val="20"/>
                <w:lang w:eastAsia="fr-FR"/>
              </w:rPr>
            </w:pPr>
            <w:r w:rsidRPr="0017189C">
              <w:rPr>
                <w:rFonts w:eastAsia="Times New Roman"/>
                <w:i/>
                <w:color w:val="2E74B5"/>
                <w:sz w:val="20"/>
                <w:lang w:eastAsia="fr-FR"/>
              </w:rPr>
              <w:t>(centrally cleared by a CCP)</w:t>
            </w:r>
          </w:p>
        </w:tc>
        <w:tc>
          <w:tcPr>
            <w:tcW w:w="1787" w:type="dxa"/>
            <w:vMerge w:val="restart"/>
            <w:shd w:val="clear" w:color="auto" w:fill="auto"/>
            <w:vAlign w:val="center"/>
          </w:tcPr>
          <w:p w14:paraId="3ADDF08E"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Organised Market Place (OMP)</w:t>
            </w:r>
          </w:p>
          <w:p w14:paraId="6F624F2D" w14:textId="77777777" w:rsidR="00BF6B8F" w:rsidRPr="0017189C" w:rsidRDefault="00BF6B8F" w:rsidP="00196C48">
            <w:pPr>
              <w:spacing w:after="0" w:line="240" w:lineRule="auto"/>
              <w:rPr>
                <w:rFonts w:eastAsia="Times New Roman"/>
                <w:i/>
                <w:color w:val="2E74B5"/>
                <w:sz w:val="24"/>
                <w:szCs w:val="24"/>
                <w:lang w:eastAsia="fr-FR"/>
              </w:rPr>
            </w:pPr>
          </w:p>
          <w:p w14:paraId="29845827" w14:textId="77777777" w:rsidR="00BF6B8F" w:rsidRPr="0017189C" w:rsidRDefault="00BF6B8F" w:rsidP="00196C48">
            <w:pPr>
              <w:spacing w:after="0" w:line="240" w:lineRule="auto"/>
              <w:rPr>
                <w:rFonts w:eastAsia="Times New Roman"/>
                <w:i/>
                <w:color w:val="2E74B5"/>
                <w:sz w:val="20"/>
                <w:lang w:eastAsia="fr-FR"/>
              </w:rPr>
            </w:pPr>
            <w:r w:rsidRPr="0017189C">
              <w:rPr>
                <w:rFonts w:eastAsia="Times New Roman"/>
                <w:i/>
                <w:color w:val="2E74B5"/>
                <w:sz w:val="20"/>
                <w:lang w:eastAsia="fr-FR"/>
              </w:rPr>
              <w:t>listed on ACER “list of Organised Market Places”</w:t>
            </w:r>
          </w:p>
        </w:tc>
      </w:tr>
      <w:tr w:rsidR="00BF6B8F" w:rsidRPr="0017189C" w14:paraId="6977D796" w14:textId="77777777" w:rsidTr="00196C48">
        <w:trPr>
          <w:trHeight w:val="1701"/>
        </w:trPr>
        <w:tc>
          <w:tcPr>
            <w:tcW w:w="1949" w:type="dxa"/>
            <w:tcBorders>
              <w:right w:val="single" w:sz="24" w:space="0" w:color="auto"/>
            </w:tcBorders>
            <w:shd w:val="clear" w:color="auto" w:fill="auto"/>
            <w:vAlign w:val="center"/>
          </w:tcPr>
          <w:p w14:paraId="289B94A6"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Multilateral Trading Facility</w:t>
            </w:r>
          </w:p>
          <w:p w14:paraId="73A2669D"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(MTF)</w:t>
            </w:r>
          </w:p>
        </w:tc>
        <w:tc>
          <w:tcPr>
            <w:tcW w:w="1939" w:type="dxa"/>
            <w:vMerge/>
            <w:tcBorders>
              <w:left w:val="single" w:sz="24" w:space="0" w:color="auto"/>
              <w:bottom w:val="single" w:sz="24" w:space="0" w:color="auto"/>
            </w:tcBorders>
            <w:shd w:val="clear" w:color="auto" w:fill="auto"/>
          </w:tcPr>
          <w:p w14:paraId="38478BB9" w14:textId="77777777" w:rsidR="00BF6B8F" w:rsidRPr="0017189C" w:rsidRDefault="00BF6B8F" w:rsidP="00196C48">
            <w:pPr>
              <w:spacing w:after="0" w:line="240" w:lineRule="auto"/>
              <w:rPr>
                <w:rFonts w:eastAsia="Times New Roman"/>
                <w:i/>
                <w:color w:val="2E74B5"/>
                <w:sz w:val="24"/>
                <w:szCs w:val="24"/>
                <w:lang w:eastAsia="fr-FR"/>
              </w:rPr>
            </w:pPr>
          </w:p>
        </w:tc>
        <w:tc>
          <w:tcPr>
            <w:tcW w:w="1984" w:type="dxa"/>
            <w:vMerge/>
            <w:tcBorders>
              <w:bottom w:val="single" w:sz="24" w:space="0" w:color="auto"/>
              <w:right w:val="single" w:sz="24" w:space="0" w:color="auto"/>
            </w:tcBorders>
          </w:tcPr>
          <w:p w14:paraId="2BC80742" w14:textId="77777777" w:rsidR="00BF6B8F" w:rsidRPr="0017189C" w:rsidRDefault="00BF6B8F" w:rsidP="00196C48">
            <w:pPr>
              <w:spacing w:after="0" w:line="240" w:lineRule="auto"/>
              <w:rPr>
                <w:rFonts w:eastAsia="Times New Roman"/>
                <w:b/>
                <w:i/>
                <w:color w:val="2E74B5"/>
                <w:sz w:val="24"/>
                <w:szCs w:val="24"/>
                <w:lang w:eastAsia="fr-FR"/>
              </w:rPr>
            </w:pPr>
          </w:p>
        </w:tc>
        <w:tc>
          <w:tcPr>
            <w:tcW w:w="1829" w:type="dxa"/>
            <w:vMerge w:val="restart"/>
            <w:tcBorders>
              <w:left w:val="single" w:sz="24" w:space="0" w:color="auto"/>
            </w:tcBorders>
            <w:shd w:val="clear" w:color="auto" w:fill="auto"/>
            <w:vAlign w:val="center"/>
          </w:tcPr>
          <w:p w14:paraId="33CB3AA8" w14:textId="77777777" w:rsidR="00BF6B8F" w:rsidRPr="0017189C" w:rsidRDefault="00BF6B8F" w:rsidP="00196C48">
            <w:pPr>
              <w:spacing w:after="0" w:line="240" w:lineRule="auto"/>
              <w:rPr>
                <w:rFonts w:eastAsia="Times New Roman"/>
                <w:i/>
                <w:color w:val="2E74B5"/>
                <w:sz w:val="24"/>
                <w:szCs w:val="24"/>
                <w:lang w:eastAsia="fr-FR"/>
              </w:rPr>
            </w:pPr>
            <w:r w:rsidRPr="0017189C">
              <w:rPr>
                <w:rFonts w:eastAsia="Times New Roman"/>
                <w:b/>
                <w:i/>
                <w:color w:val="2E74B5"/>
                <w:sz w:val="24"/>
                <w:szCs w:val="24"/>
                <w:lang w:eastAsia="fr-FR"/>
              </w:rPr>
              <w:t>Over The Counter (OTC)</w:t>
            </w:r>
          </w:p>
          <w:p w14:paraId="1696040B" w14:textId="77777777" w:rsidR="00BF6B8F" w:rsidRPr="0017189C" w:rsidRDefault="00BF6B8F" w:rsidP="00196C48">
            <w:pPr>
              <w:spacing w:after="0" w:line="240" w:lineRule="auto"/>
              <w:rPr>
                <w:rFonts w:eastAsia="Times New Roman"/>
                <w:i/>
                <w:color w:val="2E74B5"/>
                <w:sz w:val="24"/>
                <w:szCs w:val="24"/>
                <w:lang w:eastAsia="fr-FR"/>
              </w:rPr>
            </w:pPr>
          </w:p>
          <w:p w14:paraId="1425D8A4" w14:textId="77777777" w:rsidR="00BF6B8F" w:rsidRPr="0017189C" w:rsidRDefault="00BF6B8F" w:rsidP="00196C48">
            <w:pPr>
              <w:spacing w:after="0" w:line="240" w:lineRule="auto"/>
              <w:rPr>
                <w:rFonts w:eastAsia="Times New Roman"/>
                <w:i/>
                <w:color w:val="2E74B5"/>
                <w:sz w:val="20"/>
                <w:lang w:eastAsia="fr-FR"/>
              </w:rPr>
            </w:pPr>
            <w:r w:rsidRPr="0017189C">
              <w:rPr>
                <w:rFonts w:eastAsia="Times New Roman"/>
                <w:i/>
                <w:color w:val="2E74B5"/>
                <w:sz w:val="20"/>
                <w:lang w:eastAsia="fr-FR"/>
              </w:rPr>
              <w:lastRenderedPageBreak/>
              <w:t xml:space="preserve">as clarified in ESMA Q&amp;A OTC Question 1 </w:t>
            </w:r>
          </w:p>
        </w:tc>
        <w:tc>
          <w:tcPr>
            <w:tcW w:w="1787" w:type="dxa"/>
            <w:vMerge/>
            <w:shd w:val="clear" w:color="auto" w:fill="auto"/>
            <w:vAlign w:val="center"/>
          </w:tcPr>
          <w:p w14:paraId="0AF4B95D" w14:textId="77777777" w:rsidR="00BF6B8F" w:rsidRPr="0017189C" w:rsidRDefault="00BF6B8F" w:rsidP="00196C48">
            <w:pPr>
              <w:spacing w:after="0" w:line="240" w:lineRule="auto"/>
              <w:rPr>
                <w:rFonts w:eastAsia="Times New Roman"/>
                <w:i/>
                <w:color w:val="2E74B5"/>
                <w:sz w:val="24"/>
                <w:szCs w:val="24"/>
                <w:lang w:eastAsia="fr-FR"/>
              </w:rPr>
            </w:pPr>
          </w:p>
        </w:tc>
      </w:tr>
      <w:tr w:rsidR="00BF6B8F" w:rsidRPr="0017189C" w14:paraId="35748398" w14:textId="77777777" w:rsidTr="00196C48">
        <w:trPr>
          <w:trHeight w:val="1543"/>
        </w:trPr>
        <w:tc>
          <w:tcPr>
            <w:tcW w:w="1949" w:type="dxa"/>
            <w:tcBorders>
              <w:right w:val="single" w:sz="24" w:space="0" w:color="auto"/>
            </w:tcBorders>
            <w:shd w:val="clear" w:color="auto" w:fill="auto"/>
            <w:vAlign w:val="center"/>
          </w:tcPr>
          <w:p w14:paraId="3596752D"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lastRenderedPageBreak/>
              <w:t>Organised Trading Facility</w:t>
            </w:r>
          </w:p>
          <w:p w14:paraId="681A1776"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(OTF)</w:t>
            </w:r>
          </w:p>
        </w:tc>
        <w:tc>
          <w:tcPr>
            <w:tcW w:w="1939" w:type="dxa"/>
            <w:vMerge/>
            <w:tcBorders>
              <w:left w:val="single" w:sz="24" w:space="0" w:color="auto"/>
              <w:bottom w:val="single" w:sz="24" w:space="0" w:color="auto"/>
            </w:tcBorders>
            <w:shd w:val="clear" w:color="auto" w:fill="auto"/>
          </w:tcPr>
          <w:p w14:paraId="4C02FB15" w14:textId="77777777" w:rsidR="00BF6B8F" w:rsidRPr="0017189C" w:rsidRDefault="00BF6B8F" w:rsidP="00196C48">
            <w:pPr>
              <w:spacing w:after="0" w:line="240" w:lineRule="auto"/>
              <w:rPr>
                <w:rFonts w:eastAsia="Times New Roman"/>
                <w:i/>
                <w:color w:val="2E74B5"/>
                <w:sz w:val="24"/>
                <w:szCs w:val="24"/>
                <w:lang w:eastAsia="fr-FR"/>
              </w:rPr>
            </w:pPr>
          </w:p>
        </w:tc>
        <w:tc>
          <w:tcPr>
            <w:tcW w:w="1984" w:type="dxa"/>
            <w:vMerge/>
            <w:tcBorders>
              <w:bottom w:val="single" w:sz="24" w:space="0" w:color="auto"/>
              <w:right w:val="single" w:sz="24" w:space="0" w:color="auto"/>
            </w:tcBorders>
          </w:tcPr>
          <w:p w14:paraId="29674014" w14:textId="77777777" w:rsidR="00BF6B8F" w:rsidRPr="0017189C" w:rsidRDefault="00BF6B8F" w:rsidP="00196C48">
            <w:pPr>
              <w:spacing w:after="0" w:line="240" w:lineRule="auto"/>
              <w:rPr>
                <w:rFonts w:eastAsia="Times New Roman"/>
                <w:i/>
                <w:color w:val="2E74B5"/>
                <w:sz w:val="24"/>
                <w:szCs w:val="24"/>
                <w:lang w:eastAsia="fr-FR"/>
              </w:rPr>
            </w:pPr>
          </w:p>
        </w:tc>
        <w:tc>
          <w:tcPr>
            <w:tcW w:w="1829" w:type="dxa"/>
            <w:vMerge/>
            <w:tcBorders>
              <w:left w:val="single" w:sz="24" w:space="0" w:color="auto"/>
            </w:tcBorders>
            <w:shd w:val="clear" w:color="auto" w:fill="auto"/>
          </w:tcPr>
          <w:p w14:paraId="791204DF" w14:textId="77777777" w:rsidR="00BF6B8F" w:rsidRPr="0017189C" w:rsidRDefault="00BF6B8F" w:rsidP="00196C48">
            <w:pPr>
              <w:spacing w:after="0" w:line="240" w:lineRule="auto"/>
              <w:rPr>
                <w:rFonts w:eastAsia="Times New Roman"/>
                <w:i/>
                <w:color w:val="2E74B5"/>
                <w:sz w:val="24"/>
                <w:szCs w:val="24"/>
                <w:lang w:eastAsia="fr-FR"/>
              </w:rPr>
            </w:pPr>
          </w:p>
        </w:tc>
        <w:tc>
          <w:tcPr>
            <w:tcW w:w="1787" w:type="dxa"/>
            <w:vMerge/>
            <w:shd w:val="clear" w:color="auto" w:fill="auto"/>
            <w:vAlign w:val="center"/>
          </w:tcPr>
          <w:p w14:paraId="4351D566" w14:textId="77777777" w:rsidR="00BF6B8F" w:rsidRPr="0017189C" w:rsidRDefault="00BF6B8F" w:rsidP="00196C48">
            <w:pPr>
              <w:spacing w:after="0" w:line="240" w:lineRule="auto"/>
              <w:rPr>
                <w:rFonts w:eastAsia="Times New Roman"/>
                <w:i/>
                <w:color w:val="2E74B5"/>
                <w:sz w:val="24"/>
                <w:szCs w:val="24"/>
                <w:lang w:eastAsia="fr-FR"/>
              </w:rPr>
            </w:pPr>
          </w:p>
        </w:tc>
      </w:tr>
      <w:tr w:rsidR="00BF6B8F" w:rsidRPr="0017189C" w14:paraId="276DD2FF" w14:textId="77777777" w:rsidTr="00196C48">
        <w:trPr>
          <w:trHeight w:val="1701"/>
        </w:trPr>
        <w:tc>
          <w:tcPr>
            <w:tcW w:w="1949" w:type="dxa"/>
            <w:tcBorders>
              <w:right w:val="single" w:sz="24" w:space="0" w:color="auto"/>
            </w:tcBorders>
            <w:shd w:val="clear" w:color="auto" w:fill="auto"/>
            <w:vAlign w:val="center"/>
          </w:tcPr>
          <w:p w14:paraId="51E93A61"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 xml:space="preserve">Systematic </w:t>
            </w:r>
            <w:proofErr w:type="spellStart"/>
            <w:r w:rsidRPr="0017189C">
              <w:rPr>
                <w:rFonts w:eastAsia="Times New Roman"/>
                <w:b/>
                <w:i/>
                <w:color w:val="2E74B5"/>
                <w:sz w:val="24"/>
                <w:szCs w:val="24"/>
                <w:lang w:eastAsia="fr-FR"/>
              </w:rPr>
              <w:t>Internaliser</w:t>
            </w:r>
            <w:proofErr w:type="spellEnd"/>
          </w:p>
          <w:p w14:paraId="7B71851C"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(SI)</w:t>
            </w:r>
          </w:p>
        </w:tc>
        <w:tc>
          <w:tcPr>
            <w:tcW w:w="1939" w:type="dxa"/>
            <w:vMerge w:val="restart"/>
            <w:tcBorders>
              <w:left w:val="single" w:sz="24" w:space="0" w:color="auto"/>
              <w:bottom w:val="single" w:sz="24" w:space="0" w:color="auto"/>
            </w:tcBorders>
            <w:shd w:val="clear" w:color="auto" w:fill="auto"/>
            <w:vAlign w:val="center"/>
          </w:tcPr>
          <w:p w14:paraId="4D0C7643"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Over The Counter (OTC)</w:t>
            </w:r>
          </w:p>
        </w:tc>
        <w:tc>
          <w:tcPr>
            <w:tcW w:w="1984" w:type="dxa"/>
            <w:vMerge w:val="restart"/>
            <w:tcBorders>
              <w:bottom w:val="single" w:sz="24" w:space="0" w:color="auto"/>
              <w:right w:val="single" w:sz="24" w:space="0" w:color="auto"/>
            </w:tcBorders>
          </w:tcPr>
          <w:p w14:paraId="7221C22D" w14:textId="77777777" w:rsidR="00BF6B8F" w:rsidRPr="0017189C" w:rsidRDefault="00BF6B8F" w:rsidP="00196C48">
            <w:pPr>
              <w:spacing w:after="0" w:line="240" w:lineRule="auto"/>
              <w:rPr>
                <w:rFonts w:eastAsia="Times New Roman"/>
                <w:b/>
                <w:i/>
                <w:color w:val="2E74B5"/>
                <w:sz w:val="24"/>
                <w:szCs w:val="24"/>
                <w:lang w:eastAsia="fr-FR"/>
              </w:rPr>
            </w:pPr>
          </w:p>
          <w:p w14:paraId="14233063" w14:textId="77777777" w:rsidR="00BF6B8F" w:rsidRPr="0017189C" w:rsidRDefault="00BF6B8F" w:rsidP="00196C48">
            <w:pPr>
              <w:spacing w:after="0" w:line="240" w:lineRule="auto"/>
              <w:rPr>
                <w:rFonts w:eastAsia="Times New Roman"/>
                <w:b/>
                <w:i/>
                <w:color w:val="2E74B5"/>
                <w:sz w:val="24"/>
                <w:szCs w:val="24"/>
                <w:lang w:eastAsia="fr-FR"/>
              </w:rPr>
            </w:pPr>
          </w:p>
          <w:p w14:paraId="2503F925" w14:textId="77777777" w:rsidR="00BF6B8F" w:rsidRPr="0017189C" w:rsidRDefault="00BF6B8F" w:rsidP="00196C48">
            <w:pPr>
              <w:spacing w:after="0" w:line="240" w:lineRule="auto"/>
              <w:rPr>
                <w:rFonts w:eastAsia="Times New Roman"/>
                <w:b/>
                <w:i/>
                <w:color w:val="2E74B5"/>
                <w:sz w:val="24"/>
                <w:szCs w:val="24"/>
                <w:lang w:eastAsia="fr-FR"/>
              </w:rPr>
            </w:pPr>
          </w:p>
          <w:p w14:paraId="2479B63E" w14:textId="77777777" w:rsidR="00BF6B8F" w:rsidRPr="0017189C" w:rsidRDefault="00BF6B8F" w:rsidP="00196C48">
            <w:pPr>
              <w:spacing w:after="0" w:line="240" w:lineRule="auto"/>
              <w:rPr>
                <w:rFonts w:eastAsia="Times New Roman"/>
                <w:i/>
                <w:color w:val="2E74B5"/>
                <w:sz w:val="24"/>
                <w:szCs w:val="24"/>
                <w:lang w:eastAsia="fr-FR"/>
              </w:rPr>
            </w:pPr>
            <w:r w:rsidRPr="0017189C">
              <w:rPr>
                <w:rFonts w:eastAsia="Times New Roman"/>
                <w:b/>
                <w:i/>
                <w:color w:val="2E74B5"/>
                <w:sz w:val="24"/>
                <w:szCs w:val="24"/>
                <w:lang w:eastAsia="fr-FR"/>
              </w:rPr>
              <w:t>Over The Counter (OTC)</w:t>
            </w:r>
          </w:p>
        </w:tc>
        <w:tc>
          <w:tcPr>
            <w:tcW w:w="1829" w:type="dxa"/>
            <w:vMerge/>
            <w:tcBorders>
              <w:left w:val="single" w:sz="24" w:space="0" w:color="auto"/>
            </w:tcBorders>
            <w:shd w:val="clear" w:color="auto" w:fill="auto"/>
          </w:tcPr>
          <w:p w14:paraId="6C512C08" w14:textId="77777777" w:rsidR="00BF6B8F" w:rsidRPr="0017189C" w:rsidRDefault="00BF6B8F" w:rsidP="00196C48">
            <w:pPr>
              <w:spacing w:after="0" w:line="240" w:lineRule="auto"/>
              <w:rPr>
                <w:rFonts w:eastAsia="Times New Roman"/>
                <w:i/>
                <w:color w:val="2E74B5"/>
                <w:sz w:val="24"/>
                <w:szCs w:val="24"/>
                <w:lang w:eastAsia="fr-FR"/>
              </w:rPr>
            </w:pPr>
          </w:p>
        </w:tc>
        <w:tc>
          <w:tcPr>
            <w:tcW w:w="1787" w:type="dxa"/>
            <w:vMerge w:val="restart"/>
            <w:shd w:val="clear" w:color="auto" w:fill="auto"/>
            <w:vAlign w:val="center"/>
          </w:tcPr>
          <w:p w14:paraId="01132200" w14:textId="77777777" w:rsidR="00BF6B8F" w:rsidRPr="0017189C" w:rsidRDefault="00BF6B8F" w:rsidP="00196C48">
            <w:pPr>
              <w:spacing w:after="0" w:line="240" w:lineRule="auto"/>
              <w:rPr>
                <w:rFonts w:eastAsia="Times New Roman"/>
                <w:i/>
                <w:color w:val="2E74B5"/>
                <w:sz w:val="24"/>
                <w:szCs w:val="24"/>
                <w:lang w:eastAsia="fr-FR"/>
              </w:rPr>
            </w:pPr>
            <w:r w:rsidRPr="0017189C">
              <w:rPr>
                <w:rFonts w:eastAsia="Times New Roman"/>
                <w:b/>
                <w:i/>
                <w:color w:val="2E74B5"/>
                <w:sz w:val="24"/>
                <w:szCs w:val="24"/>
                <w:lang w:eastAsia="fr-FR"/>
              </w:rPr>
              <w:t>Over The Counter (OTC)</w:t>
            </w:r>
          </w:p>
          <w:p w14:paraId="560C0D7A" w14:textId="77777777" w:rsidR="00BF6B8F" w:rsidRPr="0017189C" w:rsidRDefault="00BF6B8F" w:rsidP="00196C48">
            <w:pPr>
              <w:spacing w:after="0" w:line="240" w:lineRule="auto"/>
              <w:rPr>
                <w:rFonts w:eastAsia="Times New Roman"/>
                <w:i/>
                <w:color w:val="2E74B5"/>
                <w:sz w:val="20"/>
                <w:lang w:eastAsia="fr-FR"/>
              </w:rPr>
            </w:pPr>
          </w:p>
        </w:tc>
      </w:tr>
      <w:tr w:rsidR="00BF6B8F" w:rsidRPr="0017189C" w14:paraId="01B06C94" w14:textId="77777777" w:rsidTr="00196C48">
        <w:trPr>
          <w:trHeight w:val="1701"/>
        </w:trPr>
        <w:tc>
          <w:tcPr>
            <w:tcW w:w="1949" w:type="dxa"/>
            <w:tcBorders>
              <w:right w:val="single" w:sz="24" w:space="0" w:color="auto"/>
            </w:tcBorders>
            <w:shd w:val="clear" w:color="auto" w:fill="auto"/>
            <w:vAlign w:val="center"/>
          </w:tcPr>
          <w:p w14:paraId="3B443F21" w14:textId="77777777" w:rsidR="00BF6B8F" w:rsidRPr="0017189C" w:rsidRDefault="00BF6B8F" w:rsidP="00196C48">
            <w:pPr>
              <w:spacing w:after="0" w:line="240" w:lineRule="auto"/>
              <w:rPr>
                <w:rFonts w:eastAsia="Times New Roman"/>
                <w:b/>
                <w:i/>
                <w:color w:val="2E74B5"/>
                <w:sz w:val="24"/>
                <w:szCs w:val="24"/>
                <w:lang w:eastAsia="fr-FR"/>
              </w:rPr>
            </w:pPr>
            <w:r w:rsidRPr="0017189C">
              <w:rPr>
                <w:rFonts w:eastAsia="Times New Roman"/>
                <w:b/>
                <w:i/>
                <w:color w:val="2E74B5"/>
                <w:sz w:val="24"/>
                <w:szCs w:val="24"/>
                <w:lang w:eastAsia="fr-FR"/>
              </w:rPr>
              <w:t>Bilateral trade</w:t>
            </w:r>
          </w:p>
          <w:p w14:paraId="44369B32" w14:textId="77777777" w:rsidR="00BF6B8F" w:rsidRPr="0017189C" w:rsidRDefault="00BF6B8F" w:rsidP="00196C48">
            <w:pPr>
              <w:spacing w:after="0" w:line="240" w:lineRule="auto"/>
              <w:rPr>
                <w:rFonts w:eastAsia="Times New Roman"/>
                <w:b/>
                <w:i/>
                <w:color w:val="2E74B5"/>
                <w:sz w:val="24"/>
                <w:szCs w:val="24"/>
                <w:lang w:eastAsia="fr-FR"/>
              </w:rPr>
            </w:pPr>
          </w:p>
          <w:p w14:paraId="7DECAE91" w14:textId="77777777" w:rsidR="00BF6B8F" w:rsidRPr="0017189C" w:rsidRDefault="00BF6B8F" w:rsidP="00196C48">
            <w:pPr>
              <w:spacing w:after="0" w:line="240" w:lineRule="auto"/>
              <w:rPr>
                <w:rFonts w:eastAsia="Times New Roman"/>
                <w:i/>
                <w:color w:val="2E74B5"/>
                <w:sz w:val="20"/>
                <w:lang w:eastAsia="fr-FR"/>
              </w:rPr>
            </w:pPr>
            <w:r w:rsidRPr="0017189C">
              <w:rPr>
                <w:rFonts w:eastAsia="Times New Roman"/>
                <w:i/>
                <w:color w:val="2E74B5"/>
                <w:sz w:val="20"/>
                <w:lang w:eastAsia="fr-FR"/>
              </w:rPr>
              <w:t>Residual category of financial derivatives not included in categories above</w:t>
            </w:r>
          </w:p>
        </w:tc>
        <w:tc>
          <w:tcPr>
            <w:tcW w:w="1939" w:type="dxa"/>
            <w:vMerge/>
            <w:tcBorders>
              <w:left w:val="single" w:sz="24" w:space="0" w:color="auto"/>
              <w:bottom w:val="single" w:sz="24" w:space="0" w:color="auto"/>
            </w:tcBorders>
            <w:shd w:val="clear" w:color="auto" w:fill="auto"/>
          </w:tcPr>
          <w:p w14:paraId="7BF1F5F8" w14:textId="77777777" w:rsidR="00BF6B8F" w:rsidRPr="0017189C" w:rsidRDefault="00BF6B8F" w:rsidP="00196C48">
            <w:pPr>
              <w:spacing w:after="0" w:line="240" w:lineRule="auto"/>
              <w:rPr>
                <w:rFonts w:eastAsia="Times New Roman"/>
                <w:i/>
                <w:color w:val="2E74B5"/>
                <w:sz w:val="24"/>
                <w:szCs w:val="24"/>
                <w:lang w:eastAsia="fr-FR"/>
              </w:rPr>
            </w:pPr>
          </w:p>
        </w:tc>
        <w:tc>
          <w:tcPr>
            <w:tcW w:w="1984" w:type="dxa"/>
            <w:vMerge/>
            <w:tcBorders>
              <w:bottom w:val="single" w:sz="24" w:space="0" w:color="auto"/>
              <w:right w:val="single" w:sz="24" w:space="0" w:color="auto"/>
            </w:tcBorders>
          </w:tcPr>
          <w:p w14:paraId="0C7630B2" w14:textId="77777777" w:rsidR="00BF6B8F" w:rsidRPr="0017189C" w:rsidRDefault="00BF6B8F" w:rsidP="00196C48">
            <w:pPr>
              <w:spacing w:after="0" w:line="240" w:lineRule="auto"/>
              <w:rPr>
                <w:rFonts w:eastAsia="Times New Roman"/>
                <w:i/>
                <w:color w:val="2E74B5"/>
                <w:sz w:val="24"/>
                <w:szCs w:val="24"/>
                <w:lang w:eastAsia="fr-FR"/>
              </w:rPr>
            </w:pPr>
          </w:p>
        </w:tc>
        <w:tc>
          <w:tcPr>
            <w:tcW w:w="1829" w:type="dxa"/>
            <w:vMerge/>
            <w:tcBorders>
              <w:left w:val="single" w:sz="24" w:space="0" w:color="auto"/>
            </w:tcBorders>
            <w:shd w:val="clear" w:color="auto" w:fill="auto"/>
          </w:tcPr>
          <w:p w14:paraId="2D36CB0C" w14:textId="77777777" w:rsidR="00BF6B8F" w:rsidRPr="0017189C" w:rsidRDefault="00BF6B8F" w:rsidP="00196C48">
            <w:pPr>
              <w:spacing w:after="0" w:line="240" w:lineRule="auto"/>
              <w:rPr>
                <w:rFonts w:eastAsia="Times New Roman"/>
                <w:i/>
                <w:color w:val="2E74B5"/>
                <w:sz w:val="24"/>
                <w:szCs w:val="24"/>
                <w:lang w:eastAsia="fr-FR"/>
              </w:rPr>
            </w:pPr>
          </w:p>
        </w:tc>
        <w:tc>
          <w:tcPr>
            <w:tcW w:w="1787" w:type="dxa"/>
            <w:vMerge/>
            <w:shd w:val="clear" w:color="auto" w:fill="auto"/>
          </w:tcPr>
          <w:p w14:paraId="2A184F8C" w14:textId="77777777" w:rsidR="00BF6B8F" w:rsidRPr="0017189C" w:rsidRDefault="00BF6B8F" w:rsidP="00196C48">
            <w:pPr>
              <w:spacing w:after="0" w:line="240" w:lineRule="auto"/>
              <w:rPr>
                <w:rFonts w:eastAsia="Times New Roman"/>
                <w:i/>
                <w:color w:val="2E74B5"/>
                <w:sz w:val="24"/>
                <w:szCs w:val="24"/>
                <w:lang w:eastAsia="fr-FR"/>
              </w:rPr>
            </w:pPr>
          </w:p>
        </w:tc>
      </w:tr>
    </w:tbl>
    <w:p w14:paraId="68421E83" w14:textId="77777777" w:rsidR="00BF6B8F" w:rsidRPr="0017189C" w:rsidRDefault="00BF6B8F" w:rsidP="00BF6B8F">
      <w:pPr>
        <w:pStyle w:val="Default"/>
        <w:spacing w:after="10"/>
        <w:jc w:val="both"/>
        <w:rPr>
          <w:rFonts w:asciiTheme="minorHAnsi" w:eastAsia="Times New Roman" w:hAnsiTheme="minorHAnsi" w:cstheme="minorHAnsi"/>
          <w:color w:val="auto"/>
          <w:sz w:val="22"/>
          <w:szCs w:val="22"/>
        </w:rPr>
      </w:pPr>
    </w:p>
    <w:p w14:paraId="4B998300" w14:textId="77777777" w:rsidR="00BF6B8F" w:rsidRPr="0017189C" w:rsidRDefault="00BF6B8F" w:rsidP="00BF6B8F">
      <w:pPr>
        <w:pStyle w:val="Default"/>
        <w:spacing w:after="10"/>
        <w:jc w:val="both"/>
        <w:rPr>
          <w:rFonts w:asciiTheme="minorHAnsi" w:eastAsia="Times New Roman" w:hAnsiTheme="minorHAnsi" w:cstheme="minorHAnsi"/>
          <w:color w:val="auto"/>
          <w:sz w:val="22"/>
          <w:szCs w:val="22"/>
        </w:rPr>
      </w:pPr>
    </w:p>
    <w:p w14:paraId="5B4367B2" w14:textId="77777777" w:rsidR="00BF6B8F" w:rsidRPr="0017189C" w:rsidRDefault="00BF6B8F" w:rsidP="00BF6B8F">
      <w:pPr>
        <w:pStyle w:val="Default"/>
        <w:spacing w:after="10"/>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We observe the following major inconsistencies:</w:t>
      </w:r>
    </w:p>
    <w:p w14:paraId="43EE098E" w14:textId="77777777" w:rsidR="00BF6B8F" w:rsidRPr="0017189C" w:rsidRDefault="00BF6B8F" w:rsidP="00BF6B8F">
      <w:pPr>
        <w:pStyle w:val="Default"/>
        <w:numPr>
          <w:ilvl w:val="0"/>
          <w:numId w:val="9"/>
        </w:numPr>
        <w:spacing w:after="10"/>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 xml:space="preserve">MiFIR definition of Systematic </w:t>
      </w:r>
      <w:proofErr w:type="spellStart"/>
      <w:r w:rsidRPr="0017189C">
        <w:rPr>
          <w:rFonts w:asciiTheme="minorHAnsi" w:eastAsia="Times New Roman" w:hAnsiTheme="minorHAnsi" w:cstheme="minorHAnsi"/>
          <w:color w:val="auto"/>
          <w:sz w:val="22"/>
          <w:szCs w:val="22"/>
        </w:rPr>
        <w:t>Internaliser</w:t>
      </w:r>
      <w:proofErr w:type="spellEnd"/>
      <w:r w:rsidRPr="0017189C">
        <w:rPr>
          <w:rFonts w:asciiTheme="minorHAnsi" w:eastAsia="Times New Roman" w:hAnsiTheme="minorHAnsi" w:cstheme="minorHAnsi"/>
          <w:color w:val="auto"/>
          <w:sz w:val="22"/>
          <w:szCs w:val="22"/>
        </w:rPr>
        <w:t xml:space="preserve"> within OTC scope is absent from EMIR;</w:t>
      </w:r>
    </w:p>
    <w:p w14:paraId="1DF16A06" w14:textId="77777777" w:rsidR="00BF6B8F" w:rsidRPr="0017189C" w:rsidRDefault="00BF6B8F" w:rsidP="00BF6B8F">
      <w:pPr>
        <w:pStyle w:val="Default"/>
        <w:numPr>
          <w:ilvl w:val="0"/>
          <w:numId w:val="9"/>
        </w:numPr>
        <w:spacing w:after="10"/>
        <w:jc w:val="both"/>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D</w:t>
      </w:r>
      <w:r w:rsidRPr="0017189C">
        <w:rPr>
          <w:rFonts w:asciiTheme="minorHAnsi" w:eastAsia="Times New Roman" w:hAnsiTheme="minorHAnsi" w:cstheme="minorHAnsi"/>
          <w:color w:val="auto"/>
          <w:sz w:val="22"/>
          <w:szCs w:val="22"/>
        </w:rPr>
        <w:t>erivatives traded on MTFs and OTFs are considered OTC according to EMIR;</w:t>
      </w:r>
    </w:p>
    <w:p w14:paraId="517D2F10" w14:textId="77777777" w:rsidR="00BF6B8F" w:rsidRPr="0017189C" w:rsidRDefault="00BF6B8F" w:rsidP="00BF6B8F">
      <w:pPr>
        <w:pStyle w:val="Default"/>
        <w:numPr>
          <w:ilvl w:val="0"/>
          <w:numId w:val="9"/>
        </w:numPr>
        <w:spacing w:after="10"/>
        <w:jc w:val="both"/>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T</w:t>
      </w:r>
      <w:r w:rsidRPr="0017189C">
        <w:rPr>
          <w:rFonts w:asciiTheme="minorHAnsi" w:eastAsia="Times New Roman" w:hAnsiTheme="minorHAnsi" w:cstheme="minorHAnsi"/>
          <w:color w:val="auto"/>
          <w:sz w:val="22"/>
          <w:szCs w:val="22"/>
        </w:rPr>
        <w:t>erm “Exchange” is used in EMIR as a synonym of a Regulated Market centrally cleared by a CCP;</w:t>
      </w:r>
    </w:p>
    <w:p w14:paraId="4A834C35" w14:textId="77777777" w:rsidR="00BF6B8F" w:rsidRPr="0017189C" w:rsidRDefault="00BF6B8F" w:rsidP="00BF6B8F">
      <w:pPr>
        <w:pStyle w:val="Default"/>
        <w:numPr>
          <w:ilvl w:val="0"/>
          <w:numId w:val="9"/>
        </w:numPr>
        <w:spacing w:after="10"/>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REMIT seems to refer to the Organised Market Places (OMPs) in a scope broader than the Trading Venues.</w:t>
      </w:r>
    </w:p>
    <w:p w14:paraId="2A0F6D77" w14:textId="77777777" w:rsidR="00BF6B8F" w:rsidRPr="0017189C" w:rsidRDefault="00BF6B8F" w:rsidP="00BF6B8F">
      <w:pPr>
        <w:pStyle w:val="Default"/>
        <w:spacing w:after="10"/>
        <w:jc w:val="both"/>
        <w:rPr>
          <w:rFonts w:asciiTheme="minorHAnsi" w:eastAsia="Times New Roman" w:hAnsiTheme="minorHAnsi" w:cstheme="minorHAnsi"/>
          <w:color w:val="auto"/>
          <w:sz w:val="22"/>
          <w:szCs w:val="22"/>
        </w:rPr>
      </w:pPr>
    </w:p>
    <w:p w14:paraId="2BBE6F4F" w14:textId="5D3A469A" w:rsidR="000B0D26" w:rsidRPr="00E734E1" w:rsidRDefault="00BF6B8F" w:rsidP="00E734E1">
      <w:pPr>
        <w:pStyle w:val="Default"/>
        <w:spacing w:after="10"/>
        <w:jc w:val="both"/>
        <w:rPr>
          <w:rFonts w:asciiTheme="minorHAnsi" w:eastAsia="Times New Roman" w:hAnsiTheme="minorHAnsi" w:cstheme="minorHAnsi"/>
          <w:color w:val="auto"/>
          <w:sz w:val="22"/>
          <w:szCs w:val="22"/>
        </w:rPr>
      </w:pPr>
      <w:r w:rsidRPr="0017189C">
        <w:rPr>
          <w:rFonts w:asciiTheme="minorHAnsi" w:eastAsia="Times New Roman" w:hAnsiTheme="minorHAnsi" w:cstheme="minorHAnsi"/>
          <w:color w:val="auto"/>
          <w:sz w:val="22"/>
          <w:szCs w:val="22"/>
        </w:rPr>
        <w:t xml:space="preserve">The proposal of enlarging to SIs the </w:t>
      </w:r>
      <w:proofErr w:type="spellStart"/>
      <w:r w:rsidRPr="0017189C">
        <w:rPr>
          <w:rFonts w:asciiTheme="minorHAnsi" w:eastAsia="Times New Roman" w:hAnsiTheme="minorHAnsi" w:cstheme="minorHAnsi"/>
          <w:color w:val="auto"/>
          <w:sz w:val="22"/>
          <w:szCs w:val="22"/>
        </w:rPr>
        <w:t>ToTV</w:t>
      </w:r>
      <w:proofErr w:type="spellEnd"/>
      <w:r w:rsidRPr="0017189C">
        <w:rPr>
          <w:rFonts w:asciiTheme="minorHAnsi" w:eastAsia="Times New Roman" w:hAnsiTheme="minorHAnsi" w:cstheme="minorHAnsi"/>
          <w:color w:val="auto"/>
          <w:sz w:val="22"/>
          <w:szCs w:val="22"/>
        </w:rPr>
        <w:t xml:space="preserve"> perimeter and of fully delegating reporting on financial instruments </w:t>
      </w:r>
      <w:proofErr w:type="spellStart"/>
      <w:r w:rsidRPr="0017189C">
        <w:rPr>
          <w:rFonts w:asciiTheme="minorHAnsi" w:eastAsia="Times New Roman" w:hAnsiTheme="minorHAnsi" w:cstheme="minorHAnsi"/>
          <w:color w:val="auto"/>
          <w:sz w:val="22"/>
          <w:szCs w:val="22"/>
        </w:rPr>
        <w:t>ToTV</w:t>
      </w:r>
      <w:proofErr w:type="spellEnd"/>
      <w:r w:rsidRPr="0017189C">
        <w:rPr>
          <w:rFonts w:asciiTheme="minorHAnsi" w:eastAsia="Times New Roman" w:hAnsiTheme="minorHAnsi" w:cstheme="minorHAnsi"/>
          <w:color w:val="auto"/>
          <w:sz w:val="22"/>
          <w:szCs w:val="22"/>
        </w:rPr>
        <w:t xml:space="preserve"> to Trading Venues/Clearing Counterparties would be in line with EC proposal of delegating to Exchanges the financial instruments reporting on Exchange Traded Derivatives (ETD), discussed during EMIR REFIT </w:t>
      </w:r>
      <w:proofErr w:type="spellStart"/>
      <w:r w:rsidRPr="0017189C">
        <w:rPr>
          <w:rFonts w:asciiTheme="minorHAnsi" w:eastAsia="Times New Roman" w:hAnsiTheme="minorHAnsi" w:cstheme="minorHAnsi"/>
          <w:color w:val="auto"/>
          <w:sz w:val="22"/>
          <w:szCs w:val="22"/>
        </w:rPr>
        <w:t>trilogue</w:t>
      </w:r>
      <w:proofErr w:type="spellEnd"/>
      <w:r w:rsidRPr="0017189C">
        <w:rPr>
          <w:rFonts w:asciiTheme="minorHAnsi" w:eastAsia="Times New Roman" w:hAnsiTheme="minorHAnsi" w:cstheme="minorHAnsi"/>
          <w:color w:val="auto"/>
          <w:sz w:val="22"/>
          <w:szCs w:val="22"/>
        </w:rPr>
        <w:t xml:space="preserve"> and then moved to a broader scale analysis. From a technical standpoint, ETD financial instruments are not different from </w:t>
      </w:r>
      <w:proofErr w:type="spellStart"/>
      <w:r w:rsidRPr="0017189C">
        <w:rPr>
          <w:rFonts w:asciiTheme="minorHAnsi" w:eastAsia="Times New Roman" w:hAnsiTheme="minorHAnsi" w:cstheme="minorHAnsi"/>
          <w:color w:val="auto"/>
          <w:sz w:val="22"/>
          <w:szCs w:val="22"/>
        </w:rPr>
        <w:t>ToTV</w:t>
      </w:r>
      <w:proofErr w:type="spellEnd"/>
      <w:r w:rsidRPr="0017189C">
        <w:rPr>
          <w:rFonts w:asciiTheme="minorHAnsi" w:eastAsia="Times New Roman" w:hAnsiTheme="minorHAnsi" w:cstheme="minorHAnsi"/>
          <w:color w:val="auto"/>
          <w:sz w:val="22"/>
          <w:szCs w:val="22"/>
        </w:rPr>
        <w:t xml:space="preserve"> financial instruments, since they are all standardised and electronically-traded via digital platform: marketplaces are increasing tremendously the level of digitalization in financial instruments trading and also reporting regimes should keep the same pace in order to comply with broader digitalisation EU objectives.</w:t>
      </w:r>
    </w:p>
    <w:permEnd w:id="1725236856"/>
    <w:p w14:paraId="43C0FAFF" w14:textId="77777777" w:rsidR="000B0D26" w:rsidRDefault="000B0D26" w:rsidP="000B0D26">
      <w:r>
        <w:t>&lt;ESMA_QUESTION_TRRF_5&gt;</w:t>
      </w:r>
    </w:p>
    <w:p w14:paraId="5D69E58C" w14:textId="77777777" w:rsidR="000B0D26" w:rsidRDefault="000B0D26" w:rsidP="000B0D26"/>
    <w:p w14:paraId="42980EB1" w14:textId="77777777" w:rsidR="000B0D26" w:rsidRDefault="000B0D26" w:rsidP="00990D80">
      <w:pPr>
        <w:pStyle w:val="Questionstyle"/>
      </w:pPr>
      <w:r>
        <w:t>: Do you agree that the extension should include all Systematic Internalisers regardless of whether they are SI on a mandatory or voluntary basis? Please justify your position.</w:t>
      </w:r>
    </w:p>
    <w:p w14:paraId="5E78662E" w14:textId="77777777" w:rsidR="000B0D26" w:rsidRDefault="000B0D26" w:rsidP="000B0D26">
      <w:r>
        <w:lastRenderedPageBreak/>
        <w:t>&lt;ESMA_QUESTION_TRRF_6&gt;</w:t>
      </w:r>
    </w:p>
    <w:p w14:paraId="4BF4D04C" w14:textId="003F637E" w:rsidR="000B0D26" w:rsidRPr="00BF6B8F" w:rsidRDefault="00BF6B8F" w:rsidP="003846EA">
      <w:pPr>
        <w:pStyle w:val="Default"/>
        <w:spacing w:after="10" w:line="276" w:lineRule="auto"/>
        <w:jc w:val="both"/>
        <w:rPr>
          <w:sz w:val="22"/>
          <w:szCs w:val="22"/>
        </w:rPr>
      </w:pPr>
      <w:permStart w:id="1355041525" w:edGrp="everyone"/>
      <w:r w:rsidRPr="0017189C">
        <w:rPr>
          <w:rFonts w:asciiTheme="minorHAnsi" w:eastAsia="Times New Roman" w:hAnsiTheme="minorHAnsi" w:cstheme="minorHAnsi"/>
          <w:color w:val="auto"/>
          <w:sz w:val="22"/>
          <w:szCs w:val="22"/>
        </w:rPr>
        <w:t>Yes, from a reporting standpoint there is no difference between a mandatory or voluntary SI: both of them are centralising transactions</w:t>
      </w:r>
      <w:r>
        <w:rPr>
          <w:rFonts w:asciiTheme="minorHAnsi" w:eastAsia="Times New Roman" w:hAnsiTheme="minorHAnsi" w:cstheme="minorHAnsi"/>
          <w:color w:val="auto"/>
          <w:sz w:val="22"/>
          <w:szCs w:val="22"/>
        </w:rPr>
        <w:t>, often using</w:t>
      </w:r>
      <w:r w:rsidRPr="0017189C">
        <w:rPr>
          <w:rFonts w:asciiTheme="minorHAnsi" w:eastAsia="Times New Roman" w:hAnsiTheme="minorHAnsi" w:cstheme="minorHAnsi"/>
          <w:color w:val="auto"/>
          <w:sz w:val="22"/>
          <w:szCs w:val="22"/>
        </w:rPr>
        <w:t xml:space="preserve"> platforms that could be easily leveraged for transaction, position and reference data reporting</w:t>
      </w:r>
    </w:p>
    <w:permEnd w:id="1355041525"/>
    <w:p w14:paraId="09E7C86F" w14:textId="77777777" w:rsidR="000B0D26" w:rsidRDefault="000B0D26" w:rsidP="000B0D26">
      <w:r>
        <w:t>&lt;ESMA_QUESTION_TRRF_6&gt;</w:t>
      </w:r>
    </w:p>
    <w:p w14:paraId="1C00EF1E" w14:textId="77777777" w:rsidR="000B0D26" w:rsidRDefault="000B0D26" w:rsidP="000B0D26"/>
    <w:p w14:paraId="6AE20C7D" w14:textId="77777777" w:rsidR="000B0D26" w:rsidRDefault="000B0D26" w:rsidP="00990D80">
      <w:pPr>
        <w:pStyle w:val="Questionstyle"/>
      </w:pPr>
      <w:r>
        <w:t>: Do you envisage any challenges with the approach described in paragraphs 45-46 on the scope of transactions to be covered by the extension? Please justify your position and indicate your preferred option for SIs under the mandatory regime explaining for which reasons. If you disagree with all of the outlined options, please suggest alternatives.</w:t>
      </w:r>
    </w:p>
    <w:p w14:paraId="7D061942" w14:textId="77777777" w:rsidR="000B0D26" w:rsidRDefault="000B0D26" w:rsidP="000B0D26">
      <w:r>
        <w:t>&lt;ESMA_QUESTION_TRRF_7&gt;</w:t>
      </w:r>
    </w:p>
    <w:p w14:paraId="6E03F0EF" w14:textId="2D29447D" w:rsidR="000B0D26" w:rsidRPr="00BF6B8F" w:rsidRDefault="00BF6B8F" w:rsidP="003846EA">
      <w:pPr>
        <w:spacing w:after="228"/>
        <w:ind w:left="-3" w:right="-8" w:hanging="10"/>
        <w:rPr>
          <w:rFonts w:eastAsia="Times New Roman" w:cstheme="minorHAnsi"/>
        </w:rPr>
      </w:pPr>
      <w:permStart w:id="1583692609" w:edGrp="everyone"/>
      <w:r w:rsidRPr="0017189C">
        <w:rPr>
          <w:rFonts w:eastAsia="Times New Roman" w:cstheme="minorHAnsi"/>
        </w:rPr>
        <w:t xml:space="preserve">Option 2 seems a reasonable compromise between technical feasibility and transparency, since trades concluded on the same asset class </w:t>
      </w:r>
      <w:r>
        <w:rPr>
          <w:rFonts w:eastAsia="Times New Roman" w:cstheme="minorHAnsi"/>
        </w:rPr>
        <w:t xml:space="preserve">out of the </w:t>
      </w:r>
      <w:r w:rsidRPr="0017189C">
        <w:rPr>
          <w:rFonts w:eastAsia="Times New Roman" w:cstheme="minorHAnsi"/>
        </w:rPr>
        <w:t xml:space="preserve">SI </w:t>
      </w:r>
      <w:r>
        <w:rPr>
          <w:rFonts w:eastAsia="Times New Roman" w:cstheme="minorHAnsi"/>
        </w:rPr>
        <w:t xml:space="preserve">capacity </w:t>
      </w:r>
      <w:r w:rsidRPr="0017189C">
        <w:rPr>
          <w:rFonts w:eastAsia="Times New Roman" w:cstheme="minorHAnsi"/>
        </w:rPr>
        <w:t xml:space="preserve">can influence/benefit trades concluded </w:t>
      </w:r>
      <w:r>
        <w:rPr>
          <w:rFonts w:eastAsia="Times New Roman" w:cstheme="minorHAnsi"/>
        </w:rPr>
        <w:t>through the</w:t>
      </w:r>
      <w:r w:rsidRPr="0017189C">
        <w:rPr>
          <w:rFonts w:eastAsia="Times New Roman" w:cstheme="minorHAnsi"/>
        </w:rPr>
        <w:t xml:space="preserve"> SI</w:t>
      </w:r>
      <w:r>
        <w:rPr>
          <w:rFonts w:eastAsia="Times New Roman" w:cstheme="minorHAnsi"/>
        </w:rPr>
        <w:t>.</w:t>
      </w:r>
    </w:p>
    <w:permEnd w:id="1583692609"/>
    <w:p w14:paraId="283EF9AF" w14:textId="77777777" w:rsidR="000B0D26" w:rsidRDefault="000B0D26" w:rsidP="000B0D26">
      <w:r>
        <w:t>&lt;ESMA_QUESTION_TRRF_7&gt;</w:t>
      </w:r>
    </w:p>
    <w:p w14:paraId="12FD87F7" w14:textId="77777777" w:rsidR="000B0D26" w:rsidRDefault="000B0D26" w:rsidP="000B0D26"/>
    <w:p w14:paraId="2355DCF5" w14:textId="77777777" w:rsidR="000B0D26" w:rsidRDefault="000B0D26" w:rsidP="00990D80">
      <w:pPr>
        <w:pStyle w:val="Questionstyle"/>
      </w:pPr>
      <w:r>
        <w:t>: Do you foresee any challenges with the proposal to replace the reference to the term “index” in Article 26(2)(c) with the term “benchmark” as defined under the BMR? If yes, please explain and provide alternative proposals.</w:t>
      </w:r>
    </w:p>
    <w:p w14:paraId="300A6EC2" w14:textId="77777777" w:rsidR="000B0D26" w:rsidRDefault="000B0D26" w:rsidP="000B0D26">
      <w:r>
        <w:t>&lt;ESMA_QUESTION_TRRF_8&gt;</w:t>
      </w:r>
    </w:p>
    <w:p w14:paraId="1B47D475" w14:textId="77777777" w:rsidR="000B0D26" w:rsidRDefault="000B0D26" w:rsidP="000B0D26">
      <w:permStart w:id="2001084504" w:edGrp="everyone"/>
      <w:r>
        <w:t>TYPE YOUR TEXT HERE</w:t>
      </w:r>
    </w:p>
    <w:permEnd w:id="2001084504"/>
    <w:p w14:paraId="2DAE4706" w14:textId="77777777" w:rsidR="000B0D26" w:rsidRDefault="000B0D26" w:rsidP="000B0D26">
      <w:r>
        <w:t>&lt;ESMA_QUESTION_TRRF_8&gt;</w:t>
      </w:r>
    </w:p>
    <w:p w14:paraId="11E785B4" w14:textId="77777777" w:rsidR="000B0D26" w:rsidRDefault="000B0D26" w:rsidP="000B0D26"/>
    <w:p w14:paraId="7A00F9AB" w14:textId="77777777" w:rsidR="000B0D26" w:rsidRDefault="000B0D26" w:rsidP="00990D80">
      <w:pPr>
        <w:pStyle w:val="Questionstyle"/>
      </w:pPr>
      <w:r>
        <w:t>: Which of the three options described do you consider the most appropriate? Please explain for which reasons and specify the advantages and disadvantages of the outlined options. If you disagree with all of the outlined please suggest alternatives.</w:t>
      </w:r>
    </w:p>
    <w:p w14:paraId="12770691" w14:textId="77777777" w:rsidR="000B0D26" w:rsidRDefault="000B0D26" w:rsidP="000B0D26">
      <w:r>
        <w:t>&lt;ESMA_QUESTION_TRRF_9&gt;</w:t>
      </w:r>
    </w:p>
    <w:p w14:paraId="7B439C73" w14:textId="77777777" w:rsidR="000B0D26" w:rsidRDefault="000B0D26" w:rsidP="000B0D26">
      <w:permStart w:id="292098219" w:edGrp="everyone"/>
      <w:r>
        <w:lastRenderedPageBreak/>
        <w:t>TYPE YOUR TEXT HERE</w:t>
      </w:r>
    </w:p>
    <w:permEnd w:id="292098219"/>
    <w:p w14:paraId="6BD5D552" w14:textId="77777777" w:rsidR="000B0D26" w:rsidRDefault="000B0D26" w:rsidP="000B0D26">
      <w:r>
        <w:t>&lt;ESMA_QUESTION_TRRF_9&gt;</w:t>
      </w:r>
    </w:p>
    <w:p w14:paraId="05659A36" w14:textId="77777777" w:rsidR="000B0D26" w:rsidRDefault="000B0D26" w:rsidP="000B0D26"/>
    <w:p w14:paraId="25D9C0FE" w14:textId="77777777" w:rsidR="000B0D26" w:rsidRDefault="000B0D26" w:rsidP="00990D80">
      <w:pPr>
        <w:pStyle w:val="Questionstyle"/>
      </w:pPr>
      <w:r>
        <w:t>: Do you foresee any challenges with the outlined approach? If yes, please explain and provide alternative proposals.</w:t>
      </w:r>
    </w:p>
    <w:p w14:paraId="2DCD8CAB" w14:textId="77777777" w:rsidR="000B0D26" w:rsidRDefault="000B0D26" w:rsidP="000B0D26">
      <w:r>
        <w:t>&lt;ESMA_QUESTION_TRRF_10&gt;</w:t>
      </w:r>
    </w:p>
    <w:p w14:paraId="419A3F08" w14:textId="77777777" w:rsidR="000B0D26" w:rsidRDefault="000B0D26" w:rsidP="000B0D26">
      <w:permStart w:id="49881006" w:edGrp="everyone"/>
      <w:r>
        <w:t>TYPE YOUR TEXT HERE</w:t>
      </w:r>
    </w:p>
    <w:permEnd w:id="49881006"/>
    <w:p w14:paraId="5570F79D" w14:textId="77777777" w:rsidR="000B0D26" w:rsidRDefault="000B0D26" w:rsidP="000B0D26">
      <w:r>
        <w:t>&lt;ESMA_QUESTION_TRRF_10&gt;</w:t>
      </w:r>
    </w:p>
    <w:p w14:paraId="69D8167A" w14:textId="77777777" w:rsidR="000B0D26" w:rsidRDefault="000B0D26" w:rsidP="000B0D26"/>
    <w:p w14:paraId="21E33B5C" w14:textId="77777777" w:rsidR="000B0D26" w:rsidRDefault="000B0D26" w:rsidP="00990D80">
      <w:pPr>
        <w:pStyle w:val="Questionstyle"/>
      </w:pPr>
      <w:r>
        <w:t>: Do you foresee any challenges with the outlined approach? If yes, please explain and provide alternative proposals.</w:t>
      </w:r>
    </w:p>
    <w:p w14:paraId="2569079F" w14:textId="77777777" w:rsidR="000B0D26" w:rsidRDefault="000B0D26" w:rsidP="000B0D26">
      <w:r>
        <w:t>&lt;ESMA_QUESTION_TRRF_11&gt;</w:t>
      </w:r>
    </w:p>
    <w:p w14:paraId="49563860" w14:textId="77777777" w:rsidR="000B0D26" w:rsidRDefault="000B0D26" w:rsidP="000B0D26">
      <w:permStart w:id="692536742" w:edGrp="everyone"/>
      <w:r>
        <w:t>TYPE YOUR TEXT HERE</w:t>
      </w:r>
    </w:p>
    <w:permEnd w:id="692536742"/>
    <w:p w14:paraId="0BBD9E02" w14:textId="77777777" w:rsidR="000B0D26" w:rsidRDefault="000B0D26" w:rsidP="000B0D26">
      <w:r>
        <w:t>&lt;ESMA_QUESTION_TRRF_11&gt;</w:t>
      </w:r>
    </w:p>
    <w:p w14:paraId="0463721F" w14:textId="77777777" w:rsidR="000B0D26" w:rsidRDefault="000B0D26" w:rsidP="000B0D26"/>
    <w:p w14:paraId="761DB5FF" w14:textId="77777777" w:rsidR="000B0D26" w:rsidRDefault="000B0D26" w:rsidP="00990D80">
      <w:pPr>
        <w:pStyle w:val="Questionstyle"/>
      </w:pPr>
      <w:r>
        <w:t>: Do you foresee any challenges with the outlined approach? If yes, please explain and provide alternative proposals.</w:t>
      </w:r>
    </w:p>
    <w:p w14:paraId="6CDBF451" w14:textId="77777777" w:rsidR="000B0D26" w:rsidRDefault="000B0D26" w:rsidP="000B0D26">
      <w:r>
        <w:t>&lt;ESMA_QUESTION_TRRF_12&gt;</w:t>
      </w:r>
    </w:p>
    <w:p w14:paraId="4D38AADB" w14:textId="77777777" w:rsidR="000B0D26" w:rsidRDefault="000B0D26" w:rsidP="000B0D26">
      <w:permStart w:id="610287253" w:edGrp="everyone"/>
      <w:r>
        <w:t>TYPE YOUR TEXT HERE</w:t>
      </w:r>
    </w:p>
    <w:permEnd w:id="610287253"/>
    <w:p w14:paraId="11FF6EE6" w14:textId="77777777" w:rsidR="000B0D26" w:rsidRDefault="000B0D26" w:rsidP="000B0D26">
      <w:r>
        <w:t>&lt;ESMA_QUESTION_TRRF_12&gt;</w:t>
      </w:r>
    </w:p>
    <w:p w14:paraId="0F4E3125" w14:textId="77777777" w:rsidR="000B0D26" w:rsidRDefault="000B0D26" w:rsidP="000B0D26"/>
    <w:p w14:paraId="45C005C6" w14:textId="77777777" w:rsidR="000B0D26" w:rsidRDefault="000B0D26" w:rsidP="00990D80">
      <w:pPr>
        <w:pStyle w:val="Questionstyle"/>
      </w:pPr>
      <w:r>
        <w:t>: Do you foresee any challenges with the outlined approach? If yes, please explain and provide alternative proposals.</w:t>
      </w:r>
    </w:p>
    <w:p w14:paraId="72AA52A5" w14:textId="77777777" w:rsidR="000B0D26" w:rsidRDefault="000B0D26" w:rsidP="000B0D26">
      <w:r>
        <w:t>&lt;ESMA_QUESTION_TRRF_13&gt;</w:t>
      </w:r>
    </w:p>
    <w:p w14:paraId="0B317C5B" w14:textId="77777777" w:rsidR="000B0D26" w:rsidRDefault="000B0D26" w:rsidP="000B0D26">
      <w:permStart w:id="414326142" w:edGrp="everyone"/>
      <w:r>
        <w:lastRenderedPageBreak/>
        <w:t>TYPE YOUR TEXT HERE</w:t>
      </w:r>
    </w:p>
    <w:permEnd w:id="414326142"/>
    <w:p w14:paraId="047C5EA4" w14:textId="77777777" w:rsidR="000B0D26" w:rsidRDefault="000B0D26" w:rsidP="000B0D26">
      <w:r>
        <w:t>&lt;ESMA_QUESTION_TRRF_13&gt;</w:t>
      </w:r>
    </w:p>
    <w:p w14:paraId="32477A2B" w14:textId="77777777" w:rsidR="000B0D26" w:rsidRDefault="000B0D26" w:rsidP="000B0D26"/>
    <w:p w14:paraId="7B268D1F" w14:textId="77777777" w:rsidR="000B0D26" w:rsidRDefault="000B0D26" w:rsidP="00990D80">
      <w:pPr>
        <w:pStyle w:val="Questionstyle"/>
      </w:pPr>
      <w:r>
        <w:t>: Did you experience any difficulties with the application of the defined list concept? If yes, please explain.</w:t>
      </w:r>
    </w:p>
    <w:p w14:paraId="1100E5BC" w14:textId="77777777" w:rsidR="000B0D26" w:rsidRDefault="000B0D26" w:rsidP="000B0D26">
      <w:r>
        <w:t>&lt;ESMA_QUESTION_TRRF_14&gt;</w:t>
      </w:r>
    </w:p>
    <w:p w14:paraId="6A7A205B" w14:textId="77777777" w:rsidR="000B0D26" w:rsidRDefault="000B0D26" w:rsidP="000B0D26">
      <w:permStart w:id="597436822" w:edGrp="everyone"/>
      <w:r>
        <w:t>TYPE YOUR TEXT HERE</w:t>
      </w:r>
    </w:p>
    <w:permEnd w:id="597436822"/>
    <w:p w14:paraId="6A3832B3" w14:textId="77777777" w:rsidR="000B0D26" w:rsidRDefault="000B0D26" w:rsidP="000B0D26">
      <w:r>
        <w:t>&lt;ESMA_QUESTION_TRRF_14&gt;</w:t>
      </w:r>
    </w:p>
    <w:p w14:paraId="08FDEF99" w14:textId="77777777" w:rsidR="000B0D26" w:rsidRDefault="000B0D26" w:rsidP="000B0D26"/>
    <w:p w14:paraId="10DD69A5" w14:textId="77777777" w:rsidR="000B0D26" w:rsidRDefault="000B0D26" w:rsidP="00990D80">
      <w:pPr>
        <w:pStyle w:val="Questionstyle"/>
      </w:pPr>
      <w:r>
        <w:t>: Do you foresee any challenges with the approach as outlined in the above proposal? If yes, please explain and provide alternative proposals.</w:t>
      </w:r>
    </w:p>
    <w:p w14:paraId="192AA71A" w14:textId="77777777" w:rsidR="000B0D26" w:rsidRDefault="000B0D26" w:rsidP="000B0D26">
      <w:r>
        <w:t>&lt;ESMA_QUESTION_TRRF_15&gt;</w:t>
      </w:r>
    </w:p>
    <w:p w14:paraId="145940DA" w14:textId="77777777" w:rsidR="000B0D26" w:rsidRDefault="000B0D26" w:rsidP="000B0D26">
      <w:permStart w:id="1847806116" w:edGrp="everyone"/>
      <w:r>
        <w:t>TYPE YOUR TEXT HERE</w:t>
      </w:r>
    </w:p>
    <w:permEnd w:id="1847806116"/>
    <w:p w14:paraId="3F19ABB5" w14:textId="77777777" w:rsidR="000B0D26" w:rsidRDefault="000B0D26" w:rsidP="000B0D26">
      <w:r>
        <w:t>&lt;ESMA_QUESTION_TRRF_15&gt;</w:t>
      </w:r>
    </w:p>
    <w:p w14:paraId="56DD27A7" w14:textId="77777777" w:rsidR="000B0D26" w:rsidRDefault="000B0D26" w:rsidP="000B0D26"/>
    <w:p w14:paraId="7D4716E5" w14:textId="77777777" w:rsidR="000B0D26" w:rsidRDefault="000B0D26" w:rsidP="00990D80">
      <w:pPr>
        <w:pStyle w:val="Questionstyle"/>
      </w:pPr>
      <w:r>
        <w:t>: Do you foresee any challenges with the outlined approach? If yes, please explain and provide alternative proposals.</w:t>
      </w:r>
    </w:p>
    <w:p w14:paraId="2B46383E" w14:textId="77777777" w:rsidR="000B0D26" w:rsidRDefault="000B0D26" w:rsidP="000B0D26">
      <w:r>
        <w:t>&lt;ESMA_QUESTION_TRRF_16&gt;</w:t>
      </w:r>
    </w:p>
    <w:p w14:paraId="3FE86F7A" w14:textId="77777777" w:rsidR="000B0D26" w:rsidRDefault="000B0D26" w:rsidP="000B0D26">
      <w:permStart w:id="1451755809" w:edGrp="everyone"/>
      <w:r>
        <w:t>TYPE YOUR TEXT HERE</w:t>
      </w:r>
    </w:p>
    <w:permEnd w:id="1451755809"/>
    <w:p w14:paraId="530963B3" w14:textId="77777777" w:rsidR="000B0D26" w:rsidRDefault="000B0D26" w:rsidP="000B0D26">
      <w:r>
        <w:t>&lt;ESMA_QUESTION_TRRF_16&gt;</w:t>
      </w:r>
    </w:p>
    <w:p w14:paraId="2A42B5B3" w14:textId="77777777" w:rsidR="000B0D26" w:rsidRDefault="000B0D26" w:rsidP="000B0D26"/>
    <w:p w14:paraId="5C416E8A" w14:textId="77777777" w:rsidR="000B0D26" w:rsidRDefault="000B0D26" w:rsidP="00990D80">
      <w:pPr>
        <w:pStyle w:val="Questionstyle"/>
      </w:pPr>
      <w:r>
        <w:t>: Do you foresee any challenges with the outlined approach? If yes, please explain and provide alternative proposals.</w:t>
      </w:r>
    </w:p>
    <w:p w14:paraId="553A8E28" w14:textId="77777777" w:rsidR="000B0D26" w:rsidRDefault="000B0D26" w:rsidP="000B0D26">
      <w:r>
        <w:t>&lt;ESMA_QUESTION_TRRF_17&gt;</w:t>
      </w:r>
    </w:p>
    <w:p w14:paraId="426C6F32" w14:textId="77777777" w:rsidR="000B0D26" w:rsidRDefault="000B0D26" w:rsidP="000B0D26">
      <w:permStart w:id="52261098" w:edGrp="everyone"/>
      <w:r>
        <w:lastRenderedPageBreak/>
        <w:t>TYPE YOUR TEXT HERE</w:t>
      </w:r>
    </w:p>
    <w:permEnd w:id="52261098"/>
    <w:p w14:paraId="54F2A2C3" w14:textId="77777777" w:rsidR="000B0D26" w:rsidRDefault="000B0D26" w:rsidP="000B0D26">
      <w:r>
        <w:t>&lt;ESMA_QUESTION_TRRF_17&gt;</w:t>
      </w:r>
    </w:p>
    <w:p w14:paraId="7B5AE542" w14:textId="77777777" w:rsidR="000B0D26" w:rsidRDefault="000B0D26" w:rsidP="000B0D26"/>
    <w:p w14:paraId="691A0DAF" w14:textId="77777777" w:rsidR="000B0D26" w:rsidRDefault="000B0D26" w:rsidP="00990D80">
      <w:pPr>
        <w:pStyle w:val="Questionstyle"/>
      </w:pPr>
      <w:r>
        <w:t>: Do you foresee any challenges with the approach outlined in paragraphs 75 and 76? If yes, please explain and provide alternative proposals.</w:t>
      </w:r>
    </w:p>
    <w:p w14:paraId="278BE464" w14:textId="77777777" w:rsidR="000B0D26" w:rsidRDefault="000B0D26" w:rsidP="000B0D26">
      <w:r>
        <w:t>&lt;ESMA_QUESTION_TRRF_18&gt;</w:t>
      </w:r>
    </w:p>
    <w:p w14:paraId="3CC5A6CC" w14:textId="77777777" w:rsidR="000B0D26" w:rsidRDefault="000B0D26" w:rsidP="000B0D26">
      <w:permStart w:id="609292179" w:edGrp="everyone"/>
      <w:r>
        <w:t>TYPE YOUR TEXT HERE</w:t>
      </w:r>
    </w:p>
    <w:permEnd w:id="609292179"/>
    <w:p w14:paraId="059CAB1E" w14:textId="77777777" w:rsidR="000B0D26" w:rsidRDefault="000B0D26" w:rsidP="000B0D26">
      <w:r>
        <w:t>&lt;ESMA_QUESTION_TRRF_18&gt;</w:t>
      </w:r>
    </w:p>
    <w:p w14:paraId="665D4A8E" w14:textId="77777777" w:rsidR="000B0D26" w:rsidRDefault="000B0D26" w:rsidP="000B0D26"/>
    <w:p w14:paraId="24020D51" w14:textId="77777777" w:rsidR="000B0D26" w:rsidRDefault="000B0D26" w:rsidP="00990D80">
      <w:pPr>
        <w:pStyle w:val="Questionstyle"/>
      </w:pPr>
      <w:r>
        <w:t xml:space="preserve">: Do you foresee any difficulties with the implementation of an additional code generated by the trading venue to be disseminated down the transaction chain in order to link all transactions pertaining to the same execution? If yes, please explain and provide alternative proposals. </w:t>
      </w:r>
    </w:p>
    <w:p w14:paraId="7DC5AD32" w14:textId="77777777" w:rsidR="000B0D26" w:rsidRDefault="000B0D26" w:rsidP="000B0D26">
      <w:r>
        <w:t>&lt;ESMA_QUESTION_TRRF_19&gt;</w:t>
      </w:r>
    </w:p>
    <w:p w14:paraId="23925007" w14:textId="77777777" w:rsidR="000B0D26" w:rsidRDefault="000B0D26" w:rsidP="000B0D26">
      <w:permStart w:id="1075606273" w:edGrp="everyone"/>
      <w:r>
        <w:t>TYPE YOUR TEXT HERE</w:t>
      </w:r>
    </w:p>
    <w:permEnd w:id="1075606273"/>
    <w:p w14:paraId="3F14CF92" w14:textId="77777777" w:rsidR="000B0D26" w:rsidRDefault="000B0D26" w:rsidP="000B0D26">
      <w:r>
        <w:t>&lt;ESMA_QUESTION_TRRF_19&gt;</w:t>
      </w:r>
    </w:p>
    <w:p w14:paraId="1C6BE244" w14:textId="77777777" w:rsidR="000B0D26" w:rsidRDefault="000B0D26" w:rsidP="000B0D26"/>
    <w:p w14:paraId="71D41674" w14:textId="77777777" w:rsidR="000B0D26" w:rsidRDefault="000B0D26" w:rsidP="00990D80">
      <w:pPr>
        <w:pStyle w:val="Questionstyle"/>
      </w:pPr>
      <w:r>
        <w:t>: Do you foresee any challenges with the outlined approach? If yes, please explain and provide alternative proposals.</w:t>
      </w:r>
    </w:p>
    <w:p w14:paraId="706E527B" w14:textId="77777777" w:rsidR="000B0D26" w:rsidRDefault="000B0D26" w:rsidP="000B0D26">
      <w:r>
        <w:t>&lt;ESMA_QUESTION_TRRF_20&gt;</w:t>
      </w:r>
    </w:p>
    <w:p w14:paraId="535F19B7" w14:textId="77777777" w:rsidR="000B0D26" w:rsidRDefault="000B0D26" w:rsidP="000B0D26">
      <w:permStart w:id="580139045" w:edGrp="everyone"/>
      <w:r>
        <w:t>TYPE YOUR TEXT HERE</w:t>
      </w:r>
    </w:p>
    <w:permEnd w:id="580139045"/>
    <w:p w14:paraId="026A6404" w14:textId="77777777" w:rsidR="000B0D26" w:rsidRDefault="000B0D26" w:rsidP="000B0D26">
      <w:r>
        <w:t>&lt;ESMA_QUESTION_TRRF_20&gt;</w:t>
      </w:r>
    </w:p>
    <w:p w14:paraId="468B9B76" w14:textId="77777777" w:rsidR="000B0D26" w:rsidRDefault="000B0D26" w:rsidP="000B0D26"/>
    <w:p w14:paraId="74D7C593" w14:textId="77777777" w:rsidR="000B0D26" w:rsidRDefault="000B0D26" w:rsidP="00990D80">
      <w:pPr>
        <w:pStyle w:val="Questionstyle"/>
      </w:pPr>
      <w:r>
        <w:t>: Do you foresee any challenges with the outlined approach? If yes, please explain and provide alternative proposals.</w:t>
      </w:r>
    </w:p>
    <w:p w14:paraId="14C382BB" w14:textId="77777777" w:rsidR="000B0D26" w:rsidRDefault="000B0D26" w:rsidP="000B0D26">
      <w:r>
        <w:lastRenderedPageBreak/>
        <w:t>&lt;ESMA_QUESTION_TRRF_21&gt;</w:t>
      </w:r>
    </w:p>
    <w:p w14:paraId="2B7AE9D2" w14:textId="77777777" w:rsidR="000B0D26" w:rsidRDefault="000B0D26" w:rsidP="000B0D26">
      <w:permStart w:id="197869488" w:edGrp="everyone"/>
      <w:r>
        <w:t>TYPE YOUR TEXT HERE</w:t>
      </w:r>
    </w:p>
    <w:permEnd w:id="197869488"/>
    <w:p w14:paraId="2568E55F" w14:textId="77777777" w:rsidR="000B0D26" w:rsidRDefault="000B0D26" w:rsidP="000B0D26">
      <w:r>
        <w:t>&lt;ESMA_QUESTION_TRRF_21&gt;</w:t>
      </w:r>
    </w:p>
    <w:p w14:paraId="44343D4F" w14:textId="77777777" w:rsidR="000B0D26" w:rsidRDefault="000B0D26" w:rsidP="000B0D26"/>
    <w:p w14:paraId="2320EAB3" w14:textId="77777777" w:rsidR="000B0D26" w:rsidRDefault="000B0D26" w:rsidP="00990D80">
      <w:pPr>
        <w:pStyle w:val="Questionstyle"/>
      </w:pPr>
      <w:r>
        <w:t>: Which of the two approaches do you consider the most appropriate? Please explain for which reasons.</w:t>
      </w:r>
    </w:p>
    <w:p w14:paraId="40D89730" w14:textId="77777777" w:rsidR="000B0D26" w:rsidRDefault="000B0D26" w:rsidP="000B0D26">
      <w:r>
        <w:t>&lt;ESMA_QUESTION_TRRF_22&gt;</w:t>
      </w:r>
    </w:p>
    <w:p w14:paraId="502CF530" w14:textId="77777777" w:rsidR="000B0D26" w:rsidRDefault="000B0D26" w:rsidP="000B0D26">
      <w:permStart w:id="657135577" w:edGrp="everyone"/>
      <w:r>
        <w:t>TYPE YOUR TEXT HERE</w:t>
      </w:r>
    </w:p>
    <w:permEnd w:id="657135577"/>
    <w:p w14:paraId="67C709BA" w14:textId="77777777" w:rsidR="000B0D26" w:rsidRDefault="000B0D26" w:rsidP="000B0D26">
      <w:r>
        <w:t>&lt;ESMA_QUESTION_TRRF_22&gt;</w:t>
      </w:r>
    </w:p>
    <w:p w14:paraId="59CD15DC" w14:textId="77777777" w:rsidR="000B0D26" w:rsidRDefault="000B0D26" w:rsidP="000B0D26"/>
    <w:p w14:paraId="2BCC8B57" w14:textId="77777777" w:rsidR="000B0D26" w:rsidRDefault="000B0D26" w:rsidP="00990D80">
      <w:pPr>
        <w:pStyle w:val="Questionstyle"/>
      </w:pPr>
      <w:r>
        <w:t>: Do you foresee any challenges with the outlined approaches? If yes, please explain and provide alternative proposals.</w:t>
      </w:r>
    </w:p>
    <w:p w14:paraId="610A4A17" w14:textId="77777777" w:rsidR="000B0D26" w:rsidRDefault="000B0D26" w:rsidP="000B0D26">
      <w:r>
        <w:t>&lt;ESMA_QUESTION_TRRF_23&gt;</w:t>
      </w:r>
    </w:p>
    <w:p w14:paraId="62C94B1D" w14:textId="77777777" w:rsidR="000B0D26" w:rsidRDefault="000B0D26" w:rsidP="000B0D26">
      <w:permStart w:id="300050786" w:edGrp="everyone"/>
      <w:r>
        <w:t>TYPE YOUR TEXT HERE</w:t>
      </w:r>
    </w:p>
    <w:permEnd w:id="300050786"/>
    <w:p w14:paraId="5F5393EA" w14:textId="77777777" w:rsidR="000B0D26" w:rsidRDefault="000B0D26" w:rsidP="000B0D26">
      <w:r>
        <w:t>&lt;ESMA_QUESTION_TRRF_23&gt;</w:t>
      </w:r>
    </w:p>
    <w:p w14:paraId="245E65EE" w14:textId="77777777" w:rsidR="000B0D26" w:rsidRDefault="000B0D26" w:rsidP="000B0D26"/>
    <w:p w14:paraId="547920D8" w14:textId="77777777" w:rsidR="000B0D26" w:rsidRDefault="000B0D26" w:rsidP="00990D80">
      <w:pPr>
        <w:pStyle w:val="Questionstyle"/>
      </w:pPr>
      <w:r>
        <w:t>: Do you foresee any challenges with the outlined approach to pre-trade waivers? If yes, please explain and provide alternative proposals.</w:t>
      </w:r>
    </w:p>
    <w:p w14:paraId="45EDDFF3" w14:textId="77777777" w:rsidR="000B0D26" w:rsidRDefault="000B0D26" w:rsidP="000B0D26">
      <w:r>
        <w:t>&lt;ESMA_QUESTION_TRRF_24&gt;</w:t>
      </w:r>
    </w:p>
    <w:p w14:paraId="51B5532E" w14:textId="77777777" w:rsidR="000B0D26" w:rsidRDefault="000B0D26" w:rsidP="000B0D26">
      <w:permStart w:id="783692263" w:edGrp="everyone"/>
      <w:r>
        <w:t>TYPE YOUR TEXT HERE</w:t>
      </w:r>
    </w:p>
    <w:permEnd w:id="783692263"/>
    <w:p w14:paraId="3444E6C0" w14:textId="77777777" w:rsidR="000B0D26" w:rsidRDefault="000B0D26" w:rsidP="000B0D26">
      <w:r>
        <w:t>&lt;ESMA_QUESTION_TRRF_24&gt;</w:t>
      </w:r>
    </w:p>
    <w:p w14:paraId="525521D3" w14:textId="77777777" w:rsidR="000B0D26" w:rsidRDefault="000B0D26" w:rsidP="000B0D26"/>
    <w:p w14:paraId="26FF7FD5" w14:textId="77777777" w:rsidR="000B0D26" w:rsidRDefault="000B0D26" w:rsidP="00990D80">
      <w:pPr>
        <w:pStyle w:val="Questionstyle"/>
      </w:pPr>
      <w:r>
        <w:t xml:space="preserve">: Have you experienced any difficulties with providing the information relating to the indicators mentioned in this section? If yes, please explain and provide proposals on how to improve the quality of the information required.  </w:t>
      </w:r>
    </w:p>
    <w:p w14:paraId="32D7E299" w14:textId="77777777" w:rsidR="000B0D26" w:rsidRDefault="000B0D26" w:rsidP="000B0D26">
      <w:r>
        <w:lastRenderedPageBreak/>
        <w:t>&lt;ESMA_QUESTION_TRRF_25&gt;</w:t>
      </w:r>
    </w:p>
    <w:p w14:paraId="1F1CE7B8" w14:textId="77777777" w:rsidR="000B0D26" w:rsidRDefault="000B0D26" w:rsidP="000B0D26">
      <w:permStart w:id="975453435" w:edGrp="everyone"/>
      <w:r>
        <w:t>TYPE YOUR TEXT HERE</w:t>
      </w:r>
    </w:p>
    <w:permEnd w:id="975453435"/>
    <w:p w14:paraId="32F2330B" w14:textId="77777777" w:rsidR="000B0D26" w:rsidRDefault="000B0D26" w:rsidP="000B0D26">
      <w:r>
        <w:t>&lt;ESMA_QUESTION_TRRF_25&gt;</w:t>
      </w:r>
    </w:p>
    <w:p w14:paraId="109D057D" w14:textId="77777777" w:rsidR="000B0D26" w:rsidRDefault="000B0D26" w:rsidP="000B0D26"/>
    <w:p w14:paraId="72E853BD" w14:textId="77777777" w:rsidR="000B0D26" w:rsidRDefault="000B0D26" w:rsidP="00990D80">
      <w:pPr>
        <w:pStyle w:val="Questionstyle"/>
      </w:pPr>
      <w:r>
        <w:t>: Do you foresee any challenges with this proposal? If yes, please explain and provide alternative proposals.</w:t>
      </w:r>
    </w:p>
    <w:p w14:paraId="55E176DD" w14:textId="77777777" w:rsidR="000B0D26" w:rsidRDefault="000B0D26" w:rsidP="000B0D26">
      <w:r>
        <w:t>&lt;ESMA_QUESTION_TRRF_26&gt;</w:t>
      </w:r>
    </w:p>
    <w:p w14:paraId="4599EA34" w14:textId="77777777" w:rsidR="000B0D26" w:rsidRDefault="000B0D26" w:rsidP="000B0D26">
      <w:permStart w:id="1526940698" w:edGrp="everyone"/>
      <w:r>
        <w:t>TYPE YOUR TEXT HERE</w:t>
      </w:r>
    </w:p>
    <w:permEnd w:id="1526940698"/>
    <w:p w14:paraId="3CBAB8A3" w14:textId="77777777" w:rsidR="000B0D26" w:rsidRDefault="000B0D26" w:rsidP="000B0D26">
      <w:r>
        <w:t>&lt;ESMA_QUESTION_TRRF_26&gt;</w:t>
      </w:r>
    </w:p>
    <w:p w14:paraId="624A26B2" w14:textId="77777777" w:rsidR="000B0D26" w:rsidRDefault="000B0D26" w:rsidP="000B0D26"/>
    <w:p w14:paraId="51BB6091" w14:textId="77777777" w:rsidR="000B0D26" w:rsidRDefault="000B0D26" w:rsidP="00990D80">
      <w:pPr>
        <w:pStyle w:val="Questionstyle"/>
      </w:pPr>
      <w:r>
        <w:t>: Do you agree with this approach? If not, please clarify your concerns and propose alternative solutions</w:t>
      </w:r>
    </w:p>
    <w:p w14:paraId="1C7475B7" w14:textId="77777777" w:rsidR="000B0D26" w:rsidRDefault="000B0D26" w:rsidP="000B0D26">
      <w:r>
        <w:t>&lt;ESMA_QUESTION_TRRF_27&gt;</w:t>
      </w:r>
    </w:p>
    <w:p w14:paraId="3AD4BB8E" w14:textId="77777777" w:rsidR="000B0D26" w:rsidRDefault="000B0D26" w:rsidP="000B0D26">
      <w:permStart w:id="1698904276" w:edGrp="everyone"/>
      <w:r>
        <w:t>TYPE YOUR TEXT HERE</w:t>
      </w:r>
    </w:p>
    <w:permEnd w:id="1698904276"/>
    <w:p w14:paraId="0E2C1AC5" w14:textId="77777777" w:rsidR="000B0D26" w:rsidRDefault="000B0D26" w:rsidP="000B0D26">
      <w:r>
        <w:t>&lt;ESMA_QUESTION_TRRF_27&gt;</w:t>
      </w:r>
    </w:p>
    <w:p w14:paraId="4D0BA56C" w14:textId="77777777" w:rsidR="000B0D26" w:rsidRDefault="000B0D26" w:rsidP="000B0D26"/>
    <w:p w14:paraId="52D6005E" w14:textId="77777777" w:rsidR="000B0D26" w:rsidRDefault="000B0D26" w:rsidP="00990D80">
      <w:pPr>
        <w:pStyle w:val="Questionstyle"/>
      </w:pPr>
      <w:r>
        <w:t>: Do you agree with this analysis? If not, please clarify your concerns and propose alternative solutions.</w:t>
      </w:r>
    </w:p>
    <w:p w14:paraId="76D8F1B5" w14:textId="77777777" w:rsidR="000B0D26" w:rsidRDefault="000B0D26" w:rsidP="000B0D26">
      <w:r>
        <w:t>&lt;ESMA_QUESTION_TRRF_28&gt;</w:t>
      </w:r>
    </w:p>
    <w:p w14:paraId="7BBDAB9B" w14:textId="77777777" w:rsidR="000B0D26" w:rsidRDefault="000B0D26" w:rsidP="000B0D26">
      <w:permStart w:id="501251014" w:edGrp="everyone"/>
      <w:r>
        <w:t>TYPE YOUR TEXT HERE</w:t>
      </w:r>
    </w:p>
    <w:permEnd w:id="501251014"/>
    <w:p w14:paraId="366D4714" w14:textId="77777777" w:rsidR="000B0D26" w:rsidRDefault="000B0D26" w:rsidP="000B0D26">
      <w:r>
        <w:t>&lt;ESMA_QUESTION_TRRF_28&gt;</w:t>
      </w:r>
    </w:p>
    <w:p w14:paraId="194CA827" w14:textId="77777777" w:rsidR="000B0D26" w:rsidRDefault="000B0D26" w:rsidP="000B0D26"/>
    <w:p w14:paraId="2CDBAA80" w14:textId="77777777" w:rsidR="000B0D26" w:rsidRDefault="000B0D26" w:rsidP="00990D80">
      <w:pPr>
        <w:pStyle w:val="Questionstyle"/>
      </w:pPr>
      <w:r>
        <w:t>: Do you foresee any challenges with the outlined approach? If yes, please explain and provide alternative proposals.</w:t>
      </w:r>
    </w:p>
    <w:p w14:paraId="0228AB2C" w14:textId="77777777" w:rsidR="000B0D26" w:rsidRDefault="000B0D26" w:rsidP="000B0D26">
      <w:r>
        <w:lastRenderedPageBreak/>
        <w:t>&lt;ESMA_QUESTION_TRRF_29&gt;</w:t>
      </w:r>
    </w:p>
    <w:p w14:paraId="7298BB68" w14:textId="77777777" w:rsidR="00BF6B8F" w:rsidRPr="0017189C" w:rsidRDefault="00BF6B8F" w:rsidP="003846EA">
      <w:pPr>
        <w:spacing w:after="228"/>
        <w:ind w:left="-3" w:right="-8" w:hanging="10"/>
        <w:rPr>
          <w:rFonts w:eastAsia="Times New Roman" w:cstheme="minorHAnsi"/>
        </w:rPr>
      </w:pPr>
      <w:permStart w:id="869752172" w:edGrp="everyone"/>
      <w:r w:rsidRPr="0017189C">
        <w:rPr>
          <w:rFonts w:eastAsia="Times New Roman" w:cstheme="minorHAnsi"/>
        </w:rPr>
        <w:t>EI does not support the removal of reported paragraph from Article 26(7) of MiFIR as it considers that the convergence of reporting obligations on financial instruments among MiFIR, EMIR and other relevant regulations should be accelerated and pushed forward, particularly in the current contest of fast digitalization, and not slowed down as the outlined approach implies. EI appreciate</w:t>
      </w:r>
      <w:r>
        <w:rPr>
          <w:rFonts w:eastAsia="Times New Roman" w:cstheme="minorHAnsi"/>
        </w:rPr>
        <w:t>s</w:t>
      </w:r>
      <w:r w:rsidRPr="0017189C">
        <w:rPr>
          <w:rFonts w:eastAsia="Times New Roman" w:cstheme="minorHAnsi"/>
        </w:rPr>
        <w:t xml:space="preserve"> ESMA effort to standardise reference data and technical formats as an alternative to the identification of a single reporting stream for MiFIR and EMIR to be used for both purposes</w:t>
      </w:r>
      <w:r>
        <w:rPr>
          <w:rFonts w:eastAsia="Times New Roman" w:cstheme="minorHAnsi"/>
        </w:rPr>
        <w:t xml:space="preserve">, even though </w:t>
      </w:r>
      <w:r w:rsidRPr="0017189C">
        <w:rPr>
          <w:rFonts w:eastAsia="Times New Roman" w:cstheme="minorHAnsi"/>
        </w:rPr>
        <w:t>this lead</w:t>
      </w:r>
      <w:r>
        <w:rPr>
          <w:rFonts w:eastAsia="Times New Roman" w:cstheme="minorHAnsi"/>
        </w:rPr>
        <w:t>s</w:t>
      </w:r>
      <w:r w:rsidRPr="0017189C">
        <w:rPr>
          <w:rFonts w:eastAsia="Times New Roman" w:cstheme="minorHAnsi"/>
        </w:rPr>
        <w:t xml:space="preserve"> to an </w:t>
      </w:r>
      <w:r>
        <w:rPr>
          <w:rFonts w:eastAsia="Times New Roman" w:cstheme="minorHAnsi"/>
        </w:rPr>
        <w:t xml:space="preserve">increase </w:t>
      </w:r>
      <w:r w:rsidRPr="0017189C">
        <w:rPr>
          <w:rFonts w:eastAsia="Times New Roman" w:cstheme="minorHAnsi"/>
        </w:rPr>
        <w:t>in costs incurred by the counterparties involved (especially the non-financial ones), but it considers that such efforts alone is not fulfilling EC mandates given to ESMA under Art. 26(10) of MiFIR and under EMIR Refit in order to assess simplifications and synergies amongst different reporting regimes, namely MiFIR and EMIR.</w:t>
      </w:r>
    </w:p>
    <w:p w14:paraId="685A7D57" w14:textId="77777777" w:rsidR="00BF6B8F" w:rsidRPr="0017189C" w:rsidRDefault="00BF6B8F" w:rsidP="003846EA">
      <w:pPr>
        <w:spacing w:after="228"/>
        <w:ind w:left="-3" w:right="-8" w:hanging="10"/>
        <w:rPr>
          <w:rFonts w:eastAsia="Times New Roman" w:cstheme="minorHAnsi"/>
        </w:rPr>
      </w:pPr>
      <w:r w:rsidRPr="0017189C">
        <w:rPr>
          <w:rFonts w:eastAsia="Times New Roman" w:cstheme="minorHAnsi"/>
        </w:rPr>
        <w:t>From a technical IT standpoint, the fact that MiFIR and EMIR reporting on financial derivatives are aimed at different regulatory goals does not prevent the possibility of defining a single set of data that can be transmitted in the most efficient and cost effective way to a single database where competent authorities can access information of their relevance. As an example</w:t>
      </w:r>
      <w:r>
        <w:rPr>
          <w:rFonts w:eastAsia="Times New Roman" w:cstheme="minorHAnsi"/>
        </w:rPr>
        <w:t xml:space="preserve">, even if lifecycle events under EMIR are not relevant under MiFIR (as indicated in paragraph 109 of the Consultation Paper), NCAs could </w:t>
      </w:r>
      <w:r w:rsidRPr="0017189C">
        <w:rPr>
          <w:rFonts w:eastAsia="Times New Roman" w:cstheme="minorHAnsi"/>
        </w:rPr>
        <w:t>still make use of the information provided in EMIR reporting stream for MiFIR purposes by</w:t>
      </w:r>
      <w:r>
        <w:rPr>
          <w:rFonts w:eastAsia="Times New Roman" w:cstheme="minorHAnsi"/>
        </w:rPr>
        <w:t xml:space="preserve"> considering the first submission under EMIR with “Action type” P (position) or N (New) and Level “T” (trade).</w:t>
      </w:r>
    </w:p>
    <w:p w14:paraId="79958AC4" w14:textId="5A2255AA" w:rsidR="00BF6B8F" w:rsidRDefault="00BF6B8F" w:rsidP="003846EA">
      <w:pPr>
        <w:spacing w:after="228"/>
        <w:ind w:left="-3" w:right="-8" w:hanging="10"/>
        <w:rPr>
          <w:rFonts w:eastAsia="Times New Roman" w:cstheme="minorHAnsi"/>
        </w:rPr>
      </w:pPr>
      <w:r w:rsidRPr="0017189C">
        <w:rPr>
          <w:rFonts w:eastAsia="Times New Roman" w:cstheme="minorHAnsi"/>
        </w:rPr>
        <w:t>ESMA’s definition, standardization and centralization of reference data and formats is an important step towards simplification, but often the real obstacle for reporting convergence lies on the different IT architectures of the reporting processes. The evidence can be found considering practical examples, such as reporting on commodit</w:t>
      </w:r>
      <w:r>
        <w:rPr>
          <w:rFonts w:eastAsia="Times New Roman" w:cstheme="minorHAnsi"/>
        </w:rPr>
        <w:t xml:space="preserve">y </w:t>
      </w:r>
      <w:bookmarkStart w:id="3" w:name="_Hlk508816889"/>
      <w:r>
        <w:rPr>
          <w:rFonts w:eastAsia="Times New Roman" w:cstheme="minorHAnsi"/>
        </w:rPr>
        <w:t>derivatives</w:t>
      </w:r>
      <w:r w:rsidRPr="0017189C">
        <w:rPr>
          <w:rFonts w:eastAsia="Times New Roman" w:cstheme="minorHAnsi"/>
        </w:rPr>
        <w:t xml:space="preserve"> under MiFIR and EMIR, extended for further evidence to MAR and REMIT. EI acknowledges the often different regulatory purposes pursued by competent authorities, nevertheless, given the same the perimeter of financial instruments, IT architecture of involved systems should be re-assessed in view of efficiency, avoiding of overlaps and data quality processes, formats and stakeholders are different.</w:t>
      </w:r>
    </w:p>
    <w:p w14:paraId="723D3BA3" w14:textId="19232667" w:rsidR="003846EA" w:rsidRDefault="003846EA" w:rsidP="003846EA">
      <w:pPr>
        <w:spacing w:after="228"/>
        <w:ind w:left="-3" w:right="-8" w:hanging="10"/>
        <w:rPr>
          <w:rFonts w:eastAsia="Times New Roman" w:cstheme="minorHAnsi"/>
        </w:rPr>
      </w:pPr>
    </w:p>
    <w:p w14:paraId="7484F4C9" w14:textId="6D3DE25B" w:rsidR="003846EA" w:rsidRDefault="003846EA" w:rsidP="003846EA">
      <w:pPr>
        <w:spacing w:after="228"/>
        <w:ind w:left="-3" w:right="-8" w:hanging="10"/>
        <w:rPr>
          <w:rFonts w:eastAsia="Times New Roman" w:cstheme="minorHAnsi"/>
        </w:rPr>
      </w:pPr>
    </w:p>
    <w:p w14:paraId="7A21AF9F" w14:textId="795B5C9F" w:rsidR="003846EA" w:rsidRDefault="003846EA" w:rsidP="003846EA">
      <w:pPr>
        <w:spacing w:after="228"/>
        <w:ind w:left="-3" w:right="-8" w:hanging="10"/>
        <w:rPr>
          <w:rFonts w:eastAsia="Times New Roman" w:cstheme="minorHAnsi"/>
        </w:rPr>
      </w:pPr>
    </w:p>
    <w:p w14:paraId="40FD3553" w14:textId="4CF38AD7" w:rsidR="003846EA" w:rsidRDefault="003846EA" w:rsidP="003846EA">
      <w:pPr>
        <w:spacing w:after="228"/>
        <w:ind w:left="-3" w:right="-8" w:hanging="10"/>
        <w:rPr>
          <w:rFonts w:eastAsia="Times New Roman" w:cstheme="minorHAnsi"/>
        </w:rPr>
      </w:pPr>
    </w:p>
    <w:p w14:paraId="36224434" w14:textId="77777777" w:rsidR="003846EA" w:rsidRPr="00E734E1" w:rsidRDefault="003846EA" w:rsidP="003846EA">
      <w:pPr>
        <w:spacing w:after="228"/>
        <w:ind w:left="-3" w:right="-8" w:hanging="10"/>
        <w:rPr>
          <w:rFonts w:eastAsia="Times New Roman" w:cstheme="minorHAnsi"/>
        </w:rPr>
      </w:pPr>
    </w:p>
    <w:p w14:paraId="7FFC5136" w14:textId="39045E0C" w:rsidR="00BF6B8F" w:rsidRDefault="00BF6B8F" w:rsidP="00BF6B8F">
      <w:pPr>
        <w:spacing w:after="228" w:line="249" w:lineRule="auto"/>
        <w:ind w:left="-13" w:right="-8"/>
        <w:rPr>
          <w:rFonts w:eastAsia="Times New Roman" w:cstheme="minorHAnsi"/>
          <w:b/>
        </w:rPr>
      </w:pPr>
      <w:r w:rsidRPr="0017189C">
        <w:rPr>
          <w:rFonts w:eastAsia="Times New Roman" w:cstheme="minorHAnsi"/>
          <w:b/>
        </w:rPr>
        <w:lastRenderedPageBreak/>
        <w:t xml:space="preserve">Table 2: MiFIR, EMIR and other main reporting regimes applicable to </w:t>
      </w:r>
      <w:r>
        <w:rPr>
          <w:rFonts w:eastAsia="Times New Roman" w:cstheme="minorHAnsi"/>
          <w:b/>
        </w:rPr>
        <w:t xml:space="preserve">commodity </w:t>
      </w:r>
      <w:r w:rsidRPr="0017189C">
        <w:rPr>
          <w:rFonts w:eastAsia="Times New Roman" w:cstheme="minorHAnsi"/>
          <w:b/>
        </w:rPr>
        <w:t>derivatives:</w:t>
      </w:r>
    </w:p>
    <w:p w14:paraId="7798BDA9" w14:textId="77777777" w:rsidR="00BF6B8F" w:rsidRPr="00BF6B8F" w:rsidRDefault="00BF6B8F" w:rsidP="00BF6B8F">
      <w:pPr>
        <w:spacing w:after="228" w:line="249" w:lineRule="auto"/>
        <w:ind w:left="-13" w:right="-8"/>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80"/>
        <w:gridCol w:w="1526"/>
        <w:gridCol w:w="1351"/>
        <w:gridCol w:w="1489"/>
        <w:gridCol w:w="1776"/>
      </w:tblGrid>
      <w:tr w:rsidR="00BF6B8F" w:rsidRPr="0017189C" w14:paraId="522C4657" w14:textId="77777777" w:rsidTr="00196C48">
        <w:tc>
          <w:tcPr>
            <w:tcW w:w="1166" w:type="dxa"/>
            <w:shd w:val="clear" w:color="auto" w:fill="D0CECE"/>
          </w:tcPr>
          <w:p w14:paraId="0DC47803" w14:textId="77777777" w:rsidR="00BF6B8F" w:rsidRPr="0017189C" w:rsidRDefault="00BF6B8F" w:rsidP="00196C48">
            <w:pPr>
              <w:jc w:val="center"/>
              <w:rPr>
                <w:rFonts w:eastAsia="Times New Roman" w:cstheme="minorHAnsi"/>
                <w:b/>
              </w:rPr>
            </w:pPr>
            <w:bookmarkStart w:id="4" w:name="_Hlk508813868"/>
            <w:bookmarkEnd w:id="3"/>
            <w:r w:rsidRPr="0017189C">
              <w:rPr>
                <w:rFonts w:eastAsia="Times New Roman" w:cstheme="minorHAnsi"/>
                <w:b/>
              </w:rPr>
              <w:t>Reference regulation</w:t>
            </w:r>
          </w:p>
        </w:tc>
        <w:tc>
          <w:tcPr>
            <w:tcW w:w="1141" w:type="dxa"/>
            <w:shd w:val="clear" w:color="auto" w:fill="D0CECE"/>
          </w:tcPr>
          <w:p w14:paraId="453CB413" w14:textId="77777777" w:rsidR="00BF6B8F" w:rsidRPr="0017189C" w:rsidRDefault="00BF6B8F" w:rsidP="00196C48">
            <w:pPr>
              <w:jc w:val="center"/>
              <w:rPr>
                <w:rFonts w:eastAsia="Times New Roman" w:cstheme="minorHAnsi"/>
                <w:b/>
              </w:rPr>
            </w:pPr>
            <w:r w:rsidRPr="0017189C">
              <w:rPr>
                <w:rFonts w:eastAsia="Times New Roman" w:cstheme="minorHAnsi"/>
                <w:b/>
              </w:rPr>
              <w:t>Reference Authority</w:t>
            </w:r>
          </w:p>
        </w:tc>
        <w:tc>
          <w:tcPr>
            <w:tcW w:w="1701" w:type="dxa"/>
            <w:shd w:val="clear" w:color="auto" w:fill="D0CECE"/>
          </w:tcPr>
          <w:p w14:paraId="44D52474" w14:textId="77777777" w:rsidR="00BF6B8F" w:rsidRPr="0017189C" w:rsidRDefault="00BF6B8F" w:rsidP="00196C48">
            <w:pPr>
              <w:jc w:val="center"/>
              <w:rPr>
                <w:rFonts w:eastAsia="Times New Roman" w:cstheme="minorHAnsi"/>
                <w:b/>
              </w:rPr>
            </w:pPr>
            <w:r w:rsidRPr="0017189C">
              <w:rPr>
                <w:rFonts w:eastAsia="Times New Roman" w:cstheme="minorHAnsi"/>
                <w:b/>
              </w:rPr>
              <w:t>Perimeter of reporting</w:t>
            </w:r>
          </w:p>
        </w:tc>
        <w:tc>
          <w:tcPr>
            <w:tcW w:w="1417" w:type="dxa"/>
            <w:shd w:val="clear" w:color="auto" w:fill="D0CECE"/>
          </w:tcPr>
          <w:p w14:paraId="3FE45107" w14:textId="77777777" w:rsidR="00BF6B8F" w:rsidRPr="0017189C" w:rsidRDefault="00BF6B8F" w:rsidP="00196C48">
            <w:pPr>
              <w:jc w:val="center"/>
              <w:rPr>
                <w:rFonts w:eastAsia="Times New Roman" w:cstheme="minorHAnsi"/>
                <w:b/>
              </w:rPr>
            </w:pPr>
            <w:r w:rsidRPr="0017189C">
              <w:rPr>
                <w:rFonts w:eastAsia="Times New Roman" w:cstheme="minorHAnsi"/>
                <w:b/>
              </w:rPr>
              <w:t>Main objective of reporting</w:t>
            </w:r>
          </w:p>
        </w:tc>
        <w:tc>
          <w:tcPr>
            <w:tcW w:w="1701" w:type="dxa"/>
            <w:shd w:val="clear" w:color="auto" w:fill="D0CECE"/>
          </w:tcPr>
          <w:p w14:paraId="3505600C" w14:textId="77777777" w:rsidR="00BF6B8F" w:rsidRPr="0017189C" w:rsidRDefault="00BF6B8F" w:rsidP="00196C48">
            <w:pPr>
              <w:jc w:val="center"/>
              <w:rPr>
                <w:rFonts w:eastAsia="Times New Roman" w:cstheme="minorHAnsi"/>
                <w:b/>
              </w:rPr>
            </w:pPr>
            <w:r w:rsidRPr="0017189C">
              <w:rPr>
                <w:rFonts w:eastAsia="Times New Roman" w:cstheme="minorHAnsi"/>
                <w:b/>
              </w:rPr>
              <w:t>Main IT Systems involved</w:t>
            </w:r>
          </w:p>
        </w:tc>
        <w:tc>
          <w:tcPr>
            <w:tcW w:w="2080" w:type="dxa"/>
            <w:shd w:val="clear" w:color="auto" w:fill="D0CECE"/>
          </w:tcPr>
          <w:p w14:paraId="2A42726B" w14:textId="77777777" w:rsidR="00BF6B8F" w:rsidRPr="0017189C" w:rsidRDefault="00BF6B8F" w:rsidP="00196C48">
            <w:pPr>
              <w:jc w:val="center"/>
              <w:rPr>
                <w:rFonts w:eastAsia="Times New Roman" w:cstheme="minorHAnsi"/>
                <w:b/>
              </w:rPr>
            </w:pPr>
            <w:r w:rsidRPr="0017189C">
              <w:rPr>
                <w:rFonts w:eastAsia="Times New Roman" w:cstheme="minorHAnsi"/>
                <w:b/>
              </w:rPr>
              <w:t>Notes</w:t>
            </w:r>
          </w:p>
        </w:tc>
      </w:tr>
      <w:tr w:rsidR="00BF6B8F" w:rsidRPr="0017189C" w14:paraId="3FA2F5F7" w14:textId="77777777" w:rsidTr="00196C48">
        <w:tc>
          <w:tcPr>
            <w:tcW w:w="1166" w:type="dxa"/>
            <w:shd w:val="clear" w:color="auto" w:fill="auto"/>
          </w:tcPr>
          <w:p w14:paraId="07935EC9"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MIFIR</w:t>
            </w:r>
          </w:p>
          <w:p w14:paraId="3BA7FD11"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(transaction reporting)</w:t>
            </w:r>
          </w:p>
        </w:tc>
        <w:tc>
          <w:tcPr>
            <w:tcW w:w="1141" w:type="dxa"/>
            <w:shd w:val="clear" w:color="auto" w:fill="auto"/>
          </w:tcPr>
          <w:p w14:paraId="36A449EC"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NCAs and ESMA</w:t>
            </w:r>
          </w:p>
        </w:tc>
        <w:tc>
          <w:tcPr>
            <w:tcW w:w="1701" w:type="dxa"/>
            <w:shd w:val="clear" w:color="auto" w:fill="auto"/>
          </w:tcPr>
          <w:p w14:paraId="57B4A6EB"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 xml:space="preserve">Financial </w:t>
            </w:r>
            <w:r>
              <w:rPr>
                <w:rFonts w:eastAsia="Times New Roman" w:cstheme="minorHAnsi"/>
                <w:sz w:val="16"/>
                <w:szCs w:val="16"/>
              </w:rPr>
              <w:t xml:space="preserve">instruments </w:t>
            </w:r>
            <w:r w:rsidRPr="0017189C">
              <w:rPr>
                <w:rFonts w:eastAsia="Times New Roman" w:cstheme="minorHAnsi"/>
                <w:sz w:val="16"/>
                <w:szCs w:val="16"/>
              </w:rPr>
              <w:t>(all asset classes either TOTV and OTC if the instrument is traded on regulated markets)</w:t>
            </w:r>
          </w:p>
        </w:tc>
        <w:tc>
          <w:tcPr>
            <w:tcW w:w="1417" w:type="dxa"/>
            <w:shd w:val="clear" w:color="auto" w:fill="auto"/>
          </w:tcPr>
          <w:p w14:paraId="48746A73"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Transparency</w:t>
            </w:r>
          </w:p>
        </w:tc>
        <w:tc>
          <w:tcPr>
            <w:tcW w:w="1701" w:type="dxa"/>
            <w:shd w:val="clear" w:color="auto" w:fill="auto"/>
          </w:tcPr>
          <w:p w14:paraId="352498E4"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Centralised IT systems managed by NCAs + Transaction Reporting Exchange interface (TREM)</w:t>
            </w:r>
          </w:p>
          <w:p w14:paraId="580A37DF" w14:textId="77777777" w:rsidR="00BF6B8F" w:rsidRPr="0017189C" w:rsidRDefault="00BF6B8F" w:rsidP="00196C48">
            <w:pPr>
              <w:rPr>
                <w:rFonts w:eastAsia="Times New Roman" w:cstheme="minorHAnsi"/>
                <w:sz w:val="16"/>
                <w:szCs w:val="16"/>
              </w:rPr>
            </w:pPr>
          </w:p>
          <w:p w14:paraId="1B0E4613"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Financial Instruments Reference Data System (FIRDS) + HUB managed by ESMA</w:t>
            </w:r>
          </w:p>
        </w:tc>
        <w:tc>
          <w:tcPr>
            <w:tcW w:w="2080" w:type="dxa"/>
            <w:shd w:val="clear" w:color="auto" w:fill="auto"/>
          </w:tcPr>
          <w:p w14:paraId="0DA2F523"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Transaction reports must be made to the competent authority by investment firm itself, an Approved Reporting Mechanism acting on its behalf or by the Trading Venue through whose system the transaction was completed. NFC not within MiFIR scope are excluded from transaction reporting, since the information on trades are already reported on their behalf</w:t>
            </w:r>
            <w:r w:rsidRPr="0017189C">
              <w:rPr>
                <w:rStyle w:val="FootnoteReference"/>
                <w:rFonts w:eastAsia="Times New Roman" w:cstheme="minorHAnsi"/>
                <w:szCs w:val="16"/>
              </w:rPr>
              <w:footnoteReference w:id="2"/>
            </w:r>
          </w:p>
        </w:tc>
      </w:tr>
      <w:tr w:rsidR="00BF6B8F" w:rsidRPr="0017189C" w14:paraId="77CE1C20" w14:textId="77777777" w:rsidTr="00196C48">
        <w:tc>
          <w:tcPr>
            <w:tcW w:w="1166" w:type="dxa"/>
            <w:shd w:val="clear" w:color="auto" w:fill="auto"/>
          </w:tcPr>
          <w:p w14:paraId="69C2CBAF"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MIFI</w:t>
            </w:r>
            <w:r>
              <w:rPr>
                <w:rFonts w:eastAsia="Times New Roman" w:cstheme="minorHAnsi"/>
                <w:b/>
                <w:sz w:val="16"/>
                <w:szCs w:val="16"/>
              </w:rPr>
              <w:t>D</w:t>
            </w:r>
          </w:p>
          <w:p w14:paraId="710CF94C"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(position reporting for position limits)</w:t>
            </w:r>
          </w:p>
        </w:tc>
        <w:tc>
          <w:tcPr>
            <w:tcW w:w="1141" w:type="dxa"/>
            <w:shd w:val="clear" w:color="auto" w:fill="auto"/>
          </w:tcPr>
          <w:p w14:paraId="19C4DB10"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NCAs and ESMA</w:t>
            </w:r>
          </w:p>
        </w:tc>
        <w:tc>
          <w:tcPr>
            <w:tcW w:w="1701" w:type="dxa"/>
            <w:shd w:val="clear" w:color="auto" w:fill="auto"/>
          </w:tcPr>
          <w:p w14:paraId="3014B16E" w14:textId="77777777" w:rsidR="00BF6B8F" w:rsidRPr="0017189C" w:rsidRDefault="00BF6B8F" w:rsidP="00196C48">
            <w:pPr>
              <w:rPr>
                <w:rFonts w:eastAsia="Times New Roman" w:cstheme="minorHAnsi"/>
                <w:sz w:val="16"/>
                <w:szCs w:val="16"/>
              </w:rPr>
            </w:pPr>
            <w:r>
              <w:rPr>
                <w:rFonts w:eastAsia="Times New Roman" w:cstheme="minorHAnsi"/>
                <w:sz w:val="16"/>
                <w:szCs w:val="16"/>
              </w:rPr>
              <w:t xml:space="preserve">Commodity </w:t>
            </w:r>
            <w:r w:rsidRPr="0017189C">
              <w:rPr>
                <w:rFonts w:eastAsia="Times New Roman" w:cstheme="minorHAnsi"/>
                <w:sz w:val="16"/>
                <w:szCs w:val="16"/>
              </w:rPr>
              <w:t>derivatives</w:t>
            </w:r>
            <w:r>
              <w:rPr>
                <w:rFonts w:eastAsia="Times New Roman" w:cstheme="minorHAnsi"/>
                <w:sz w:val="16"/>
                <w:szCs w:val="16"/>
              </w:rPr>
              <w:t>,</w:t>
            </w:r>
            <w:r w:rsidRPr="0017189C">
              <w:rPr>
                <w:rFonts w:eastAsia="Times New Roman" w:cstheme="minorHAnsi"/>
                <w:sz w:val="16"/>
                <w:szCs w:val="16"/>
              </w:rPr>
              <w:t xml:space="preserve"> EUAs </w:t>
            </w:r>
            <w:r>
              <w:rPr>
                <w:rFonts w:eastAsia="Times New Roman" w:cstheme="minorHAnsi"/>
                <w:sz w:val="16"/>
                <w:szCs w:val="16"/>
              </w:rPr>
              <w:t>and derivatives thereof</w:t>
            </w:r>
            <w:r w:rsidRPr="0017189C">
              <w:rPr>
                <w:rFonts w:eastAsia="Times New Roman" w:cstheme="minorHAnsi"/>
                <w:sz w:val="16"/>
                <w:szCs w:val="16"/>
              </w:rPr>
              <w:t>)</w:t>
            </w:r>
          </w:p>
        </w:tc>
        <w:tc>
          <w:tcPr>
            <w:tcW w:w="1417" w:type="dxa"/>
            <w:shd w:val="clear" w:color="auto" w:fill="auto"/>
          </w:tcPr>
          <w:p w14:paraId="24E7A0C7" w14:textId="77777777" w:rsidR="00BF6B8F" w:rsidRPr="0017189C" w:rsidRDefault="00BF6B8F" w:rsidP="00196C48">
            <w:pPr>
              <w:rPr>
                <w:rFonts w:eastAsia="Times New Roman" w:cstheme="minorHAnsi"/>
                <w:sz w:val="16"/>
                <w:szCs w:val="16"/>
              </w:rPr>
            </w:pPr>
            <w:r>
              <w:rPr>
                <w:rFonts w:eastAsia="Times New Roman" w:cstheme="minorHAnsi"/>
                <w:sz w:val="16"/>
                <w:szCs w:val="16"/>
              </w:rPr>
              <w:t xml:space="preserve">Prevent market abuse and support orderly pricing and settlement conditions </w:t>
            </w:r>
          </w:p>
        </w:tc>
        <w:tc>
          <w:tcPr>
            <w:tcW w:w="1701" w:type="dxa"/>
            <w:shd w:val="clear" w:color="auto" w:fill="auto"/>
          </w:tcPr>
          <w:p w14:paraId="650FC7A2"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IT platforms of Trading Venues (TVs) to NCAs</w:t>
            </w:r>
          </w:p>
        </w:tc>
        <w:tc>
          <w:tcPr>
            <w:tcW w:w="2080" w:type="dxa"/>
            <w:shd w:val="clear" w:color="auto" w:fill="auto"/>
          </w:tcPr>
          <w:p w14:paraId="296A8DC9"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Reference Authority is defined as the one regulating the most liquid Trading Venue on a specific commodity</w:t>
            </w:r>
          </w:p>
        </w:tc>
      </w:tr>
      <w:tr w:rsidR="00BF6B8F" w:rsidRPr="0017189C" w14:paraId="5FC1AEA4" w14:textId="77777777" w:rsidTr="00196C48">
        <w:tc>
          <w:tcPr>
            <w:tcW w:w="1166" w:type="dxa"/>
            <w:shd w:val="clear" w:color="auto" w:fill="auto"/>
          </w:tcPr>
          <w:p w14:paraId="3919FC19"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EMIR</w:t>
            </w:r>
          </w:p>
        </w:tc>
        <w:tc>
          <w:tcPr>
            <w:tcW w:w="1141" w:type="dxa"/>
            <w:shd w:val="clear" w:color="auto" w:fill="auto"/>
          </w:tcPr>
          <w:p w14:paraId="34E92A51" w14:textId="77777777" w:rsidR="00BF6B8F" w:rsidRPr="0017189C" w:rsidRDefault="00BF6B8F" w:rsidP="00196C48">
            <w:pPr>
              <w:rPr>
                <w:rFonts w:eastAsia="Times New Roman" w:cstheme="minorHAnsi"/>
                <w:b/>
                <w:sz w:val="16"/>
                <w:szCs w:val="16"/>
              </w:rPr>
            </w:pPr>
            <w:r>
              <w:rPr>
                <w:rFonts w:eastAsia="Times New Roman" w:cstheme="minorHAnsi"/>
                <w:b/>
                <w:sz w:val="16"/>
                <w:szCs w:val="16"/>
              </w:rPr>
              <w:t xml:space="preserve">NCAs and </w:t>
            </w:r>
            <w:r w:rsidRPr="0017189C">
              <w:rPr>
                <w:rFonts w:eastAsia="Times New Roman" w:cstheme="minorHAnsi"/>
                <w:b/>
                <w:sz w:val="16"/>
                <w:szCs w:val="16"/>
              </w:rPr>
              <w:t>ESMA</w:t>
            </w:r>
          </w:p>
        </w:tc>
        <w:tc>
          <w:tcPr>
            <w:tcW w:w="1701" w:type="dxa"/>
            <w:shd w:val="clear" w:color="auto" w:fill="auto"/>
          </w:tcPr>
          <w:p w14:paraId="70093A18" w14:textId="77777777" w:rsidR="00BF6B8F" w:rsidRPr="0017189C" w:rsidRDefault="00BF6B8F" w:rsidP="00196C48">
            <w:pPr>
              <w:rPr>
                <w:rFonts w:eastAsia="Times New Roman" w:cstheme="minorHAnsi"/>
                <w:sz w:val="16"/>
                <w:szCs w:val="16"/>
              </w:rPr>
            </w:pPr>
            <w:r>
              <w:rPr>
                <w:rFonts w:eastAsia="Times New Roman" w:cstheme="minorHAnsi"/>
                <w:sz w:val="16"/>
                <w:szCs w:val="16"/>
              </w:rPr>
              <w:t xml:space="preserve">Commodity </w:t>
            </w:r>
            <w:r w:rsidRPr="0017189C">
              <w:rPr>
                <w:rFonts w:eastAsia="Times New Roman" w:cstheme="minorHAnsi"/>
                <w:sz w:val="16"/>
                <w:szCs w:val="16"/>
              </w:rPr>
              <w:t>derivatives</w:t>
            </w:r>
            <w:r>
              <w:rPr>
                <w:rFonts w:eastAsia="Times New Roman" w:cstheme="minorHAnsi"/>
                <w:sz w:val="16"/>
                <w:szCs w:val="16"/>
              </w:rPr>
              <w:t xml:space="preserve"> and EUAs derivatives</w:t>
            </w:r>
            <w:r w:rsidRPr="0017189C">
              <w:rPr>
                <w:rFonts w:eastAsia="Times New Roman" w:cstheme="minorHAnsi"/>
                <w:sz w:val="16"/>
                <w:szCs w:val="16"/>
              </w:rPr>
              <w:t xml:space="preserve"> (either </w:t>
            </w:r>
            <w:r>
              <w:rPr>
                <w:rFonts w:eastAsia="Times New Roman" w:cstheme="minorHAnsi"/>
                <w:sz w:val="16"/>
                <w:szCs w:val="16"/>
              </w:rPr>
              <w:t>t</w:t>
            </w:r>
            <w:r w:rsidRPr="0017189C">
              <w:rPr>
                <w:rFonts w:eastAsia="Times New Roman" w:cstheme="minorHAnsi"/>
                <w:sz w:val="16"/>
                <w:szCs w:val="16"/>
              </w:rPr>
              <w:t>raded</w:t>
            </w:r>
            <w:r>
              <w:rPr>
                <w:rFonts w:eastAsia="Times New Roman" w:cstheme="minorHAnsi"/>
                <w:sz w:val="16"/>
                <w:szCs w:val="16"/>
              </w:rPr>
              <w:t xml:space="preserve"> on regulated markets</w:t>
            </w:r>
            <w:r w:rsidRPr="0017189C">
              <w:rPr>
                <w:rFonts w:eastAsia="Times New Roman" w:cstheme="minorHAnsi"/>
                <w:sz w:val="16"/>
                <w:szCs w:val="16"/>
              </w:rPr>
              <w:t xml:space="preserve"> and Over the Counter, OTC)</w:t>
            </w:r>
          </w:p>
        </w:tc>
        <w:tc>
          <w:tcPr>
            <w:tcW w:w="1417" w:type="dxa"/>
            <w:shd w:val="clear" w:color="auto" w:fill="auto"/>
          </w:tcPr>
          <w:p w14:paraId="2D068E4D"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 xml:space="preserve">Systemic risk control; </w:t>
            </w:r>
            <w:r>
              <w:rPr>
                <w:rFonts w:eastAsia="Times New Roman" w:cstheme="minorHAnsi"/>
                <w:sz w:val="16"/>
                <w:szCs w:val="16"/>
              </w:rPr>
              <w:t>Market t</w:t>
            </w:r>
            <w:r w:rsidRPr="0017189C">
              <w:rPr>
                <w:rFonts w:eastAsia="Times New Roman" w:cstheme="minorHAnsi"/>
                <w:sz w:val="16"/>
                <w:szCs w:val="16"/>
              </w:rPr>
              <w:t>ransparency.</w:t>
            </w:r>
          </w:p>
        </w:tc>
        <w:tc>
          <w:tcPr>
            <w:tcW w:w="1701" w:type="dxa"/>
            <w:shd w:val="clear" w:color="auto" w:fill="auto"/>
          </w:tcPr>
          <w:p w14:paraId="6F8DE2E2" w14:textId="77777777" w:rsidR="00BF6B8F" w:rsidRPr="0017189C" w:rsidRDefault="00BF6B8F" w:rsidP="00196C48">
            <w:pPr>
              <w:rPr>
                <w:rFonts w:eastAsia="Times New Roman" w:cstheme="minorHAnsi"/>
                <w:sz w:val="16"/>
                <w:szCs w:val="16"/>
              </w:rPr>
            </w:pPr>
            <w:r>
              <w:rPr>
                <w:rFonts w:eastAsia="Times New Roman" w:cstheme="minorHAnsi"/>
                <w:sz w:val="16"/>
                <w:szCs w:val="16"/>
              </w:rPr>
              <w:t xml:space="preserve">Several </w:t>
            </w:r>
            <w:r w:rsidRPr="0017189C">
              <w:rPr>
                <w:rFonts w:eastAsia="Times New Roman" w:cstheme="minorHAnsi"/>
                <w:sz w:val="16"/>
                <w:szCs w:val="16"/>
              </w:rPr>
              <w:t>Trade Repositories</w:t>
            </w:r>
            <w:r>
              <w:rPr>
                <w:rFonts w:eastAsia="Times New Roman" w:cstheme="minorHAnsi"/>
                <w:sz w:val="16"/>
                <w:szCs w:val="16"/>
              </w:rPr>
              <w:t xml:space="preserve"> which do not use a standardized format</w:t>
            </w:r>
            <w:r w:rsidRPr="0017189C">
              <w:rPr>
                <w:rFonts w:eastAsia="Times New Roman" w:cstheme="minorHAnsi"/>
                <w:sz w:val="16"/>
                <w:szCs w:val="16"/>
              </w:rPr>
              <w:t xml:space="preserve">  </w:t>
            </w:r>
          </w:p>
        </w:tc>
        <w:tc>
          <w:tcPr>
            <w:tcW w:w="2080" w:type="dxa"/>
            <w:shd w:val="clear" w:color="auto" w:fill="auto"/>
          </w:tcPr>
          <w:p w14:paraId="3145D9CF" w14:textId="77777777" w:rsidR="00BF6B8F" w:rsidRPr="0017189C" w:rsidRDefault="00BF6B8F" w:rsidP="00196C48">
            <w:pPr>
              <w:rPr>
                <w:rFonts w:eastAsia="Times New Roman" w:cstheme="minorHAnsi"/>
                <w:sz w:val="16"/>
                <w:szCs w:val="16"/>
              </w:rPr>
            </w:pPr>
            <w:r>
              <w:rPr>
                <w:rFonts w:eastAsia="Times New Roman" w:cstheme="minorHAnsi"/>
                <w:sz w:val="16"/>
                <w:szCs w:val="16"/>
              </w:rPr>
              <w:t xml:space="preserve">With respect to OTC derivatives, </w:t>
            </w:r>
            <w:r w:rsidRPr="0017189C">
              <w:rPr>
                <w:rFonts w:eastAsia="Times New Roman" w:cstheme="minorHAnsi"/>
                <w:sz w:val="16"/>
                <w:szCs w:val="16"/>
              </w:rPr>
              <w:t>EMIR Refit transferred reporting responsibility to Financial Counterparties</w:t>
            </w:r>
            <w:r>
              <w:rPr>
                <w:rFonts w:eastAsia="Times New Roman" w:cstheme="minorHAnsi"/>
                <w:sz w:val="16"/>
                <w:szCs w:val="16"/>
              </w:rPr>
              <w:t xml:space="preserve"> and introduced the intragroup exemption</w:t>
            </w:r>
            <w:r w:rsidRPr="0017189C">
              <w:rPr>
                <w:rFonts w:eastAsia="Times New Roman" w:cstheme="minorHAnsi"/>
                <w:sz w:val="16"/>
                <w:szCs w:val="16"/>
              </w:rPr>
              <w:t xml:space="preserve">, though most large </w:t>
            </w:r>
            <w:r w:rsidRPr="0017189C">
              <w:rPr>
                <w:rFonts w:eastAsia="Times New Roman" w:cstheme="minorHAnsi"/>
                <w:sz w:val="16"/>
                <w:szCs w:val="16"/>
              </w:rPr>
              <w:lastRenderedPageBreak/>
              <w:t>Non-Financial Counterparties are obliged to keep their own reporting systems in place because of the several exceptions</w:t>
            </w:r>
          </w:p>
        </w:tc>
      </w:tr>
      <w:tr w:rsidR="00BF6B8F" w:rsidRPr="0017189C" w14:paraId="0D6B1D7A" w14:textId="77777777" w:rsidTr="00196C48">
        <w:tc>
          <w:tcPr>
            <w:tcW w:w="1166" w:type="dxa"/>
            <w:shd w:val="clear" w:color="auto" w:fill="auto"/>
          </w:tcPr>
          <w:p w14:paraId="2455BE9E"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lastRenderedPageBreak/>
              <w:t>REMIT</w:t>
            </w:r>
          </w:p>
        </w:tc>
        <w:tc>
          <w:tcPr>
            <w:tcW w:w="1141" w:type="dxa"/>
            <w:shd w:val="clear" w:color="auto" w:fill="auto"/>
          </w:tcPr>
          <w:p w14:paraId="087E829A" w14:textId="77777777" w:rsidR="00BF6B8F" w:rsidRPr="0017189C" w:rsidRDefault="00BF6B8F" w:rsidP="00196C48">
            <w:pPr>
              <w:rPr>
                <w:rFonts w:eastAsia="Times New Roman" w:cstheme="minorHAnsi"/>
                <w:b/>
                <w:sz w:val="16"/>
                <w:szCs w:val="16"/>
              </w:rPr>
            </w:pPr>
            <w:r>
              <w:rPr>
                <w:rFonts w:eastAsia="Times New Roman" w:cstheme="minorHAnsi"/>
                <w:b/>
                <w:sz w:val="16"/>
                <w:szCs w:val="16"/>
              </w:rPr>
              <w:t xml:space="preserve">NRAs and </w:t>
            </w:r>
            <w:r w:rsidRPr="0017189C">
              <w:rPr>
                <w:rFonts w:eastAsia="Times New Roman" w:cstheme="minorHAnsi"/>
                <w:b/>
                <w:sz w:val="16"/>
                <w:szCs w:val="16"/>
              </w:rPr>
              <w:t>ACER</w:t>
            </w:r>
          </w:p>
        </w:tc>
        <w:tc>
          <w:tcPr>
            <w:tcW w:w="1701" w:type="dxa"/>
            <w:shd w:val="clear" w:color="auto" w:fill="auto"/>
          </w:tcPr>
          <w:p w14:paraId="78650131"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 xml:space="preserve">Wholesale energy </w:t>
            </w:r>
            <w:r>
              <w:rPr>
                <w:rFonts w:eastAsia="Times New Roman" w:cstheme="minorHAnsi"/>
                <w:sz w:val="16"/>
                <w:szCs w:val="16"/>
              </w:rPr>
              <w:t xml:space="preserve">products </w:t>
            </w:r>
            <w:r w:rsidRPr="0017189C">
              <w:rPr>
                <w:rFonts w:eastAsia="Times New Roman" w:cstheme="minorHAnsi"/>
                <w:sz w:val="16"/>
                <w:szCs w:val="16"/>
              </w:rPr>
              <w:t xml:space="preserve">(part of which </w:t>
            </w:r>
            <w:r>
              <w:rPr>
                <w:rFonts w:eastAsia="Times New Roman" w:cstheme="minorHAnsi"/>
                <w:sz w:val="16"/>
                <w:szCs w:val="16"/>
              </w:rPr>
              <w:t xml:space="preserve">are </w:t>
            </w:r>
            <w:r w:rsidRPr="0017189C">
              <w:rPr>
                <w:rFonts w:eastAsia="Times New Roman" w:cstheme="minorHAnsi"/>
                <w:sz w:val="16"/>
                <w:szCs w:val="16"/>
              </w:rPr>
              <w:t xml:space="preserve">derivatives under MiFID II) and </w:t>
            </w:r>
            <w:r w:rsidRPr="0017189C">
              <w:rPr>
                <w:rFonts w:eastAsia="Times New Roman" w:cstheme="minorHAnsi"/>
                <w:sz w:val="16"/>
                <w:szCs w:val="16"/>
                <w:u w:val="single"/>
              </w:rPr>
              <w:t>relative orders</w:t>
            </w:r>
            <w:r w:rsidRPr="0017189C">
              <w:rPr>
                <w:rFonts w:eastAsia="Times New Roman" w:cstheme="minorHAnsi"/>
                <w:sz w:val="16"/>
                <w:szCs w:val="16"/>
              </w:rPr>
              <w:t xml:space="preserve"> </w:t>
            </w:r>
          </w:p>
        </w:tc>
        <w:tc>
          <w:tcPr>
            <w:tcW w:w="1417" w:type="dxa"/>
            <w:shd w:val="clear" w:color="auto" w:fill="auto"/>
          </w:tcPr>
          <w:p w14:paraId="55EBBE4B"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Market surveillance (market abuse, market manipulation, insider trading);</w:t>
            </w:r>
          </w:p>
          <w:p w14:paraId="4FF02913"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Transparency.</w:t>
            </w:r>
          </w:p>
        </w:tc>
        <w:tc>
          <w:tcPr>
            <w:tcW w:w="1701" w:type="dxa"/>
            <w:shd w:val="clear" w:color="auto" w:fill="auto"/>
          </w:tcPr>
          <w:p w14:paraId="4B6491F9"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Fully centralised IT system ARIS directly managed by ACER</w:t>
            </w:r>
          </w:p>
        </w:tc>
        <w:tc>
          <w:tcPr>
            <w:tcW w:w="2080" w:type="dxa"/>
            <w:shd w:val="clear" w:color="auto" w:fill="auto"/>
          </w:tcPr>
          <w:p w14:paraId="6C40CFA7"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REMIT is sharing with MAR the same regulatory objectives in term of market surveillance (market abuse, market manipulation and insider trading)</w:t>
            </w:r>
          </w:p>
        </w:tc>
      </w:tr>
      <w:tr w:rsidR="00BF6B8F" w:rsidRPr="0017189C" w14:paraId="10E59BB7" w14:textId="77777777" w:rsidTr="00196C48">
        <w:tc>
          <w:tcPr>
            <w:tcW w:w="1166" w:type="dxa"/>
            <w:shd w:val="clear" w:color="auto" w:fill="auto"/>
          </w:tcPr>
          <w:p w14:paraId="615682B2"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MAR</w:t>
            </w:r>
          </w:p>
        </w:tc>
        <w:tc>
          <w:tcPr>
            <w:tcW w:w="1141" w:type="dxa"/>
            <w:shd w:val="clear" w:color="auto" w:fill="auto"/>
          </w:tcPr>
          <w:p w14:paraId="4EE0DB67" w14:textId="77777777" w:rsidR="00BF6B8F" w:rsidRPr="0017189C" w:rsidRDefault="00BF6B8F" w:rsidP="00196C48">
            <w:pPr>
              <w:rPr>
                <w:rFonts w:eastAsia="Times New Roman" w:cstheme="minorHAnsi"/>
                <w:b/>
                <w:sz w:val="16"/>
                <w:szCs w:val="16"/>
              </w:rPr>
            </w:pPr>
            <w:r w:rsidRPr="0017189C">
              <w:rPr>
                <w:rFonts w:eastAsia="Times New Roman" w:cstheme="minorHAnsi"/>
                <w:b/>
                <w:sz w:val="16"/>
                <w:szCs w:val="16"/>
              </w:rPr>
              <w:t>NCAs and ESMA</w:t>
            </w:r>
          </w:p>
        </w:tc>
        <w:tc>
          <w:tcPr>
            <w:tcW w:w="1701" w:type="dxa"/>
            <w:shd w:val="clear" w:color="auto" w:fill="auto"/>
          </w:tcPr>
          <w:p w14:paraId="234DD81C"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 xml:space="preserve">Financial derivatives and </w:t>
            </w:r>
            <w:r w:rsidRPr="0017189C">
              <w:rPr>
                <w:rFonts w:eastAsia="Times New Roman" w:cstheme="minorHAnsi"/>
                <w:sz w:val="16"/>
                <w:szCs w:val="16"/>
                <w:u w:val="single"/>
              </w:rPr>
              <w:t>relative orders</w:t>
            </w:r>
            <w:r w:rsidRPr="0017189C">
              <w:rPr>
                <w:rFonts w:eastAsia="Times New Roman" w:cstheme="minorHAnsi"/>
                <w:sz w:val="16"/>
                <w:szCs w:val="16"/>
              </w:rPr>
              <w:t xml:space="preserve"> (all asset classes either TOTV and OTC)</w:t>
            </w:r>
          </w:p>
        </w:tc>
        <w:tc>
          <w:tcPr>
            <w:tcW w:w="1417" w:type="dxa"/>
            <w:shd w:val="clear" w:color="auto" w:fill="auto"/>
          </w:tcPr>
          <w:p w14:paraId="7C686DE7"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Market surveillance (market abuse, market manipulation, insider trading)</w:t>
            </w:r>
          </w:p>
        </w:tc>
        <w:tc>
          <w:tcPr>
            <w:tcW w:w="1701" w:type="dxa"/>
            <w:shd w:val="clear" w:color="auto" w:fill="auto"/>
          </w:tcPr>
          <w:p w14:paraId="4D4D3EEA"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STOR (IT system implemented internally by NFCs and FCs)</w:t>
            </w:r>
          </w:p>
        </w:tc>
        <w:tc>
          <w:tcPr>
            <w:tcW w:w="2080" w:type="dxa"/>
            <w:shd w:val="clear" w:color="auto" w:fill="auto"/>
          </w:tcPr>
          <w:p w14:paraId="2773648F" w14:textId="77777777" w:rsidR="00BF6B8F" w:rsidRPr="0017189C" w:rsidRDefault="00BF6B8F" w:rsidP="00196C48">
            <w:pPr>
              <w:rPr>
                <w:rFonts w:eastAsia="Times New Roman" w:cstheme="minorHAnsi"/>
                <w:sz w:val="16"/>
                <w:szCs w:val="16"/>
              </w:rPr>
            </w:pPr>
            <w:r w:rsidRPr="0017189C">
              <w:rPr>
                <w:rFonts w:eastAsia="Times New Roman" w:cstheme="minorHAnsi"/>
                <w:sz w:val="16"/>
                <w:szCs w:val="16"/>
              </w:rPr>
              <w:t>All trades and orders have to be internally checked by STOR but only suspicious ones have to be reported to Authorities</w:t>
            </w:r>
          </w:p>
        </w:tc>
      </w:tr>
      <w:bookmarkEnd w:id="4"/>
    </w:tbl>
    <w:p w14:paraId="5393862F" w14:textId="77777777" w:rsidR="00BF6B8F" w:rsidRPr="0017189C" w:rsidRDefault="00BF6B8F" w:rsidP="00BF6B8F">
      <w:pPr>
        <w:rPr>
          <w:rFonts w:ascii="Times New Roman" w:eastAsia="Times New Roman" w:hAnsi="Times New Roman" w:cs="Times New Roman"/>
          <w:color w:val="2E74B5" w:themeColor="accent1" w:themeShade="BF"/>
          <w:sz w:val="24"/>
        </w:rPr>
      </w:pPr>
    </w:p>
    <w:p w14:paraId="5D8F9695" w14:textId="77777777" w:rsidR="00BF6B8F" w:rsidRPr="0017189C" w:rsidRDefault="00BF6B8F" w:rsidP="003846EA">
      <w:pPr>
        <w:rPr>
          <w:rFonts w:eastAsia="Times New Roman"/>
        </w:rPr>
      </w:pPr>
      <w:bookmarkStart w:id="5" w:name="_Hlk508816898"/>
      <w:bookmarkStart w:id="6" w:name="_Hlk508813129"/>
      <w:r w:rsidRPr="0017189C">
        <w:rPr>
          <w:rFonts w:eastAsia="Times New Roman"/>
        </w:rPr>
        <w:t xml:space="preserve">As highlighted in the table above, </w:t>
      </w:r>
      <w:bookmarkEnd w:id="5"/>
      <w:r w:rsidRPr="0017189C">
        <w:rPr>
          <w:rFonts w:eastAsia="Times New Roman" w:cstheme="minorHAnsi"/>
        </w:rPr>
        <w:t>co</w:t>
      </w:r>
      <w:r w:rsidRPr="0017189C">
        <w:rPr>
          <w:rFonts w:eastAsia="Times New Roman"/>
        </w:rPr>
        <w:t>nsidering the very same perimeter of derivatives, there is a significant overlap of supervisory reporting, with commodity derivatives being the most affected, the main obstacle to convergence being the different IT platforms involved.</w:t>
      </w:r>
    </w:p>
    <w:p w14:paraId="6890C657" w14:textId="77777777" w:rsidR="00BF6B8F" w:rsidRPr="0017189C" w:rsidRDefault="00BF6B8F" w:rsidP="003846EA">
      <w:pPr>
        <w:rPr>
          <w:rFonts w:eastAsia="Times New Roman"/>
        </w:rPr>
      </w:pPr>
      <w:r>
        <w:rPr>
          <w:rFonts w:eastAsia="Times New Roman"/>
        </w:rPr>
        <w:t xml:space="preserve">To identify a single reporting stream </w:t>
      </w:r>
      <w:r w:rsidRPr="0017189C">
        <w:rPr>
          <w:rFonts w:eastAsia="Times New Roman"/>
        </w:rPr>
        <w:t xml:space="preserve">between MiFID and EMIR </w:t>
      </w:r>
      <w:r>
        <w:rPr>
          <w:rFonts w:eastAsia="Times New Roman"/>
        </w:rPr>
        <w:t xml:space="preserve">to be used for both </w:t>
      </w:r>
      <w:r w:rsidRPr="0017189C">
        <w:rPr>
          <w:rFonts w:eastAsia="Times New Roman"/>
        </w:rPr>
        <w:t>purposes</w:t>
      </w:r>
      <w:r>
        <w:rPr>
          <w:rFonts w:eastAsia="Times New Roman"/>
        </w:rPr>
        <w:t xml:space="preserve"> </w:t>
      </w:r>
      <w:r w:rsidRPr="0017189C">
        <w:rPr>
          <w:rFonts w:eastAsia="Times New Roman"/>
        </w:rPr>
        <w:t>ESMA, in accordance to EC mandates under art 26(10) of MiFIR and under EMIR Refit and in view of new EC objectives in term of sustainability and digitalization, should launch a technical assessment of current IT architectures underlying the different reporting regimes with the following main objectives:</w:t>
      </w:r>
    </w:p>
    <w:p w14:paraId="1515ED3F" w14:textId="77777777" w:rsidR="00BF6B8F" w:rsidRPr="00BF6B8F" w:rsidRDefault="00BF6B8F" w:rsidP="003846EA">
      <w:pPr>
        <w:pStyle w:val="ListParagraph"/>
        <w:numPr>
          <w:ilvl w:val="0"/>
          <w:numId w:val="10"/>
        </w:numPr>
        <w:spacing w:after="160"/>
        <w:contextualSpacing/>
        <w:rPr>
          <w:rFonts w:eastAsia="Times New Roman"/>
          <w:lang w:val="en-GB"/>
        </w:rPr>
      </w:pPr>
      <w:r w:rsidRPr="00BF6B8F">
        <w:rPr>
          <w:rFonts w:eastAsia="Times New Roman"/>
          <w:lang w:val="en-GB"/>
        </w:rPr>
        <w:t>Completing the standardization of reference data, formats, interfaces and communicating protocols;</w:t>
      </w:r>
    </w:p>
    <w:p w14:paraId="053B441C" w14:textId="77777777" w:rsidR="00BF6B8F" w:rsidRPr="00BF6B8F" w:rsidRDefault="00BF6B8F" w:rsidP="003846EA">
      <w:pPr>
        <w:pStyle w:val="ListParagraph"/>
        <w:numPr>
          <w:ilvl w:val="0"/>
          <w:numId w:val="10"/>
        </w:numPr>
        <w:spacing w:after="160"/>
        <w:contextualSpacing/>
        <w:rPr>
          <w:rFonts w:eastAsia="Times New Roman"/>
          <w:lang w:val="en-GB"/>
        </w:rPr>
      </w:pPr>
      <w:r w:rsidRPr="00BF6B8F">
        <w:rPr>
          <w:rFonts w:eastAsia="Times New Roman"/>
          <w:lang w:val="en-GB"/>
        </w:rPr>
        <w:t>defining a single exhaustive set of information required and verify when information are needed at transaction level or at position level (most information might remain at disposal of competent authorities for ad hoc controls on local databases of TV/CCPs while data flows might be limited to reports on aggregated positions calculated locally);</w:t>
      </w:r>
    </w:p>
    <w:p w14:paraId="4DB09ED1" w14:textId="77777777" w:rsidR="00BF6B8F" w:rsidRPr="00BF6B8F" w:rsidRDefault="00BF6B8F" w:rsidP="003846EA">
      <w:pPr>
        <w:pStyle w:val="ListParagraph"/>
        <w:numPr>
          <w:ilvl w:val="0"/>
          <w:numId w:val="10"/>
        </w:numPr>
        <w:spacing w:after="160"/>
        <w:contextualSpacing/>
        <w:rPr>
          <w:rFonts w:eastAsia="Times New Roman"/>
          <w:lang w:val="en-GB"/>
        </w:rPr>
      </w:pPr>
      <w:r w:rsidRPr="00BF6B8F">
        <w:rPr>
          <w:rFonts w:eastAsia="Times New Roman"/>
          <w:lang w:val="en-GB"/>
        </w:rPr>
        <w:t>Leveraging IT platforms of Trading Venues/CCPs for all financial instruments TOTV (i.e. electronically traded including SI), excluding the direct involvement of market participants proprietary IT systems (other than data) which is undermining data quality and standardization;</w:t>
      </w:r>
    </w:p>
    <w:p w14:paraId="0BC99E0E" w14:textId="77777777" w:rsidR="00BF6B8F" w:rsidRPr="00BF6B8F" w:rsidRDefault="00BF6B8F" w:rsidP="003846EA">
      <w:pPr>
        <w:pStyle w:val="ListParagraph"/>
        <w:numPr>
          <w:ilvl w:val="0"/>
          <w:numId w:val="10"/>
        </w:numPr>
        <w:spacing w:after="160"/>
        <w:contextualSpacing/>
        <w:rPr>
          <w:rFonts w:eastAsia="Times New Roman"/>
          <w:lang w:val="en-GB"/>
        </w:rPr>
      </w:pPr>
      <w:r w:rsidRPr="00BF6B8F">
        <w:rPr>
          <w:rFonts w:eastAsia="Times New Roman"/>
          <w:lang w:val="en-GB"/>
        </w:rPr>
        <w:lastRenderedPageBreak/>
        <w:t>Clarifying/Simplifying the role of Trade Repositories for EMIR reporting with respect to the FIRDS-TREM-HUB based IT architecture for MiFIR transaction and reference data reporting, in view of a further harmonization with MAR and REMIT reporting.</w:t>
      </w:r>
    </w:p>
    <w:p w14:paraId="6D3B7313" w14:textId="722B2259" w:rsidR="000B0D26" w:rsidRPr="00BF6B8F" w:rsidRDefault="00BF6B8F" w:rsidP="003846EA">
      <w:pPr>
        <w:rPr>
          <w:rFonts w:eastAsia="Times New Roman"/>
        </w:rPr>
      </w:pPr>
      <w:r w:rsidRPr="0017189C">
        <w:rPr>
          <w:rFonts w:eastAsia="Times New Roman"/>
        </w:rPr>
        <w:t>Such assessment should take into account new available digital developments (Big Data and Data Lake architectures, hedge computing, distributed ledger technologies, AI applications) in order to develop an IT architecture in line with EU new objectives in term of sustainability (efficient use of resources) and digitalization.</w:t>
      </w:r>
      <w:bookmarkEnd w:id="6"/>
    </w:p>
    <w:permEnd w:id="869752172"/>
    <w:p w14:paraId="1CBA93AC" w14:textId="77777777" w:rsidR="000B0D26" w:rsidRDefault="000B0D26" w:rsidP="000B0D26">
      <w:r>
        <w:t>&lt;ESMA_QUESTION_TRRF_29&gt;</w:t>
      </w:r>
    </w:p>
    <w:p w14:paraId="3CBFE9F4" w14:textId="77777777" w:rsidR="000B0D26" w:rsidRDefault="000B0D26" w:rsidP="000B0D26"/>
    <w:p w14:paraId="297EFF86" w14:textId="77777777" w:rsidR="000B0D26" w:rsidRDefault="000B0D26" w:rsidP="00990D80">
      <w:pPr>
        <w:pStyle w:val="Questionstyle"/>
      </w:pPr>
      <w:r>
        <w:t>: Do you foresee any challenges with the outlined approach? If yes, please explain and provide alternative proposals.</w:t>
      </w:r>
    </w:p>
    <w:p w14:paraId="081D6EE8" w14:textId="77777777" w:rsidR="000B0D26" w:rsidRDefault="000B0D26" w:rsidP="000B0D26">
      <w:r>
        <w:t>&lt;ESMA_QUESTION_TRRF_30&gt;</w:t>
      </w:r>
    </w:p>
    <w:p w14:paraId="6C3468BC" w14:textId="77777777" w:rsidR="000B0D26" w:rsidRDefault="000B0D26" w:rsidP="000B0D26">
      <w:permStart w:id="1581188992" w:edGrp="everyone"/>
      <w:r>
        <w:t>TYPE YOUR TEXT HERE</w:t>
      </w:r>
    </w:p>
    <w:permEnd w:id="1581188992"/>
    <w:p w14:paraId="31A2E5D0" w14:textId="77777777" w:rsidR="000B0D26" w:rsidRDefault="000B0D26" w:rsidP="000B0D26">
      <w:r>
        <w:t>&lt;ESMA_QUESTION_TRRF_30&gt;</w:t>
      </w:r>
    </w:p>
    <w:p w14:paraId="51573D98" w14:textId="77777777" w:rsidR="000B0D26" w:rsidRDefault="000B0D26" w:rsidP="000B0D26"/>
    <w:p w14:paraId="1AE2D2AD" w14:textId="77777777" w:rsidR="000B0D26" w:rsidRDefault="000B0D26" w:rsidP="00990D80">
      <w:pPr>
        <w:pStyle w:val="Questionstyle"/>
      </w:pPr>
      <w:r>
        <w:t>: Are there any specific aspects relating to the ISIN granularity reported in reference data which need to be addressed? Is the current precision and granularity of ISIN appropriate or is (for certain asset classes) a different granularity more appropriate?</w:t>
      </w:r>
    </w:p>
    <w:p w14:paraId="0AB90441" w14:textId="77777777" w:rsidR="000B0D26" w:rsidRDefault="000B0D26" w:rsidP="000B0D26">
      <w:r>
        <w:t>&lt;ESMA_QUESTION_TRRF_31&gt;</w:t>
      </w:r>
    </w:p>
    <w:p w14:paraId="76E4D713" w14:textId="77777777" w:rsidR="000B0D26" w:rsidRDefault="000B0D26" w:rsidP="000B0D26">
      <w:permStart w:id="1580817176" w:edGrp="everyone"/>
      <w:r>
        <w:t>TYPE YOUR TEXT HERE</w:t>
      </w:r>
    </w:p>
    <w:permEnd w:id="1580817176"/>
    <w:p w14:paraId="441BED36" w14:textId="77777777" w:rsidR="000B0D26" w:rsidRDefault="000B0D26" w:rsidP="000B0D26">
      <w:r>
        <w:t>&lt;ESMA_QUESTION_TRRF_31&gt;</w:t>
      </w:r>
    </w:p>
    <w:p w14:paraId="7E680D73" w14:textId="77777777" w:rsidR="000B0D26" w:rsidRDefault="000B0D26" w:rsidP="000B0D26"/>
    <w:p w14:paraId="78D8F700" w14:textId="77777777" w:rsidR="000B0D26" w:rsidRDefault="000B0D26" w:rsidP="00990D80">
      <w:pPr>
        <w:pStyle w:val="Questionstyle"/>
      </w:pPr>
      <w:r>
        <w:t>: Do you foresee any challenges with the outlined approach? If yes, please explain and provide alternative proposals.</w:t>
      </w:r>
    </w:p>
    <w:p w14:paraId="3688AF84" w14:textId="77777777" w:rsidR="000B0D26" w:rsidRDefault="000B0D26" w:rsidP="000B0D26">
      <w:r>
        <w:t>&lt;ESMA_QUESTION_TRRF_32&gt;</w:t>
      </w:r>
    </w:p>
    <w:p w14:paraId="34C21FD0" w14:textId="77777777" w:rsidR="000B0D26" w:rsidRDefault="000B0D26" w:rsidP="000B0D26">
      <w:permStart w:id="1128496454" w:edGrp="everyone"/>
      <w:r>
        <w:t>TYPE YOUR TEXT HERE</w:t>
      </w:r>
    </w:p>
    <w:permEnd w:id="1128496454"/>
    <w:p w14:paraId="164B45A2" w14:textId="77777777" w:rsidR="000B0D26" w:rsidRDefault="000B0D26" w:rsidP="000B0D26">
      <w:r>
        <w:lastRenderedPageBreak/>
        <w:t>&lt;ESMA_QUESTION_TRRF_32&gt;</w:t>
      </w:r>
    </w:p>
    <w:p w14:paraId="60BB0DE0" w14:textId="77777777" w:rsidR="000B0D26" w:rsidRDefault="000B0D26" w:rsidP="000B0D26"/>
    <w:p w14:paraId="031022CB" w14:textId="77777777" w:rsidR="000B0D26" w:rsidRDefault="000B0D26" w:rsidP="00990D80">
      <w:pPr>
        <w:pStyle w:val="Questionstyle"/>
      </w:pPr>
      <w:r>
        <w:t>: Do you foresee any challenges with the outlined approach? If yes, please explain and provide alternative proposals.</w:t>
      </w:r>
    </w:p>
    <w:p w14:paraId="1D13861D" w14:textId="77777777" w:rsidR="000B0D26" w:rsidRDefault="000B0D26" w:rsidP="000B0D26">
      <w:r>
        <w:t>&lt;ESMA_QUESTION_TRRF_33&gt;</w:t>
      </w:r>
    </w:p>
    <w:p w14:paraId="110CBB24" w14:textId="77777777" w:rsidR="000B0D26" w:rsidRDefault="000B0D26" w:rsidP="000B0D26">
      <w:permStart w:id="546641594" w:edGrp="everyone"/>
      <w:r>
        <w:t>TYPE YOUR TEXT HERE</w:t>
      </w:r>
    </w:p>
    <w:permEnd w:id="546641594"/>
    <w:p w14:paraId="30740BD3" w14:textId="77777777" w:rsidR="000B0D26" w:rsidRDefault="000B0D26" w:rsidP="000B0D26">
      <w:r>
        <w:t>&lt;ESMA_QUESTION_TRRF_33&gt;</w:t>
      </w:r>
    </w:p>
    <w:p w14:paraId="5EAB6EA3" w14:textId="17401C58" w:rsidR="001B4996" w:rsidRDefault="001B4996" w:rsidP="000B0D26">
      <w:pPr>
        <w:rPr>
          <w:rFonts w:asciiTheme="majorHAnsi" w:eastAsiaTheme="majorEastAsia" w:hAnsiTheme="majorHAnsi" w:cstheme="majorBidi"/>
          <w:sz w:val="32"/>
          <w:szCs w:val="32"/>
        </w:rPr>
      </w:pPr>
    </w:p>
    <w:sectPr w:rsidR="001B4996" w:rsidSect="004242B3">
      <w:headerReference w:type="default" r:id="rId21"/>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6A858" w14:textId="77777777" w:rsidR="00894658" w:rsidRDefault="00894658" w:rsidP="007E7997">
      <w:pPr>
        <w:spacing w:line="240" w:lineRule="auto"/>
      </w:pPr>
      <w:r>
        <w:separator/>
      </w:r>
    </w:p>
  </w:endnote>
  <w:endnote w:type="continuationSeparator" w:id="0">
    <w:p w14:paraId="04C3CAEA" w14:textId="77777777" w:rsidR="00894658" w:rsidRDefault="00894658" w:rsidP="007E7997">
      <w:pPr>
        <w:spacing w:line="240" w:lineRule="auto"/>
      </w:pPr>
      <w:r>
        <w:continuationSeparator/>
      </w:r>
    </w:p>
  </w:endnote>
  <w:endnote w:type="continuationNotice" w:id="1">
    <w:p w14:paraId="13E5C3C8" w14:textId="77777777" w:rsidR="00894658" w:rsidRDefault="00894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A7C3" w14:textId="1B9FF0D1" w:rsidR="001B50AB" w:rsidRDefault="001B50AB"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4A7C5F">
      <w:rPr>
        <w:rFonts w:asciiTheme="majorHAnsi" w:hAnsiTheme="majorHAnsi"/>
        <w:color w:val="FFFFFF" w:themeColor="background1"/>
      </w:rPr>
      <w:t xml:space="preserve">28 September 2020 | </w:t>
    </w:r>
    <w:r>
      <w:rPr>
        <w:rFonts w:asciiTheme="majorHAnsi" w:hAnsiTheme="majorHAnsi"/>
        <w:color w:val="FFFFFF" w:themeColor="background1"/>
      </w:rPr>
      <w:t>ESMA</w:t>
    </w:r>
    <w:r w:rsidRPr="00015EB6">
      <w:rPr>
        <w:rFonts w:asciiTheme="majorHAnsi" w:hAnsiTheme="majorHAnsi"/>
        <w:color w:val="FFFFFF" w:themeColor="background1"/>
      </w:rPr>
      <w:t>74-362-</w:t>
    </w:r>
    <w:r w:rsidR="00015EB6" w:rsidRPr="00015EB6">
      <w:rPr>
        <w:rFonts w:asciiTheme="majorHAnsi" w:hAnsiTheme="majorHAnsi"/>
        <w:color w:val="FFFFFF" w:themeColor="background1"/>
      </w:rPr>
      <w:t>887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616098339"/>
      <w:docPartObj>
        <w:docPartGallery w:val="Page Numbers (Bottom of Page)"/>
        <w:docPartUnique/>
      </w:docPartObj>
    </w:sdtPr>
    <w:sdtEndPr>
      <w:rPr>
        <w:noProof/>
      </w:rPr>
    </w:sdtEndPr>
    <w:sdtContent>
      <w:p w14:paraId="5072420F" w14:textId="77777777" w:rsidR="00E862D0" w:rsidRPr="008F1DCF" w:rsidRDefault="00E862D0"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1B50AB" w:rsidRDefault="001B50AB" w:rsidP="00FB24ED">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BFDC5" w14:textId="77777777" w:rsidR="00894658" w:rsidRDefault="00894658" w:rsidP="007E7997">
      <w:pPr>
        <w:spacing w:line="240" w:lineRule="auto"/>
      </w:pPr>
      <w:r>
        <w:separator/>
      </w:r>
    </w:p>
  </w:footnote>
  <w:footnote w:type="continuationSeparator" w:id="0">
    <w:p w14:paraId="32A0AFA4" w14:textId="77777777" w:rsidR="00894658" w:rsidRDefault="00894658" w:rsidP="007E7997">
      <w:pPr>
        <w:spacing w:line="240" w:lineRule="auto"/>
      </w:pPr>
      <w:r>
        <w:continuationSeparator/>
      </w:r>
    </w:p>
  </w:footnote>
  <w:footnote w:type="continuationNotice" w:id="1">
    <w:p w14:paraId="75BBF782" w14:textId="77777777" w:rsidR="00894658" w:rsidRDefault="00894658">
      <w:pPr>
        <w:spacing w:after="0" w:line="240" w:lineRule="auto"/>
      </w:pPr>
    </w:p>
  </w:footnote>
  <w:footnote w:id="2">
    <w:p w14:paraId="5D137D96" w14:textId="77777777" w:rsidR="00BF6B8F" w:rsidRPr="00DC657E" w:rsidRDefault="00BF6B8F" w:rsidP="00BF6B8F">
      <w:pPr>
        <w:pStyle w:val="CommentText"/>
      </w:pPr>
      <w:r>
        <w:rPr>
          <w:rStyle w:val="FootnoteReference"/>
        </w:rPr>
        <w:footnoteRef/>
      </w:r>
      <w:r>
        <w:t xml:space="preserve"> Though not directly subjected to reporting obligation, NFC are nevertheless required to provide</w:t>
      </w:r>
      <w:r w:rsidRPr="00411518">
        <w:t xml:space="preserve"> Trading Venues with some details of their trades</w:t>
      </w:r>
      <w:r>
        <w:t>. This could be addressed by updating contractual 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2" w14:textId="77777777" w:rsidR="001B50AB" w:rsidRDefault="001B50AB">
    <w:pPr>
      <w:pStyle w:val="Header"/>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86B2" w14:textId="77777777" w:rsidR="00E862D0" w:rsidRPr="003669AC" w:rsidRDefault="00E862D0" w:rsidP="006C5A3D">
    <w:pPr>
      <w:pStyle w:val="Header"/>
      <w:ind w:left="708"/>
      <w:jc w:val="right"/>
    </w:pPr>
  </w:p>
  <w:p w14:paraId="77899FEE" w14:textId="1FBF18B1" w:rsidR="00E862D0" w:rsidRDefault="00E862D0" w:rsidP="00E862D0">
    <w:pPr>
      <w:pStyle w:val="Header"/>
      <w:ind w:left="6663"/>
      <w:jc w:val="right"/>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p w14:paraId="01230929" w14:textId="77777777" w:rsidR="00E862D0" w:rsidRPr="008F1DCF" w:rsidRDefault="00E862D0" w:rsidP="00E862D0">
    <w:pPr>
      <w:pStyle w:val="Header"/>
      <w:ind w:left="6663"/>
      <w:jc w:val="right"/>
      <w:rPr>
        <w:rFonts w:asciiTheme="majorHAnsi" w:hAnsiTheme="majorHAnsi" w:cstheme="majorHAnsi"/>
        <w:color w:val="2F5496" w:themeColor="accent5" w:themeShade="BF"/>
        <w:sz w:val="20"/>
      </w:rPr>
    </w:pPr>
  </w:p>
  <w:p w14:paraId="75DBFCE3" w14:textId="77777777" w:rsidR="00E862D0" w:rsidRDefault="00E862D0" w:rsidP="006C5A3D">
    <w:pPr>
      <w:pStyle w:val="Header"/>
      <w:ind w:left="6663"/>
      <w:rPr>
        <w:color w:val="FF0000"/>
        <w:sz w:val="20"/>
      </w:rPr>
    </w:pPr>
  </w:p>
  <w:p w14:paraId="13818030" w14:textId="77777777" w:rsidR="00E862D0" w:rsidRDefault="00E862D0">
    <w:pPr>
      <w:pStyle w:val="Header"/>
    </w:pPr>
    <w:r>
      <w:rPr>
        <w:noProof/>
      </w:rPr>
      <w:drawing>
        <wp:anchor distT="0" distB="0" distL="114300" distR="114300" simplePos="0" relativeHeight="251660291" behindDoc="0" locked="0" layoutInCell="1" allowOverlap="1" wp14:anchorId="4E8AA342" wp14:editId="37A5FD95">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7253" w14:textId="77777777" w:rsidR="00E862D0" w:rsidRDefault="00E862D0">
    <w:pPr>
      <w:pStyle w:val="Header"/>
    </w:pPr>
  </w:p>
  <w:p w14:paraId="2085CF44" w14:textId="77777777" w:rsidR="00E862D0" w:rsidRDefault="00E862D0">
    <w:pPr>
      <w:pStyle w:val="Header"/>
    </w:pPr>
  </w:p>
  <w:p w14:paraId="486D39F2" w14:textId="77777777" w:rsidR="00E862D0" w:rsidRDefault="00E862D0">
    <w:pPr>
      <w:pStyle w:val="Header"/>
    </w:pPr>
    <w:r>
      <w:rPr>
        <w:noProof/>
      </w:rPr>
      <w:drawing>
        <wp:anchor distT="0" distB="0" distL="114300" distR="114300" simplePos="0" relativeHeight="251661315" behindDoc="0" locked="0" layoutInCell="1" allowOverlap="1" wp14:anchorId="75FE1877" wp14:editId="2FFD772E">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77777777" w:rsidR="001B50AB" w:rsidRDefault="001B50AB"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09AC"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Header"/>
      <w:jc w:val="right"/>
      <w:rPr>
        <w:color w:val="00B050"/>
        <w:sz w:val="20"/>
      </w:rPr>
    </w:pPr>
  </w:p>
  <w:p w14:paraId="08307736" w14:textId="2CB27F20" w:rsidR="00E862D0" w:rsidRPr="006D39E0" w:rsidRDefault="00E862D0" w:rsidP="00B50534">
    <w:pPr>
      <w:pStyle w:val="Header"/>
      <w:jc w:val="right"/>
      <w:rPr>
        <w:color w:val="00B050"/>
        <w:sz w:val="20"/>
      </w:rPr>
    </w:pPr>
  </w:p>
  <w:p w14:paraId="5EAB6EC6" w14:textId="77777777" w:rsidR="001B50AB" w:rsidRPr="00B50534" w:rsidRDefault="001B50AB"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85A5B"/>
    <w:multiLevelType w:val="hybridMultilevel"/>
    <w:tmpl w:val="31828E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52232B"/>
    <w:multiLevelType w:val="hybridMultilevel"/>
    <w:tmpl w:val="D0F043F8"/>
    <w:lvl w:ilvl="0" w:tplc="0C602F8A">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C41F1B"/>
    <w:multiLevelType w:val="hybridMultilevel"/>
    <w:tmpl w:val="1A1E2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9"/>
  </w:num>
  <w:num w:numId="3">
    <w:abstractNumId w:val="2"/>
  </w:num>
  <w:num w:numId="4">
    <w:abstractNumId w:val="6"/>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attachedTemplate r:id="rId1"/>
  <w:documentProtection w:edit="readOnly" w:enforcement="1" w:cryptProviderType="rsaAES" w:cryptAlgorithmClass="hash" w:cryptAlgorithmType="typeAny" w:cryptAlgorithmSid="14" w:cryptSpinCount="100000" w:hash="Lp/KsCVJ8UJVy+YCdnnKOnHThS4vJ78+CNikBBThYRY78R7x8CvBWm7d53U0X9HKlquJGFhbhcZipbRLbfK7pA==" w:salt="HjtKMDlpCVZEjWc329fvt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4853"/>
    <w:rsid w:val="001254A2"/>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46E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591B"/>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658"/>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6B8F"/>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4E1"/>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4815AE"/>
    <w:pPr>
      <w:numPr>
        <w:numId w:val="8"/>
      </w:numPr>
      <w:contextualSpacing/>
    </w:pPr>
    <w:rPr>
      <w:b/>
      <w:szCs w:val="22"/>
    </w:rPr>
  </w:style>
  <w:style w:type="character" w:customStyle="1" w:styleId="QuestionstyleChar">
    <w:name w:val="Question style Char"/>
    <w:basedOn w:val="DefaultParagraphFont"/>
    <w:link w:val="Questionstyle"/>
    <w:rsid w:val="004815AE"/>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ESMA74-362-887</_dlc_DocId>
    <TaxCatchAll xmlns="20fbe147-bbda-4e53-b6b1-7e8bbff3fe19">
      <Value>14</Value>
      <Value>45</Value>
      <Value>801</Value>
      <Value>91</Value>
    </TaxCatchAll>
    <_dlc_DocIdUrl xmlns="20fbe147-bbda-4e53-b6b1-7e8bbff3fe19">
      <Url>https://sherpa.esma.europa.eu/sites/MKT/MDP/_layouts/15/DocIdRedir.aspx?ID=ESMA74-362-887</Url>
      <Description>ESMA74-362-887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MITF</TermName>
          <TermId xmlns="http://schemas.microsoft.com/office/infopath/2007/PartnerControls">a0706370-0a24-486c-a476-21d9f6c624d8</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B319D08C-C201-48AF-BAD4-5D640F044587}">
  <ds:schemaRefs>
    <ds:schemaRef ds:uri="http://schemas.openxmlformats.org/officeDocument/2006/bibliography"/>
  </ds:schemaRefs>
</ds:datastoreItem>
</file>

<file path=customXml/itemProps3.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21</Pages>
  <Words>4154</Words>
  <Characters>23679</Characters>
  <Application>Microsoft Office Word</Application>
  <DocSecurity>8</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EuropeanIssuers</cp:lastModifiedBy>
  <cp:revision>4</cp:revision>
  <cp:lastPrinted>2017-07-24T14:47:00Z</cp:lastPrinted>
  <dcterms:created xsi:type="dcterms:W3CDTF">2020-11-20T11:26:00Z</dcterms:created>
  <dcterms:modified xsi:type="dcterms:W3CDTF">2020-11-20T11:44:00Z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2679e5f9-4f4e-4c1d-bfb3-37de1ae9d5b0</vt:lpwstr>
  </property>
  <property fmtid="{D5CDD505-2E9C-101B-9397-08002B2CF9AE}" pid="6" name="DocumentType">
    <vt:lpwstr>91;#Consultation Paper|c6238baf-c3d7-4bb8-8cf2-f28a89601f52</vt:lpwstr>
  </property>
  <property fmtid="{D5CDD505-2E9C-101B-9397-08002B2CF9AE}" pid="7" name="Topic">
    <vt:lpwstr>801;#MITF|a0706370-0a24-486c-a476-21d9f6c624d8</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