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bookmarkStart w:id="0" w:name="_GoBack"/>
      <w:bookmarkEnd w:id="0"/>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1"/>
          <w:footerReference w:type="first" r:id="rId12"/>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1" w:name="_DV_C641"/>
      <w:bookmarkEnd w:id="1"/>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3"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4"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5" w:history="1">
        <w:r w:rsidRPr="00AB6157">
          <w:rPr>
            <w:color w:val="0563C1" w:themeColor="hyperlink"/>
            <w:u w:val="single"/>
          </w:rPr>
          <w:t>www.esma.europa.eu</w:t>
        </w:r>
      </w:hyperlink>
      <w:r w:rsidRPr="00AB6157">
        <w:t xml:space="preserve"> under the heading </w:t>
      </w:r>
      <w:hyperlink r:id="rId16"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7"/>
          <w:footerReference w:type="default" r:id="rId18"/>
          <w:headerReference w:type="first" r:id="rId19"/>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2" w:name="_Toc515564428"/>
      <w:r w:rsidRPr="00C85C8B">
        <w:rPr>
          <w:rFonts w:asciiTheme="majorHAnsi" w:eastAsiaTheme="majorEastAsia" w:hAnsiTheme="majorHAnsi" w:cstheme="majorBidi"/>
          <w:b/>
          <w:sz w:val="32"/>
          <w:szCs w:val="32"/>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086AAB3B" w:rsidR="00997DA7" w:rsidRPr="00C85C8B" w:rsidRDefault="00AA696B" w:rsidP="00A402A0">
                <w:pPr>
                  <w:rPr>
                    <w:rFonts w:ascii="Arial" w:hAnsi="Arial" w:cs="Arial"/>
                    <w:color w:val="808080"/>
                    <w:sz w:val="20"/>
                    <w:lang w:eastAsia="de-DE"/>
                  </w:rPr>
                </w:pPr>
                <w:r>
                  <w:rPr>
                    <w:rFonts w:ascii="Arial" w:hAnsi="Arial" w:cs="Arial"/>
                    <w:sz w:val="20"/>
                    <w:lang w:eastAsia="de-DE"/>
                  </w:rPr>
                  <w:t>Euronext</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2FF07154" w:rsidR="00997DA7" w:rsidRPr="00C85C8B" w:rsidRDefault="00136EC4"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A757C">
                  <w:rPr>
                    <w:rFonts w:ascii="Arial" w:hAnsi="Arial" w:cs="Arial"/>
                    <w:sz w:val="20"/>
                    <w:lang w:eastAsia="de-DE"/>
                  </w:rPr>
                  <w:t>Regulated markets/Exchanges/Trading Systems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62156FE9" w:rsidR="00997DA7" w:rsidRPr="00C85C8B" w:rsidRDefault="00704531" w:rsidP="00A402A0">
                <w:pPr>
                  <w:rPr>
                    <w:rFonts w:ascii="Arial" w:hAnsi="Arial" w:cs="Arial"/>
                    <w:sz w:val="20"/>
                    <w:lang w:eastAsia="de-DE"/>
                  </w:rPr>
                </w:pPr>
                <w:r>
                  <w:rPr>
                    <w:rFonts w:ascii="Arial" w:hAnsi="Arial" w:cs="Arial"/>
                    <w:sz w:val="20"/>
                    <w:lang w:eastAsia="de-DE"/>
                  </w:rPr>
                  <w:t xml:space="preserve">Belgium, France, </w:t>
                </w:r>
                <w:r w:rsidR="00F17E59">
                  <w:rPr>
                    <w:rFonts w:ascii="Arial" w:hAnsi="Arial" w:cs="Arial"/>
                    <w:sz w:val="20"/>
                    <w:lang w:eastAsia="de-DE"/>
                  </w:rPr>
                  <w:t xml:space="preserve">Ireland, </w:t>
                </w:r>
                <w:r>
                  <w:rPr>
                    <w:rFonts w:ascii="Arial" w:hAnsi="Arial" w:cs="Arial"/>
                    <w:sz w:val="20"/>
                    <w:lang w:eastAsia="de-DE"/>
                  </w:rPr>
                  <w:t>Netherland</w:t>
                </w:r>
                <w:r w:rsidR="00F17E59">
                  <w:rPr>
                    <w:rFonts w:ascii="Arial" w:hAnsi="Arial" w:cs="Arial"/>
                    <w:sz w:val="20"/>
                    <w:lang w:eastAsia="de-DE"/>
                  </w:rPr>
                  <w:t>s</w:t>
                </w:r>
                <w:r>
                  <w:rPr>
                    <w:rFonts w:ascii="Arial" w:hAnsi="Arial" w:cs="Arial"/>
                    <w:sz w:val="20"/>
                    <w:lang w:eastAsia="de-DE"/>
                  </w:rPr>
                  <w:t>, Norway , Portugal</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3F0A8E21" w14:textId="77777777" w:rsidR="00EA757C" w:rsidRDefault="00EA757C" w:rsidP="00EA2081">
      <w:pPr>
        <w:spacing w:after="0" w:line="240" w:lineRule="auto"/>
        <w:rPr>
          <w:rFonts w:cstheme="minorHAnsi"/>
          <w:szCs w:val="22"/>
          <w:lang w:val="en-US"/>
        </w:rPr>
      </w:pPr>
      <w:permStart w:id="2008832412" w:edGrp="everyone"/>
      <w:r w:rsidRPr="00CE5A72">
        <w:rPr>
          <w:rFonts w:cstheme="minorHAnsi"/>
          <w:szCs w:val="22"/>
          <w:lang w:val="en-US"/>
        </w:rPr>
        <w:t xml:space="preserve">Euronext believes that data reporting is key for </w:t>
      </w:r>
      <w:r>
        <w:rPr>
          <w:rFonts w:cstheme="minorHAnsi"/>
          <w:szCs w:val="22"/>
          <w:lang w:val="en-US"/>
        </w:rPr>
        <w:t>all National Competent A</w:t>
      </w:r>
      <w:r w:rsidRPr="00CE5A72">
        <w:rPr>
          <w:rFonts w:cstheme="minorHAnsi"/>
          <w:szCs w:val="22"/>
          <w:lang w:val="en-US"/>
        </w:rPr>
        <w:t>uthorities</w:t>
      </w:r>
      <w:r>
        <w:rPr>
          <w:rFonts w:cstheme="minorHAnsi"/>
          <w:szCs w:val="22"/>
          <w:lang w:val="en-US"/>
        </w:rPr>
        <w:t xml:space="preserve"> (NCAs) and ESMA</w:t>
      </w:r>
      <w:r w:rsidRPr="00CE5A72">
        <w:rPr>
          <w:rFonts w:cstheme="minorHAnsi"/>
          <w:szCs w:val="22"/>
          <w:lang w:val="en-US"/>
        </w:rPr>
        <w:t xml:space="preserve"> to </w:t>
      </w:r>
      <w:r>
        <w:rPr>
          <w:rFonts w:cstheme="minorHAnsi"/>
          <w:szCs w:val="22"/>
          <w:lang w:val="en-US"/>
        </w:rPr>
        <w:t>deliver</w:t>
      </w:r>
      <w:r w:rsidRPr="00CE5A72">
        <w:rPr>
          <w:rFonts w:cstheme="minorHAnsi"/>
          <w:szCs w:val="22"/>
          <w:lang w:val="en-US"/>
        </w:rPr>
        <w:t xml:space="preserve"> their mission</w:t>
      </w:r>
      <w:r>
        <w:rPr>
          <w:rFonts w:cstheme="minorHAnsi"/>
          <w:szCs w:val="22"/>
          <w:lang w:val="en-US"/>
        </w:rPr>
        <w:t xml:space="preserve"> </w:t>
      </w:r>
      <w:r w:rsidRPr="005834B5">
        <w:rPr>
          <w:rFonts w:cstheme="minorHAnsi"/>
          <w:szCs w:val="22"/>
          <w:lang w:val="en-US"/>
        </w:rPr>
        <w:t>and ensur</w:t>
      </w:r>
      <w:r>
        <w:rPr>
          <w:rFonts w:cstheme="minorHAnsi"/>
          <w:szCs w:val="22"/>
          <w:lang w:val="en-US"/>
        </w:rPr>
        <w:t>e</w:t>
      </w:r>
      <w:r w:rsidRPr="005834B5">
        <w:rPr>
          <w:rFonts w:cstheme="minorHAnsi"/>
          <w:szCs w:val="22"/>
          <w:lang w:val="en-US"/>
        </w:rPr>
        <w:t xml:space="preserve"> </w:t>
      </w:r>
      <w:r w:rsidRPr="005834B5">
        <w:rPr>
          <w:rFonts w:ascii="Helvetica" w:hAnsi="Helvetica" w:cs="Helvetica"/>
          <w:shd w:val="clear" w:color="auto" w:fill="EEEEF0"/>
        </w:rPr>
        <w:t>fairer, safer and more efficient markets and facilitat</w:t>
      </w:r>
      <w:r>
        <w:rPr>
          <w:rFonts w:ascii="Helvetica" w:hAnsi="Helvetica" w:cs="Helvetica"/>
          <w:shd w:val="clear" w:color="auto" w:fill="EEEEF0"/>
        </w:rPr>
        <w:t>e</w:t>
      </w:r>
      <w:r w:rsidRPr="005834B5">
        <w:rPr>
          <w:rFonts w:ascii="Helvetica" w:hAnsi="Helvetica" w:cs="Helvetica"/>
          <w:shd w:val="clear" w:color="auto" w:fill="EEEEF0"/>
        </w:rPr>
        <w:t xml:space="preserve"> greater transparency for all market </w:t>
      </w:r>
      <w:r w:rsidRPr="005834B5">
        <w:t>participants</w:t>
      </w:r>
      <w:r w:rsidRPr="005834B5">
        <w:rPr>
          <w:rFonts w:cstheme="minorHAnsi"/>
          <w:szCs w:val="22"/>
          <w:lang w:val="en-US"/>
        </w:rPr>
        <w:t>.</w:t>
      </w:r>
      <w:r w:rsidRPr="00CE5A72">
        <w:rPr>
          <w:rFonts w:cstheme="minorHAnsi"/>
          <w:szCs w:val="22"/>
          <w:lang w:val="en-US"/>
        </w:rPr>
        <w:t xml:space="preserve"> Euronext </w:t>
      </w:r>
      <w:r>
        <w:rPr>
          <w:rFonts w:cstheme="minorHAnsi"/>
          <w:szCs w:val="22"/>
          <w:lang w:val="en-US"/>
        </w:rPr>
        <w:t xml:space="preserve">therefore </w:t>
      </w:r>
      <w:r w:rsidRPr="00CE5A72">
        <w:rPr>
          <w:rFonts w:cstheme="minorHAnsi"/>
          <w:szCs w:val="22"/>
          <w:lang w:val="en-US"/>
        </w:rPr>
        <w:t>welcome</w:t>
      </w:r>
      <w:r>
        <w:rPr>
          <w:rFonts w:cstheme="minorHAnsi"/>
          <w:szCs w:val="22"/>
          <w:lang w:val="en-US"/>
        </w:rPr>
        <w:t>s</w:t>
      </w:r>
      <w:r w:rsidRPr="00CE5A72">
        <w:rPr>
          <w:rFonts w:cstheme="minorHAnsi"/>
          <w:szCs w:val="22"/>
          <w:lang w:val="en-US"/>
        </w:rPr>
        <w:t xml:space="preserve"> this ESMA consultation paper. </w:t>
      </w:r>
    </w:p>
    <w:p w14:paraId="12FB711E" w14:textId="77777777" w:rsidR="00EA757C" w:rsidRPr="00CE5A72" w:rsidRDefault="00EA757C" w:rsidP="00EA2081">
      <w:pPr>
        <w:spacing w:after="0" w:line="240" w:lineRule="auto"/>
        <w:rPr>
          <w:rFonts w:cstheme="minorHAnsi"/>
          <w:szCs w:val="22"/>
          <w:lang w:val="en-US"/>
        </w:rPr>
      </w:pPr>
    </w:p>
    <w:p w14:paraId="532F394E" w14:textId="77777777" w:rsidR="00EA757C" w:rsidRDefault="00EA757C" w:rsidP="00EA2081">
      <w:pPr>
        <w:spacing w:after="0" w:line="240" w:lineRule="auto"/>
        <w:rPr>
          <w:rFonts w:cstheme="minorHAnsi"/>
          <w:szCs w:val="22"/>
          <w:lang w:val="en-US"/>
        </w:rPr>
      </w:pPr>
      <w:r w:rsidRPr="00CE5A72">
        <w:rPr>
          <w:rFonts w:cstheme="minorHAnsi"/>
          <w:szCs w:val="22"/>
          <w:lang w:val="en-US"/>
        </w:rPr>
        <w:t xml:space="preserve">We acknowledge that </w:t>
      </w:r>
      <w:r>
        <w:rPr>
          <w:rFonts w:cstheme="minorHAnsi"/>
          <w:szCs w:val="22"/>
          <w:lang w:val="en-US"/>
        </w:rPr>
        <w:t>r</w:t>
      </w:r>
      <w:r w:rsidRPr="00CE5A72">
        <w:rPr>
          <w:rFonts w:cstheme="minorHAnsi"/>
          <w:szCs w:val="22"/>
          <w:lang w:val="en-US"/>
        </w:rPr>
        <w:t>egulators may need additional data but</w:t>
      </w:r>
      <w:r>
        <w:rPr>
          <w:rFonts w:cstheme="minorHAnsi"/>
          <w:szCs w:val="22"/>
          <w:lang w:val="en-US"/>
        </w:rPr>
        <w:t xml:space="preserve">, </w:t>
      </w:r>
      <w:r w:rsidRPr="005834B5">
        <w:rPr>
          <w:rFonts w:cstheme="minorHAnsi"/>
          <w:szCs w:val="22"/>
          <w:lang w:val="en-US"/>
        </w:rPr>
        <w:t xml:space="preserve">as a first consideration, </w:t>
      </w:r>
      <w:r>
        <w:rPr>
          <w:rFonts w:cstheme="minorHAnsi"/>
          <w:szCs w:val="22"/>
          <w:lang w:val="en-US"/>
        </w:rPr>
        <w:t xml:space="preserve">we believe </w:t>
      </w:r>
      <w:r w:rsidRPr="00CE5A72">
        <w:rPr>
          <w:rFonts w:cstheme="minorHAnsi"/>
          <w:szCs w:val="22"/>
          <w:lang w:val="en-US"/>
        </w:rPr>
        <w:t xml:space="preserve">ESMA </w:t>
      </w:r>
      <w:r>
        <w:rPr>
          <w:rFonts w:cstheme="minorHAnsi"/>
          <w:szCs w:val="22"/>
          <w:lang w:val="en-US"/>
        </w:rPr>
        <w:t>should</w:t>
      </w:r>
      <w:r w:rsidRPr="00CE5A72">
        <w:rPr>
          <w:rFonts w:cstheme="minorHAnsi"/>
          <w:szCs w:val="22"/>
          <w:lang w:val="en-US"/>
        </w:rPr>
        <w:t xml:space="preserve"> ensure:</w:t>
      </w:r>
    </w:p>
    <w:p w14:paraId="55B64205" w14:textId="77777777" w:rsidR="00EA757C" w:rsidRPr="00CE5A72" w:rsidRDefault="00EA757C" w:rsidP="00EA2081">
      <w:pPr>
        <w:spacing w:after="0" w:line="240" w:lineRule="auto"/>
        <w:rPr>
          <w:rFonts w:cstheme="minorHAnsi"/>
          <w:szCs w:val="22"/>
          <w:lang w:val="en-US"/>
        </w:rPr>
      </w:pPr>
    </w:p>
    <w:p w14:paraId="4C0FAE1B" w14:textId="77777777" w:rsidR="00EA757C" w:rsidRPr="00CE5A72" w:rsidRDefault="00EA757C" w:rsidP="00EA757C">
      <w:pPr>
        <w:pStyle w:val="ListParagraph"/>
        <w:numPr>
          <w:ilvl w:val="0"/>
          <w:numId w:val="9"/>
        </w:numPr>
        <w:spacing w:after="0" w:line="240" w:lineRule="auto"/>
        <w:contextualSpacing/>
        <w:rPr>
          <w:rFonts w:asciiTheme="minorHAnsi" w:hAnsiTheme="minorHAnsi" w:cstheme="minorHAnsi"/>
          <w:lang w:val="en-US"/>
        </w:rPr>
      </w:pPr>
      <w:r w:rsidRPr="00CE5A72">
        <w:rPr>
          <w:rFonts w:asciiTheme="minorHAnsi" w:hAnsiTheme="minorHAnsi" w:cstheme="minorHAnsi"/>
          <w:lang w:val="en-US"/>
        </w:rPr>
        <w:t>A full consistency and harmonization of the reporting requirements</w:t>
      </w:r>
      <w:r>
        <w:rPr>
          <w:rFonts w:asciiTheme="minorHAnsi" w:hAnsiTheme="minorHAnsi" w:cstheme="minorHAnsi"/>
          <w:lang w:val="en-US"/>
        </w:rPr>
        <w:t>;</w:t>
      </w:r>
    </w:p>
    <w:p w14:paraId="1097180E" w14:textId="77777777" w:rsidR="00EA757C" w:rsidRPr="00CE5A72" w:rsidRDefault="00EA757C" w:rsidP="00EA757C">
      <w:pPr>
        <w:pStyle w:val="ListParagraph"/>
        <w:numPr>
          <w:ilvl w:val="0"/>
          <w:numId w:val="9"/>
        </w:numPr>
        <w:spacing w:after="0" w:line="240" w:lineRule="auto"/>
        <w:contextualSpacing/>
        <w:rPr>
          <w:rFonts w:asciiTheme="minorHAnsi" w:hAnsiTheme="minorHAnsi" w:cstheme="minorHAnsi"/>
          <w:lang w:val="en-US"/>
        </w:rPr>
      </w:pPr>
      <w:r w:rsidRPr="00CE5A72">
        <w:rPr>
          <w:rFonts w:asciiTheme="minorHAnsi" w:hAnsiTheme="minorHAnsi" w:cstheme="minorHAnsi"/>
          <w:lang w:val="en-US"/>
        </w:rPr>
        <w:t xml:space="preserve">An operational reporting process that avoid errors and </w:t>
      </w:r>
      <w:r>
        <w:rPr>
          <w:rFonts w:asciiTheme="minorHAnsi" w:hAnsiTheme="minorHAnsi" w:cstheme="minorHAnsi"/>
          <w:lang w:val="en-US"/>
        </w:rPr>
        <w:t>incorrect</w:t>
      </w:r>
      <w:r w:rsidRPr="00CE5A72">
        <w:rPr>
          <w:rFonts w:asciiTheme="minorHAnsi" w:hAnsiTheme="minorHAnsi" w:cstheme="minorHAnsi"/>
          <w:lang w:val="en-US"/>
        </w:rPr>
        <w:t xml:space="preserve"> information. We </w:t>
      </w:r>
      <w:r>
        <w:rPr>
          <w:rFonts w:asciiTheme="minorHAnsi" w:hAnsiTheme="minorHAnsi" w:cstheme="minorHAnsi"/>
          <w:lang w:val="en-US"/>
        </w:rPr>
        <w:t>believe</w:t>
      </w:r>
      <w:r w:rsidRPr="00CE5A72">
        <w:rPr>
          <w:rFonts w:asciiTheme="minorHAnsi" w:hAnsiTheme="minorHAnsi" w:cstheme="minorHAnsi"/>
          <w:lang w:val="en-US"/>
        </w:rPr>
        <w:t xml:space="preserve"> that the current process</w:t>
      </w:r>
      <w:r>
        <w:rPr>
          <w:rFonts w:asciiTheme="minorHAnsi" w:hAnsiTheme="minorHAnsi" w:cstheme="minorHAnsi"/>
          <w:lang w:val="en-GB"/>
        </w:rPr>
        <w:t xml:space="preserve"> (see answer to question 14)</w:t>
      </w:r>
      <w:r w:rsidRPr="00CE5A72">
        <w:rPr>
          <w:rFonts w:asciiTheme="minorHAnsi" w:hAnsiTheme="minorHAnsi" w:cstheme="minorHAnsi"/>
          <w:lang w:val="en-US"/>
        </w:rPr>
        <w:t xml:space="preserve"> create</w:t>
      </w:r>
      <w:r>
        <w:rPr>
          <w:rFonts w:asciiTheme="minorHAnsi" w:hAnsiTheme="minorHAnsi" w:cstheme="minorHAnsi"/>
          <w:lang w:val="en-US"/>
        </w:rPr>
        <w:t>s</w:t>
      </w:r>
      <w:r w:rsidRPr="00CE5A72">
        <w:rPr>
          <w:rFonts w:asciiTheme="minorHAnsi" w:hAnsiTheme="minorHAnsi" w:cstheme="minorHAnsi"/>
          <w:lang w:val="en-US"/>
        </w:rPr>
        <w:t xml:space="preserve"> situation where the ESMA referential data collect</w:t>
      </w:r>
      <w:r>
        <w:rPr>
          <w:rFonts w:asciiTheme="minorHAnsi" w:hAnsiTheme="minorHAnsi" w:cstheme="minorHAnsi"/>
          <w:lang w:val="en-US"/>
        </w:rPr>
        <w:t>ed</w:t>
      </w:r>
      <w:r w:rsidRPr="00CE5A72">
        <w:rPr>
          <w:rFonts w:asciiTheme="minorHAnsi" w:hAnsiTheme="minorHAnsi" w:cstheme="minorHAnsi"/>
          <w:lang w:val="en-US"/>
        </w:rPr>
        <w:t xml:space="preserve"> and disseminate</w:t>
      </w:r>
      <w:r>
        <w:rPr>
          <w:rFonts w:asciiTheme="minorHAnsi" w:hAnsiTheme="minorHAnsi" w:cstheme="minorHAnsi"/>
          <w:lang w:val="en-US"/>
        </w:rPr>
        <w:t>d</w:t>
      </w:r>
      <w:r w:rsidRPr="00CE5A72">
        <w:rPr>
          <w:rFonts w:asciiTheme="minorHAnsi" w:hAnsiTheme="minorHAnsi" w:cstheme="minorHAnsi"/>
          <w:lang w:val="en-US"/>
        </w:rPr>
        <w:t xml:space="preserve"> </w:t>
      </w:r>
      <w:r>
        <w:rPr>
          <w:rFonts w:asciiTheme="minorHAnsi" w:hAnsiTheme="minorHAnsi" w:cstheme="minorHAnsi"/>
          <w:lang w:val="en-US"/>
        </w:rPr>
        <w:t>is</w:t>
      </w:r>
      <w:r w:rsidRPr="00CE5A72">
        <w:rPr>
          <w:rFonts w:asciiTheme="minorHAnsi" w:hAnsiTheme="minorHAnsi" w:cstheme="minorHAnsi"/>
          <w:lang w:val="en-US"/>
        </w:rPr>
        <w:t xml:space="preserve"> not </w:t>
      </w:r>
      <w:r>
        <w:rPr>
          <w:rFonts w:asciiTheme="minorHAnsi" w:hAnsiTheme="minorHAnsi" w:cstheme="minorHAnsi"/>
          <w:lang w:val="en-US"/>
        </w:rPr>
        <w:t xml:space="preserve">always </w:t>
      </w:r>
      <w:r w:rsidRPr="00CE5A72">
        <w:rPr>
          <w:rFonts w:asciiTheme="minorHAnsi" w:hAnsiTheme="minorHAnsi" w:cstheme="minorHAnsi"/>
          <w:lang w:val="en-US"/>
        </w:rPr>
        <w:t>accurate</w:t>
      </w:r>
      <w:r>
        <w:rPr>
          <w:rFonts w:asciiTheme="minorHAnsi" w:hAnsiTheme="minorHAnsi" w:cstheme="minorHAnsi"/>
          <w:lang w:val="en-US"/>
        </w:rPr>
        <w:t>; and,</w:t>
      </w:r>
    </w:p>
    <w:p w14:paraId="0F828730" w14:textId="77777777" w:rsidR="00EA757C" w:rsidRPr="00CE5A72" w:rsidRDefault="00EA757C" w:rsidP="00EA757C">
      <w:pPr>
        <w:pStyle w:val="ListParagraph"/>
        <w:numPr>
          <w:ilvl w:val="0"/>
          <w:numId w:val="9"/>
        </w:numPr>
        <w:spacing w:after="0" w:line="240" w:lineRule="auto"/>
        <w:contextualSpacing/>
        <w:rPr>
          <w:rFonts w:asciiTheme="minorHAnsi" w:hAnsiTheme="minorHAnsi" w:cstheme="minorHAnsi"/>
          <w:lang w:val="en-US"/>
        </w:rPr>
      </w:pPr>
      <w:r w:rsidRPr="00CE5A72">
        <w:rPr>
          <w:rFonts w:asciiTheme="minorHAnsi" w:hAnsiTheme="minorHAnsi" w:cstheme="minorHAnsi"/>
          <w:lang w:val="en-US"/>
        </w:rPr>
        <w:t>Clear responsibilities and supervision of National Codification</w:t>
      </w:r>
      <w:r>
        <w:rPr>
          <w:rFonts w:asciiTheme="minorHAnsi" w:hAnsiTheme="minorHAnsi" w:cstheme="minorHAnsi"/>
          <w:lang w:val="en-US"/>
        </w:rPr>
        <w:t xml:space="preserve">/ Numbering </w:t>
      </w:r>
      <w:r w:rsidRPr="00CE5A72">
        <w:rPr>
          <w:rFonts w:asciiTheme="minorHAnsi" w:hAnsiTheme="minorHAnsi" w:cstheme="minorHAnsi"/>
          <w:lang w:val="en-US"/>
        </w:rPr>
        <w:t>agencies.</w:t>
      </w:r>
    </w:p>
    <w:p w14:paraId="1D88F576" w14:textId="77777777" w:rsidR="00EA757C" w:rsidRPr="00CE5A72" w:rsidRDefault="00EA757C" w:rsidP="00EA2081">
      <w:pPr>
        <w:spacing w:after="0" w:line="240" w:lineRule="auto"/>
        <w:rPr>
          <w:rFonts w:cstheme="minorHAnsi"/>
          <w:szCs w:val="22"/>
          <w:lang w:val="en-US"/>
        </w:rPr>
      </w:pPr>
    </w:p>
    <w:p w14:paraId="2A3D6C1C" w14:textId="77777777" w:rsidR="00EA757C" w:rsidRPr="00CE5A72" w:rsidRDefault="00EA757C" w:rsidP="00EA2081">
      <w:pPr>
        <w:spacing w:after="0" w:line="240" w:lineRule="auto"/>
        <w:rPr>
          <w:rFonts w:cstheme="minorHAnsi"/>
          <w:szCs w:val="22"/>
          <w:lang w:val="en-US"/>
        </w:rPr>
      </w:pPr>
      <w:r>
        <w:rPr>
          <w:rFonts w:cstheme="minorHAnsi"/>
          <w:szCs w:val="22"/>
          <w:lang w:val="en-US"/>
        </w:rPr>
        <w:t>While these t</w:t>
      </w:r>
      <w:r w:rsidRPr="00CE5A72">
        <w:rPr>
          <w:rFonts w:cstheme="minorHAnsi"/>
          <w:szCs w:val="22"/>
          <w:lang w:val="en-US"/>
        </w:rPr>
        <w:t>opics have</w:t>
      </w:r>
      <w:r>
        <w:rPr>
          <w:rFonts w:cstheme="minorHAnsi"/>
          <w:szCs w:val="22"/>
          <w:lang w:val="en-US"/>
        </w:rPr>
        <w:t xml:space="preserve"> not</w:t>
      </w:r>
      <w:r w:rsidRPr="00CE5A72">
        <w:rPr>
          <w:rFonts w:cstheme="minorHAnsi"/>
          <w:szCs w:val="22"/>
          <w:lang w:val="en-US"/>
        </w:rPr>
        <w:t xml:space="preserve"> been included in this consultation paper</w:t>
      </w:r>
      <w:r>
        <w:rPr>
          <w:rFonts w:cstheme="minorHAnsi"/>
          <w:szCs w:val="22"/>
          <w:lang w:val="en-US"/>
        </w:rPr>
        <w:t>, Euronext believes there is merit to them being addressed</w:t>
      </w:r>
      <w:r w:rsidRPr="00CE5A72">
        <w:rPr>
          <w:rFonts w:cstheme="minorHAnsi"/>
          <w:szCs w:val="22"/>
          <w:lang w:val="en-US"/>
        </w:rPr>
        <w:t>. In relation to transaction reporting</w:t>
      </w:r>
      <w:r>
        <w:rPr>
          <w:rFonts w:cstheme="minorHAnsi"/>
          <w:szCs w:val="22"/>
          <w:lang w:val="en-US"/>
        </w:rPr>
        <w:t>, we also believe there is merit in</w:t>
      </w:r>
      <w:r w:rsidRPr="00CE5A72">
        <w:rPr>
          <w:rFonts w:cstheme="minorHAnsi"/>
          <w:szCs w:val="22"/>
          <w:lang w:val="en-US"/>
        </w:rPr>
        <w:t xml:space="preserve"> ESMA </w:t>
      </w:r>
      <w:r>
        <w:rPr>
          <w:rFonts w:cstheme="minorHAnsi"/>
          <w:szCs w:val="22"/>
          <w:lang w:val="en-US"/>
        </w:rPr>
        <w:t>making</w:t>
      </w:r>
      <w:r w:rsidRPr="00CE5A72">
        <w:rPr>
          <w:rFonts w:cstheme="minorHAnsi"/>
          <w:szCs w:val="22"/>
          <w:lang w:val="en-US"/>
        </w:rPr>
        <w:t xml:space="preserve"> an assessment of the reasons why several ARMs have announce</w:t>
      </w:r>
      <w:r>
        <w:rPr>
          <w:rFonts w:cstheme="minorHAnsi"/>
          <w:szCs w:val="22"/>
          <w:lang w:val="en-US"/>
        </w:rPr>
        <w:t>d</w:t>
      </w:r>
      <w:r w:rsidRPr="00CE5A72">
        <w:rPr>
          <w:rFonts w:cstheme="minorHAnsi"/>
          <w:szCs w:val="22"/>
          <w:lang w:val="en-US"/>
        </w:rPr>
        <w:t xml:space="preserve"> the termination of their activity.</w:t>
      </w:r>
    </w:p>
    <w:p w14:paraId="11694983" w14:textId="77777777" w:rsidR="00EA757C" w:rsidRPr="00CE5A72" w:rsidRDefault="00EA757C" w:rsidP="00EA2081">
      <w:pPr>
        <w:spacing w:after="0" w:line="240" w:lineRule="auto"/>
        <w:rPr>
          <w:rFonts w:cstheme="minorHAnsi"/>
          <w:szCs w:val="22"/>
          <w:lang w:val="en-US"/>
        </w:rPr>
      </w:pPr>
    </w:p>
    <w:p w14:paraId="0F35EA2E" w14:textId="77777777" w:rsidR="00EA757C" w:rsidRPr="00AC6CB6" w:rsidRDefault="00EA757C" w:rsidP="00EA2081">
      <w:pPr>
        <w:shd w:val="clear" w:color="auto" w:fill="FFFFFF" w:themeFill="background1"/>
        <w:spacing w:after="0" w:line="240" w:lineRule="auto"/>
        <w:rPr>
          <w:rFonts w:cstheme="minorHAnsi"/>
          <w:szCs w:val="22"/>
          <w:lang w:val="en-US"/>
        </w:rPr>
      </w:pPr>
      <w:r w:rsidRPr="00AC6CB6">
        <w:rPr>
          <w:rFonts w:cstheme="minorHAnsi"/>
          <w:szCs w:val="22"/>
          <w:lang w:val="en-US"/>
        </w:rPr>
        <w:t>When considering adding new reporting requirements, Euronext believes ESMA should:</w:t>
      </w:r>
    </w:p>
    <w:p w14:paraId="2265940B" w14:textId="77777777" w:rsidR="00EA757C" w:rsidRPr="00AC6CB6" w:rsidRDefault="00EA757C" w:rsidP="00EA2081">
      <w:pPr>
        <w:shd w:val="clear" w:color="auto" w:fill="FFFFFF" w:themeFill="background1"/>
        <w:spacing w:after="0" w:line="240" w:lineRule="auto"/>
        <w:rPr>
          <w:rFonts w:cstheme="minorHAnsi"/>
          <w:szCs w:val="22"/>
          <w:lang w:val="en-US"/>
        </w:rPr>
      </w:pPr>
    </w:p>
    <w:p w14:paraId="2DED3FB7" w14:textId="77777777" w:rsidR="00EA757C" w:rsidRPr="00F4037D" w:rsidRDefault="00EA757C" w:rsidP="00EA757C">
      <w:pPr>
        <w:pStyle w:val="ListParagraph"/>
        <w:numPr>
          <w:ilvl w:val="0"/>
          <w:numId w:val="10"/>
        </w:numPr>
        <w:shd w:val="clear" w:color="auto" w:fill="FFFFFF" w:themeFill="background1"/>
        <w:spacing w:after="0" w:line="240" w:lineRule="auto"/>
        <w:contextualSpacing/>
        <w:rPr>
          <w:rFonts w:asciiTheme="minorHAnsi" w:hAnsiTheme="minorHAnsi" w:cstheme="minorHAnsi"/>
          <w:lang w:val="en-US"/>
        </w:rPr>
      </w:pPr>
      <w:r w:rsidRPr="00F4037D">
        <w:rPr>
          <w:rFonts w:cstheme="minorHAnsi"/>
          <w:lang w:val="en-US"/>
        </w:rPr>
        <w:t>Consider data needs and uses; and,</w:t>
      </w:r>
    </w:p>
    <w:p w14:paraId="01B22188" w14:textId="77777777" w:rsidR="00EA757C" w:rsidRPr="00AE0DF5" w:rsidRDefault="00EA757C" w:rsidP="00EA757C">
      <w:pPr>
        <w:pStyle w:val="ListParagraph"/>
        <w:numPr>
          <w:ilvl w:val="0"/>
          <w:numId w:val="10"/>
        </w:numPr>
        <w:shd w:val="clear" w:color="auto" w:fill="FFFFFF" w:themeFill="background1"/>
        <w:spacing w:after="0" w:line="240" w:lineRule="auto"/>
        <w:contextualSpacing/>
        <w:rPr>
          <w:rFonts w:cstheme="minorHAnsi"/>
        </w:rPr>
      </w:pPr>
      <w:r w:rsidRPr="007C4207">
        <w:rPr>
          <w:rStyle w:val="Strong"/>
          <w:rFonts w:asciiTheme="minorHAnsi" w:eastAsiaTheme="majorEastAsia" w:hAnsiTheme="minorHAnsi" w:cstheme="minorHAnsi"/>
          <w:b w:val="0"/>
          <w:bCs w:val="0"/>
        </w:rPr>
        <w:t>Ensure zero duplication</w:t>
      </w:r>
      <w:r w:rsidRPr="007C4207">
        <w:rPr>
          <w:rStyle w:val="Strong"/>
          <w:rFonts w:asciiTheme="minorHAnsi" w:eastAsiaTheme="majorEastAsia" w:hAnsiTheme="minorHAnsi" w:cstheme="minorHAnsi"/>
        </w:rPr>
        <w:t>:</w:t>
      </w:r>
      <w:r w:rsidRPr="007C4207">
        <w:rPr>
          <w:rFonts w:asciiTheme="minorHAnsi" w:hAnsiTheme="minorHAnsi" w:cstheme="minorHAnsi"/>
        </w:rPr>
        <w:t xml:space="preserve"> the data should be collected only once and quality assured by one party. The referential data held by ESMA should be sufficiently exhaustive in order that NCAs do not need to approach</w:t>
      </w:r>
      <w:r>
        <w:rPr>
          <w:rFonts w:asciiTheme="minorHAnsi" w:hAnsiTheme="minorHAnsi" w:cstheme="minorHAnsi"/>
        </w:rPr>
        <w:t xml:space="preserve"> market</w:t>
      </w:r>
      <w:r w:rsidRPr="007C4207">
        <w:rPr>
          <w:rFonts w:asciiTheme="minorHAnsi" w:hAnsiTheme="minorHAnsi" w:cstheme="minorHAnsi"/>
        </w:rPr>
        <w:t xml:space="preserve"> participants for additional data.</w:t>
      </w:r>
    </w:p>
    <w:p w14:paraId="29BD0DEA" w14:textId="77777777" w:rsidR="00EA757C" w:rsidRDefault="00EA757C" w:rsidP="00EA2081">
      <w:pPr>
        <w:shd w:val="clear" w:color="auto" w:fill="FFFFFF" w:themeFill="background1"/>
        <w:spacing w:after="0" w:line="240" w:lineRule="auto"/>
        <w:ind w:left="360"/>
        <w:contextualSpacing/>
        <w:rPr>
          <w:rFonts w:cstheme="minorHAnsi"/>
        </w:rPr>
      </w:pPr>
    </w:p>
    <w:p w14:paraId="5B7BCF70" w14:textId="77777777" w:rsidR="00EA757C" w:rsidRDefault="00EA757C" w:rsidP="00E862D0">
      <w:pPr>
        <w:rPr>
          <w:rFonts w:cstheme="minorHAnsi"/>
        </w:rPr>
      </w:pPr>
      <w:r>
        <w:rPr>
          <w:rFonts w:cstheme="minorHAnsi"/>
        </w:rPr>
        <w:t>Euronext as an ARM reports transactions to nine different National Competent Authorities.</w:t>
      </w:r>
    </w:p>
    <w:permEnd w:id="2008832412"/>
    <w:p w14:paraId="37768D94" w14:textId="02463C16"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t xml:space="preserve">Questions </w:t>
      </w:r>
    </w:p>
    <w:p w14:paraId="5B7C167B" w14:textId="77777777" w:rsidR="00E862D0" w:rsidRPr="00662BA1" w:rsidRDefault="00E862D0" w:rsidP="00E862D0">
      <w:pPr>
        <w:rPr>
          <w:rFonts w:cstheme="minorHAnsi"/>
          <w:b/>
          <w:sz w:val="28"/>
          <w:szCs w:val="28"/>
          <w:lang w:val="fr-FR"/>
        </w:rPr>
      </w:pPr>
    </w:p>
    <w:bookmarkEnd w:id="2"/>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5DC89201" w14:textId="77777777" w:rsidR="006F155F" w:rsidRDefault="006F155F" w:rsidP="006F155F">
      <w:pPr>
        <w:spacing w:after="0" w:line="240" w:lineRule="auto"/>
        <w:rPr>
          <w:rFonts w:ascii="Segoe UI" w:eastAsia="Times New Roman" w:hAnsi="Segoe UI" w:cs="Segoe UI"/>
          <w:sz w:val="21"/>
          <w:szCs w:val="21"/>
          <w:lang w:val="en" w:eastAsia="fr-FR"/>
        </w:rPr>
      </w:pPr>
      <w:permStart w:id="1600792670" w:edGrp="everyone"/>
      <w:r w:rsidRPr="003F6211">
        <w:rPr>
          <w:rFonts w:ascii="Segoe UI" w:eastAsia="Times New Roman" w:hAnsi="Segoe UI" w:cs="Segoe UI"/>
          <w:sz w:val="21"/>
          <w:szCs w:val="21"/>
          <w:lang w:val="en" w:eastAsia="fr-FR"/>
        </w:rPr>
        <w:t xml:space="preserve">The </w:t>
      </w:r>
      <w:r>
        <w:rPr>
          <w:rFonts w:ascii="Segoe UI" w:eastAsia="Times New Roman" w:hAnsi="Segoe UI" w:cs="Segoe UI"/>
          <w:sz w:val="21"/>
          <w:szCs w:val="21"/>
          <w:lang w:val="en" w:eastAsia="fr-FR"/>
        </w:rPr>
        <w:t>goal</w:t>
      </w:r>
      <w:r w:rsidRPr="003F6211">
        <w:rPr>
          <w:rFonts w:ascii="Segoe UI" w:eastAsia="Times New Roman" w:hAnsi="Segoe UI" w:cs="Segoe UI"/>
          <w:sz w:val="21"/>
          <w:szCs w:val="21"/>
          <w:lang w:val="en" w:eastAsia="fr-FR"/>
        </w:rPr>
        <w:t xml:space="preserve"> of </w:t>
      </w:r>
      <w:r>
        <w:rPr>
          <w:rFonts w:ascii="Segoe UI" w:eastAsia="Times New Roman" w:hAnsi="Segoe UI" w:cs="Segoe UI"/>
          <w:sz w:val="21"/>
          <w:szCs w:val="21"/>
          <w:lang w:val="en" w:eastAsia="fr-FR"/>
        </w:rPr>
        <w:t xml:space="preserve">transaction </w:t>
      </w:r>
      <w:r w:rsidRPr="003F6211">
        <w:rPr>
          <w:rFonts w:ascii="Segoe UI" w:eastAsia="Times New Roman" w:hAnsi="Segoe UI" w:cs="Segoe UI"/>
          <w:sz w:val="21"/>
          <w:szCs w:val="21"/>
          <w:lang w:val="en" w:eastAsia="fr-FR"/>
        </w:rPr>
        <w:t xml:space="preserve">reporting is to enable </w:t>
      </w:r>
      <w:r>
        <w:rPr>
          <w:rFonts w:ascii="Segoe UI" w:eastAsia="Times New Roman" w:hAnsi="Segoe UI" w:cs="Segoe UI"/>
          <w:sz w:val="21"/>
          <w:szCs w:val="21"/>
          <w:lang w:val="en" w:eastAsia="fr-FR"/>
        </w:rPr>
        <w:t>NCAs</w:t>
      </w:r>
      <w:r w:rsidRPr="003F6211">
        <w:rPr>
          <w:rFonts w:ascii="Segoe UI" w:eastAsia="Times New Roman" w:hAnsi="Segoe UI" w:cs="Segoe UI"/>
          <w:sz w:val="21"/>
          <w:szCs w:val="21"/>
          <w:lang w:val="en" w:eastAsia="fr-FR"/>
        </w:rPr>
        <w:t xml:space="preserve"> to carry out their mission of monitoring the markets. For this to happen, the completeness of transactions on </w:t>
      </w:r>
      <w:r>
        <w:rPr>
          <w:rFonts w:ascii="Segoe UI" w:eastAsia="Times New Roman" w:hAnsi="Segoe UI" w:cs="Segoe UI"/>
          <w:sz w:val="21"/>
          <w:szCs w:val="21"/>
          <w:lang w:val="en" w:eastAsia="fr-FR"/>
        </w:rPr>
        <w:t>financial i</w:t>
      </w:r>
      <w:r w:rsidRPr="003F6211">
        <w:rPr>
          <w:rFonts w:ascii="Segoe UI" w:eastAsia="Times New Roman" w:hAnsi="Segoe UI" w:cs="Segoe UI"/>
          <w:sz w:val="21"/>
          <w:szCs w:val="21"/>
          <w:lang w:val="en" w:eastAsia="fr-FR"/>
        </w:rPr>
        <w:t>nstrument</w:t>
      </w:r>
      <w:r>
        <w:rPr>
          <w:rFonts w:ascii="Segoe UI" w:eastAsia="Times New Roman" w:hAnsi="Segoe UI" w:cs="Segoe UI"/>
          <w:sz w:val="21"/>
          <w:szCs w:val="21"/>
          <w:lang w:val="en" w:eastAsia="fr-FR"/>
        </w:rPr>
        <w:t>s</w:t>
      </w:r>
      <w:r w:rsidRPr="003F6211">
        <w:rPr>
          <w:rFonts w:ascii="Segoe UI" w:eastAsia="Times New Roman" w:hAnsi="Segoe UI" w:cs="Segoe UI"/>
          <w:sz w:val="21"/>
          <w:szCs w:val="21"/>
          <w:lang w:val="en" w:eastAsia="fr-FR"/>
        </w:rPr>
        <w:t xml:space="preserve"> must be carried forward, </w:t>
      </w:r>
      <w:r>
        <w:rPr>
          <w:rFonts w:ascii="Segoe UI" w:eastAsia="Times New Roman" w:hAnsi="Segoe UI" w:cs="Segoe UI"/>
          <w:sz w:val="21"/>
          <w:szCs w:val="21"/>
          <w:lang w:val="en" w:eastAsia="fr-FR"/>
        </w:rPr>
        <w:t>with</w:t>
      </w:r>
      <w:r w:rsidRPr="003F6211">
        <w:rPr>
          <w:rFonts w:ascii="Segoe UI" w:eastAsia="Times New Roman" w:hAnsi="Segoe UI" w:cs="Segoe UI"/>
          <w:sz w:val="21"/>
          <w:szCs w:val="21"/>
          <w:lang w:val="en" w:eastAsia="fr-FR"/>
        </w:rPr>
        <w:t xml:space="preserve"> data of high quality. Euronext</w:t>
      </w:r>
      <w:r>
        <w:rPr>
          <w:rFonts w:ascii="Segoe UI" w:eastAsia="Times New Roman" w:hAnsi="Segoe UI" w:cs="Segoe UI"/>
          <w:sz w:val="21"/>
          <w:szCs w:val="21"/>
          <w:lang w:val="en" w:eastAsia="fr-FR"/>
        </w:rPr>
        <w:t>,</w:t>
      </w:r>
      <w:r w:rsidRPr="003F6211">
        <w:rPr>
          <w:rFonts w:ascii="Segoe UI" w:eastAsia="Times New Roman" w:hAnsi="Segoe UI" w:cs="Segoe UI"/>
          <w:sz w:val="21"/>
          <w:szCs w:val="21"/>
          <w:lang w:val="en" w:eastAsia="fr-FR"/>
        </w:rPr>
        <w:t xml:space="preserve"> as </w:t>
      </w:r>
      <w:r>
        <w:rPr>
          <w:rFonts w:ascii="Segoe UI" w:eastAsia="Times New Roman" w:hAnsi="Segoe UI" w:cs="Segoe UI"/>
          <w:sz w:val="21"/>
          <w:szCs w:val="21"/>
          <w:lang w:val="en" w:eastAsia="fr-FR"/>
        </w:rPr>
        <w:t>a t</w:t>
      </w:r>
      <w:r w:rsidRPr="003F6211">
        <w:rPr>
          <w:rFonts w:ascii="Segoe UI" w:eastAsia="Times New Roman" w:hAnsi="Segoe UI" w:cs="Segoe UI"/>
          <w:sz w:val="21"/>
          <w:szCs w:val="21"/>
          <w:lang w:val="en" w:eastAsia="fr-FR"/>
        </w:rPr>
        <w:t xml:space="preserve">rading </w:t>
      </w:r>
      <w:r>
        <w:rPr>
          <w:rFonts w:ascii="Segoe UI" w:eastAsia="Times New Roman" w:hAnsi="Segoe UI" w:cs="Segoe UI"/>
          <w:sz w:val="21"/>
          <w:szCs w:val="21"/>
          <w:lang w:val="en" w:eastAsia="fr-FR"/>
        </w:rPr>
        <w:t>v</w:t>
      </w:r>
      <w:r w:rsidRPr="003F6211">
        <w:rPr>
          <w:rFonts w:ascii="Segoe UI" w:eastAsia="Times New Roman" w:hAnsi="Segoe UI" w:cs="Segoe UI"/>
          <w:sz w:val="21"/>
          <w:szCs w:val="21"/>
          <w:lang w:val="en" w:eastAsia="fr-FR"/>
        </w:rPr>
        <w:t>enue</w:t>
      </w:r>
      <w:r>
        <w:rPr>
          <w:rFonts w:ascii="Segoe UI" w:eastAsia="Times New Roman" w:hAnsi="Segoe UI" w:cs="Segoe UI"/>
          <w:sz w:val="21"/>
          <w:szCs w:val="21"/>
          <w:lang w:val="en" w:eastAsia="fr-FR"/>
        </w:rPr>
        <w:t>,</w:t>
      </w:r>
      <w:r w:rsidRPr="003F6211">
        <w:rPr>
          <w:rFonts w:ascii="Segoe UI" w:eastAsia="Times New Roman" w:hAnsi="Segoe UI" w:cs="Segoe UI"/>
          <w:sz w:val="21"/>
          <w:szCs w:val="21"/>
          <w:lang w:val="en" w:eastAsia="fr-FR"/>
        </w:rPr>
        <w:t xml:space="preserve"> already</w:t>
      </w:r>
      <w:r>
        <w:rPr>
          <w:rFonts w:ascii="Segoe UI" w:eastAsia="Times New Roman" w:hAnsi="Segoe UI" w:cs="Segoe UI"/>
          <w:sz w:val="21"/>
          <w:szCs w:val="21"/>
          <w:lang w:val="en" w:eastAsia="fr-FR"/>
        </w:rPr>
        <w:t xml:space="preserve"> reports</w:t>
      </w:r>
      <w:r w:rsidRPr="003F6211">
        <w:rPr>
          <w:rFonts w:ascii="Segoe UI" w:eastAsia="Times New Roman" w:hAnsi="Segoe UI" w:cs="Segoe UI"/>
          <w:sz w:val="21"/>
          <w:szCs w:val="21"/>
          <w:lang w:val="en" w:eastAsia="fr-FR"/>
        </w:rPr>
        <w:t xml:space="preserve"> its non-MiFID members</w:t>
      </w:r>
      <w:r>
        <w:rPr>
          <w:rFonts w:ascii="Segoe UI" w:eastAsia="Times New Roman" w:hAnsi="Segoe UI" w:cs="Segoe UI"/>
          <w:sz w:val="21"/>
          <w:szCs w:val="21"/>
          <w:lang w:val="en" w:eastAsia="fr-FR"/>
        </w:rPr>
        <w:t>’</w:t>
      </w:r>
      <w:r w:rsidRPr="003F6211">
        <w:rPr>
          <w:rFonts w:ascii="Segoe UI" w:eastAsia="Times New Roman" w:hAnsi="Segoe UI" w:cs="Segoe UI"/>
          <w:sz w:val="21"/>
          <w:szCs w:val="21"/>
          <w:lang w:val="en" w:eastAsia="fr-FR"/>
        </w:rPr>
        <w:t xml:space="preserve"> </w:t>
      </w:r>
      <w:r>
        <w:rPr>
          <w:rFonts w:ascii="Segoe UI" w:eastAsia="Times New Roman" w:hAnsi="Segoe UI" w:cs="Segoe UI"/>
          <w:sz w:val="21"/>
          <w:szCs w:val="21"/>
          <w:lang w:val="en" w:eastAsia="fr-FR"/>
        </w:rPr>
        <w:t xml:space="preserve">transactions </w:t>
      </w:r>
      <w:r w:rsidRPr="003F6211">
        <w:rPr>
          <w:rFonts w:ascii="Segoe UI" w:eastAsia="Times New Roman" w:hAnsi="Segoe UI" w:cs="Segoe UI"/>
          <w:sz w:val="21"/>
          <w:szCs w:val="21"/>
          <w:lang w:val="en" w:eastAsia="fr-FR"/>
        </w:rPr>
        <w:t xml:space="preserve">to the relevant </w:t>
      </w:r>
      <w:r>
        <w:rPr>
          <w:rFonts w:ascii="Segoe UI" w:eastAsia="Times New Roman" w:hAnsi="Segoe UI" w:cs="Segoe UI"/>
          <w:sz w:val="21"/>
          <w:szCs w:val="21"/>
          <w:lang w:val="en" w:eastAsia="fr-FR"/>
        </w:rPr>
        <w:t>NCAs</w:t>
      </w:r>
      <w:r w:rsidRPr="003F6211">
        <w:rPr>
          <w:rFonts w:ascii="Segoe UI" w:eastAsia="Times New Roman" w:hAnsi="Segoe UI" w:cs="Segoe UI"/>
          <w:sz w:val="21"/>
          <w:szCs w:val="21"/>
          <w:lang w:val="en" w:eastAsia="fr-FR"/>
        </w:rPr>
        <w:t xml:space="preserve">. If reporting </w:t>
      </w:r>
      <w:r>
        <w:rPr>
          <w:rFonts w:ascii="Segoe UI" w:eastAsia="Times New Roman" w:hAnsi="Segoe UI" w:cs="Segoe UI"/>
          <w:sz w:val="21"/>
          <w:szCs w:val="21"/>
          <w:lang w:val="en" w:eastAsia="fr-FR"/>
        </w:rPr>
        <w:t>were to be</w:t>
      </w:r>
      <w:r w:rsidRPr="003F6211">
        <w:rPr>
          <w:rFonts w:ascii="Segoe UI" w:eastAsia="Times New Roman" w:hAnsi="Segoe UI" w:cs="Segoe UI"/>
          <w:sz w:val="21"/>
          <w:szCs w:val="21"/>
          <w:lang w:val="en" w:eastAsia="fr-FR"/>
        </w:rPr>
        <w:t xml:space="preserve"> extended to AIFM</w:t>
      </w:r>
      <w:r>
        <w:rPr>
          <w:rFonts w:ascii="Segoe UI" w:eastAsia="Times New Roman" w:hAnsi="Segoe UI" w:cs="Segoe UI"/>
          <w:sz w:val="21"/>
          <w:szCs w:val="21"/>
          <w:lang w:val="en" w:eastAsia="fr-FR"/>
        </w:rPr>
        <w:t>s</w:t>
      </w:r>
      <w:r w:rsidRPr="003F6211">
        <w:rPr>
          <w:rFonts w:ascii="Segoe UI" w:eastAsia="Times New Roman" w:hAnsi="Segoe UI" w:cs="Segoe UI"/>
          <w:sz w:val="21"/>
          <w:szCs w:val="21"/>
          <w:lang w:val="en" w:eastAsia="fr-FR"/>
        </w:rPr>
        <w:t xml:space="preserve"> a</w:t>
      </w:r>
      <w:r>
        <w:rPr>
          <w:rFonts w:ascii="Segoe UI" w:eastAsia="Times New Roman" w:hAnsi="Segoe UI" w:cs="Segoe UI"/>
          <w:sz w:val="21"/>
          <w:szCs w:val="21"/>
          <w:lang w:val="en" w:eastAsia="fr-FR"/>
        </w:rPr>
        <w:t>nd</w:t>
      </w:r>
      <w:r w:rsidRPr="003F6211">
        <w:rPr>
          <w:rFonts w:ascii="Segoe UI" w:eastAsia="Times New Roman" w:hAnsi="Segoe UI" w:cs="Segoe UI"/>
          <w:sz w:val="21"/>
          <w:szCs w:val="21"/>
          <w:lang w:val="en" w:eastAsia="fr-FR"/>
        </w:rPr>
        <w:t xml:space="preserve"> UCITS</w:t>
      </w:r>
      <w:r>
        <w:rPr>
          <w:rFonts w:ascii="Segoe UI" w:eastAsia="Times New Roman" w:hAnsi="Segoe UI" w:cs="Segoe UI"/>
          <w:sz w:val="21"/>
          <w:szCs w:val="21"/>
          <w:lang w:val="en" w:eastAsia="fr-FR"/>
        </w:rPr>
        <w:t xml:space="preserve"> management companies</w:t>
      </w:r>
      <w:r w:rsidRPr="003F6211">
        <w:rPr>
          <w:rFonts w:ascii="Segoe UI" w:eastAsia="Times New Roman" w:hAnsi="Segoe UI" w:cs="Segoe UI"/>
          <w:sz w:val="21"/>
          <w:szCs w:val="21"/>
          <w:lang w:val="en" w:eastAsia="fr-FR"/>
        </w:rPr>
        <w:t>, the information required for reporting should be the responsibility of these entities</w:t>
      </w:r>
      <w:r>
        <w:rPr>
          <w:rFonts w:ascii="Segoe UI" w:eastAsia="Times New Roman" w:hAnsi="Segoe UI" w:cs="Segoe UI"/>
          <w:sz w:val="21"/>
          <w:szCs w:val="21"/>
          <w:lang w:val="en" w:eastAsia="fr-FR"/>
        </w:rPr>
        <w:t>:</w:t>
      </w:r>
      <w:r w:rsidRPr="003F6211">
        <w:rPr>
          <w:rFonts w:ascii="Segoe UI" w:eastAsia="Times New Roman" w:hAnsi="Segoe UI" w:cs="Segoe UI"/>
          <w:sz w:val="21"/>
          <w:szCs w:val="21"/>
          <w:lang w:val="en" w:eastAsia="fr-FR"/>
        </w:rPr>
        <w:t xml:space="preserve"> </w:t>
      </w:r>
      <w:r>
        <w:rPr>
          <w:rFonts w:ascii="Segoe UI" w:eastAsia="Times New Roman" w:hAnsi="Segoe UI" w:cs="Segoe UI"/>
          <w:sz w:val="21"/>
          <w:szCs w:val="21"/>
          <w:lang w:val="en" w:eastAsia="fr-FR"/>
        </w:rPr>
        <w:t>t</w:t>
      </w:r>
      <w:r w:rsidRPr="003F6211">
        <w:rPr>
          <w:rFonts w:ascii="Segoe UI" w:eastAsia="Times New Roman" w:hAnsi="Segoe UI" w:cs="Segoe UI"/>
          <w:sz w:val="21"/>
          <w:szCs w:val="21"/>
          <w:lang w:val="en" w:eastAsia="fr-FR"/>
        </w:rPr>
        <w:t xml:space="preserve">rading </w:t>
      </w:r>
      <w:r>
        <w:rPr>
          <w:rFonts w:ascii="Segoe UI" w:eastAsia="Times New Roman" w:hAnsi="Segoe UI" w:cs="Segoe UI"/>
          <w:sz w:val="21"/>
          <w:szCs w:val="21"/>
          <w:lang w:val="en" w:eastAsia="fr-FR"/>
        </w:rPr>
        <w:t>v</w:t>
      </w:r>
      <w:r w:rsidRPr="003F6211">
        <w:rPr>
          <w:rFonts w:ascii="Segoe UI" w:eastAsia="Times New Roman" w:hAnsi="Segoe UI" w:cs="Segoe UI"/>
          <w:sz w:val="21"/>
          <w:szCs w:val="21"/>
          <w:lang w:val="en" w:eastAsia="fr-FR"/>
        </w:rPr>
        <w:t>enue</w:t>
      </w:r>
      <w:r>
        <w:rPr>
          <w:rFonts w:ascii="Segoe UI" w:eastAsia="Times New Roman" w:hAnsi="Segoe UI" w:cs="Segoe UI"/>
          <w:sz w:val="21"/>
          <w:szCs w:val="21"/>
          <w:lang w:val="en" w:eastAsia="fr-FR"/>
        </w:rPr>
        <w:t>s should only be required to</w:t>
      </w:r>
      <w:r w:rsidRPr="003F6211">
        <w:rPr>
          <w:rFonts w:ascii="Segoe UI" w:eastAsia="Times New Roman" w:hAnsi="Segoe UI" w:cs="Segoe UI"/>
          <w:sz w:val="21"/>
          <w:szCs w:val="21"/>
          <w:lang w:val="en" w:eastAsia="fr-FR"/>
        </w:rPr>
        <w:t xml:space="preserve"> </w:t>
      </w:r>
      <w:r>
        <w:rPr>
          <w:rFonts w:ascii="Segoe UI" w:eastAsia="Times New Roman" w:hAnsi="Segoe UI" w:cs="Segoe UI"/>
          <w:sz w:val="21"/>
          <w:szCs w:val="21"/>
          <w:lang w:val="en" w:eastAsia="fr-FR"/>
        </w:rPr>
        <w:t>report</w:t>
      </w:r>
      <w:r w:rsidRPr="003F6211">
        <w:rPr>
          <w:rFonts w:ascii="Segoe UI" w:eastAsia="Times New Roman" w:hAnsi="Segoe UI" w:cs="Segoe UI"/>
          <w:sz w:val="21"/>
          <w:szCs w:val="21"/>
          <w:lang w:val="en" w:eastAsia="fr-FR"/>
        </w:rPr>
        <w:t xml:space="preserve"> the data that has been transmitted to </w:t>
      </w:r>
      <w:r>
        <w:rPr>
          <w:rFonts w:ascii="Segoe UI" w:eastAsia="Times New Roman" w:hAnsi="Segoe UI" w:cs="Segoe UI"/>
          <w:sz w:val="21"/>
          <w:szCs w:val="21"/>
          <w:lang w:val="en" w:eastAsia="fr-FR"/>
        </w:rPr>
        <w:t xml:space="preserve">them. </w:t>
      </w:r>
    </w:p>
    <w:p w14:paraId="7296227A" w14:textId="77777777" w:rsidR="006F155F" w:rsidRDefault="006F155F" w:rsidP="006F155F">
      <w:pPr>
        <w:spacing w:after="0" w:line="240" w:lineRule="auto"/>
        <w:rPr>
          <w:rFonts w:ascii="Segoe UI" w:eastAsia="Times New Roman" w:hAnsi="Segoe UI" w:cs="Segoe UI"/>
          <w:sz w:val="21"/>
          <w:szCs w:val="21"/>
          <w:lang w:val="en" w:eastAsia="fr-FR"/>
        </w:rPr>
      </w:pPr>
    </w:p>
    <w:p w14:paraId="04B594AA" w14:textId="77777777" w:rsidR="006F155F" w:rsidRDefault="006F155F" w:rsidP="006F155F">
      <w:r>
        <w:t>It should also be noted that trading venues can only report transactions executed on their systems and the data transmitted by their members.</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2ED6970E" w14:textId="77777777" w:rsidR="00EA757C" w:rsidRDefault="00EA757C" w:rsidP="000B0D26">
      <w:permStart w:id="999892361" w:edGrp="everyone"/>
      <w:r>
        <w:t xml:space="preserve">Yes Euronext fully agrees with ESMA’s proposal. Euronext already reports all its non-MiFID members transactions to the relevant NCAs </w:t>
      </w:r>
    </w:p>
    <w:permEnd w:id="999892361"/>
    <w:p w14:paraId="097265B0" w14:textId="5C7926E9"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76C766DF" w14:textId="77777777" w:rsidR="00EA757C" w:rsidRPr="00A21002" w:rsidRDefault="00EA757C" w:rsidP="00EA757C">
      <w:pPr>
        <w:spacing w:after="0" w:line="240" w:lineRule="auto"/>
        <w:rPr>
          <w:lang w:val="en-US"/>
        </w:rPr>
      </w:pPr>
      <w:permStart w:id="1042289045" w:edGrp="everyone"/>
      <w:r w:rsidRPr="00A21002">
        <w:rPr>
          <w:lang w:val="en-US"/>
        </w:rPr>
        <w:t>Euronext support</w:t>
      </w:r>
      <w:r>
        <w:rPr>
          <w:lang w:val="en-US"/>
        </w:rPr>
        <w:t>s</w:t>
      </w:r>
      <w:r w:rsidRPr="00A21002">
        <w:rPr>
          <w:lang w:val="en-US"/>
        </w:rPr>
        <w:t xml:space="preserve"> all clarification</w:t>
      </w:r>
      <w:r>
        <w:rPr>
          <w:lang w:val="en-US"/>
        </w:rPr>
        <w:t>s</w:t>
      </w:r>
      <w:r w:rsidRPr="00A21002">
        <w:rPr>
          <w:lang w:val="en-US"/>
        </w:rPr>
        <w:t xml:space="preserve"> o</w:t>
      </w:r>
      <w:r>
        <w:rPr>
          <w:lang w:val="en-US"/>
        </w:rPr>
        <w:t>f the text to avoid any misunderstanding from reporting entities.</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44A256D8" w14:textId="77777777" w:rsidR="00EA757C" w:rsidRDefault="00EA757C" w:rsidP="00EA757C">
      <w:pPr>
        <w:spacing w:after="0" w:line="240" w:lineRule="auto"/>
        <w:rPr>
          <w:rFonts w:ascii="Segoe UI" w:hAnsi="Segoe UI" w:cs="Segoe UI"/>
          <w:sz w:val="21"/>
          <w:szCs w:val="21"/>
          <w:lang w:val="en"/>
        </w:rPr>
      </w:pPr>
      <w:permStart w:id="1998264754" w:edGrp="everyone"/>
      <w:r>
        <w:rPr>
          <w:rStyle w:val="ts-alignment-element"/>
          <w:rFonts w:ascii="Segoe UI" w:hAnsi="Segoe UI" w:cs="Segoe UI"/>
          <w:sz w:val="21"/>
          <w:szCs w:val="21"/>
          <w:lang w:val="en"/>
        </w:rPr>
        <w:t>Euronext</w:t>
      </w:r>
      <w:r>
        <w:rPr>
          <w:rFonts w:ascii="Segoe UI" w:hAnsi="Segoe UI" w:cs="Segoe UI"/>
          <w:sz w:val="21"/>
          <w:szCs w:val="21"/>
          <w:lang w:val="en"/>
        </w:rPr>
        <w:t xml:space="preserve"> </w:t>
      </w:r>
      <w:r>
        <w:rPr>
          <w:rStyle w:val="ts-alignment-element"/>
          <w:rFonts w:ascii="Segoe UI" w:hAnsi="Segoe UI" w:cs="Segoe UI"/>
          <w:sz w:val="21"/>
          <w:szCs w:val="21"/>
          <w:lang w:val="en"/>
        </w:rPr>
        <w:t>considers</w:t>
      </w:r>
      <w:r>
        <w:rPr>
          <w:rFonts w:ascii="Segoe UI" w:hAnsi="Segoe UI" w:cs="Segoe UI"/>
          <w:sz w:val="21"/>
          <w:szCs w:val="21"/>
          <w:lang w:val="en"/>
        </w:rPr>
        <w:t xml:space="preserve"> </w:t>
      </w:r>
      <w:r>
        <w:rPr>
          <w:rStyle w:val="ts-alignment-element"/>
          <w:rFonts w:ascii="Segoe UI" w:hAnsi="Segoe UI" w:cs="Segoe UI"/>
          <w:sz w:val="21"/>
          <w:szCs w:val="21"/>
          <w:lang w:val="en"/>
        </w:rPr>
        <w:t>it</w:t>
      </w:r>
      <w:r>
        <w:rPr>
          <w:rFonts w:ascii="Segoe UI" w:hAnsi="Segoe UI" w:cs="Segoe UI"/>
          <w:sz w:val="21"/>
          <w:szCs w:val="21"/>
          <w:lang w:val="en"/>
        </w:rPr>
        <w:t xml:space="preserve"> </w:t>
      </w:r>
      <w:r>
        <w:rPr>
          <w:rStyle w:val="ts-alignment-element"/>
          <w:rFonts w:ascii="Segoe UI" w:hAnsi="Segoe UI" w:cs="Segoe UI"/>
          <w:sz w:val="21"/>
          <w:szCs w:val="21"/>
          <w:lang w:val="en"/>
        </w:rPr>
        <w:t>essential</w:t>
      </w:r>
      <w:r>
        <w:rPr>
          <w:rFonts w:ascii="Segoe UI" w:hAnsi="Segoe UI" w:cs="Segoe UI"/>
          <w:sz w:val="21"/>
          <w:szCs w:val="21"/>
          <w:lang w:val="en"/>
        </w:rPr>
        <w:t xml:space="preserve"> </w:t>
      </w:r>
      <w:r>
        <w:rPr>
          <w:rStyle w:val="ts-alignment-element"/>
          <w:rFonts w:ascii="Segoe UI" w:hAnsi="Segoe UI" w:cs="Segoe UI"/>
          <w:sz w:val="21"/>
          <w:szCs w:val="21"/>
          <w:lang w:val="en"/>
        </w:rPr>
        <w:t>that</w:t>
      </w:r>
      <w:r>
        <w:rPr>
          <w:rFonts w:ascii="Segoe UI" w:hAnsi="Segoe UI" w:cs="Segoe UI"/>
          <w:sz w:val="21"/>
          <w:szCs w:val="21"/>
          <w:lang w:val="en"/>
        </w:rPr>
        <w:t xml:space="preserve"> </w:t>
      </w:r>
      <w:r>
        <w:rPr>
          <w:rStyle w:val="ts-alignment-element"/>
          <w:rFonts w:ascii="Segoe UI" w:hAnsi="Segoe UI" w:cs="Segoe UI"/>
          <w:sz w:val="21"/>
          <w:szCs w:val="21"/>
          <w:lang w:val="en"/>
        </w:rPr>
        <w:t>regulators</w:t>
      </w:r>
      <w:r>
        <w:rPr>
          <w:rFonts w:ascii="Segoe UI" w:hAnsi="Segoe UI" w:cs="Segoe UI"/>
          <w:sz w:val="21"/>
          <w:szCs w:val="21"/>
          <w:lang w:val="en"/>
        </w:rPr>
        <w:t xml:space="preserve"> be </w:t>
      </w:r>
      <w:r>
        <w:rPr>
          <w:rStyle w:val="ts-alignment-element"/>
          <w:rFonts w:ascii="Segoe UI" w:hAnsi="Segoe UI" w:cs="Segoe UI"/>
          <w:sz w:val="21"/>
          <w:szCs w:val="21"/>
          <w:lang w:val="en"/>
        </w:rPr>
        <w:t>able</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exchange</w:t>
      </w:r>
      <w:r>
        <w:rPr>
          <w:rFonts w:ascii="Segoe UI" w:hAnsi="Segoe UI" w:cs="Segoe UI"/>
          <w:sz w:val="21"/>
          <w:szCs w:val="21"/>
          <w:lang w:val="en"/>
        </w:rPr>
        <w:t xml:space="preserve"> </w:t>
      </w:r>
      <w:r>
        <w:rPr>
          <w:rStyle w:val="ts-alignment-element"/>
          <w:rFonts w:ascii="Segoe UI" w:hAnsi="Segoe UI" w:cs="Segoe UI"/>
          <w:sz w:val="21"/>
          <w:szCs w:val="21"/>
          <w:lang w:val="en"/>
        </w:rPr>
        <w:t>reporting</w:t>
      </w:r>
      <w:r>
        <w:rPr>
          <w:rFonts w:ascii="Segoe UI" w:hAnsi="Segoe UI" w:cs="Segoe UI"/>
          <w:sz w:val="21"/>
          <w:szCs w:val="21"/>
          <w:lang w:val="en"/>
        </w:rPr>
        <w:t xml:space="preserve"> </w:t>
      </w:r>
      <w:r>
        <w:rPr>
          <w:rStyle w:val="ts-alignment-element"/>
          <w:rFonts w:ascii="Segoe UI" w:hAnsi="Segoe UI" w:cs="Segoe UI"/>
          <w:sz w:val="21"/>
          <w:szCs w:val="21"/>
          <w:lang w:val="en"/>
        </w:rPr>
        <w:t>data.</w:t>
      </w:r>
      <w:r>
        <w:rPr>
          <w:rFonts w:ascii="Segoe UI" w:hAnsi="Segoe UI" w:cs="Segoe UI"/>
          <w:sz w:val="21"/>
          <w:szCs w:val="21"/>
          <w:lang w:val="en"/>
        </w:rPr>
        <w:t xml:space="preserve"> However, </w:t>
      </w:r>
      <w:r>
        <w:rPr>
          <w:rStyle w:val="ts-alignment-element"/>
          <w:rFonts w:ascii="Segoe UI" w:hAnsi="Segoe UI" w:cs="Segoe UI"/>
          <w:sz w:val="21"/>
          <w:szCs w:val="21"/>
          <w:lang w:val="en"/>
        </w:rPr>
        <w:t>our</w:t>
      </w:r>
      <w:r>
        <w:rPr>
          <w:rFonts w:ascii="Segoe UI" w:hAnsi="Segoe UI" w:cs="Segoe UI"/>
          <w:sz w:val="21"/>
          <w:szCs w:val="21"/>
          <w:lang w:val="en"/>
        </w:rPr>
        <w:t xml:space="preserve"> </w:t>
      </w:r>
      <w:r>
        <w:rPr>
          <w:rStyle w:val="ts-alignment-element"/>
          <w:rFonts w:ascii="Segoe UI" w:hAnsi="Segoe UI" w:cs="Segoe UI"/>
          <w:sz w:val="21"/>
          <w:szCs w:val="21"/>
          <w:lang w:val="en"/>
        </w:rPr>
        <w:t>experience of</w:t>
      </w:r>
      <w:r>
        <w:rPr>
          <w:rFonts w:ascii="Segoe UI" w:hAnsi="Segoe UI" w:cs="Segoe UI"/>
          <w:sz w:val="21"/>
          <w:szCs w:val="21"/>
          <w:lang w:val="en"/>
        </w:rPr>
        <w:t xml:space="preserve"> </w:t>
      </w:r>
      <w:r>
        <w:rPr>
          <w:rStyle w:val="ts-alignment-element"/>
          <w:rFonts w:ascii="Segoe UI" w:hAnsi="Segoe UI" w:cs="Segoe UI"/>
          <w:sz w:val="21"/>
          <w:szCs w:val="21"/>
          <w:lang w:val="en"/>
        </w:rPr>
        <w:t>reporting</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several</w:t>
      </w:r>
      <w:r>
        <w:rPr>
          <w:rFonts w:ascii="Segoe UI" w:hAnsi="Segoe UI" w:cs="Segoe UI"/>
          <w:sz w:val="21"/>
          <w:szCs w:val="21"/>
          <w:lang w:val="en"/>
        </w:rPr>
        <w:t xml:space="preserve"> </w:t>
      </w:r>
      <w:r>
        <w:rPr>
          <w:rStyle w:val="ts-alignment-element"/>
          <w:rFonts w:ascii="Segoe UI" w:hAnsi="Segoe UI" w:cs="Segoe UI"/>
          <w:sz w:val="21"/>
          <w:szCs w:val="21"/>
          <w:lang w:val="en"/>
        </w:rPr>
        <w:t>European</w:t>
      </w:r>
      <w:r>
        <w:rPr>
          <w:rFonts w:ascii="Segoe UI" w:hAnsi="Segoe UI" w:cs="Segoe UI"/>
          <w:sz w:val="21"/>
          <w:szCs w:val="21"/>
          <w:lang w:val="en"/>
        </w:rPr>
        <w:t xml:space="preserve"> </w:t>
      </w:r>
      <w:r>
        <w:rPr>
          <w:rStyle w:val="ts-alignment-element"/>
          <w:rFonts w:ascii="Segoe UI" w:hAnsi="Segoe UI" w:cs="Segoe UI"/>
          <w:sz w:val="21"/>
          <w:szCs w:val="21"/>
          <w:lang w:val="en"/>
        </w:rPr>
        <w:t>regulators indicates to us that such data</w:t>
      </w:r>
      <w:r>
        <w:rPr>
          <w:rFonts w:ascii="Segoe UI" w:hAnsi="Segoe UI" w:cs="Segoe UI"/>
          <w:sz w:val="21"/>
          <w:szCs w:val="21"/>
          <w:lang w:val="en"/>
        </w:rPr>
        <w:t xml:space="preserve"> </w:t>
      </w:r>
      <w:r>
        <w:rPr>
          <w:rStyle w:val="ts-alignment-element"/>
          <w:rFonts w:ascii="Segoe UI" w:hAnsi="Segoe UI" w:cs="Segoe UI"/>
          <w:sz w:val="21"/>
          <w:szCs w:val="21"/>
          <w:lang w:val="en"/>
        </w:rPr>
        <w:t>exchange</w:t>
      </w:r>
      <w:r>
        <w:rPr>
          <w:rFonts w:ascii="Segoe UI" w:hAnsi="Segoe UI" w:cs="Segoe UI"/>
          <w:sz w:val="21"/>
          <w:szCs w:val="21"/>
          <w:lang w:val="en"/>
        </w:rPr>
        <w:t xml:space="preserve"> </w:t>
      </w:r>
      <w:r>
        <w:rPr>
          <w:rStyle w:val="ts-alignment-element"/>
          <w:rFonts w:ascii="Segoe UI" w:hAnsi="Segoe UI" w:cs="Segoe UI"/>
          <w:sz w:val="21"/>
          <w:szCs w:val="21"/>
          <w:lang w:val="en"/>
        </w:rPr>
        <w:t>is not easy, particularly</w:t>
      </w:r>
      <w:r>
        <w:rPr>
          <w:rFonts w:ascii="Segoe UI" w:hAnsi="Segoe UI" w:cs="Segoe UI"/>
          <w:sz w:val="21"/>
          <w:szCs w:val="21"/>
          <w:lang w:val="en"/>
        </w:rPr>
        <w:t xml:space="preserve"> </w:t>
      </w:r>
      <w:r>
        <w:rPr>
          <w:rStyle w:val="ts-alignment-element"/>
          <w:rFonts w:ascii="Segoe UI" w:hAnsi="Segoe UI" w:cs="Segoe UI"/>
          <w:sz w:val="21"/>
          <w:szCs w:val="21"/>
          <w:lang w:val="en"/>
        </w:rPr>
        <w:t>since</w:t>
      </w:r>
      <w:r>
        <w:rPr>
          <w:rFonts w:ascii="Segoe UI" w:hAnsi="Segoe UI" w:cs="Segoe UI"/>
          <w:sz w:val="21"/>
          <w:szCs w:val="21"/>
          <w:lang w:val="en"/>
        </w:rPr>
        <w:t xml:space="preserve"> the </w:t>
      </w:r>
      <w:r>
        <w:rPr>
          <w:rStyle w:val="ts-alignment-element"/>
          <w:rFonts w:ascii="Segoe UI" w:hAnsi="Segoe UI" w:cs="Segoe UI"/>
          <w:sz w:val="21"/>
          <w:szCs w:val="21"/>
          <w:lang w:val="en"/>
        </w:rPr>
        <w:t>reporting</w:t>
      </w:r>
      <w:r>
        <w:rPr>
          <w:rFonts w:ascii="Segoe UI" w:hAnsi="Segoe UI" w:cs="Segoe UI"/>
          <w:sz w:val="21"/>
          <w:szCs w:val="21"/>
          <w:lang w:val="en"/>
        </w:rPr>
        <w:t xml:space="preserve"> </w:t>
      </w:r>
      <w:r>
        <w:rPr>
          <w:rStyle w:val="ts-alignment-element"/>
          <w:rFonts w:ascii="Segoe UI" w:hAnsi="Segoe UI" w:cs="Segoe UI"/>
          <w:sz w:val="21"/>
          <w:szCs w:val="21"/>
          <w:lang w:val="en"/>
        </w:rPr>
        <w:t>procedures</w:t>
      </w:r>
      <w:r>
        <w:rPr>
          <w:rFonts w:ascii="Segoe UI" w:hAnsi="Segoe UI" w:cs="Segoe UI"/>
          <w:sz w:val="21"/>
          <w:szCs w:val="21"/>
          <w:lang w:val="en"/>
        </w:rPr>
        <w:t xml:space="preserve"> </w:t>
      </w:r>
      <w:r>
        <w:rPr>
          <w:rStyle w:val="ts-alignment-element"/>
          <w:rFonts w:ascii="Segoe UI" w:hAnsi="Segoe UI" w:cs="Segoe UI"/>
          <w:sz w:val="21"/>
          <w:szCs w:val="21"/>
          <w:lang w:val="en"/>
        </w:rPr>
        <w:t>are</w:t>
      </w:r>
      <w:r>
        <w:rPr>
          <w:rFonts w:ascii="Segoe UI" w:hAnsi="Segoe UI" w:cs="Segoe UI"/>
          <w:sz w:val="21"/>
          <w:szCs w:val="21"/>
          <w:lang w:val="en"/>
        </w:rPr>
        <w:t xml:space="preserve"> </w:t>
      </w:r>
      <w:r>
        <w:rPr>
          <w:rStyle w:val="ts-alignment-element"/>
          <w:rFonts w:ascii="Segoe UI" w:hAnsi="Segoe UI" w:cs="Segoe UI"/>
          <w:sz w:val="21"/>
          <w:szCs w:val="21"/>
          <w:lang w:val="en"/>
        </w:rPr>
        <w:t>not</w:t>
      </w:r>
      <w:r>
        <w:rPr>
          <w:rFonts w:ascii="Segoe UI" w:hAnsi="Segoe UI" w:cs="Segoe UI"/>
          <w:sz w:val="21"/>
          <w:szCs w:val="21"/>
          <w:lang w:val="en"/>
        </w:rPr>
        <w:t xml:space="preserve"> </w:t>
      </w:r>
      <w:r>
        <w:rPr>
          <w:rStyle w:val="ts-alignment-element"/>
          <w:rFonts w:ascii="Segoe UI" w:hAnsi="Segoe UI" w:cs="Segoe UI"/>
          <w:sz w:val="21"/>
          <w:szCs w:val="21"/>
          <w:lang w:val="en"/>
        </w:rPr>
        <w:t>fully</w:t>
      </w:r>
      <w:r>
        <w:rPr>
          <w:rFonts w:ascii="Segoe UI" w:hAnsi="Segoe UI" w:cs="Segoe UI"/>
          <w:sz w:val="21"/>
          <w:szCs w:val="21"/>
          <w:lang w:val="en"/>
        </w:rPr>
        <w:t xml:space="preserve"> </w:t>
      </w:r>
      <w:proofErr w:type="spellStart"/>
      <w:r>
        <w:rPr>
          <w:rStyle w:val="ts-alignment-element"/>
          <w:rFonts w:ascii="Segoe UI" w:hAnsi="Segoe UI" w:cs="Segoe UI"/>
          <w:sz w:val="21"/>
          <w:szCs w:val="21"/>
          <w:lang w:val="en"/>
        </w:rPr>
        <w:t>harmonised</w:t>
      </w:r>
      <w:proofErr w:type="spellEnd"/>
      <w:r>
        <w:rPr>
          <w:rStyle w:val="ts-alignment-element"/>
          <w:rFonts w:ascii="Segoe UI" w:hAnsi="Segoe UI" w:cs="Segoe UI"/>
          <w:sz w:val="21"/>
          <w:szCs w:val="21"/>
          <w:lang w:val="en"/>
        </w:rPr>
        <w:t>.</w:t>
      </w:r>
      <w:r>
        <w:rPr>
          <w:rFonts w:ascii="Segoe UI" w:hAnsi="Segoe UI" w:cs="Segoe UI"/>
          <w:sz w:val="21"/>
          <w:szCs w:val="21"/>
          <w:lang w:val="en"/>
        </w:rPr>
        <w:t xml:space="preserve"> For example, </w:t>
      </w:r>
      <w:r>
        <w:rPr>
          <w:rStyle w:val="ts-alignment-element"/>
          <w:rFonts w:ascii="Segoe UI" w:hAnsi="Segoe UI" w:cs="Segoe UI"/>
          <w:sz w:val="21"/>
          <w:szCs w:val="21"/>
          <w:lang w:val="en"/>
        </w:rPr>
        <w:t>some NCA</w:t>
      </w:r>
      <w:r>
        <w:rPr>
          <w:rFonts w:ascii="Segoe UI" w:hAnsi="Segoe UI" w:cs="Segoe UI"/>
          <w:sz w:val="21"/>
          <w:szCs w:val="21"/>
          <w:lang w:val="en"/>
        </w:rPr>
        <w:t xml:space="preserve"> </w:t>
      </w:r>
      <w:r>
        <w:rPr>
          <w:rStyle w:val="ts-alignment-element"/>
          <w:rFonts w:ascii="Segoe UI" w:hAnsi="Segoe UI" w:cs="Segoe UI"/>
          <w:sz w:val="21"/>
          <w:szCs w:val="21"/>
          <w:lang w:val="en"/>
        </w:rPr>
        <w:t>feedback</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reporting</w:t>
      </w:r>
      <w:r>
        <w:rPr>
          <w:rFonts w:ascii="Segoe UI" w:hAnsi="Segoe UI" w:cs="Segoe UI"/>
          <w:sz w:val="21"/>
          <w:szCs w:val="21"/>
          <w:lang w:val="en"/>
        </w:rPr>
        <w:t xml:space="preserve"> </w:t>
      </w:r>
      <w:r>
        <w:rPr>
          <w:rStyle w:val="ts-alignment-element"/>
          <w:rFonts w:ascii="Segoe UI" w:hAnsi="Segoe UI" w:cs="Segoe UI"/>
          <w:sz w:val="21"/>
          <w:szCs w:val="21"/>
          <w:lang w:val="en"/>
        </w:rPr>
        <w:t>files</w:t>
      </w:r>
      <w:r>
        <w:rPr>
          <w:rFonts w:ascii="Segoe UI" w:hAnsi="Segoe UI" w:cs="Segoe UI"/>
          <w:sz w:val="21"/>
          <w:szCs w:val="21"/>
          <w:lang w:val="en"/>
        </w:rPr>
        <w:t xml:space="preserve"> </w:t>
      </w:r>
      <w:r>
        <w:rPr>
          <w:rStyle w:val="ts-alignment-element"/>
          <w:rFonts w:ascii="Segoe UI" w:hAnsi="Segoe UI" w:cs="Segoe UI"/>
          <w:sz w:val="21"/>
          <w:szCs w:val="21"/>
          <w:lang w:val="en"/>
        </w:rPr>
        <w:t>are</w:t>
      </w:r>
      <w:r>
        <w:rPr>
          <w:rFonts w:ascii="Segoe UI" w:hAnsi="Segoe UI" w:cs="Segoe UI"/>
          <w:sz w:val="21"/>
          <w:szCs w:val="21"/>
          <w:lang w:val="en"/>
        </w:rPr>
        <w:t xml:space="preserve"> </w:t>
      </w:r>
      <w:r>
        <w:rPr>
          <w:rStyle w:val="ts-alignment-element"/>
          <w:rFonts w:ascii="Segoe UI" w:hAnsi="Segoe UI" w:cs="Segoe UI"/>
          <w:sz w:val="21"/>
          <w:szCs w:val="21"/>
          <w:lang w:val="en"/>
        </w:rPr>
        <w:t>made</w:t>
      </w:r>
      <w:r>
        <w:rPr>
          <w:rFonts w:ascii="Segoe UI" w:hAnsi="Segoe UI" w:cs="Segoe UI"/>
          <w:sz w:val="21"/>
          <w:szCs w:val="21"/>
          <w:lang w:val="en"/>
        </w:rPr>
        <w:t xml:space="preserve"> </w:t>
      </w:r>
      <w:r>
        <w:rPr>
          <w:rStyle w:val="ts-alignment-element"/>
          <w:rFonts w:ascii="Segoe UI" w:hAnsi="Segoe UI" w:cs="Segoe UI"/>
          <w:sz w:val="21"/>
          <w:szCs w:val="21"/>
          <w:lang w:val="en"/>
        </w:rPr>
        <w:t>at</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unit</w:t>
      </w:r>
      <w:r>
        <w:rPr>
          <w:rFonts w:ascii="Segoe UI" w:hAnsi="Segoe UI" w:cs="Segoe UI"/>
          <w:sz w:val="21"/>
          <w:szCs w:val="21"/>
          <w:lang w:val="en"/>
        </w:rPr>
        <w:t xml:space="preserve"> transaction </w:t>
      </w:r>
      <w:r>
        <w:rPr>
          <w:rStyle w:val="ts-alignment-element"/>
          <w:rFonts w:ascii="Segoe UI" w:hAnsi="Segoe UI" w:cs="Segoe UI"/>
          <w:sz w:val="21"/>
          <w:szCs w:val="21"/>
          <w:lang w:val="en"/>
        </w:rPr>
        <w:t>level</w:t>
      </w:r>
      <w:r>
        <w:rPr>
          <w:rFonts w:ascii="Segoe UI" w:hAnsi="Segoe UI" w:cs="Segoe UI"/>
          <w:sz w:val="21"/>
          <w:szCs w:val="21"/>
          <w:lang w:val="en"/>
        </w:rPr>
        <w:t xml:space="preserve">, while </w:t>
      </w:r>
      <w:r>
        <w:rPr>
          <w:rStyle w:val="ts-alignment-element"/>
          <w:rFonts w:ascii="Segoe UI" w:hAnsi="Segoe UI" w:cs="Segoe UI"/>
          <w:sz w:val="21"/>
          <w:szCs w:val="21"/>
          <w:lang w:val="en"/>
        </w:rPr>
        <w:t>other</w:t>
      </w:r>
      <w:r>
        <w:rPr>
          <w:rFonts w:ascii="Segoe UI" w:hAnsi="Segoe UI" w:cs="Segoe UI"/>
          <w:sz w:val="21"/>
          <w:szCs w:val="21"/>
          <w:lang w:val="en"/>
        </w:rPr>
        <w:t xml:space="preserve"> </w:t>
      </w:r>
      <w:r>
        <w:rPr>
          <w:rStyle w:val="ts-alignment-element"/>
          <w:rFonts w:ascii="Segoe UI" w:hAnsi="Segoe UI" w:cs="Segoe UI"/>
          <w:sz w:val="21"/>
          <w:szCs w:val="21"/>
          <w:lang w:val="en"/>
        </w:rPr>
        <w:t>NCAs focus on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global</w:t>
      </w:r>
      <w:r>
        <w:rPr>
          <w:rFonts w:ascii="Segoe UI" w:hAnsi="Segoe UI" w:cs="Segoe UI"/>
          <w:sz w:val="21"/>
          <w:szCs w:val="21"/>
          <w:lang w:val="en"/>
        </w:rPr>
        <w:t xml:space="preserve"> </w:t>
      </w:r>
      <w:r>
        <w:rPr>
          <w:rStyle w:val="ts-alignment-element"/>
          <w:rFonts w:ascii="Segoe UI" w:hAnsi="Segoe UI" w:cs="Segoe UI"/>
          <w:sz w:val="21"/>
          <w:szCs w:val="21"/>
          <w:lang w:val="en"/>
        </w:rPr>
        <w:t>file. This is clearly difficult</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manage.</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addition</w:t>
      </w:r>
      <w:r>
        <w:rPr>
          <w:rFonts w:ascii="Segoe UI" w:hAnsi="Segoe UI" w:cs="Segoe UI"/>
          <w:sz w:val="21"/>
          <w:szCs w:val="21"/>
          <w:lang w:val="en"/>
        </w:rPr>
        <w:t xml:space="preserve"> to </w:t>
      </w:r>
      <w:r>
        <w:rPr>
          <w:rStyle w:val="ts-alignment-element"/>
          <w:rFonts w:ascii="Segoe UI" w:hAnsi="Segoe UI" w:cs="Segoe UI"/>
          <w:sz w:val="21"/>
          <w:szCs w:val="21"/>
          <w:lang w:val="en"/>
        </w:rPr>
        <w:t>reporting</w:t>
      </w:r>
      <w:r>
        <w:rPr>
          <w:rFonts w:ascii="Segoe UI" w:hAnsi="Segoe UI" w:cs="Segoe UI"/>
          <w:sz w:val="21"/>
          <w:szCs w:val="21"/>
          <w:lang w:val="en"/>
        </w:rPr>
        <w:t xml:space="preserve"> </w:t>
      </w:r>
      <w:r>
        <w:rPr>
          <w:rStyle w:val="ts-alignment-element"/>
          <w:rFonts w:ascii="Segoe UI" w:hAnsi="Segoe UI" w:cs="Segoe UI"/>
          <w:sz w:val="21"/>
          <w:szCs w:val="21"/>
          <w:lang w:val="en"/>
        </w:rPr>
        <w:t>transactions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ESMA,</w:t>
      </w:r>
      <w:r>
        <w:rPr>
          <w:rFonts w:ascii="Segoe UI" w:hAnsi="Segoe UI" w:cs="Segoe UI"/>
          <w:sz w:val="21"/>
          <w:szCs w:val="21"/>
          <w:lang w:val="en"/>
        </w:rPr>
        <w:t xml:space="preserve"> </w:t>
      </w:r>
      <w:r>
        <w:rPr>
          <w:rStyle w:val="ts-alignment-element"/>
          <w:rFonts w:ascii="Segoe UI" w:hAnsi="Segoe UI" w:cs="Segoe UI"/>
          <w:sz w:val="21"/>
          <w:szCs w:val="21"/>
          <w:lang w:val="en"/>
        </w:rPr>
        <w:t>some</w:t>
      </w:r>
      <w:r>
        <w:rPr>
          <w:rFonts w:ascii="Segoe UI" w:hAnsi="Segoe UI" w:cs="Segoe UI"/>
          <w:sz w:val="21"/>
          <w:szCs w:val="21"/>
          <w:lang w:val="en"/>
        </w:rPr>
        <w:t xml:space="preserve"> </w:t>
      </w:r>
      <w:r>
        <w:rPr>
          <w:rStyle w:val="ts-alignment-element"/>
          <w:rFonts w:ascii="Segoe UI" w:hAnsi="Segoe UI" w:cs="Segoe UI"/>
          <w:sz w:val="21"/>
          <w:szCs w:val="21"/>
          <w:lang w:val="en"/>
        </w:rPr>
        <w:t>regulators also</w:t>
      </w:r>
      <w:r>
        <w:rPr>
          <w:rFonts w:ascii="Segoe UI" w:hAnsi="Segoe UI" w:cs="Segoe UI"/>
          <w:sz w:val="21"/>
          <w:szCs w:val="21"/>
          <w:lang w:val="en"/>
        </w:rPr>
        <w:t xml:space="preserve"> </w:t>
      </w:r>
      <w:r>
        <w:rPr>
          <w:rStyle w:val="ts-alignment-element"/>
          <w:rFonts w:ascii="Segoe UI" w:hAnsi="Segoe UI" w:cs="Segoe UI"/>
          <w:sz w:val="21"/>
          <w:szCs w:val="21"/>
          <w:lang w:val="en"/>
        </w:rPr>
        <w:t>request</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second</w:t>
      </w:r>
      <w:r>
        <w:rPr>
          <w:rFonts w:ascii="Segoe UI" w:hAnsi="Segoe UI" w:cs="Segoe UI"/>
          <w:sz w:val="21"/>
          <w:szCs w:val="21"/>
          <w:lang w:val="en"/>
        </w:rPr>
        <w:t xml:space="preserve"> </w:t>
      </w:r>
      <w:r>
        <w:rPr>
          <w:rStyle w:val="ts-alignment-element"/>
          <w:rFonts w:ascii="Segoe UI" w:hAnsi="Segoe UI" w:cs="Segoe UI"/>
          <w:sz w:val="21"/>
          <w:szCs w:val="21"/>
          <w:lang w:val="en"/>
        </w:rPr>
        <w:t>on-demand</w:t>
      </w:r>
      <w:r>
        <w:rPr>
          <w:rFonts w:ascii="Segoe UI" w:hAnsi="Segoe UI" w:cs="Segoe UI"/>
          <w:sz w:val="21"/>
          <w:szCs w:val="21"/>
          <w:lang w:val="en"/>
        </w:rPr>
        <w:t xml:space="preserve"> </w:t>
      </w:r>
      <w:r>
        <w:rPr>
          <w:rStyle w:val="ts-alignment-element"/>
          <w:rFonts w:ascii="Segoe UI" w:hAnsi="Segoe UI" w:cs="Segoe UI"/>
          <w:sz w:val="21"/>
          <w:szCs w:val="21"/>
          <w:lang w:val="en"/>
        </w:rPr>
        <w:t>reporting</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other</w:t>
      </w:r>
      <w:r>
        <w:rPr>
          <w:rFonts w:ascii="Segoe UI" w:hAnsi="Segoe UI" w:cs="Segoe UI"/>
          <w:sz w:val="21"/>
          <w:szCs w:val="21"/>
          <w:lang w:val="en"/>
        </w:rPr>
        <w:t xml:space="preserve"> </w:t>
      </w:r>
      <w:r>
        <w:rPr>
          <w:rStyle w:val="ts-alignment-element"/>
          <w:rFonts w:ascii="Segoe UI" w:hAnsi="Segoe UI" w:cs="Segoe UI"/>
          <w:sz w:val="21"/>
          <w:szCs w:val="21"/>
          <w:lang w:val="en"/>
        </w:rPr>
        <w:t>formats.</w:t>
      </w:r>
      <w:r>
        <w:rPr>
          <w:rFonts w:ascii="Segoe UI" w:hAnsi="Segoe UI" w:cs="Segoe UI"/>
          <w:sz w:val="21"/>
          <w:szCs w:val="21"/>
          <w:lang w:val="en"/>
        </w:rPr>
        <w:t xml:space="preserve"> </w:t>
      </w:r>
      <w:r>
        <w:rPr>
          <w:rStyle w:val="ts-alignment-element"/>
          <w:rFonts w:ascii="Segoe UI" w:hAnsi="Segoe UI" w:cs="Segoe UI"/>
          <w:sz w:val="21"/>
          <w:szCs w:val="21"/>
          <w:lang w:val="en"/>
        </w:rPr>
        <w:t>We believe ESMA should consider the</w:t>
      </w:r>
      <w:r>
        <w:rPr>
          <w:rFonts w:ascii="Segoe UI" w:hAnsi="Segoe UI" w:cs="Segoe UI"/>
          <w:sz w:val="21"/>
          <w:szCs w:val="21"/>
          <w:lang w:val="en"/>
        </w:rPr>
        <w:t xml:space="preserve"> need for a fully </w:t>
      </w:r>
      <w:proofErr w:type="spellStart"/>
      <w:r>
        <w:rPr>
          <w:rFonts w:ascii="Segoe UI" w:hAnsi="Segoe UI" w:cs="Segoe UI"/>
          <w:sz w:val="21"/>
          <w:szCs w:val="21"/>
          <w:lang w:val="en"/>
        </w:rPr>
        <w:t>harmonised</w:t>
      </w:r>
      <w:proofErr w:type="spellEnd"/>
      <w:r>
        <w:rPr>
          <w:rFonts w:ascii="Segoe UI" w:hAnsi="Segoe UI" w:cs="Segoe UI"/>
          <w:sz w:val="21"/>
          <w:szCs w:val="21"/>
          <w:lang w:val="en"/>
        </w:rPr>
        <w:t xml:space="preserve"> process for transaction reporting across all EU Member States.</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4C9287E7" w:rsidR="000B0D26" w:rsidRPr="00327C65" w:rsidRDefault="00327C65" w:rsidP="000B0D26">
      <w:pPr>
        <w:rPr>
          <w:lang w:val="pt-PT"/>
        </w:rPr>
      </w:pPr>
      <w:permStart w:id="1725236856" w:edGrp="everyone"/>
      <w:r w:rsidRPr="00327C65">
        <w:rPr>
          <w:lang w:val="pt-PT"/>
        </w:rPr>
        <w:t>N/A</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5ED924CC" w:rsidR="000B0D26" w:rsidRDefault="00327C65" w:rsidP="000B0D26">
      <w:permStart w:id="1355041525" w:edGrp="everyone"/>
      <w:r>
        <w:t>N/A</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4FC9AFCA" w:rsidR="000B0D26" w:rsidRPr="00327C65" w:rsidRDefault="00327C65" w:rsidP="000B0D26">
      <w:pPr>
        <w:rPr>
          <w:lang w:val="pt-PT"/>
        </w:rPr>
      </w:pPr>
      <w:permStart w:id="1583692609" w:edGrp="everyone"/>
      <w:r w:rsidRPr="00327C65">
        <w:rPr>
          <w:lang w:val="pt-PT"/>
        </w:rPr>
        <w:t>N/A</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6E00489C" w14:textId="77777777" w:rsidR="00EA757C" w:rsidRDefault="00EA757C" w:rsidP="00EA757C">
      <w:permStart w:id="2001084504" w:edGrp="everyone"/>
      <w:r>
        <w:t xml:space="preserve">Euronext supports the harmonisation of definitions between the different European Directives/Regulation. Using the term “benchmark” instead of “index” will avoid misinterpretation </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3033FD5B" w14:textId="63EC6764" w:rsidR="0007551F" w:rsidRDefault="0007551F" w:rsidP="0007551F">
      <w:pPr>
        <w:shd w:val="clear" w:color="auto" w:fill="FDFDFD"/>
        <w:spacing w:after="0" w:line="240" w:lineRule="auto"/>
        <w:rPr>
          <w:rFonts w:ascii="Segoe UI" w:eastAsia="Times New Roman" w:hAnsi="Segoe UI" w:cs="Segoe UI"/>
          <w:sz w:val="21"/>
          <w:szCs w:val="21"/>
          <w:lang w:val="en" w:eastAsia="fr-FR"/>
        </w:rPr>
      </w:pPr>
      <w:bookmarkStart w:id="3" w:name="_Hlk57224889"/>
      <w:permStart w:id="292098219" w:edGrp="everyone"/>
      <w:r w:rsidRPr="00B92D72">
        <w:rPr>
          <w:rFonts w:ascii="Segoe UI" w:eastAsia="Times New Roman" w:hAnsi="Segoe UI" w:cs="Segoe UI"/>
          <w:sz w:val="21"/>
          <w:szCs w:val="21"/>
          <w:lang w:val="en" w:eastAsia="fr-FR"/>
        </w:rPr>
        <w:t xml:space="preserve">The choice </w:t>
      </w:r>
      <w:r>
        <w:rPr>
          <w:rFonts w:ascii="Segoe UI" w:eastAsia="Times New Roman" w:hAnsi="Segoe UI" w:cs="Segoe UI"/>
          <w:sz w:val="21"/>
          <w:szCs w:val="21"/>
          <w:lang w:val="en" w:eastAsia="fr-FR"/>
        </w:rPr>
        <w:t xml:space="preserve">between the 3 different </w:t>
      </w:r>
      <w:r w:rsidRPr="00B92D72">
        <w:rPr>
          <w:rFonts w:ascii="Segoe UI" w:eastAsia="Times New Roman" w:hAnsi="Segoe UI" w:cs="Segoe UI"/>
          <w:sz w:val="21"/>
          <w:szCs w:val="21"/>
          <w:lang w:val="en" w:eastAsia="fr-FR"/>
        </w:rPr>
        <w:t>option</w:t>
      </w:r>
      <w:r>
        <w:rPr>
          <w:rFonts w:ascii="Segoe UI" w:eastAsia="Times New Roman" w:hAnsi="Segoe UI" w:cs="Segoe UI"/>
          <w:sz w:val="21"/>
          <w:szCs w:val="21"/>
          <w:lang w:val="en" w:eastAsia="fr-FR"/>
        </w:rPr>
        <w:t>s</w:t>
      </w:r>
      <w:r w:rsidRPr="00B92D72">
        <w:rPr>
          <w:rFonts w:ascii="Segoe UI" w:eastAsia="Times New Roman" w:hAnsi="Segoe UI" w:cs="Segoe UI"/>
          <w:sz w:val="21"/>
          <w:szCs w:val="21"/>
          <w:lang w:val="en" w:eastAsia="fr-FR"/>
        </w:rPr>
        <w:t xml:space="preserve"> should </w:t>
      </w:r>
      <w:r>
        <w:rPr>
          <w:rFonts w:ascii="Segoe UI" w:eastAsia="Times New Roman" w:hAnsi="Segoe UI" w:cs="Segoe UI"/>
          <w:sz w:val="21"/>
          <w:szCs w:val="21"/>
          <w:lang w:val="en" w:eastAsia="fr-FR"/>
        </w:rPr>
        <w:t xml:space="preserve">be decided regarding the needs of Competent Authorities </w:t>
      </w:r>
      <w:r w:rsidRPr="00B92D72">
        <w:rPr>
          <w:rFonts w:ascii="Segoe UI" w:eastAsia="Times New Roman" w:hAnsi="Segoe UI" w:cs="Segoe UI"/>
          <w:sz w:val="21"/>
          <w:szCs w:val="21"/>
          <w:lang w:val="en" w:eastAsia="fr-FR"/>
        </w:rPr>
        <w:t xml:space="preserve">to fully carry out their mission of </w:t>
      </w:r>
      <w:r>
        <w:rPr>
          <w:rFonts w:ascii="Segoe UI" w:eastAsia="Times New Roman" w:hAnsi="Segoe UI" w:cs="Segoe UI"/>
          <w:sz w:val="21"/>
          <w:szCs w:val="21"/>
          <w:lang w:val="en" w:eastAsia="fr-FR"/>
        </w:rPr>
        <w:t xml:space="preserve">investigation and </w:t>
      </w:r>
      <w:r w:rsidRPr="00B92D72">
        <w:rPr>
          <w:rFonts w:ascii="Segoe UI" w:eastAsia="Times New Roman" w:hAnsi="Segoe UI" w:cs="Segoe UI"/>
          <w:sz w:val="21"/>
          <w:szCs w:val="21"/>
          <w:lang w:val="en" w:eastAsia="fr-FR"/>
        </w:rPr>
        <w:t>market surveillance. Furthermore, it is essential that all instruments submitted for reporting are clearly identified</w:t>
      </w:r>
      <w:r>
        <w:rPr>
          <w:rFonts w:ascii="Segoe UI" w:eastAsia="Times New Roman" w:hAnsi="Segoe UI" w:cs="Segoe UI"/>
          <w:sz w:val="21"/>
          <w:szCs w:val="21"/>
          <w:lang w:val="en" w:eastAsia="fr-FR"/>
        </w:rPr>
        <w:t xml:space="preserve"> </w:t>
      </w:r>
      <w:r w:rsidRPr="00B92D72">
        <w:rPr>
          <w:rFonts w:ascii="Segoe UI" w:eastAsia="Times New Roman" w:hAnsi="Segoe UI" w:cs="Segoe UI"/>
          <w:sz w:val="21"/>
          <w:szCs w:val="21"/>
          <w:lang w:val="en" w:eastAsia="fr-FR"/>
        </w:rPr>
        <w:t xml:space="preserve">in the ESMA </w:t>
      </w:r>
      <w:r>
        <w:rPr>
          <w:rFonts w:ascii="Segoe UI" w:eastAsia="Times New Roman" w:hAnsi="Segoe UI" w:cs="Segoe UI"/>
          <w:sz w:val="21"/>
          <w:szCs w:val="21"/>
          <w:lang w:val="en" w:eastAsia="fr-FR"/>
        </w:rPr>
        <w:t xml:space="preserve">referential data  register </w:t>
      </w:r>
      <w:r w:rsidRPr="00B92D72">
        <w:rPr>
          <w:rFonts w:ascii="Segoe UI" w:eastAsia="Times New Roman" w:hAnsi="Segoe UI" w:cs="Segoe UI"/>
          <w:sz w:val="21"/>
          <w:szCs w:val="21"/>
          <w:lang w:val="en" w:eastAsia="fr-FR"/>
        </w:rPr>
        <w:t>which must be the golden source.</w:t>
      </w:r>
      <w:r w:rsidR="00B57FC7">
        <w:rPr>
          <w:rFonts w:ascii="Segoe UI" w:eastAsia="Times New Roman" w:hAnsi="Segoe UI" w:cs="Segoe UI"/>
          <w:sz w:val="21"/>
          <w:szCs w:val="21"/>
          <w:lang w:val="en" w:eastAsia="fr-FR"/>
        </w:rPr>
        <w:t xml:space="preserve"> </w:t>
      </w:r>
    </w:p>
    <w:p w14:paraId="117A5761" w14:textId="77777777" w:rsidR="00B57FC7" w:rsidRDefault="00B57FC7" w:rsidP="00B57FC7">
      <w:pPr>
        <w:spacing w:after="0" w:line="240" w:lineRule="auto"/>
        <w:rPr>
          <w:rFonts w:asciiTheme="majorHAnsi" w:hAnsiTheme="majorHAnsi" w:cstheme="majorHAnsi"/>
          <w:szCs w:val="22"/>
        </w:rPr>
      </w:pPr>
      <w:r w:rsidRPr="00CD2248">
        <w:rPr>
          <w:rFonts w:asciiTheme="majorHAnsi" w:eastAsia="Times New Roman" w:hAnsiTheme="majorHAnsi" w:cstheme="majorHAnsi"/>
          <w:szCs w:val="22"/>
          <w:lang w:val="en-US" w:eastAsia="fr-FR"/>
        </w:rPr>
        <w:t>As a registered benchmark administrator</w:t>
      </w:r>
      <w:r>
        <w:rPr>
          <w:rFonts w:asciiTheme="majorHAnsi" w:eastAsia="Times New Roman" w:hAnsiTheme="majorHAnsi" w:cstheme="majorHAnsi"/>
          <w:szCs w:val="22"/>
          <w:lang w:val="en-US" w:eastAsia="fr-FR"/>
        </w:rPr>
        <w:t>,</w:t>
      </w:r>
      <w:r w:rsidRPr="00CD2248">
        <w:rPr>
          <w:rFonts w:asciiTheme="majorHAnsi" w:eastAsia="Times New Roman" w:hAnsiTheme="majorHAnsi" w:cstheme="majorHAnsi"/>
          <w:szCs w:val="22"/>
          <w:lang w:val="en-US" w:eastAsia="fr-FR"/>
        </w:rPr>
        <w:t xml:space="preserve"> Euronext</w:t>
      </w:r>
      <w:r>
        <w:rPr>
          <w:rFonts w:asciiTheme="majorHAnsi" w:eastAsia="Times New Roman" w:hAnsiTheme="majorHAnsi" w:cstheme="majorHAnsi"/>
          <w:szCs w:val="22"/>
          <w:lang w:val="en-US" w:eastAsia="fr-FR"/>
        </w:rPr>
        <w:t>’s</w:t>
      </w:r>
      <w:r w:rsidRPr="00CD2248">
        <w:rPr>
          <w:rFonts w:asciiTheme="majorHAnsi" w:eastAsia="Times New Roman" w:hAnsiTheme="majorHAnsi" w:cstheme="majorHAnsi"/>
          <w:szCs w:val="22"/>
          <w:lang w:val="en-US" w:eastAsia="fr-FR"/>
        </w:rPr>
        <w:t xml:space="preserve"> preference is </w:t>
      </w:r>
      <w:r>
        <w:rPr>
          <w:rFonts w:asciiTheme="majorHAnsi" w:eastAsia="Times New Roman" w:hAnsiTheme="majorHAnsi" w:cstheme="majorHAnsi"/>
          <w:szCs w:val="22"/>
          <w:lang w:val="en-US" w:eastAsia="fr-FR"/>
        </w:rPr>
        <w:t xml:space="preserve">for </w:t>
      </w:r>
      <w:r w:rsidRPr="00CD2248">
        <w:rPr>
          <w:rFonts w:asciiTheme="majorHAnsi" w:eastAsia="Times New Roman" w:hAnsiTheme="majorHAnsi" w:cstheme="majorHAnsi"/>
          <w:szCs w:val="22"/>
          <w:lang w:val="en-US" w:eastAsia="fr-FR"/>
        </w:rPr>
        <w:t>option 1</w:t>
      </w:r>
      <w:r>
        <w:rPr>
          <w:rFonts w:asciiTheme="majorHAnsi" w:eastAsia="Times New Roman" w:hAnsiTheme="majorHAnsi" w:cstheme="majorHAnsi"/>
          <w:szCs w:val="22"/>
          <w:lang w:val="en-US" w:eastAsia="fr-FR"/>
        </w:rPr>
        <w:t>:</w:t>
      </w:r>
      <w:r w:rsidRPr="00CD2248">
        <w:rPr>
          <w:rFonts w:asciiTheme="majorHAnsi" w:hAnsiTheme="majorHAnsi" w:cstheme="majorHAnsi"/>
          <w:szCs w:val="22"/>
        </w:rPr>
        <w:t xml:space="preserve"> </w:t>
      </w:r>
      <w:r>
        <w:rPr>
          <w:rFonts w:asciiTheme="majorHAnsi" w:hAnsiTheme="majorHAnsi" w:cstheme="majorHAnsi"/>
          <w:szCs w:val="22"/>
        </w:rPr>
        <w:t>i</w:t>
      </w:r>
      <w:r w:rsidRPr="00CD2248">
        <w:rPr>
          <w:rFonts w:asciiTheme="majorHAnsi" w:hAnsiTheme="majorHAnsi" w:cstheme="majorHAnsi"/>
          <w:szCs w:val="22"/>
        </w:rPr>
        <w:t xml:space="preserve">n order to be able to monitor the AUM, we need to be able to consult </w:t>
      </w:r>
      <w:r>
        <w:rPr>
          <w:rFonts w:asciiTheme="majorHAnsi" w:hAnsiTheme="majorHAnsi" w:cstheme="majorHAnsi"/>
          <w:szCs w:val="22"/>
        </w:rPr>
        <w:t xml:space="preserve">publicly available information </w:t>
      </w:r>
      <w:r w:rsidRPr="00CD2248">
        <w:rPr>
          <w:rFonts w:asciiTheme="majorHAnsi" w:hAnsiTheme="majorHAnsi" w:cstheme="majorHAnsi"/>
          <w:szCs w:val="22"/>
        </w:rPr>
        <w:t>so any improvement on OTC reporting would support us in complying with BMR</w:t>
      </w:r>
      <w:r>
        <w:rPr>
          <w:rFonts w:asciiTheme="majorHAnsi" w:hAnsiTheme="majorHAnsi" w:cstheme="majorHAnsi"/>
          <w:szCs w:val="22"/>
        </w:rPr>
        <w:t>.</w:t>
      </w:r>
    </w:p>
    <w:p w14:paraId="7F475193" w14:textId="77777777" w:rsidR="00B57FC7" w:rsidRPr="00B57FC7" w:rsidRDefault="00B57FC7" w:rsidP="0007551F">
      <w:pPr>
        <w:shd w:val="clear" w:color="auto" w:fill="FDFDFD"/>
        <w:spacing w:after="0" w:line="240" w:lineRule="auto"/>
        <w:rPr>
          <w:rFonts w:ascii="Segoe UI" w:eastAsia="Times New Roman" w:hAnsi="Segoe UI" w:cs="Segoe UI"/>
          <w:sz w:val="21"/>
          <w:szCs w:val="21"/>
          <w:lang w:eastAsia="fr-FR"/>
        </w:rPr>
      </w:pPr>
    </w:p>
    <w:bookmarkEnd w:id="3"/>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7FC50240" w14:textId="77777777" w:rsidR="00EA757C" w:rsidRDefault="00EA757C" w:rsidP="00EA757C">
      <w:pPr>
        <w:rPr>
          <w:lang w:val="en-US"/>
        </w:rPr>
      </w:pPr>
      <w:permStart w:id="49881006" w:edGrp="everyone"/>
      <w:r w:rsidRPr="00DB274C">
        <w:rPr>
          <w:lang w:val="en-US"/>
        </w:rPr>
        <w:t>Euronext supports the proposal t</w:t>
      </w:r>
      <w:r>
        <w:rPr>
          <w:lang w:val="en-US"/>
        </w:rPr>
        <w:t>o align the requirements under MAR and MiFID II. This clarification will avoid different interpretations by market participants. We believe that the text should be applicable to Sis to ensure a level playing field. Furthermore the term “Traded on a trading Venue” should be well defined  by ESMA to clarify if the products have to be traded or are tradable.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5F7824F0" w14:textId="77777777" w:rsidR="00EA757C" w:rsidRDefault="00EA757C" w:rsidP="00EA757C">
      <w:permStart w:id="692536742" w:edGrp="everyone"/>
      <w:r>
        <w:t>Euronext agrees with the proposal. We consider that the sentence for RTS 23 of MiFID where the field 9 refers to the “date and time the issuer has approved admission to trading or trading in its financial instruments on a trading venue should also include cases where the “issuer has requested” the trading.</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746ED91D" w14:textId="677958D2" w:rsidR="007217C8" w:rsidRDefault="007217C8" w:rsidP="007217C8">
      <w:permStart w:id="610287253" w:edGrp="everyone"/>
      <w:r>
        <w:t>Euronext agrees with the proposal. The challenge is when to consider there is “a request for admission”. As there are different operational processes for admission in EU Member States, the interpretation of “request for admission” could be different from one EU jurisdiction to another</w:t>
      </w:r>
      <w:r w:rsidR="00496B25">
        <w:t>.</w:t>
      </w:r>
    </w:p>
    <w:p w14:paraId="4D38AADB" w14:textId="7C3766C7" w:rsidR="000B0D26" w:rsidRDefault="000B0D26" w:rsidP="000B0D26"/>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6E45F4BF" w14:textId="77777777" w:rsidR="007217C8" w:rsidRDefault="007217C8" w:rsidP="007217C8">
      <w:permStart w:id="414326142" w:edGrp="everyone"/>
      <w:r>
        <w:t>Euronext agrees with the proposal if it facilitates NCAs in ensuring their market surveillance and investigation obligations.</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72D100B3" w14:textId="77777777" w:rsidR="007217C8" w:rsidRDefault="007217C8" w:rsidP="007217C8">
      <w:pPr>
        <w:spacing w:after="0" w:line="240" w:lineRule="auto"/>
        <w:rPr>
          <w:lang w:val="en-US"/>
        </w:rPr>
      </w:pPr>
      <w:permStart w:id="597436822" w:edGrp="everyone"/>
      <w:r>
        <w:t xml:space="preserve">Euronext has encountered no difficulty with the defined list concept. This list should be used by all NCAs to avoid multiple reporting of reference data. </w:t>
      </w:r>
      <w:r w:rsidRPr="003F0BEE">
        <w:rPr>
          <w:lang w:val="en-US"/>
        </w:rPr>
        <w:t>As the list concept s</w:t>
      </w:r>
      <w:r>
        <w:rPr>
          <w:lang w:val="en-US"/>
        </w:rPr>
        <w:t xml:space="preserve">hould be the golden source, ESMA should ensure the completeness and quality of this list. Currently ESMA takes into account the first trading venue sending referential data on a specific instrument even if this trading venue is not the primary or most relevant market. </w:t>
      </w:r>
    </w:p>
    <w:p w14:paraId="5714B662" w14:textId="77777777" w:rsidR="007217C8" w:rsidRDefault="007217C8" w:rsidP="007217C8">
      <w:pPr>
        <w:spacing w:after="0" w:line="240" w:lineRule="auto"/>
        <w:rPr>
          <w:lang w:val="en-US"/>
        </w:rPr>
      </w:pPr>
    </w:p>
    <w:p w14:paraId="50A5A20C" w14:textId="77777777" w:rsidR="007217C8" w:rsidRDefault="007217C8" w:rsidP="007217C8">
      <w:pPr>
        <w:spacing w:after="0" w:line="240" w:lineRule="auto"/>
        <w:rPr>
          <w:lang w:val="en-US"/>
        </w:rPr>
      </w:pPr>
      <w:r>
        <w:rPr>
          <w:lang w:val="en-US"/>
        </w:rPr>
        <w:t xml:space="preserve">When  this data is not valid, trading venues must request their NCA to ask for a correction from the NCA of the trading venue which has initially been taken into account by ESMA. However, afterwards there is never a feedback on the correction date by ESMA. Furthermore, this correction process is not well known by market participants / NCAs. In our view, the operational process should be improved to ensure the accuracy of the List. </w:t>
      </w:r>
    </w:p>
    <w:p w14:paraId="7D467508" w14:textId="77777777" w:rsidR="007217C8" w:rsidRDefault="007217C8" w:rsidP="007217C8">
      <w:pPr>
        <w:spacing w:after="0" w:line="240" w:lineRule="auto"/>
        <w:rPr>
          <w:lang w:val="en-US"/>
        </w:rPr>
      </w:pPr>
    </w:p>
    <w:p w14:paraId="1304A979" w14:textId="77777777" w:rsidR="007217C8" w:rsidRDefault="007217C8" w:rsidP="007217C8">
      <w:pPr>
        <w:spacing w:after="0" w:line="240" w:lineRule="auto"/>
        <w:rPr>
          <w:lang w:val="en"/>
        </w:rPr>
      </w:pPr>
      <w:r>
        <w:rPr>
          <w:lang w:val="en-US"/>
        </w:rPr>
        <w:t xml:space="preserve">Furthermore, and to ensure the quality of the list, ESMA should resolve the issue of CFI/FISN codes assignment and supervision by the National Numbering Agencies (NNAs). </w:t>
      </w:r>
      <w:proofErr w:type="spellStart"/>
      <w:r>
        <w:rPr>
          <w:lang w:val="en-US"/>
        </w:rPr>
        <w:t>T</w:t>
      </w:r>
      <w:r w:rsidRPr="00F359DA">
        <w:rPr>
          <w:lang w:val="en"/>
        </w:rPr>
        <w:t>he</w:t>
      </w:r>
      <w:proofErr w:type="spellEnd"/>
      <w:r w:rsidRPr="00F359DA">
        <w:rPr>
          <w:lang w:val="en"/>
        </w:rPr>
        <w:t xml:space="preserve"> incorrect assignment of inappropriate CFIs by the </w:t>
      </w:r>
      <w:r>
        <w:rPr>
          <w:lang w:val="en"/>
        </w:rPr>
        <w:t>NNAs</w:t>
      </w:r>
      <w:r w:rsidRPr="00F359DA">
        <w:rPr>
          <w:lang w:val="en"/>
        </w:rPr>
        <w:t xml:space="preserve"> remains the most common data issue we experience</w:t>
      </w:r>
      <w:r>
        <w:rPr>
          <w:lang w:val="en"/>
        </w:rPr>
        <w:t xml:space="preserve">. Some invalid CFI codes are put in ESMA referential data and are then used as the reference for reporting. </w:t>
      </w:r>
      <w:r w:rsidRPr="00F359DA">
        <w:rPr>
          <w:lang w:val="en"/>
        </w:rPr>
        <w:t>We also have a number of errors in relation to CFI codes created by the NNAs which are not valid CFI types</w:t>
      </w:r>
      <w:r>
        <w:rPr>
          <w:lang w:val="en"/>
        </w:rPr>
        <w:t>, resulting in rejected submissions</w:t>
      </w:r>
      <w:r w:rsidRPr="00F359DA">
        <w:rPr>
          <w:lang w:val="en"/>
        </w:rPr>
        <w:t>.</w:t>
      </w:r>
      <w:r>
        <w:rPr>
          <w:lang w:val="en"/>
        </w:rPr>
        <w:t xml:space="preserve"> </w:t>
      </w:r>
      <w:r w:rsidRPr="00F359DA">
        <w:rPr>
          <w:lang w:val="en"/>
        </w:rPr>
        <w:t>In addition, the NNAs responsible for assigning CFI codes will often amend the CFI post-listing. This creates further issues for us as it can mean different trading venues have different CFI codes depending at what point they sourced the data</w:t>
      </w:r>
      <w:r>
        <w:rPr>
          <w:lang w:val="en"/>
        </w:rPr>
        <w:t xml:space="preserve">. </w:t>
      </w:r>
      <w:r w:rsidRPr="00F359DA">
        <w:rPr>
          <w:lang w:val="en"/>
        </w:rPr>
        <w:t>Lastly, there are still some cases where NNAs do not assign the CFI code and therefore trading venues are unable to submit the data at all for these securities to ESMA.</w:t>
      </w:r>
      <w:r w:rsidRPr="00170DE5">
        <w:rPr>
          <w:lang w:val="en"/>
        </w:rPr>
        <w:t xml:space="preserve"> </w:t>
      </w:r>
      <w:r w:rsidRPr="00F359DA">
        <w:rPr>
          <w:lang w:val="en"/>
        </w:rPr>
        <w:t>unable to submit the data at all for these securities to ESMA.</w:t>
      </w:r>
    </w:p>
    <w:p w14:paraId="34E63A49" w14:textId="77777777" w:rsidR="007217C8" w:rsidRDefault="007217C8" w:rsidP="007217C8">
      <w:pPr>
        <w:spacing w:after="0" w:line="240" w:lineRule="auto"/>
        <w:rPr>
          <w:lang w:val="en"/>
        </w:rPr>
      </w:pPr>
    </w:p>
    <w:p w14:paraId="7F56C640" w14:textId="77777777" w:rsidR="007217C8" w:rsidRDefault="007217C8" w:rsidP="007217C8">
      <w:pPr>
        <w:rPr>
          <w:lang w:val="en-US"/>
        </w:rPr>
      </w:pPr>
      <w:r>
        <w:rPr>
          <w:lang w:val="en-US"/>
        </w:rPr>
        <w:t>In a</w:t>
      </w:r>
      <w:r w:rsidRPr="000F0ADD">
        <w:rPr>
          <w:lang w:val="en-US"/>
        </w:rPr>
        <w:t>ddition to the above CFI code issues, not all securities are being assigned FISNs by the</w:t>
      </w:r>
      <w:r>
        <w:rPr>
          <w:lang w:val="en-US"/>
        </w:rPr>
        <w:t xml:space="preserve"> NNAs,</w:t>
      </w:r>
      <w:r w:rsidRPr="000F0ADD">
        <w:rPr>
          <w:lang w:val="en-US"/>
        </w:rPr>
        <w:t xml:space="preserve"> </w:t>
      </w:r>
      <w:r>
        <w:rPr>
          <w:lang w:val="en-US"/>
        </w:rPr>
        <w:t>m</w:t>
      </w:r>
      <w:r w:rsidRPr="000F0ADD">
        <w:rPr>
          <w:lang w:val="en-US"/>
        </w:rPr>
        <w:t>ean</w:t>
      </w:r>
      <w:r>
        <w:rPr>
          <w:lang w:val="en-US"/>
        </w:rPr>
        <w:t>ing</w:t>
      </w:r>
      <w:r w:rsidRPr="000F0ADD">
        <w:rPr>
          <w:lang w:val="en-US"/>
        </w:rPr>
        <w:t xml:space="preserve"> that trading venues are unable to submit data for these securities to ESMA for the purposes of the transparency calculations. </w:t>
      </w:r>
      <w:r>
        <w:rPr>
          <w:lang w:val="en-US"/>
        </w:rPr>
        <w:t xml:space="preserve">We recommend that </w:t>
      </w:r>
      <w:r w:rsidRPr="000F0ADD">
        <w:rPr>
          <w:lang w:val="en-US"/>
        </w:rPr>
        <w:t xml:space="preserve">ESMA liaise with ANNA to try to resolve this issue and ensure all codes are being assigned appropriately by </w:t>
      </w:r>
      <w:r>
        <w:rPr>
          <w:lang w:val="en-US"/>
        </w:rPr>
        <w:t xml:space="preserve">the </w:t>
      </w:r>
      <w:r w:rsidRPr="000F0ADD">
        <w:rPr>
          <w:lang w:val="en-US"/>
        </w:rPr>
        <w:t>NNAs</w:t>
      </w:r>
      <w:r>
        <w:rPr>
          <w:lang w:val="en-US"/>
        </w:rPr>
        <w:t>.</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2BDCB709" w14:textId="77777777" w:rsidR="007217C8" w:rsidRDefault="007217C8" w:rsidP="007217C8">
      <w:permStart w:id="1847806116" w:edGrp="everyone"/>
      <w:r>
        <w:t>Euronext does not see any challenges with this approach.</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6A4A6A06" w14:textId="77777777" w:rsidR="007217C8" w:rsidRDefault="007217C8" w:rsidP="000B0D26">
      <w:permStart w:id="1451755809" w:edGrp="everyone"/>
      <w:r>
        <w:t xml:space="preserve">Euronext does not see any challenges with this approach </w:t>
      </w:r>
    </w:p>
    <w:permEnd w:id="1451755809"/>
    <w:p w14:paraId="530963B3" w14:textId="6E591368"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088124C0" w14:textId="77777777" w:rsidR="007217C8" w:rsidRDefault="007217C8" w:rsidP="000B0D26">
      <w:permStart w:id="52261098" w:edGrp="everyone"/>
      <w:r>
        <w:t xml:space="preserve">Euronext does not see any challenges with this approach </w:t>
      </w:r>
    </w:p>
    <w:permEnd w:id="52261098"/>
    <w:p w14:paraId="54F2A2C3" w14:textId="0F6DF5F3"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179E1233" w14:textId="77777777" w:rsidR="007217C8" w:rsidRDefault="007217C8" w:rsidP="007217C8">
      <w:permStart w:id="609292179" w:edGrp="everyone"/>
      <w:r>
        <w:t>Introducing a new field in the transactions reporting file will have an IT impact. An assessment of the cost/benefit should be made prior to implementation.</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0AEFF1A1" w14:textId="77777777" w:rsidR="007217C8" w:rsidRDefault="007217C8" w:rsidP="007217C8">
      <w:permStart w:id="1075606273" w:edGrp="everyone"/>
      <w:r>
        <w:t>Introducing a new field in the transactions reporting file will have an IT impact. An assessment of the cost/benefit should be made prior to implementation. ESMA should also ensure that the new requested data are not also reported in other reporting files such as order reporting (RTS24).</w:t>
      </w:r>
    </w:p>
    <w:permEnd w:id="1075606273"/>
    <w:p w14:paraId="3F14CF92" w14:textId="6D71E939"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336606FB" w14:textId="77777777" w:rsidR="007217C8" w:rsidRDefault="007217C8" w:rsidP="007217C8">
      <w:pPr>
        <w:rPr>
          <w:lang w:val="en-US"/>
        </w:rPr>
      </w:pPr>
      <w:permStart w:id="580139045" w:edGrp="everyone"/>
      <w:r w:rsidRPr="005D47AE">
        <w:rPr>
          <w:lang w:val="en-US"/>
        </w:rPr>
        <w:t xml:space="preserve">Euronext does not see </w:t>
      </w:r>
      <w:r>
        <w:rPr>
          <w:lang w:val="en-US"/>
        </w:rPr>
        <w:t xml:space="preserve">any </w:t>
      </w:r>
      <w:r w:rsidRPr="005D47AE">
        <w:rPr>
          <w:lang w:val="en-US"/>
        </w:rPr>
        <w:t>c</w:t>
      </w:r>
      <w:r>
        <w:rPr>
          <w:lang w:val="en-US"/>
        </w:rPr>
        <w:t>hallenges with the outlined approach on LEI.</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3F91194F" w14:textId="77777777" w:rsidR="007217C8" w:rsidRDefault="007217C8" w:rsidP="007217C8">
      <w:pPr>
        <w:rPr>
          <w:lang w:val="en-US"/>
        </w:rPr>
      </w:pPr>
      <w:permStart w:id="197869488" w:edGrp="everyone"/>
      <w:r w:rsidRPr="005D47AE">
        <w:rPr>
          <w:lang w:val="en-US"/>
        </w:rPr>
        <w:t xml:space="preserve">Euronext does not see </w:t>
      </w:r>
      <w:r>
        <w:rPr>
          <w:lang w:val="en-US"/>
        </w:rPr>
        <w:t xml:space="preserve">any </w:t>
      </w:r>
      <w:r w:rsidRPr="005D47AE">
        <w:rPr>
          <w:lang w:val="en-US"/>
        </w:rPr>
        <w:t>c</w:t>
      </w:r>
      <w:r>
        <w:rPr>
          <w:lang w:val="en-US"/>
        </w:rPr>
        <w:t>hallenges with the outlined approach.</w:t>
      </w:r>
    </w:p>
    <w:permEnd w:id="197869488"/>
    <w:p w14:paraId="2568E55F" w14:textId="02F9ADE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77777777" w:rsidR="000B0D26" w:rsidRDefault="000B0D26" w:rsidP="000B0D26">
      <w:permStart w:id="657135577" w:edGrp="everyone"/>
      <w:r>
        <w:t>TYPE YOUR TEXT HERE</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5F5393EA" w14:textId="358391A9" w:rsidR="000B0D26" w:rsidRDefault="007217C8" w:rsidP="000B0D26">
      <w:permStart w:id="300050786" w:edGrp="everyone"/>
      <w:r w:rsidRPr="005D47AE">
        <w:rPr>
          <w:lang w:val="en-US"/>
        </w:rPr>
        <w:t xml:space="preserve">Euronext does not see </w:t>
      </w:r>
      <w:r>
        <w:rPr>
          <w:lang w:val="en-US"/>
        </w:rPr>
        <w:t xml:space="preserve">any </w:t>
      </w:r>
      <w:r w:rsidRPr="005D47AE">
        <w:rPr>
          <w:lang w:val="en-US"/>
        </w:rPr>
        <w:t>c</w:t>
      </w:r>
      <w:r>
        <w:rPr>
          <w:lang w:val="en-US"/>
        </w:rPr>
        <w:t>hallenges with the outlined approach</w:t>
      </w:r>
      <w:r>
        <w:t xml:space="preserve"> </w:t>
      </w:r>
      <w:permEnd w:id="300050786"/>
      <w:r w:rsidR="000B0D26">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6304DA7B" w14:textId="77777777" w:rsidR="007217C8" w:rsidRDefault="007217C8" w:rsidP="007217C8">
      <w:permStart w:id="783692263" w:edGrp="everyone"/>
      <w:r>
        <w:t>Euronext does not see any challenges to the outlines approach to pre-trade transparency waivers.</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0C250A18" w:rsidR="000B0D26" w:rsidRPr="006800B6" w:rsidRDefault="006800B6" w:rsidP="000B0D26">
      <w:pPr>
        <w:rPr>
          <w:lang w:val="pt-PT"/>
        </w:rPr>
      </w:pPr>
      <w:permStart w:id="975453435" w:edGrp="everyone"/>
      <w:r w:rsidRPr="006800B6">
        <w:rPr>
          <w:lang w:val="pt-PT"/>
        </w:rPr>
        <w:t>N/A</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0603AE16" w:rsidR="000B0D26" w:rsidRPr="00375412" w:rsidRDefault="00375412" w:rsidP="000B0D26">
      <w:pPr>
        <w:rPr>
          <w:lang w:val="pt-PT"/>
        </w:rPr>
      </w:pPr>
      <w:permStart w:id="1526940698" w:edGrp="everyone"/>
      <w:r w:rsidRPr="00375412">
        <w:rPr>
          <w:lang w:val="pt-PT"/>
        </w:rPr>
        <w:t>N/A</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2AE3522D" w:rsidR="000B0D26" w:rsidRPr="00FE3A17" w:rsidRDefault="00FE3A17" w:rsidP="000B0D26">
      <w:pPr>
        <w:rPr>
          <w:lang w:val="pt-PT"/>
        </w:rPr>
      </w:pPr>
      <w:permStart w:id="1698904276" w:edGrp="everyone"/>
      <w:r w:rsidRPr="00FE3A17">
        <w:rPr>
          <w:lang w:val="pt-PT"/>
        </w:rPr>
        <w:t>N/A</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3D652106" w:rsidR="000B0D26" w:rsidRPr="008E240D" w:rsidRDefault="008E240D" w:rsidP="000B0D26">
      <w:pPr>
        <w:rPr>
          <w:lang w:val="pt-PT"/>
        </w:rPr>
      </w:pPr>
      <w:permStart w:id="501251014" w:edGrp="everyone"/>
      <w:r w:rsidRPr="008E240D">
        <w:rPr>
          <w:lang w:val="pt-PT"/>
        </w:rPr>
        <w:t>N/A</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32623F2B" w:rsidR="000B0D26" w:rsidRPr="008E240D" w:rsidRDefault="008E240D" w:rsidP="000B0D26">
      <w:pPr>
        <w:rPr>
          <w:lang w:val="pt-PT"/>
        </w:rPr>
      </w:pPr>
      <w:permStart w:id="869752172" w:edGrp="everyone"/>
      <w:r w:rsidRPr="008E240D">
        <w:rPr>
          <w:lang w:val="pt-PT"/>
        </w:rPr>
        <w:t>N/A</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409E1D48" w:rsidR="000B0D26" w:rsidRPr="004301A8" w:rsidRDefault="004301A8" w:rsidP="000B0D26">
      <w:pPr>
        <w:rPr>
          <w:lang w:val="pt-PT"/>
        </w:rPr>
      </w:pPr>
      <w:permStart w:id="1581188992" w:edGrp="everyone"/>
      <w:r w:rsidRPr="004301A8">
        <w:rPr>
          <w:lang w:val="pt-PT"/>
        </w:rPr>
        <w:t>N/A</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07C8D087" w14:textId="77777777" w:rsidR="007217C8" w:rsidRDefault="007217C8" w:rsidP="007217C8">
      <w:permStart w:id="1580817176" w:edGrp="everyone"/>
      <w:r>
        <w:t>Euronext supports the approach. However reporting LEI for non-EU issuers remains difficult. Trading venues should be in charge of checking the issuer at the time of admission of trading but cannot be responsible for the yearly renewal of the LEI. We believe policymakers should consider the option of having LEI validity extended.</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5D20737F" w:rsidR="000B0D26" w:rsidRPr="004301A8" w:rsidRDefault="004301A8" w:rsidP="000B0D26">
      <w:pPr>
        <w:rPr>
          <w:lang w:val="pt-PT"/>
        </w:rPr>
      </w:pPr>
      <w:permStart w:id="1128496454" w:edGrp="everyone"/>
      <w:r w:rsidRPr="004301A8">
        <w:rPr>
          <w:lang w:val="pt-PT"/>
        </w:rPr>
        <w:t>N/A</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CE0F76D" w:rsidR="000B0D26" w:rsidRPr="006F155F" w:rsidRDefault="00B57FC7" w:rsidP="000B0D26">
      <w:pPr>
        <w:rPr>
          <w:lang w:val="pt-PT"/>
        </w:rPr>
      </w:pPr>
      <w:permStart w:id="546641594" w:edGrp="everyone"/>
      <w:r w:rsidRPr="006F155F">
        <w:rPr>
          <w:lang w:val="pt-PT"/>
        </w:rPr>
        <w:t>N/A</w:t>
      </w:r>
      <w:r w:rsidR="0070074B" w:rsidRPr="006F155F">
        <w:rPr>
          <w:lang w:val="pt-PT"/>
        </w:rPr>
        <w:t>.</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0"/>
      <w:footerReference w:type="defaul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BBB08" w14:textId="77777777" w:rsidR="00136EC4" w:rsidRDefault="00136EC4" w:rsidP="007E7997">
      <w:pPr>
        <w:spacing w:line="240" w:lineRule="auto"/>
      </w:pPr>
      <w:r>
        <w:separator/>
      </w:r>
    </w:p>
  </w:endnote>
  <w:endnote w:type="continuationSeparator" w:id="0">
    <w:p w14:paraId="52778878" w14:textId="77777777" w:rsidR="00136EC4" w:rsidRDefault="00136EC4" w:rsidP="007E7997">
      <w:pPr>
        <w:spacing w:line="240" w:lineRule="auto"/>
      </w:pPr>
      <w:r>
        <w:continuationSeparator/>
      </w:r>
    </w:p>
  </w:endnote>
  <w:endnote w:type="continuationNotice" w:id="1">
    <w:p w14:paraId="00811961" w14:textId="77777777" w:rsidR="00136EC4" w:rsidRDefault="00136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802BB" w14:textId="77777777" w:rsidR="00136EC4" w:rsidRDefault="00136EC4" w:rsidP="007E7997">
      <w:pPr>
        <w:spacing w:line="240" w:lineRule="auto"/>
      </w:pPr>
      <w:r>
        <w:separator/>
      </w:r>
    </w:p>
  </w:footnote>
  <w:footnote w:type="continuationSeparator" w:id="0">
    <w:p w14:paraId="6D3FAE04" w14:textId="77777777" w:rsidR="00136EC4" w:rsidRDefault="00136EC4" w:rsidP="007E7997">
      <w:pPr>
        <w:spacing w:line="240" w:lineRule="auto"/>
      </w:pPr>
      <w:r>
        <w:continuationSeparator/>
      </w:r>
    </w:p>
  </w:footnote>
  <w:footnote w:type="continuationNotice" w:id="1">
    <w:p w14:paraId="0EE3818F" w14:textId="77777777" w:rsidR="00136EC4" w:rsidRDefault="00136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E2BA1"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13EA"/>
    <w:multiLevelType w:val="hybridMultilevel"/>
    <w:tmpl w:val="3F8E7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3B36DFD"/>
    <w:multiLevelType w:val="hybridMultilevel"/>
    <w:tmpl w:val="94C4B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3EF1"/>
    <w:rsid w:val="00005505"/>
    <w:rsid w:val="0000551F"/>
    <w:rsid w:val="00006275"/>
    <w:rsid w:val="0000755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326"/>
    <w:rsid w:val="000207E8"/>
    <w:rsid w:val="00021A9A"/>
    <w:rsid w:val="00021B9D"/>
    <w:rsid w:val="00021C25"/>
    <w:rsid w:val="00023FC2"/>
    <w:rsid w:val="000246A9"/>
    <w:rsid w:val="00024CDE"/>
    <w:rsid w:val="0002516A"/>
    <w:rsid w:val="00025AEE"/>
    <w:rsid w:val="00026D5A"/>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6BA"/>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51F"/>
    <w:rsid w:val="000756A8"/>
    <w:rsid w:val="00075A6D"/>
    <w:rsid w:val="000772C5"/>
    <w:rsid w:val="00077C2E"/>
    <w:rsid w:val="00080F60"/>
    <w:rsid w:val="000830DA"/>
    <w:rsid w:val="00083DBB"/>
    <w:rsid w:val="00084951"/>
    <w:rsid w:val="000854FF"/>
    <w:rsid w:val="00086E31"/>
    <w:rsid w:val="00090B2C"/>
    <w:rsid w:val="00090FD1"/>
    <w:rsid w:val="000916AE"/>
    <w:rsid w:val="000921E6"/>
    <w:rsid w:val="00092A15"/>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0C50"/>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6EC4"/>
    <w:rsid w:val="00137EA9"/>
    <w:rsid w:val="001401FE"/>
    <w:rsid w:val="001409B3"/>
    <w:rsid w:val="00140BA6"/>
    <w:rsid w:val="001410E9"/>
    <w:rsid w:val="00143571"/>
    <w:rsid w:val="00143A6B"/>
    <w:rsid w:val="00143DCA"/>
    <w:rsid w:val="00144946"/>
    <w:rsid w:val="00144AAD"/>
    <w:rsid w:val="001455E7"/>
    <w:rsid w:val="001461D0"/>
    <w:rsid w:val="0014624E"/>
    <w:rsid w:val="00146FA8"/>
    <w:rsid w:val="001505D3"/>
    <w:rsid w:val="00150619"/>
    <w:rsid w:val="00150C24"/>
    <w:rsid w:val="00150C46"/>
    <w:rsid w:val="0015160F"/>
    <w:rsid w:val="00152869"/>
    <w:rsid w:val="00154975"/>
    <w:rsid w:val="00154F40"/>
    <w:rsid w:val="0015521A"/>
    <w:rsid w:val="00155337"/>
    <w:rsid w:val="001561A1"/>
    <w:rsid w:val="00157029"/>
    <w:rsid w:val="001608B2"/>
    <w:rsid w:val="00160FE0"/>
    <w:rsid w:val="00161E3D"/>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5209"/>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54D"/>
    <w:rsid w:val="001E2631"/>
    <w:rsid w:val="001E2E11"/>
    <w:rsid w:val="001E3E0D"/>
    <w:rsid w:val="001E4B81"/>
    <w:rsid w:val="001E4E84"/>
    <w:rsid w:val="001E5A7A"/>
    <w:rsid w:val="001E5E30"/>
    <w:rsid w:val="001E6924"/>
    <w:rsid w:val="001E6E1C"/>
    <w:rsid w:val="001E7228"/>
    <w:rsid w:val="001E7B0B"/>
    <w:rsid w:val="001F0D39"/>
    <w:rsid w:val="001F11F6"/>
    <w:rsid w:val="001F22BB"/>
    <w:rsid w:val="001F2D31"/>
    <w:rsid w:val="001F3999"/>
    <w:rsid w:val="001F3D9D"/>
    <w:rsid w:val="001F62C1"/>
    <w:rsid w:val="001F75F0"/>
    <w:rsid w:val="00200143"/>
    <w:rsid w:val="002001EF"/>
    <w:rsid w:val="00200C18"/>
    <w:rsid w:val="00201174"/>
    <w:rsid w:val="00201282"/>
    <w:rsid w:val="00202333"/>
    <w:rsid w:val="002034B8"/>
    <w:rsid w:val="00205922"/>
    <w:rsid w:val="0020766F"/>
    <w:rsid w:val="00207A07"/>
    <w:rsid w:val="002109B4"/>
    <w:rsid w:val="00210FBB"/>
    <w:rsid w:val="002113D8"/>
    <w:rsid w:val="0021147A"/>
    <w:rsid w:val="002131CF"/>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1B2A"/>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724"/>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979"/>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9AD"/>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391"/>
    <w:rsid w:val="003168B7"/>
    <w:rsid w:val="00316BC0"/>
    <w:rsid w:val="00317E33"/>
    <w:rsid w:val="00317EDF"/>
    <w:rsid w:val="0032136F"/>
    <w:rsid w:val="0032420C"/>
    <w:rsid w:val="00324DCA"/>
    <w:rsid w:val="00325D63"/>
    <w:rsid w:val="0032728A"/>
    <w:rsid w:val="003279E7"/>
    <w:rsid w:val="00327B62"/>
    <w:rsid w:val="00327C65"/>
    <w:rsid w:val="00330307"/>
    <w:rsid w:val="003304B0"/>
    <w:rsid w:val="00331C18"/>
    <w:rsid w:val="00331FE9"/>
    <w:rsid w:val="00332C18"/>
    <w:rsid w:val="0033324D"/>
    <w:rsid w:val="0033587C"/>
    <w:rsid w:val="00335C95"/>
    <w:rsid w:val="003371E8"/>
    <w:rsid w:val="003377DC"/>
    <w:rsid w:val="00337FA7"/>
    <w:rsid w:val="00340781"/>
    <w:rsid w:val="0034151D"/>
    <w:rsid w:val="00341752"/>
    <w:rsid w:val="0034283E"/>
    <w:rsid w:val="003454ED"/>
    <w:rsid w:val="00345BFC"/>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5412"/>
    <w:rsid w:val="003754B3"/>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A3"/>
    <w:rsid w:val="003E61FC"/>
    <w:rsid w:val="003E6A4B"/>
    <w:rsid w:val="003E7398"/>
    <w:rsid w:val="003F0BEE"/>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07F"/>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1A8"/>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2E5"/>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3F2F"/>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B25"/>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8C9"/>
    <w:rsid w:val="00523974"/>
    <w:rsid w:val="00526E5D"/>
    <w:rsid w:val="0052704C"/>
    <w:rsid w:val="00530738"/>
    <w:rsid w:val="00531432"/>
    <w:rsid w:val="00532C06"/>
    <w:rsid w:val="005333E8"/>
    <w:rsid w:val="00533BEF"/>
    <w:rsid w:val="00533E89"/>
    <w:rsid w:val="00534647"/>
    <w:rsid w:val="00535019"/>
    <w:rsid w:val="00536A69"/>
    <w:rsid w:val="00540068"/>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62AB"/>
    <w:rsid w:val="005A71DD"/>
    <w:rsid w:val="005B1D2F"/>
    <w:rsid w:val="005B26E4"/>
    <w:rsid w:val="005B3465"/>
    <w:rsid w:val="005B4FCB"/>
    <w:rsid w:val="005B5C17"/>
    <w:rsid w:val="005B6B12"/>
    <w:rsid w:val="005B6F93"/>
    <w:rsid w:val="005C0020"/>
    <w:rsid w:val="005C07DD"/>
    <w:rsid w:val="005C2DBC"/>
    <w:rsid w:val="005C4431"/>
    <w:rsid w:val="005C594A"/>
    <w:rsid w:val="005C65F9"/>
    <w:rsid w:val="005C6897"/>
    <w:rsid w:val="005C7BC1"/>
    <w:rsid w:val="005D06FA"/>
    <w:rsid w:val="005D0A9D"/>
    <w:rsid w:val="005D0E44"/>
    <w:rsid w:val="005D1B9E"/>
    <w:rsid w:val="005D2DE7"/>
    <w:rsid w:val="005D331C"/>
    <w:rsid w:val="005D371C"/>
    <w:rsid w:val="005D47AE"/>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99E"/>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5F43"/>
    <w:rsid w:val="0066672D"/>
    <w:rsid w:val="00667628"/>
    <w:rsid w:val="006679A5"/>
    <w:rsid w:val="00670051"/>
    <w:rsid w:val="006705CD"/>
    <w:rsid w:val="00671052"/>
    <w:rsid w:val="00671363"/>
    <w:rsid w:val="00671A8B"/>
    <w:rsid w:val="00672780"/>
    <w:rsid w:val="00674B0C"/>
    <w:rsid w:val="00674EE2"/>
    <w:rsid w:val="00675368"/>
    <w:rsid w:val="00675883"/>
    <w:rsid w:val="006761A3"/>
    <w:rsid w:val="00677133"/>
    <w:rsid w:val="006800B6"/>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52"/>
    <w:rsid w:val="006A31B9"/>
    <w:rsid w:val="006A4030"/>
    <w:rsid w:val="006A4A84"/>
    <w:rsid w:val="006A4FBB"/>
    <w:rsid w:val="006A5047"/>
    <w:rsid w:val="006A59C1"/>
    <w:rsid w:val="006A78A2"/>
    <w:rsid w:val="006A7A10"/>
    <w:rsid w:val="006B0DA4"/>
    <w:rsid w:val="006B1523"/>
    <w:rsid w:val="006B1B6B"/>
    <w:rsid w:val="006B41C7"/>
    <w:rsid w:val="006B50EE"/>
    <w:rsid w:val="006B5AAA"/>
    <w:rsid w:val="006C072B"/>
    <w:rsid w:val="006C26CD"/>
    <w:rsid w:val="006C4AE9"/>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9BF"/>
    <w:rsid w:val="006E3EE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0C25"/>
    <w:rsid w:val="006F155F"/>
    <w:rsid w:val="006F18C4"/>
    <w:rsid w:val="006F2E38"/>
    <w:rsid w:val="006F3449"/>
    <w:rsid w:val="006F40D8"/>
    <w:rsid w:val="006F5158"/>
    <w:rsid w:val="006F53E8"/>
    <w:rsid w:val="006F5DA3"/>
    <w:rsid w:val="006F7682"/>
    <w:rsid w:val="006F7A38"/>
    <w:rsid w:val="0070017B"/>
    <w:rsid w:val="0070021A"/>
    <w:rsid w:val="0070074B"/>
    <w:rsid w:val="007017D0"/>
    <w:rsid w:val="00702512"/>
    <w:rsid w:val="0070268F"/>
    <w:rsid w:val="0070427E"/>
    <w:rsid w:val="00704531"/>
    <w:rsid w:val="0070480F"/>
    <w:rsid w:val="00704D53"/>
    <w:rsid w:val="007056C3"/>
    <w:rsid w:val="00706072"/>
    <w:rsid w:val="0071005C"/>
    <w:rsid w:val="00711091"/>
    <w:rsid w:val="00711D70"/>
    <w:rsid w:val="00712824"/>
    <w:rsid w:val="00713644"/>
    <w:rsid w:val="00714AEC"/>
    <w:rsid w:val="007166EB"/>
    <w:rsid w:val="007217C8"/>
    <w:rsid w:val="00724007"/>
    <w:rsid w:val="00725113"/>
    <w:rsid w:val="007260C9"/>
    <w:rsid w:val="00726B60"/>
    <w:rsid w:val="007319C3"/>
    <w:rsid w:val="00732002"/>
    <w:rsid w:val="0073212A"/>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3B77"/>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76D16"/>
    <w:rsid w:val="00780923"/>
    <w:rsid w:val="0078131F"/>
    <w:rsid w:val="007813F5"/>
    <w:rsid w:val="0078155C"/>
    <w:rsid w:val="00781ACA"/>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1F0"/>
    <w:rsid w:val="007C3577"/>
    <w:rsid w:val="007C3EB5"/>
    <w:rsid w:val="007C4D23"/>
    <w:rsid w:val="007C4FB8"/>
    <w:rsid w:val="007C5220"/>
    <w:rsid w:val="007C5E08"/>
    <w:rsid w:val="007C685C"/>
    <w:rsid w:val="007C7B2F"/>
    <w:rsid w:val="007C7CBD"/>
    <w:rsid w:val="007D25FC"/>
    <w:rsid w:val="007D4E5F"/>
    <w:rsid w:val="007D7747"/>
    <w:rsid w:val="007D7CEF"/>
    <w:rsid w:val="007E142A"/>
    <w:rsid w:val="007E3208"/>
    <w:rsid w:val="007E3441"/>
    <w:rsid w:val="007E4200"/>
    <w:rsid w:val="007E62EC"/>
    <w:rsid w:val="007E6E9E"/>
    <w:rsid w:val="007E7997"/>
    <w:rsid w:val="007E7EBF"/>
    <w:rsid w:val="007F04EF"/>
    <w:rsid w:val="007F082A"/>
    <w:rsid w:val="007F1D93"/>
    <w:rsid w:val="007F1DE9"/>
    <w:rsid w:val="007F23A8"/>
    <w:rsid w:val="007F2C0F"/>
    <w:rsid w:val="007F32C3"/>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27FDA"/>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400"/>
    <w:rsid w:val="008A664E"/>
    <w:rsid w:val="008B2911"/>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40D"/>
    <w:rsid w:val="008E2BCE"/>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5AC9"/>
    <w:rsid w:val="009168DA"/>
    <w:rsid w:val="0091692F"/>
    <w:rsid w:val="00920342"/>
    <w:rsid w:val="00920824"/>
    <w:rsid w:val="0092165F"/>
    <w:rsid w:val="00922869"/>
    <w:rsid w:val="009246C9"/>
    <w:rsid w:val="00925E39"/>
    <w:rsid w:val="009273FC"/>
    <w:rsid w:val="00927665"/>
    <w:rsid w:val="00933D1E"/>
    <w:rsid w:val="00933FB2"/>
    <w:rsid w:val="009340BD"/>
    <w:rsid w:val="00935A55"/>
    <w:rsid w:val="00935DFE"/>
    <w:rsid w:val="00936772"/>
    <w:rsid w:val="0093731E"/>
    <w:rsid w:val="00937630"/>
    <w:rsid w:val="009376BD"/>
    <w:rsid w:val="0094008E"/>
    <w:rsid w:val="0094165D"/>
    <w:rsid w:val="00941C0C"/>
    <w:rsid w:val="009420B6"/>
    <w:rsid w:val="0094229A"/>
    <w:rsid w:val="0094348A"/>
    <w:rsid w:val="009437F2"/>
    <w:rsid w:val="009455A4"/>
    <w:rsid w:val="00945A83"/>
    <w:rsid w:val="009507D9"/>
    <w:rsid w:val="00951520"/>
    <w:rsid w:val="009556B6"/>
    <w:rsid w:val="00955893"/>
    <w:rsid w:val="00956A21"/>
    <w:rsid w:val="00960A8B"/>
    <w:rsid w:val="009622E7"/>
    <w:rsid w:val="00962408"/>
    <w:rsid w:val="00962552"/>
    <w:rsid w:val="00962F4B"/>
    <w:rsid w:val="009637DF"/>
    <w:rsid w:val="0096482D"/>
    <w:rsid w:val="00965128"/>
    <w:rsid w:val="009667B5"/>
    <w:rsid w:val="00966A5D"/>
    <w:rsid w:val="009670F2"/>
    <w:rsid w:val="00970839"/>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BCB"/>
    <w:rsid w:val="00990D80"/>
    <w:rsid w:val="00991CC7"/>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4B9C"/>
    <w:rsid w:val="009B638C"/>
    <w:rsid w:val="009B6969"/>
    <w:rsid w:val="009B76EB"/>
    <w:rsid w:val="009B7B79"/>
    <w:rsid w:val="009C0383"/>
    <w:rsid w:val="009C0BAC"/>
    <w:rsid w:val="009C145B"/>
    <w:rsid w:val="009C37B1"/>
    <w:rsid w:val="009C3E04"/>
    <w:rsid w:val="009C5C88"/>
    <w:rsid w:val="009C5EC7"/>
    <w:rsid w:val="009C7225"/>
    <w:rsid w:val="009C7694"/>
    <w:rsid w:val="009C79FF"/>
    <w:rsid w:val="009C7E9D"/>
    <w:rsid w:val="009D16E3"/>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6D79"/>
    <w:rsid w:val="009E7101"/>
    <w:rsid w:val="009E7242"/>
    <w:rsid w:val="009F0710"/>
    <w:rsid w:val="009F0AF5"/>
    <w:rsid w:val="009F1419"/>
    <w:rsid w:val="009F36FA"/>
    <w:rsid w:val="009F4322"/>
    <w:rsid w:val="009F6422"/>
    <w:rsid w:val="009F76D5"/>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002"/>
    <w:rsid w:val="00A21B70"/>
    <w:rsid w:val="00A21CFC"/>
    <w:rsid w:val="00A22002"/>
    <w:rsid w:val="00A22E5A"/>
    <w:rsid w:val="00A24843"/>
    <w:rsid w:val="00A25BB4"/>
    <w:rsid w:val="00A262F4"/>
    <w:rsid w:val="00A31C7C"/>
    <w:rsid w:val="00A31D93"/>
    <w:rsid w:val="00A322F8"/>
    <w:rsid w:val="00A34A04"/>
    <w:rsid w:val="00A35C4D"/>
    <w:rsid w:val="00A367AA"/>
    <w:rsid w:val="00A36D06"/>
    <w:rsid w:val="00A375DF"/>
    <w:rsid w:val="00A410CC"/>
    <w:rsid w:val="00A417EB"/>
    <w:rsid w:val="00A41DA6"/>
    <w:rsid w:val="00A41E33"/>
    <w:rsid w:val="00A428A4"/>
    <w:rsid w:val="00A42B43"/>
    <w:rsid w:val="00A42BD0"/>
    <w:rsid w:val="00A42C18"/>
    <w:rsid w:val="00A45F90"/>
    <w:rsid w:val="00A465A7"/>
    <w:rsid w:val="00A46B10"/>
    <w:rsid w:val="00A50205"/>
    <w:rsid w:val="00A50761"/>
    <w:rsid w:val="00A5083E"/>
    <w:rsid w:val="00A5244D"/>
    <w:rsid w:val="00A52F35"/>
    <w:rsid w:val="00A53AF0"/>
    <w:rsid w:val="00A5433C"/>
    <w:rsid w:val="00A54A55"/>
    <w:rsid w:val="00A54ED7"/>
    <w:rsid w:val="00A55659"/>
    <w:rsid w:val="00A56BA6"/>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486E"/>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050"/>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A696B"/>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0FAA"/>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57FC7"/>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17D"/>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3FD6"/>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1C7"/>
    <w:rsid w:val="00C372B4"/>
    <w:rsid w:val="00C41A27"/>
    <w:rsid w:val="00C4285B"/>
    <w:rsid w:val="00C4294D"/>
    <w:rsid w:val="00C4298D"/>
    <w:rsid w:val="00C43B87"/>
    <w:rsid w:val="00C43BC5"/>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76"/>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2C7"/>
    <w:rsid w:val="00CB2DB5"/>
    <w:rsid w:val="00CB37BA"/>
    <w:rsid w:val="00CB3CD5"/>
    <w:rsid w:val="00CB4840"/>
    <w:rsid w:val="00CB499B"/>
    <w:rsid w:val="00CB4B3E"/>
    <w:rsid w:val="00CB50EF"/>
    <w:rsid w:val="00CB5625"/>
    <w:rsid w:val="00CB56F2"/>
    <w:rsid w:val="00CB5E0C"/>
    <w:rsid w:val="00CB791A"/>
    <w:rsid w:val="00CB7D1B"/>
    <w:rsid w:val="00CC03F1"/>
    <w:rsid w:val="00CC1A6E"/>
    <w:rsid w:val="00CC1DD6"/>
    <w:rsid w:val="00CC20DD"/>
    <w:rsid w:val="00CC291D"/>
    <w:rsid w:val="00CC306A"/>
    <w:rsid w:val="00CC3C42"/>
    <w:rsid w:val="00CC536E"/>
    <w:rsid w:val="00CC544A"/>
    <w:rsid w:val="00CC57D8"/>
    <w:rsid w:val="00CC5C45"/>
    <w:rsid w:val="00CC5C6A"/>
    <w:rsid w:val="00CC6B1D"/>
    <w:rsid w:val="00CC6DBC"/>
    <w:rsid w:val="00CC716C"/>
    <w:rsid w:val="00CD0F87"/>
    <w:rsid w:val="00CD1C37"/>
    <w:rsid w:val="00CD2157"/>
    <w:rsid w:val="00CD217F"/>
    <w:rsid w:val="00CD2595"/>
    <w:rsid w:val="00CD39B3"/>
    <w:rsid w:val="00CD3B8C"/>
    <w:rsid w:val="00CD47B2"/>
    <w:rsid w:val="00CD5126"/>
    <w:rsid w:val="00CD568C"/>
    <w:rsid w:val="00CD5777"/>
    <w:rsid w:val="00CD57F2"/>
    <w:rsid w:val="00CD5AFD"/>
    <w:rsid w:val="00CD6272"/>
    <w:rsid w:val="00CE24A9"/>
    <w:rsid w:val="00CE2A39"/>
    <w:rsid w:val="00CE3AB2"/>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1A4B"/>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2A5E"/>
    <w:rsid w:val="00D334C4"/>
    <w:rsid w:val="00D355C6"/>
    <w:rsid w:val="00D35830"/>
    <w:rsid w:val="00D36DFE"/>
    <w:rsid w:val="00D37681"/>
    <w:rsid w:val="00D40525"/>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91B"/>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274C"/>
    <w:rsid w:val="00DB391A"/>
    <w:rsid w:val="00DB3FAF"/>
    <w:rsid w:val="00DB40BD"/>
    <w:rsid w:val="00DB4F4B"/>
    <w:rsid w:val="00DC070F"/>
    <w:rsid w:val="00DC1CB5"/>
    <w:rsid w:val="00DC2A0E"/>
    <w:rsid w:val="00DC3858"/>
    <w:rsid w:val="00DC4938"/>
    <w:rsid w:val="00DC58C8"/>
    <w:rsid w:val="00DC6634"/>
    <w:rsid w:val="00DC7669"/>
    <w:rsid w:val="00DC7A05"/>
    <w:rsid w:val="00DC7F4F"/>
    <w:rsid w:val="00DD1214"/>
    <w:rsid w:val="00DD1464"/>
    <w:rsid w:val="00DD15B9"/>
    <w:rsid w:val="00DD21A4"/>
    <w:rsid w:val="00DD2F9F"/>
    <w:rsid w:val="00DD3308"/>
    <w:rsid w:val="00DD3E0E"/>
    <w:rsid w:val="00DD5724"/>
    <w:rsid w:val="00DD6355"/>
    <w:rsid w:val="00DD6D04"/>
    <w:rsid w:val="00DD70BC"/>
    <w:rsid w:val="00DD73A2"/>
    <w:rsid w:val="00DD7F81"/>
    <w:rsid w:val="00DE1D01"/>
    <w:rsid w:val="00DE2E03"/>
    <w:rsid w:val="00DE3147"/>
    <w:rsid w:val="00DE4CFB"/>
    <w:rsid w:val="00DE5A4D"/>
    <w:rsid w:val="00DE5F6C"/>
    <w:rsid w:val="00DE6DF8"/>
    <w:rsid w:val="00DF122B"/>
    <w:rsid w:val="00DF18D3"/>
    <w:rsid w:val="00DF1ED8"/>
    <w:rsid w:val="00DF2C94"/>
    <w:rsid w:val="00DF3785"/>
    <w:rsid w:val="00DF3F31"/>
    <w:rsid w:val="00DF3FE7"/>
    <w:rsid w:val="00DF4064"/>
    <w:rsid w:val="00DF46C0"/>
    <w:rsid w:val="00DF517A"/>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124"/>
    <w:rsid w:val="00E9323C"/>
    <w:rsid w:val="00E934A3"/>
    <w:rsid w:val="00E93F71"/>
    <w:rsid w:val="00E94B20"/>
    <w:rsid w:val="00E96DA9"/>
    <w:rsid w:val="00EA066B"/>
    <w:rsid w:val="00EA31A4"/>
    <w:rsid w:val="00EA3DB6"/>
    <w:rsid w:val="00EA42B6"/>
    <w:rsid w:val="00EA4D64"/>
    <w:rsid w:val="00EA5DE1"/>
    <w:rsid w:val="00EA757C"/>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504"/>
    <w:rsid w:val="00F15ED7"/>
    <w:rsid w:val="00F16C4E"/>
    <w:rsid w:val="00F17919"/>
    <w:rsid w:val="00F17E5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37DC8"/>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6C4A"/>
    <w:rsid w:val="00F5759E"/>
    <w:rsid w:val="00F57787"/>
    <w:rsid w:val="00F60340"/>
    <w:rsid w:val="00F6160D"/>
    <w:rsid w:val="00F61F69"/>
    <w:rsid w:val="00F621C5"/>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25B8"/>
    <w:rsid w:val="00F831F2"/>
    <w:rsid w:val="00F84049"/>
    <w:rsid w:val="00F841F5"/>
    <w:rsid w:val="00F84881"/>
    <w:rsid w:val="00F85F8F"/>
    <w:rsid w:val="00F87ABD"/>
    <w:rsid w:val="00F87FF2"/>
    <w:rsid w:val="00F9158B"/>
    <w:rsid w:val="00F92779"/>
    <w:rsid w:val="00F927B5"/>
    <w:rsid w:val="00F931E2"/>
    <w:rsid w:val="00F940DA"/>
    <w:rsid w:val="00F9488B"/>
    <w:rsid w:val="00F94E4E"/>
    <w:rsid w:val="00F94FDF"/>
    <w:rsid w:val="00F95CF3"/>
    <w:rsid w:val="00F95E84"/>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424E"/>
    <w:rsid w:val="00FD60A4"/>
    <w:rsid w:val="00FD6A60"/>
    <w:rsid w:val="00FD76E8"/>
    <w:rsid w:val="00FE08D2"/>
    <w:rsid w:val="00FE0BD8"/>
    <w:rsid w:val="00FE1524"/>
    <w:rsid w:val="00FE1FC9"/>
    <w:rsid w:val="00FE2B0C"/>
    <w:rsid w:val="00FE3367"/>
    <w:rsid w:val="00FE338C"/>
    <w:rsid w:val="00FE33F5"/>
    <w:rsid w:val="00FE35DE"/>
    <w:rsid w:val="00FE3A17"/>
    <w:rsid w:val="00FE4214"/>
    <w:rsid w:val="00FE45ED"/>
    <w:rsid w:val="00FE4D0C"/>
    <w:rsid w:val="00FE50F1"/>
    <w:rsid w:val="00FE5384"/>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single space Char,FOOTNOTES Char,Footnote Text Char Char Char Char Char Char Char,stile 1 Char,Testo_note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Normal Nivel 1 Char,List Paragraph Main Char,List first level Char,List Paragraph_Sections Char,Dot pt Char,Bullet Points Char,No Spacing1 Char,List Paragraph Char Char Char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 w:type="character" w:customStyle="1" w:styleId="ts-alignment-element">
    <w:name w:val="ts-alignment-element"/>
    <w:basedOn w:val="DefaultParagraphFont"/>
    <w:rsid w:val="000F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BA1AB1E5B854E8A2E9F29CAEAF114" ma:contentTypeVersion="10" ma:contentTypeDescription="Create a new document." ma:contentTypeScope="" ma:versionID="66c892378897cb1a350dc01932006122">
  <xsd:schema xmlns:xsd="http://www.w3.org/2001/XMLSchema" xmlns:xs="http://www.w3.org/2001/XMLSchema" xmlns:p="http://schemas.microsoft.com/office/2006/metadata/properties" xmlns:ns3="aa08cbff-fdea-4cf3-a9cc-f59f5299e363" targetNamespace="http://schemas.microsoft.com/office/2006/metadata/properties" ma:root="true" ma:fieldsID="98f6084db42bcb33971c4178888b35cf" ns3:_="">
    <xsd:import namespace="aa08cbff-fdea-4cf3-a9cc-f59f5299e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cbff-fdea-4cf3-a9cc-f59f5299e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78B9-24C4-4440-ACA0-837592BE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8cbff-fdea-4cf3-a9cc-f59f5299e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344FE562-CF84-4DBD-BDAA-838AA6B7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3</Pages>
  <Words>2870</Words>
  <Characters>16365</Characters>
  <Application>Microsoft Office Word</Application>
  <DocSecurity>8</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Greta Gabbarini</cp:lastModifiedBy>
  <cp:revision>2</cp:revision>
  <cp:lastPrinted>2017-07-24T14:47:00Z</cp:lastPrinted>
  <dcterms:created xsi:type="dcterms:W3CDTF">2020-11-30T10:21:00Z</dcterms:created>
  <dcterms:modified xsi:type="dcterms:W3CDTF">2020-11-30T10:21:00Z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0x0101005C8BA1AB1E5B854E8A2E9F29CAEAF114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y fmtid="{D5CDD505-2E9C-101B-9397-08002B2CF9AE}" pid="20" name="docIndexRef">
    <vt:lpwstr>6b316d1c-b372-48eb-ba7b-06b44f7b7762</vt:lpwstr>
  </property>
  <property fmtid="{D5CDD505-2E9C-101B-9397-08002B2CF9AE}" pid="21" name="bjSaver">
    <vt:lpwstr>tHfymsBN9uGQ5tGcgSMhL6wN2nRIQCyl</vt:lpwstr>
  </property>
  <property fmtid="{D5CDD505-2E9C-101B-9397-08002B2CF9AE}" pid="22" name="bjDocumentSecurityLabel">
    <vt:lpwstr>This item has no classification</vt:lpwstr>
  </property>
</Properties>
</file>