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el"/>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00BF72AF" w:rsidR="00A77EED" w:rsidRPr="00FA0166" w:rsidRDefault="007E4200" w:rsidP="00A77EED">
            <w:pPr>
              <w:pStyle w:val="Untertitel"/>
              <w:rPr>
                <w:szCs w:val="28"/>
              </w:rPr>
            </w:pPr>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2"/>
          <w:footerReference w:type="first" r:id="rId13"/>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122F7DB8" w14:textId="35F8A076"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14:paraId="42F6B7E6" w14:textId="77777777" w:rsidR="00E862D0" w:rsidRPr="00AB6157" w:rsidRDefault="00E862D0" w:rsidP="00990D80">
      <w:pPr>
        <w:numPr>
          <w:ilvl w:val="0"/>
          <w:numId w:val="7"/>
        </w:numPr>
      </w:pPr>
      <w:r w:rsidRPr="00AB6157">
        <w:t>respond to the question stated;</w:t>
      </w:r>
    </w:p>
    <w:p w14:paraId="0DF9CFA8" w14:textId="77777777" w:rsidR="00E862D0" w:rsidRPr="00AB6157" w:rsidRDefault="00E862D0" w:rsidP="00990D80">
      <w:pPr>
        <w:numPr>
          <w:ilvl w:val="0"/>
          <w:numId w:val="7"/>
        </w:numPr>
      </w:pPr>
      <w:r w:rsidRPr="00AB6157">
        <w:t>indicate the specific question to which the comment relates;</w:t>
      </w:r>
    </w:p>
    <w:p w14:paraId="43A01AC6" w14:textId="77777777" w:rsidR="00E862D0" w:rsidRPr="00AB6157" w:rsidRDefault="00E862D0" w:rsidP="00990D80">
      <w:pPr>
        <w:numPr>
          <w:ilvl w:val="0"/>
          <w:numId w:val="7"/>
        </w:numPr>
      </w:pPr>
      <w:r w:rsidRPr="00AB6157">
        <w:t>contain a clear rationale; and</w:t>
      </w:r>
    </w:p>
    <w:p w14:paraId="7030075A" w14:textId="77777777" w:rsidR="00E862D0" w:rsidRPr="00AB6157" w:rsidRDefault="00E862D0" w:rsidP="00990D80">
      <w:pPr>
        <w:numPr>
          <w:ilvl w:val="0"/>
          <w:numId w:val="7"/>
        </w:numPr>
      </w:pPr>
      <w:r w:rsidRPr="00AB6157">
        <w:t>describe any alternatives ESMA should consider.</w:t>
      </w:r>
    </w:p>
    <w:p w14:paraId="7D96F756" w14:textId="19170519"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14:paraId="239B90F6" w14:textId="77777777" w:rsidR="00E862D0" w:rsidRPr="00AB6157" w:rsidRDefault="00E862D0" w:rsidP="00E862D0">
      <w:r w:rsidRPr="00AB6157">
        <w:t xml:space="preserve">All contributions should be submitted online at </w:t>
      </w:r>
      <w:hyperlink r:id="rId14" w:history="1">
        <w:r w:rsidRPr="00AB6157">
          <w:rPr>
            <w:color w:val="0563C1" w:themeColor="hyperlink"/>
            <w:u w:val="single"/>
          </w:rPr>
          <w:t>www.esma.europa.eu</w:t>
        </w:r>
      </w:hyperlink>
      <w:r w:rsidRPr="00AB6157">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enabsatz"/>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6DD092F8" w:rsidR="00E862D0" w:rsidRPr="00C85C8B" w:rsidRDefault="00E862D0" w:rsidP="00990D80">
      <w:pPr>
        <w:pStyle w:val="Listenabsatz"/>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enabsatz"/>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3EC0284" w:rsidR="00E862D0" w:rsidRPr="00C85C8B" w:rsidRDefault="00E862D0" w:rsidP="00990D80">
      <w:pPr>
        <w:pStyle w:val="Listenabsatz"/>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14:paraId="7AA884C0" w14:textId="7447FB97" w:rsidR="00E862D0" w:rsidRPr="00C85C8B" w:rsidRDefault="00E862D0" w:rsidP="00990D80">
      <w:pPr>
        <w:pStyle w:val="Listenabsatz"/>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5"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14:paraId="2DF9B383" w14:textId="77777777" w:rsidR="00E862D0" w:rsidRPr="00C1698A" w:rsidRDefault="00E862D0" w:rsidP="00E862D0"/>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6" w:history="1">
        <w:r w:rsidRPr="00AB6157">
          <w:rPr>
            <w:color w:val="0563C1" w:themeColor="hyperlink"/>
            <w:u w:val="single"/>
          </w:rPr>
          <w:t>www.esma.europa.eu</w:t>
        </w:r>
      </w:hyperlink>
      <w:r w:rsidRPr="00AB6157">
        <w:t xml:space="preserve"> under the heading </w:t>
      </w:r>
      <w:hyperlink r:id="rId17"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3C7935BB" w14:textId="6296E833" w:rsidR="00E862D0" w:rsidRPr="00662BA1" w:rsidRDefault="008C1AB8" w:rsidP="00662BA1">
      <w:pPr>
        <w:spacing w:after="120" w:line="264" w:lineRule="auto"/>
        <w:rPr>
          <w:szCs w:val="22"/>
        </w:rPr>
        <w:sectPr w:rsidR="00E862D0" w:rsidRPr="00662BA1" w:rsidSect="00AC79E0">
          <w:headerReference w:type="default" r:id="rId18"/>
          <w:footerReference w:type="default" r:id="rId19"/>
          <w:headerReference w:type="first" r:id="rId20"/>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1" w:name="_Toc515564428"/>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040F9675" w14:textId="16390BAA" w:rsidR="00997DA7" w:rsidRPr="00C85C8B" w:rsidRDefault="00E71A79" w:rsidP="00A402A0">
                <w:pPr>
                  <w:rPr>
                    <w:rFonts w:ascii="Arial" w:hAnsi="Arial" w:cs="Arial"/>
                    <w:color w:val="808080"/>
                    <w:sz w:val="20"/>
                    <w:lang w:eastAsia="de-DE"/>
                  </w:rPr>
                </w:pPr>
                <w:r>
                  <w:rPr>
                    <w:rFonts w:ascii="Arial" w:hAnsi="Arial" w:cs="Arial"/>
                    <w:sz w:val="20"/>
                    <w:lang w:eastAsia="de-DE"/>
                  </w:rPr>
                  <w:t>European Association of Public Banks</w:t>
                </w:r>
              </w:p>
            </w:tc>
          </w:sdtContent>
        </w:sdt>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309438E5" w:rsidR="00997DA7" w:rsidRPr="00C85C8B" w:rsidRDefault="00F31A60"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71A79">
                  <w:rPr>
                    <w:rFonts w:ascii="Arial" w:hAnsi="Arial" w:cs="Arial"/>
                    <w:sz w:val="20"/>
                    <w:lang w:eastAsia="de-DE"/>
                  </w:rPr>
                  <w:t>Banking sector</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978DA0" w14:textId="757C2F44" w:rsidR="00997DA7" w:rsidRPr="00C85C8B" w:rsidRDefault="00E71A79" w:rsidP="00A402A0">
                <w:pPr>
                  <w:rPr>
                    <w:rFonts w:ascii="Arial" w:hAnsi="Arial" w:cs="Arial"/>
                    <w:sz w:val="20"/>
                    <w:lang w:eastAsia="de-DE"/>
                  </w:rPr>
                </w:pPr>
                <w:r>
                  <w:rPr>
                    <w:rFonts w:ascii="MS Gothic" w:eastAsia="MS Gothic" w:hAnsi="MS Gothic" w:cs="Arial" w:hint="eastAsia"/>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65256189" w:rsidR="00997DA7" w:rsidRPr="00C85C8B" w:rsidRDefault="00E71A79" w:rsidP="00A402A0">
                <w:pPr>
                  <w:rPr>
                    <w:rFonts w:ascii="Arial" w:hAnsi="Arial" w:cs="Arial"/>
                    <w:sz w:val="20"/>
                    <w:lang w:eastAsia="de-DE"/>
                  </w:rPr>
                </w:pPr>
                <w:r>
                  <w:rPr>
                    <w:rFonts w:ascii="Arial" w:hAnsi="Arial" w:cs="Arial"/>
                    <w:sz w:val="20"/>
                    <w:lang w:eastAsia="de-DE"/>
                  </w:rPr>
                  <w:t>Europe</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018F5BF9" w:rsidR="00E862D0" w:rsidRPr="00C85C8B" w:rsidRDefault="00E862D0" w:rsidP="00E862D0">
      <w:r w:rsidRPr="00C85C8B">
        <w:t>&lt;ESMA_COMMENT_</w:t>
      </w:r>
      <w:r>
        <w:t>CP_</w:t>
      </w:r>
      <w:r w:rsidR="00662BA1">
        <w:t>TRRF</w:t>
      </w:r>
      <w:r w:rsidRPr="00C85C8B">
        <w:t>_1&gt;</w:t>
      </w:r>
    </w:p>
    <w:p w14:paraId="424B3880" w14:textId="2C009EE8" w:rsidR="000B0D26" w:rsidRPr="00E71A79" w:rsidRDefault="00E71A79" w:rsidP="000B0D26">
      <w:permStart w:id="2008832412" w:edGrp="everyone"/>
      <w:r w:rsidRPr="00E71A79">
        <w:t>Our comments are based o</w:t>
      </w:r>
      <w:r>
        <w:t>n feedback we have received from publicly-owned commercial banks.</w:t>
      </w:r>
    </w:p>
    <w:permEnd w:id="2008832412"/>
    <w:p w14:paraId="37768D94" w14:textId="5C7738E9" w:rsidR="00E862D0" w:rsidRPr="00662BA1" w:rsidRDefault="00E862D0" w:rsidP="00E862D0">
      <w:pPr>
        <w:rPr>
          <w:lang w:val="fr-FR"/>
        </w:rPr>
      </w:pPr>
      <w:r w:rsidRPr="00662BA1">
        <w:rPr>
          <w:lang w:val="fr-FR"/>
        </w:rPr>
        <w:t>&lt;ESMA_COMMENT_CP_</w:t>
      </w:r>
      <w:r w:rsidR="00662BA1" w:rsidRPr="00662BA1">
        <w:rPr>
          <w:lang w:val="fr-FR"/>
        </w:rPr>
        <w:t>TRRF</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1"/>
    <w:p w14:paraId="2849AD1B" w14:textId="77777777"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14:paraId="2D82B954" w14:textId="77777777" w:rsidR="000B0D26" w:rsidRDefault="000B0D26" w:rsidP="000B0D26">
      <w:r>
        <w:t>&lt;ESMA_QUESTION_TRRF_1&gt;</w:t>
      </w:r>
    </w:p>
    <w:p w14:paraId="0B0CA12A" w14:textId="11A9C8BF" w:rsidR="000B0D26" w:rsidRDefault="009F33AE" w:rsidP="000B0D26">
      <w:permStart w:id="1600792670" w:edGrp="everyone"/>
      <w:r>
        <w:t>T</w:t>
      </w:r>
      <w:r w:rsidR="00F742EC" w:rsidRPr="00813E14">
        <w:t xml:space="preserve">he principle of </w:t>
      </w:r>
      <w:r w:rsidR="00F742EC">
        <w:t>„</w:t>
      </w:r>
      <w:r w:rsidR="00F742EC" w:rsidRPr="00813E14">
        <w:t>same business</w:t>
      </w:r>
      <w:r w:rsidR="00F742EC">
        <w:t>,</w:t>
      </w:r>
      <w:r w:rsidR="00F742EC" w:rsidRPr="00813E14">
        <w:t xml:space="preserve"> same rules</w:t>
      </w:r>
      <w:r w:rsidR="00F742EC">
        <w:t>“ should appl</w:t>
      </w:r>
      <w:r>
        <w:t>y</w:t>
      </w:r>
      <w:r w:rsidRPr="009F33AE">
        <w:t xml:space="preserve"> </w:t>
      </w:r>
      <w:r>
        <w:t>t</w:t>
      </w:r>
      <w:r w:rsidRPr="00813E14">
        <w:t>o ensure a level playing field</w:t>
      </w:r>
      <w:r w:rsidR="00F742EC">
        <w:t>.</w:t>
      </w:r>
    </w:p>
    <w:permEnd w:id="1600792670"/>
    <w:p w14:paraId="7E8F6CF8" w14:textId="77777777" w:rsidR="000B0D26" w:rsidRDefault="000B0D26" w:rsidP="000B0D26">
      <w:r>
        <w:t>&lt;ESMA_QUESTION_TRRF_1&gt;</w:t>
      </w:r>
    </w:p>
    <w:p w14:paraId="5F546672" w14:textId="77777777" w:rsidR="000B0D26" w:rsidRDefault="000B0D26" w:rsidP="000B0D26"/>
    <w:p w14:paraId="43EB0319" w14:textId="77777777" w:rsidR="000B0D26" w:rsidRDefault="000B0D26" w:rsidP="00990D80">
      <w:pPr>
        <w:pStyle w:val="Questionstyle"/>
      </w:pPr>
      <w:r>
        <w:t>: Do you foresee any challenges with the outlined approach? If yes, please explain and provide alternative proposals.</w:t>
      </w:r>
    </w:p>
    <w:p w14:paraId="29E2AE33" w14:textId="77777777" w:rsidR="000B0D26" w:rsidRDefault="000B0D26" w:rsidP="000B0D26">
      <w:r>
        <w:t>&lt;ESMA_QUESTION_TRRF_2&gt;</w:t>
      </w:r>
    </w:p>
    <w:p w14:paraId="7841A561" w14:textId="017092E7" w:rsidR="000B0D26" w:rsidRDefault="009F33AE" w:rsidP="000B0D26">
      <w:permStart w:id="999892361" w:edGrp="everyone"/>
      <w:r>
        <w:t>T</w:t>
      </w:r>
      <w:r w:rsidR="00F742EC" w:rsidRPr="00CD70BA">
        <w:t xml:space="preserve">o avoid repeated enumerations in the legal text, the term "firm" </w:t>
      </w:r>
      <w:r>
        <w:t xml:space="preserve">should </w:t>
      </w:r>
      <w:r w:rsidR="00F742EC" w:rsidRPr="00CD70BA">
        <w:t xml:space="preserve">be legally defined, </w:t>
      </w:r>
      <w:r>
        <w:t xml:space="preserve">significantly increasing </w:t>
      </w:r>
      <w:r w:rsidR="00F742EC" w:rsidRPr="00CD70BA">
        <w:t>the legibility and clarity of the legal text</w:t>
      </w:r>
      <w:r w:rsidR="00F742EC">
        <w:t>.</w:t>
      </w:r>
    </w:p>
    <w:permEnd w:id="999892361"/>
    <w:p w14:paraId="097265B0" w14:textId="77777777" w:rsidR="000B0D26" w:rsidRDefault="000B0D26" w:rsidP="000B0D26">
      <w:r>
        <w:t>&lt;ESMA_QUESTION_TRRF_2&gt;</w:t>
      </w:r>
    </w:p>
    <w:p w14:paraId="04B3D6B3" w14:textId="77777777" w:rsidR="000B0D26" w:rsidRDefault="000B0D26" w:rsidP="000B0D26"/>
    <w:p w14:paraId="024048A1" w14:textId="77777777" w:rsidR="000B0D26" w:rsidRDefault="000B0D26" w:rsidP="00990D80">
      <w:pPr>
        <w:pStyle w:val="Questionstyle"/>
      </w:pPr>
      <w:r>
        <w:t>: Do you foresee any challenges with the outlined approach? If yes, please explain and provide alternative proposals.</w:t>
      </w:r>
    </w:p>
    <w:p w14:paraId="772EF36B" w14:textId="77777777" w:rsidR="000B0D26" w:rsidRDefault="000B0D26" w:rsidP="000B0D26">
      <w:r>
        <w:t>&lt;ESMA_QUESTION_TRRF_3&gt;</w:t>
      </w:r>
    </w:p>
    <w:p w14:paraId="5F3D5325" w14:textId="1ED4807C" w:rsidR="000B0D26" w:rsidRDefault="00F742EC" w:rsidP="000B0D26">
      <w:permStart w:id="1042289045" w:edGrp="everyone"/>
      <w:r w:rsidRPr="00CD70BA">
        <w:t>It should be clearly stated in the le</w:t>
      </w:r>
      <w:r>
        <w:t>vel 1</w:t>
      </w:r>
      <w:r w:rsidRPr="00CD70BA">
        <w:t xml:space="preserve"> text who is responsible </w:t>
      </w:r>
      <w:r>
        <w:t xml:space="preserve">to transmit a copy of the reports to the </w:t>
      </w:r>
      <w:r w:rsidR="009F33AE">
        <w:t>CA</w:t>
      </w:r>
      <w:r>
        <w:t xml:space="preserve"> of the host </w:t>
      </w:r>
      <w:r w:rsidR="009F33AE">
        <w:t>MS</w:t>
      </w:r>
      <w:r>
        <w:t xml:space="preserve">. </w:t>
      </w:r>
      <w:r w:rsidR="009F33AE">
        <w:t>T</w:t>
      </w:r>
      <w:r>
        <w:t>his would be the responsibility of the home MS CA and executed via ESMA</w:t>
      </w:r>
      <w:r w:rsidR="009F33AE">
        <w:t xml:space="preserve"> </w:t>
      </w:r>
      <w:r>
        <w:t>TREM.</w:t>
      </w:r>
    </w:p>
    <w:permEnd w:id="1042289045"/>
    <w:p w14:paraId="4EABAC59" w14:textId="77777777" w:rsidR="000B0D26" w:rsidRDefault="000B0D26" w:rsidP="000B0D26">
      <w:r>
        <w:t>&lt;ESMA_QUESTION_TRRF_3&gt;</w:t>
      </w:r>
    </w:p>
    <w:p w14:paraId="2AFFC07A" w14:textId="77777777" w:rsidR="000B0D26" w:rsidRDefault="000B0D26" w:rsidP="000B0D26"/>
    <w:p w14:paraId="3087E29C" w14:textId="77777777" w:rsidR="000B0D26" w:rsidRDefault="000B0D26" w:rsidP="00990D80">
      <w:pPr>
        <w:pStyle w:val="Questionstyle"/>
      </w:pPr>
      <w:r>
        <w:t>: Do you foresee any challenges with the outlined approach? If yes, please explain and provide alternative proposals.</w:t>
      </w:r>
    </w:p>
    <w:p w14:paraId="680D4FCA" w14:textId="77777777" w:rsidR="000B0D26" w:rsidRDefault="000B0D26" w:rsidP="000B0D26">
      <w:r>
        <w:lastRenderedPageBreak/>
        <w:t>&lt;ESMA_QUESTION_TRRF_4&gt;</w:t>
      </w:r>
    </w:p>
    <w:p w14:paraId="61BADF68" w14:textId="7FF40D5B" w:rsidR="000B0D26" w:rsidRDefault="00F742EC" w:rsidP="000B0D26">
      <w:permStart w:id="1998264754" w:edGrp="everyone"/>
      <w:r>
        <w:t>No.</w:t>
      </w:r>
    </w:p>
    <w:permEnd w:id="1998264754"/>
    <w:p w14:paraId="59198F9E" w14:textId="77777777" w:rsidR="000B0D26" w:rsidRDefault="000B0D26" w:rsidP="000B0D26">
      <w:r>
        <w:t>&lt;ESMA_QUESTION_TRRF_4&gt;</w:t>
      </w:r>
    </w:p>
    <w:p w14:paraId="44A77D62" w14:textId="77777777" w:rsidR="000B0D26" w:rsidRDefault="000B0D26" w:rsidP="000B0D26"/>
    <w:p w14:paraId="68820266" w14:textId="77777777"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14:paraId="5EA2EF2D" w14:textId="77777777" w:rsidR="000B0D26" w:rsidRDefault="000B0D26" w:rsidP="000B0D26">
      <w:r>
        <w:t>&lt;ESMA_QUESTION_TRRF_5&gt;</w:t>
      </w:r>
    </w:p>
    <w:p w14:paraId="124E9664" w14:textId="392EB6A5" w:rsidR="00F742EC" w:rsidRDefault="001B0E15" w:rsidP="00F742EC">
      <w:permStart w:id="1725236856" w:edGrp="everyone"/>
      <w:r>
        <w:t>As an alternative to the ESMA proposal, there</w:t>
      </w:r>
      <w:r w:rsidR="00F742EC" w:rsidRPr="00767023">
        <w:t xml:space="preserve"> </w:t>
      </w:r>
      <w:r>
        <w:t xml:space="preserve">should be </w:t>
      </w:r>
      <w:r w:rsidR="00F742EC" w:rsidRPr="00767023">
        <w:t xml:space="preserve">a transformation of </w:t>
      </w:r>
      <w:r w:rsidR="00F742EC">
        <w:t xml:space="preserve">Opinion </w:t>
      </w:r>
      <w:r w:rsidR="00F742EC" w:rsidRPr="00767023">
        <w:t>ESMA</w:t>
      </w:r>
      <w:r w:rsidR="00F742EC">
        <w:t>70-156-117</w:t>
      </w:r>
      <w:r w:rsidR="00F742EC" w:rsidRPr="00767023">
        <w:t xml:space="preserve"> into a corresponding L1</w:t>
      </w:r>
      <w:r>
        <w:t>-</w:t>
      </w:r>
      <w:r w:rsidR="00F742EC" w:rsidRPr="00767023">
        <w:t>text.</w:t>
      </w:r>
      <w:r w:rsidR="00F742EC">
        <w:t xml:space="preserve"> </w:t>
      </w:r>
    </w:p>
    <w:p w14:paraId="6BEC3AB0" w14:textId="093A0C08" w:rsidR="00F742EC" w:rsidRDefault="00F742EC" w:rsidP="00F742EC">
      <w:pPr>
        <w:rPr>
          <w:lang w:val="en-US"/>
        </w:rPr>
      </w:pPr>
      <w:r>
        <w:rPr>
          <w:lang w:val="en-US"/>
        </w:rPr>
        <w:t>The</w:t>
      </w:r>
      <w:r w:rsidRPr="00937519">
        <w:rPr>
          <w:lang w:val="en-US"/>
        </w:rPr>
        <w:t xml:space="preserve"> broadening of</w:t>
      </w:r>
      <w:r>
        <w:rPr>
          <w:lang w:val="en-US"/>
        </w:rPr>
        <w:t xml:space="preserve"> t</w:t>
      </w:r>
      <w:r w:rsidRPr="00937519">
        <w:rPr>
          <w:lang w:val="en-US"/>
        </w:rPr>
        <w:t xml:space="preserve">he reporting obligation will </w:t>
      </w:r>
      <w:r>
        <w:rPr>
          <w:lang w:val="en-US"/>
        </w:rPr>
        <w:t xml:space="preserve">lead </w:t>
      </w:r>
      <w:r w:rsidRPr="00CF209E">
        <w:rPr>
          <w:lang w:val="en-US"/>
        </w:rPr>
        <w:t>to a creation of ISINs for instruments whose terms are bilaterally negotiated due to the investment needs of counterparties</w:t>
      </w:r>
      <w:r>
        <w:rPr>
          <w:lang w:val="en-US"/>
        </w:rPr>
        <w:t xml:space="preserve">. </w:t>
      </w:r>
      <w:r w:rsidR="00651837">
        <w:rPr>
          <w:lang w:val="en-US"/>
        </w:rPr>
        <w:t>T</w:t>
      </w:r>
      <w:r>
        <w:rPr>
          <w:lang w:val="en-US"/>
        </w:rPr>
        <w:t xml:space="preserve">hese ISINs will </w:t>
      </w:r>
      <w:r w:rsidRPr="00CF209E">
        <w:rPr>
          <w:lang w:val="en-US"/>
        </w:rPr>
        <w:t>not add any meaningful transparency to the market.</w:t>
      </w:r>
      <w:r>
        <w:rPr>
          <w:lang w:val="en-US"/>
        </w:rPr>
        <w:t xml:space="preserve"> Instruments would be found in the FIRDS database that are not ToTV</w:t>
      </w:r>
      <w:r w:rsidR="00651837">
        <w:rPr>
          <w:lang w:val="en-US"/>
        </w:rPr>
        <w:t>,</w:t>
      </w:r>
      <w:r>
        <w:rPr>
          <w:lang w:val="en-US"/>
        </w:rPr>
        <w:t xml:space="preserve"> needing an extra flag in order for market participants for the purposes of the relevant sections in the MiFIR, where the ToTV concept applies, to filter ToTV instruments.</w:t>
      </w:r>
    </w:p>
    <w:p w14:paraId="60947343" w14:textId="5308B516" w:rsidR="00F742EC" w:rsidRDefault="00F742EC" w:rsidP="00F742EC">
      <w:pPr>
        <w:rPr>
          <w:lang w:val="en-US"/>
        </w:rPr>
      </w:pPr>
      <w:r>
        <w:rPr>
          <w:lang w:val="en-US"/>
        </w:rPr>
        <w:t xml:space="preserve">Furthermore, with regard to non-ToTV instruments solely traded </w:t>
      </w:r>
      <w:r w:rsidRPr="00CF209E">
        <w:rPr>
          <w:lang w:val="en-US"/>
        </w:rPr>
        <w:t>on S</w:t>
      </w:r>
      <w:r>
        <w:rPr>
          <w:lang w:val="en-US"/>
        </w:rPr>
        <w:t>I</w:t>
      </w:r>
      <w:r w:rsidRPr="00CF209E">
        <w:rPr>
          <w:lang w:val="en-US"/>
        </w:rPr>
        <w:t>s</w:t>
      </w:r>
      <w:r>
        <w:rPr>
          <w:lang w:val="en-US"/>
        </w:rPr>
        <w:t xml:space="preserve">, SIs </w:t>
      </w:r>
      <w:r w:rsidRPr="00CF209E">
        <w:rPr>
          <w:lang w:val="en-US"/>
        </w:rPr>
        <w:t>are not in competition with exchange traded products</w:t>
      </w:r>
      <w:r>
        <w:rPr>
          <w:lang w:val="en-US"/>
        </w:rPr>
        <w:t xml:space="preserve">. </w:t>
      </w:r>
      <w:r w:rsidR="00651837">
        <w:rPr>
          <w:lang w:val="en-US"/>
        </w:rPr>
        <w:t>T</w:t>
      </w:r>
      <w:r>
        <w:rPr>
          <w:lang w:val="en-US"/>
        </w:rPr>
        <w:t xml:space="preserve">here is no need for </w:t>
      </w:r>
      <w:r w:rsidRPr="00CF209E">
        <w:rPr>
          <w:lang w:val="en-US"/>
        </w:rPr>
        <w:t>an alignment of transparency requirements.</w:t>
      </w:r>
      <w:r>
        <w:rPr>
          <w:lang w:val="en-US"/>
        </w:rPr>
        <w:t xml:space="preserve"> </w:t>
      </w:r>
      <w:r w:rsidR="00651837">
        <w:rPr>
          <w:lang w:val="en-US"/>
        </w:rPr>
        <w:t>T</w:t>
      </w:r>
      <w:r>
        <w:rPr>
          <w:lang w:val="en-US"/>
        </w:rPr>
        <w:t>he fact that opt-in SIs will face additional reporting obligations might result in fewer market participants opting in the SI regime.</w:t>
      </w:r>
    </w:p>
    <w:p w14:paraId="3A16BEF6" w14:textId="2E08DE75" w:rsidR="00F742EC" w:rsidRDefault="00F742EC" w:rsidP="00F742EC">
      <w:pPr>
        <w:rPr>
          <w:lang w:val="en-US"/>
        </w:rPr>
      </w:pPr>
      <w:r>
        <w:rPr>
          <w:lang w:val="en-US"/>
        </w:rPr>
        <w:t>Therefore, w</w:t>
      </w:r>
      <w:r w:rsidRPr="00CF209E">
        <w:rPr>
          <w:lang w:val="en-US"/>
        </w:rPr>
        <w:t>ith respect to ESMA’s outlined ‘</w:t>
      </w:r>
      <w:r w:rsidR="00651837">
        <w:rPr>
          <w:lang w:val="en-US"/>
        </w:rPr>
        <w:t>To</w:t>
      </w:r>
      <w:r w:rsidRPr="00CF209E">
        <w:rPr>
          <w:lang w:val="en-US"/>
        </w:rPr>
        <w:t>SI’ concept,</w:t>
      </w:r>
      <w:r>
        <w:rPr>
          <w:lang w:val="en-US"/>
        </w:rPr>
        <w:t xml:space="preserve"> </w:t>
      </w:r>
      <w:r w:rsidRPr="00CF209E">
        <w:rPr>
          <w:lang w:val="en-US"/>
        </w:rPr>
        <w:t>S</w:t>
      </w:r>
      <w:r w:rsidR="00651837">
        <w:rPr>
          <w:lang w:val="en-US"/>
        </w:rPr>
        <w:t>I in general</w:t>
      </w:r>
      <w:r w:rsidRPr="00CF209E">
        <w:rPr>
          <w:lang w:val="en-US"/>
        </w:rPr>
        <w:t xml:space="preserve"> do</w:t>
      </w:r>
      <w:r>
        <w:rPr>
          <w:lang w:val="en-US"/>
        </w:rPr>
        <w:t xml:space="preserve"> </w:t>
      </w:r>
      <w:r w:rsidRPr="00CF209E">
        <w:rPr>
          <w:lang w:val="en-US"/>
        </w:rPr>
        <w:t xml:space="preserve">not compete with </w:t>
      </w:r>
      <w:r w:rsidR="00651837">
        <w:rPr>
          <w:lang w:val="en-US"/>
        </w:rPr>
        <w:t>TV</w:t>
      </w:r>
      <w:r w:rsidRPr="00CF209E">
        <w:rPr>
          <w:lang w:val="en-US"/>
        </w:rPr>
        <w:t>s and</w:t>
      </w:r>
      <w:r>
        <w:rPr>
          <w:lang w:val="en-US"/>
        </w:rPr>
        <w:t xml:space="preserve"> </w:t>
      </w:r>
      <w:r w:rsidRPr="00CF209E">
        <w:rPr>
          <w:lang w:val="en-US"/>
        </w:rPr>
        <w:t xml:space="preserve">have a role as liquidity providers. </w:t>
      </w:r>
      <w:r w:rsidR="00651837">
        <w:rPr>
          <w:lang w:val="en-US"/>
        </w:rPr>
        <w:t>A</w:t>
      </w:r>
      <w:r w:rsidRPr="00CF209E">
        <w:rPr>
          <w:lang w:val="en-US"/>
        </w:rPr>
        <w:t xml:space="preserve">n expansion of </w:t>
      </w:r>
      <w:r>
        <w:rPr>
          <w:lang w:val="en-US"/>
        </w:rPr>
        <w:t xml:space="preserve">transaction reporting requirements </w:t>
      </w:r>
      <w:r w:rsidRPr="00CF209E">
        <w:rPr>
          <w:lang w:val="en-US"/>
        </w:rPr>
        <w:t xml:space="preserve">to products which are either naturally OTC products or illiquid </w:t>
      </w:r>
      <w:r>
        <w:rPr>
          <w:lang w:val="en-US"/>
        </w:rPr>
        <w:t>might</w:t>
      </w:r>
      <w:r w:rsidRPr="00CF209E">
        <w:rPr>
          <w:lang w:val="en-US"/>
        </w:rPr>
        <w:t xml:space="preserve"> further prevent </w:t>
      </w:r>
      <w:r w:rsidR="00651837">
        <w:rPr>
          <w:lang w:val="en-US"/>
        </w:rPr>
        <w:t>the</w:t>
      </w:r>
      <w:r w:rsidRPr="00CF209E">
        <w:rPr>
          <w:lang w:val="en-US"/>
        </w:rPr>
        <w:t xml:space="preserve"> role</w:t>
      </w:r>
      <w:r w:rsidR="00651837">
        <w:rPr>
          <w:lang w:val="en-US"/>
        </w:rPr>
        <w:t xml:space="preserve"> of SI</w:t>
      </w:r>
      <w:r w:rsidRPr="00CF209E">
        <w:rPr>
          <w:lang w:val="en-US"/>
        </w:rPr>
        <w:t xml:space="preserve"> as vital liquidity providers in derivative markets. </w:t>
      </w:r>
      <w:r>
        <w:rPr>
          <w:lang w:val="en-US"/>
        </w:rPr>
        <w:t xml:space="preserve">These impacts </w:t>
      </w:r>
      <w:r w:rsidRPr="00CF209E">
        <w:rPr>
          <w:lang w:val="en-US"/>
        </w:rPr>
        <w:t xml:space="preserve">on liquidity </w:t>
      </w:r>
      <w:r w:rsidR="00651837">
        <w:rPr>
          <w:lang w:val="en-US"/>
        </w:rPr>
        <w:t xml:space="preserve">do not </w:t>
      </w:r>
      <w:r>
        <w:rPr>
          <w:lang w:val="en-US"/>
        </w:rPr>
        <w:t>seem justified.</w:t>
      </w:r>
    </w:p>
    <w:p w14:paraId="15A8B33E" w14:textId="06C47132" w:rsidR="00F742EC" w:rsidRPr="000B17DE" w:rsidRDefault="00F742EC" w:rsidP="00F742EC">
      <w:pPr>
        <w:shd w:val="clear" w:color="auto" w:fill="FFFFFF"/>
        <w:rPr>
          <w:rFonts w:ascii="Helvetica" w:hAnsi="Helvetica"/>
          <w:sz w:val="27"/>
          <w:lang w:val="en-US"/>
        </w:rPr>
      </w:pPr>
      <w:r w:rsidRPr="0093135D">
        <w:t>ESMA’s proposals in the CP</w:t>
      </w:r>
      <w:r>
        <w:t xml:space="preserve"> also</w:t>
      </w:r>
      <w:r w:rsidRPr="0093135D">
        <w:t xml:space="preserve"> raise </w:t>
      </w:r>
      <w:r>
        <w:t>practical</w:t>
      </w:r>
      <w:r w:rsidRPr="0093135D">
        <w:t xml:space="preserve"> problems</w:t>
      </w:r>
      <w:r w:rsidR="00651837">
        <w:t xml:space="preserve"> </w:t>
      </w:r>
      <w:r w:rsidRPr="0093135D">
        <w:t>because they ignore the complexity of the subject. The question of what is to be considered T</w:t>
      </w:r>
      <w:r w:rsidR="00651837">
        <w:t>o</w:t>
      </w:r>
      <w:r w:rsidRPr="0093135D">
        <w:t xml:space="preserve">TV plays a role in transaction reporting, </w:t>
      </w:r>
      <w:r w:rsidR="00651837">
        <w:t>and</w:t>
      </w:r>
      <w:r w:rsidRPr="0093135D">
        <w:t xml:space="preserve"> also with regard to pre- and post-trade transparency, the trading obligation and the reporting of reference data. </w:t>
      </w:r>
      <w:r w:rsidR="00651837">
        <w:t>T</w:t>
      </w:r>
      <w:r w:rsidR="001B0E15" w:rsidRPr="0093135D">
        <w:t>he</w:t>
      </w:r>
      <w:r w:rsidRPr="0093135D">
        <w:t xml:space="preserve"> transaction reporting obligation only plays a subordinate role in this respect. </w:t>
      </w:r>
      <w:r w:rsidR="00651837">
        <w:t>The</w:t>
      </w:r>
      <w:r w:rsidRPr="0093135D">
        <w:t xml:space="preserve"> procedure to deal conclusively with this question in the consultation</w:t>
      </w:r>
      <w:r>
        <w:t xml:space="preserve"> paper</w:t>
      </w:r>
      <w:r w:rsidRPr="0093135D">
        <w:t xml:space="preserve"> on </w:t>
      </w:r>
      <w:r>
        <w:t xml:space="preserve">transaction </w:t>
      </w:r>
      <w:r w:rsidRPr="0093135D">
        <w:t>reporting</w:t>
      </w:r>
      <w:r w:rsidR="00651837">
        <w:t xml:space="preserve"> seems </w:t>
      </w:r>
      <w:r w:rsidRPr="0093135D">
        <w:t>to be appropriate.</w:t>
      </w:r>
    </w:p>
    <w:p w14:paraId="03F11D21" w14:textId="04995230" w:rsidR="00F742EC" w:rsidRDefault="00F742EC" w:rsidP="00F742EC">
      <w:r w:rsidRPr="00767023">
        <w:lastRenderedPageBreak/>
        <w:t>In particular, attention</w:t>
      </w:r>
      <w:r w:rsidR="00651837">
        <w:t xml:space="preserve"> should be paid</w:t>
      </w:r>
      <w:r w:rsidRPr="00767023">
        <w:t xml:space="preserve"> to competition aspects.</w:t>
      </w:r>
      <w:r>
        <w:t xml:space="preserve"> </w:t>
      </w:r>
      <w:r w:rsidRPr="00FC6286">
        <w:t xml:space="preserve">For </w:t>
      </w:r>
      <w:r w:rsidR="001B0E15" w:rsidRPr="00FC6286">
        <w:t>example,</w:t>
      </w:r>
      <w:r w:rsidRPr="00FC6286">
        <w:t xml:space="preserve"> the same day FIRDS SI reporting requirement inadvertently makes public the type of instrument/trade being traded by th</w:t>
      </w:r>
      <w:r w:rsidR="00651837">
        <w:t>e</w:t>
      </w:r>
      <w:r w:rsidRPr="00FC6286">
        <w:t xml:space="preserve"> SI, displaying the Market Identifier Code (MIC) of the SI as well as the country where the SI is located. Having to publish ISINs to FIRDS with the MIC attached significantly expands transparency for illiquid ToTV instruments (e.g. complex Interest Rate Derivatives). </w:t>
      </w:r>
      <w:r w:rsidR="00651837">
        <w:t>M</w:t>
      </w:r>
      <w:r w:rsidRPr="00FC6286">
        <w:t xml:space="preserve">aking information </w:t>
      </w:r>
      <w:r w:rsidR="00651837" w:rsidRPr="00FC6286">
        <w:t xml:space="preserve">public </w:t>
      </w:r>
      <w:r w:rsidRPr="00FC6286">
        <w:t>which is not reported in the post</w:t>
      </w:r>
      <w:r w:rsidR="00651837">
        <w:t>-</w:t>
      </w:r>
      <w:r w:rsidRPr="00FC6286">
        <w:t>trade reporting requirement due to its calibration based on instrument liquidity status risks undermining the transparency regime. </w:t>
      </w:r>
    </w:p>
    <w:p w14:paraId="2BBE6F4F" w14:textId="1443824F" w:rsidR="000B0D26" w:rsidRDefault="00F742EC" w:rsidP="00F742EC">
      <w:r>
        <w:t>P</w:t>
      </w:r>
      <w:r w:rsidRPr="00FC6286">
        <w:t>ublication of this instrument activity data enables market participants to identify and observe the trading activity of other firms, and theoretically extends the obligations not just for traded deals but into the pre</w:t>
      </w:r>
      <w:r w:rsidR="00C216E9">
        <w:t>-</w:t>
      </w:r>
      <w:r w:rsidRPr="00FC6286">
        <w:t>trade space as well. The possible identification of an SI as a counterparty allows market participants to extrapolate certain information and anticipate the hedging position of an SI, thereby inhibiting an SI to trade on normal market terms. This in turn impacts the ability of the SI to maintain liquidity provision capability to its clients. The possibility to mask the MIC and the country when reporting instruments on a same day basis to FIRDs, in order to anonymise the data and provide for consistency with the transparenc</w:t>
      </w:r>
      <w:r>
        <w:t>y regime, should be introduced</w:t>
      </w:r>
      <w:r w:rsidRPr="00FC6286">
        <w:t>.</w:t>
      </w:r>
    </w:p>
    <w:permEnd w:id="1725236856"/>
    <w:p w14:paraId="43C0FAFF" w14:textId="77777777" w:rsidR="000B0D26" w:rsidRDefault="000B0D26" w:rsidP="000B0D26">
      <w:r>
        <w:t>&lt;ESMA_QUESTION_TRRF_5&gt;</w:t>
      </w:r>
    </w:p>
    <w:p w14:paraId="5D69E58C" w14:textId="77777777" w:rsidR="000B0D26" w:rsidRDefault="000B0D26" w:rsidP="000B0D26"/>
    <w:p w14:paraId="42980EB1" w14:textId="77777777" w:rsidR="000B0D26" w:rsidRDefault="000B0D26" w:rsidP="00990D80">
      <w:pPr>
        <w:pStyle w:val="Questionstyle"/>
      </w:pPr>
      <w:r>
        <w:t>: Do you agree that the extension should include all Systematic Internalisers regardless of whether they are SI on a mandatory or voluntary basis? Please justify your position.</w:t>
      </w:r>
    </w:p>
    <w:p w14:paraId="5E78662E" w14:textId="77777777" w:rsidR="000B0D26" w:rsidRDefault="000B0D26" w:rsidP="000B0D26">
      <w:r>
        <w:t>&lt;ESMA_QUESTION_TRRF_6&gt;</w:t>
      </w:r>
    </w:p>
    <w:p w14:paraId="4BF4D04C" w14:textId="188E7A36" w:rsidR="000B0D26" w:rsidRDefault="00F742EC" w:rsidP="000B0D26">
      <w:permStart w:id="1355041525" w:edGrp="everyone"/>
      <w:r>
        <w:t>No</w:t>
      </w:r>
      <w:r w:rsidR="00B42C9C">
        <w:t xml:space="preserve">, </w:t>
      </w:r>
      <w:r w:rsidR="00B42C9C" w:rsidRPr="00B42C9C">
        <w:t>there should be a transformation of Opinion ESMA70-156-117 into a corresponding L1-text.</w:t>
      </w:r>
    </w:p>
    <w:permEnd w:id="1355041525"/>
    <w:p w14:paraId="09E7C86F" w14:textId="77777777" w:rsidR="000B0D26" w:rsidRDefault="000B0D26" w:rsidP="000B0D26">
      <w:r>
        <w:t>&lt;ESMA_QUESTION_TRRF_6&gt;</w:t>
      </w:r>
    </w:p>
    <w:p w14:paraId="1C00EF1E" w14:textId="77777777" w:rsidR="000B0D26" w:rsidRDefault="000B0D26" w:rsidP="000B0D26"/>
    <w:p w14:paraId="6AE20C7D" w14:textId="77777777" w:rsidR="000B0D26" w:rsidRDefault="000B0D26" w:rsidP="00990D80">
      <w:pPr>
        <w:pStyle w:val="Questionstyle"/>
      </w:pPr>
      <w:r>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14:paraId="7D061942" w14:textId="77777777" w:rsidR="000B0D26" w:rsidRDefault="000B0D26" w:rsidP="000B0D26">
      <w:r>
        <w:t>&lt;ESMA_QUESTION_TRRF_7&gt;</w:t>
      </w:r>
    </w:p>
    <w:p w14:paraId="6E03F0EF" w14:textId="46141E08" w:rsidR="000B0D26" w:rsidRDefault="00B42C9C" w:rsidP="000B0D26">
      <w:permStart w:id="1583692609" w:edGrp="everyone"/>
      <w:r>
        <w:lastRenderedPageBreak/>
        <w:t>There should not be</w:t>
      </w:r>
      <w:r w:rsidR="00F742EC" w:rsidRPr="000858E1">
        <w:rPr>
          <w:lang w:val="en-US"/>
        </w:rPr>
        <w:t xml:space="preserve"> any extension of</w:t>
      </w:r>
      <w:r w:rsidR="00F742EC">
        <w:rPr>
          <w:lang w:val="en-US"/>
        </w:rPr>
        <w:t xml:space="preserve"> </w:t>
      </w:r>
      <w:r w:rsidR="00F742EC" w:rsidRPr="000858E1">
        <w:rPr>
          <w:lang w:val="en-US"/>
        </w:rPr>
        <w:t>t</w:t>
      </w:r>
      <w:r w:rsidR="00F742EC">
        <w:rPr>
          <w:lang w:val="en-US"/>
        </w:rPr>
        <w:t>h</w:t>
      </w:r>
      <w:r w:rsidR="00F742EC" w:rsidRPr="000858E1">
        <w:rPr>
          <w:lang w:val="en-US"/>
        </w:rPr>
        <w:t xml:space="preserve">e current transaction reporting regime. </w:t>
      </w:r>
      <w:r w:rsidR="00F742EC">
        <w:rPr>
          <w:lang w:val="en-US"/>
        </w:rPr>
        <w:t>T</w:t>
      </w:r>
      <w:r w:rsidR="00F742EC" w:rsidRPr="001745CF">
        <w:rPr>
          <w:lang w:val="en-US"/>
        </w:rPr>
        <w:t>he objective of applying a</w:t>
      </w:r>
      <w:r>
        <w:rPr>
          <w:lang w:val="en-US"/>
        </w:rPr>
        <w:t>n LPF</w:t>
      </w:r>
      <w:r w:rsidR="00F742EC" w:rsidRPr="001745CF">
        <w:rPr>
          <w:lang w:val="en-US"/>
        </w:rPr>
        <w:t xml:space="preserve"> between SIs and </w:t>
      </w:r>
      <w:r w:rsidR="00534EE1">
        <w:rPr>
          <w:lang w:val="en-US"/>
        </w:rPr>
        <w:t>TV</w:t>
      </w:r>
      <w:r w:rsidR="00F742EC" w:rsidRPr="001745CF">
        <w:rPr>
          <w:lang w:val="en-US"/>
        </w:rPr>
        <w:t>s only applies to ToTV products</w:t>
      </w:r>
      <w:r w:rsidR="00F742EC">
        <w:rPr>
          <w:lang w:val="en-US"/>
        </w:rPr>
        <w:t xml:space="preserve"> </w:t>
      </w:r>
      <w:r w:rsidR="00534EE1">
        <w:rPr>
          <w:lang w:val="en-US"/>
        </w:rPr>
        <w:t>which</w:t>
      </w:r>
      <w:r w:rsidR="00F742EC">
        <w:rPr>
          <w:lang w:val="en-US"/>
        </w:rPr>
        <w:t xml:space="preserve"> are already reportable under the current regime. OTC derivatives are covered by EMIR reporting obligations – including any life-cycle events. </w:t>
      </w:r>
      <w:r w:rsidR="00534EE1">
        <w:rPr>
          <w:lang w:val="en-US"/>
        </w:rPr>
        <w:t>S</w:t>
      </w:r>
      <w:r w:rsidR="00F742EC">
        <w:rPr>
          <w:lang w:val="en-US"/>
        </w:rPr>
        <w:t>upervisor</w:t>
      </w:r>
      <w:r w:rsidR="00534EE1">
        <w:rPr>
          <w:lang w:val="en-US"/>
        </w:rPr>
        <w:t>y authorities</w:t>
      </w:r>
      <w:r w:rsidR="00F742EC">
        <w:rPr>
          <w:lang w:val="en-US"/>
        </w:rPr>
        <w:t xml:space="preserve"> already have all the required data at hand – the extension of the transaction reporting regime to OTC instruments</w:t>
      </w:r>
      <w:r w:rsidR="00F742EC" w:rsidRPr="001745CF">
        <w:rPr>
          <w:lang w:val="en-US"/>
        </w:rPr>
        <w:t xml:space="preserve"> </w:t>
      </w:r>
      <w:r w:rsidR="00F742EC">
        <w:rPr>
          <w:lang w:val="en-US"/>
        </w:rPr>
        <w:t>or instruments traded on SIs is superfluous</w:t>
      </w:r>
      <w:r w:rsidR="00534EE1">
        <w:rPr>
          <w:lang w:val="en-US"/>
        </w:rPr>
        <w:t>.</w:t>
      </w:r>
    </w:p>
    <w:permEnd w:id="1583692609"/>
    <w:p w14:paraId="283EF9AF" w14:textId="77777777" w:rsidR="000B0D26" w:rsidRDefault="000B0D26" w:rsidP="000B0D26">
      <w:r>
        <w:t>&lt;ESMA_QUESTION_TRRF_7&gt;</w:t>
      </w:r>
    </w:p>
    <w:p w14:paraId="12FD87F7" w14:textId="77777777" w:rsidR="000B0D26" w:rsidRDefault="000B0D26" w:rsidP="000B0D26"/>
    <w:p w14:paraId="2355DCF5" w14:textId="77777777" w:rsidR="000B0D26" w:rsidRDefault="000B0D26" w:rsidP="00990D80">
      <w:pPr>
        <w:pStyle w:val="Questionstyle"/>
      </w:pPr>
      <w:r>
        <w:t>: Do you foresee any challenges with the proposal to replace the reference to the term “index” in Article 26(2)(c) with the term “benchmark” as defined under the BMR? If yes, please explain and provide alternative proposals.</w:t>
      </w:r>
    </w:p>
    <w:p w14:paraId="300A6EC2" w14:textId="77777777" w:rsidR="000B0D26" w:rsidRDefault="000B0D26" w:rsidP="000B0D26">
      <w:r>
        <w:t>&lt;ESMA_QUESTION_TRRF_8&gt;</w:t>
      </w:r>
    </w:p>
    <w:p w14:paraId="1B47D475" w14:textId="412CE155" w:rsidR="000B0D26" w:rsidRDefault="00F742EC" w:rsidP="000B0D26">
      <w:permStart w:id="2001084504" w:edGrp="everyone"/>
      <w:r w:rsidRPr="00826B7E">
        <w:t xml:space="preserve">Yes, </w:t>
      </w:r>
      <w:r w:rsidR="00534EE1">
        <w:t>the</w:t>
      </w:r>
      <w:r w:rsidRPr="00826B7E">
        <w:t xml:space="preserve"> implementation of the proposals would lead to </w:t>
      </w:r>
      <w:r w:rsidR="00534EE1">
        <w:t>practical</w:t>
      </w:r>
      <w:r>
        <w:t xml:space="preserve"> </w:t>
      </w:r>
      <w:r w:rsidRPr="00826B7E">
        <w:t xml:space="preserve">problems. </w:t>
      </w:r>
      <w:r w:rsidR="00534EE1">
        <w:t>T</w:t>
      </w:r>
      <w:r w:rsidRPr="000858E1">
        <w:rPr>
          <w:lang w:val="en-US"/>
        </w:rPr>
        <w:t>here might be discussions whether the ESMA benchmark register is to be considered as golden source and how to proceed, if a benchmark is falsel</w:t>
      </w:r>
      <w:r>
        <w:rPr>
          <w:lang w:val="en-US"/>
        </w:rPr>
        <w:t xml:space="preserve">y not included in the register. </w:t>
      </w:r>
      <w:r>
        <w:t xml:space="preserve">Most importantly, however, </w:t>
      </w:r>
      <w:r w:rsidR="00534EE1">
        <w:t>it is unclear</w:t>
      </w:r>
      <w:r w:rsidRPr="00826B7E">
        <w:t xml:space="preserve"> how </w:t>
      </w:r>
      <w:r>
        <w:t>ESMA’s approach to</w:t>
      </w:r>
      <w:r w:rsidRPr="00826B7E">
        <w:t xml:space="preserve"> decoupl</w:t>
      </w:r>
      <w:r>
        <w:t>e the transaction reporting obligations aris</w:t>
      </w:r>
      <w:r w:rsidRPr="00826B7E">
        <w:t>ing from the</w:t>
      </w:r>
      <w:r>
        <w:t xml:space="preserve"> list of</w:t>
      </w:r>
      <w:r w:rsidRPr="00826B7E">
        <w:t xml:space="preserve"> financial instruments defined in A</w:t>
      </w:r>
      <w:r>
        <w:t>nnex</w:t>
      </w:r>
      <w:r w:rsidRPr="00826B7E">
        <w:t xml:space="preserve"> II </w:t>
      </w:r>
      <w:r>
        <w:t xml:space="preserve">Section </w:t>
      </w:r>
      <w:r w:rsidRPr="00826B7E">
        <w:t>C</w:t>
      </w:r>
      <w:r>
        <w:t xml:space="preserve"> of MiFID II</w:t>
      </w:r>
      <w:r w:rsidRPr="00826B7E">
        <w:t xml:space="preserve"> could be </w:t>
      </w:r>
      <w:r>
        <w:t>legally</w:t>
      </w:r>
      <w:r w:rsidRPr="00826B7E">
        <w:t xml:space="preserve"> justified.</w:t>
      </w:r>
    </w:p>
    <w:permEnd w:id="2001084504"/>
    <w:p w14:paraId="2DAE4706" w14:textId="77777777" w:rsidR="000B0D26" w:rsidRDefault="000B0D26" w:rsidP="000B0D26">
      <w:r>
        <w:t>&lt;ESMA_QUESTION_TRRF_8&gt;</w:t>
      </w:r>
    </w:p>
    <w:p w14:paraId="11E785B4" w14:textId="77777777" w:rsidR="000B0D26" w:rsidRDefault="000B0D26" w:rsidP="000B0D26"/>
    <w:p w14:paraId="7A00F9AB" w14:textId="77777777" w:rsidR="000B0D26" w:rsidRDefault="000B0D26" w:rsidP="00990D80">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14:paraId="12770691" w14:textId="77777777" w:rsidR="000B0D26" w:rsidRDefault="000B0D26" w:rsidP="000B0D26">
      <w:r>
        <w:t>&lt;ESMA_QUESTION_TRRF_9&gt;</w:t>
      </w:r>
    </w:p>
    <w:p w14:paraId="7B439C73" w14:textId="7C2A87A3" w:rsidR="000B0D26" w:rsidRDefault="00F742EC" w:rsidP="00F742EC">
      <w:permStart w:id="292098219" w:edGrp="everyone"/>
      <w:r>
        <w:t xml:space="preserve">ESMA </w:t>
      </w:r>
      <w:r w:rsidR="00BF5124">
        <w:t xml:space="preserve">should </w:t>
      </w:r>
      <w:r>
        <w:t>check that indices are to be treated in the same way as baskets pursuant to Art. 26(3)(c) MiFIR, so that the index components would have to be disclosed.</w:t>
      </w:r>
    </w:p>
    <w:permEnd w:id="292098219"/>
    <w:p w14:paraId="6BD5D552" w14:textId="77777777" w:rsidR="000B0D26" w:rsidRDefault="000B0D26" w:rsidP="000B0D26">
      <w:r>
        <w:t>&lt;ESMA_QUESTION_TRRF_9&gt;</w:t>
      </w:r>
    </w:p>
    <w:p w14:paraId="05659A36" w14:textId="77777777" w:rsidR="000B0D26" w:rsidRDefault="000B0D26" w:rsidP="000B0D26"/>
    <w:p w14:paraId="25D9C0FE" w14:textId="77777777" w:rsidR="000B0D26" w:rsidRDefault="000B0D26" w:rsidP="00990D80">
      <w:pPr>
        <w:pStyle w:val="Questionstyle"/>
      </w:pPr>
      <w:r>
        <w:lastRenderedPageBreak/>
        <w:t>: Do you foresee any challenges with the outlined approach? If yes, please explain and provide alternative proposals.</w:t>
      </w:r>
    </w:p>
    <w:p w14:paraId="2DCD8CAB" w14:textId="77777777" w:rsidR="000B0D26" w:rsidRDefault="000B0D26" w:rsidP="000B0D26">
      <w:r>
        <w:t>&lt;ESMA_QUESTION_TRRF_10&gt;</w:t>
      </w:r>
    </w:p>
    <w:p w14:paraId="419A3F08" w14:textId="7CF7E4A8" w:rsidR="000B0D26" w:rsidRDefault="00E91FB9" w:rsidP="000B0D26">
      <w:permStart w:id="49881006" w:edGrp="everyone"/>
      <w:r>
        <w:t>T</w:t>
      </w:r>
      <w:r w:rsidR="00F742EC" w:rsidRPr="00A44518">
        <w:t xml:space="preserve">he </w:t>
      </w:r>
      <w:r w:rsidR="00533DD4">
        <w:t xml:space="preserve">FIRDS </w:t>
      </w:r>
      <w:r w:rsidR="00F742EC" w:rsidRPr="00A44518">
        <w:t xml:space="preserve">system </w:t>
      </w:r>
      <w:r>
        <w:t xml:space="preserve">should be upgraded </w:t>
      </w:r>
      <w:r w:rsidR="00F742EC" w:rsidRPr="00A44518">
        <w:t>so that the database contents meet usual quality requirements and allow for automated processing.</w:t>
      </w:r>
    </w:p>
    <w:permEnd w:id="49881006"/>
    <w:p w14:paraId="5570F79D" w14:textId="77777777" w:rsidR="000B0D26" w:rsidRDefault="000B0D26" w:rsidP="000B0D26">
      <w:r>
        <w:t>&lt;ESMA_QUESTION_TRRF_10&gt;</w:t>
      </w:r>
    </w:p>
    <w:p w14:paraId="69D8167A" w14:textId="77777777" w:rsidR="000B0D26" w:rsidRDefault="000B0D26" w:rsidP="000B0D26"/>
    <w:p w14:paraId="21E33B5C" w14:textId="77777777" w:rsidR="000B0D26" w:rsidRDefault="000B0D26" w:rsidP="00990D80">
      <w:pPr>
        <w:pStyle w:val="Questionstyle"/>
      </w:pPr>
      <w:r>
        <w:t>: Do you foresee any challenges with the outlined approach? If yes, please explain and provide alternative proposals.</w:t>
      </w:r>
    </w:p>
    <w:p w14:paraId="2569079F" w14:textId="77777777" w:rsidR="000B0D26" w:rsidRDefault="000B0D26" w:rsidP="000B0D26">
      <w:r>
        <w:t>&lt;ESMA_QUESTION_TRRF_11&gt;</w:t>
      </w:r>
    </w:p>
    <w:p w14:paraId="49563860" w14:textId="1A7D189B" w:rsidR="000B0D26" w:rsidRDefault="00A37C4A" w:rsidP="000B0D26">
      <w:permStart w:id="692536742" w:edGrp="everyone"/>
      <w:r>
        <w:t>T</w:t>
      </w:r>
      <w:r w:rsidRPr="00A44518">
        <w:t xml:space="preserve">he </w:t>
      </w:r>
      <w:r>
        <w:t xml:space="preserve">FIRDS </w:t>
      </w:r>
      <w:r w:rsidRPr="00A44518">
        <w:t xml:space="preserve">system </w:t>
      </w:r>
      <w:r>
        <w:t xml:space="preserve">should be upgraded </w:t>
      </w:r>
      <w:r w:rsidRPr="00A44518">
        <w:t>so that the database contents meet usual quality requirements and allow for automated processing.</w:t>
      </w:r>
    </w:p>
    <w:permEnd w:id="692536742"/>
    <w:p w14:paraId="0BBD9E02" w14:textId="77777777" w:rsidR="000B0D26" w:rsidRDefault="000B0D26" w:rsidP="000B0D26">
      <w:r>
        <w:t>&lt;ESMA_QUESTION_TRRF_11&gt;</w:t>
      </w:r>
    </w:p>
    <w:p w14:paraId="0463721F" w14:textId="77777777" w:rsidR="000B0D26" w:rsidRDefault="000B0D26" w:rsidP="000B0D26"/>
    <w:p w14:paraId="761DB5FF" w14:textId="77777777" w:rsidR="000B0D26" w:rsidRDefault="000B0D26" w:rsidP="00990D80">
      <w:pPr>
        <w:pStyle w:val="Questionstyle"/>
      </w:pPr>
      <w:r>
        <w:t>: Do you foresee any challenges with the outlined approach? If yes, please explain and provide alternative proposals.</w:t>
      </w:r>
    </w:p>
    <w:p w14:paraId="6CDBF451" w14:textId="77777777" w:rsidR="000B0D26" w:rsidRDefault="000B0D26" w:rsidP="000B0D26">
      <w:r>
        <w:t>&lt;ESMA_QUESTION_TRRF_12&gt;</w:t>
      </w:r>
    </w:p>
    <w:p w14:paraId="4D38AADB" w14:textId="265B8B76" w:rsidR="000B0D26" w:rsidRDefault="00F742EC" w:rsidP="000B0D26">
      <w:permStart w:id="610287253" w:edGrp="everyone"/>
      <w:r>
        <w:rPr>
          <w:lang w:val="en-US"/>
        </w:rPr>
        <w:t>The proposed text for an amended Article 27 does not reflect all curr</w:t>
      </w:r>
      <w:r w:rsidR="007F6881">
        <w:rPr>
          <w:lang w:val="en-US"/>
        </w:rPr>
        <w:t>e</w:t>
      </w:r>
      <w:r>
        <w:rPr>
          <w:lang w:val="en-US"/>
        </w:rPr>
        <w:t xml:space="preserve">nt practical issues. </w:t>
      </w:r>
      <w:r w:rsidR="007F6881">
        <w:rPr>
          <w:lang w:val="en-US"/>
        </w:rPr>
        <w:t>A</w:t>
      </w:r>
      <w:r>
        <w:rPr>
          <w:lang w:val="en-US"/>
        </w:rPr>
        <w:t xml:space="preserve"> reconciliation with Article 26(2)(a) </w:t>
      </w:r>
      <w:r w:rsidR="007F6881">
        <w:rPr>
          <w:lang w:val="en-US"/>
        </w:rPr>
        <w:t xml:space="preserve">is missing </w:t>
      </w:r>
      <w:r>
        <w:rPr>
          <w:lang w:val="en-US"/>
        </w:rPr>
        <w:t>according to which financial instruments “for which a request for admission to trading has been made” are subject to the transaction reporting obligation.</w:t>
      </w:r>
    </w:p>
    <w:permEnd w:id="610287253"/>
    <w:p w14:paraId="11FF6EE6" w14:textId="77777777" w:rsidR="000B0D26" w:rsidRDefault="000B0D26" w:rsidP="000B0D26">
      <w:r>
        <w:t>&lt;ESMA_QUESTION_TRRF_12&gt;</w:t>
      </w:r>
    </w:p>
    <w:p w14:paraId="0F4E3125" w14:textId="77777777" w:rsidR="000B0D26" w:rsidRDefault="000B0D26" w:rsidP="000B0D26"/>
    <w:p w14:paraId="45C005C6" w14:textId="77777777" w:rsidR="000B0D26" w:rsidRDefault="000B0D26" w:rsidP="00990D80">
      <w:pPr>
        <w:pStyle w:val="Questionstyle"/>
      </w:pPr>
      <w:r>
        <w:t>: Do you foresee any challenges with the outlined approach? If yes, please explain and provide alternative proposals.</w:t>
      </w:r>
    </w:p>
    <w:p w14:paraId="72AA52A5" w14:textId="77777777" w:rsidR="000B0D26" w:rsidRDefault="000B0D26" w:rsidP="000B0D26">
      <w:r>
        <w:t>&lt;ESMA_QUESTION_TRRF_13&gt;</w:t>
      </w:r>
    </w:p>
    <w:p w14:paraId="0B317C5B" w14:textId="037DA829" w:rsidR="000B0D26" w:rsidRDefault="00F742EC" w:rsidP="000B0D26">
      <w:permStart w:id="414326142" w:edGrp="everyone"/>
      <w:r>
        <w:rPr>
          <w:lang w:val="en-US"/>
        </w:rPr>
        <w:lastRenderedPageBreak/>
        <w:t>T</w:t>
      </w:r>
      <w:r w:rsidRPr="00336880">
        <w:rPr>
          <w:lang w:val="en-US"/>
        </w:rPr>
        <w:t xml:space="preserve">he </w:t>
      </w:r>
      <w:r w:rsidR="000D5E1D">
        <w:rPr>
          <w:lang w:val="en-US"/>
        </w:rPr>
        <w:t>outlined approach</w:t>
      </w:r>
      <w:r w:rsidRPr="00336880">
        <w:rPr>
          <w:lang w:val="en-US"/>
        </w:rPr>
        <w:t xml:space="preserve"> would effectively manifest the problem of polluting FIRDS with reference </w:t>
      </w:r>
      <w:r>
        <w:rPr>
          <w:lang w:val="en-US"/>
        </w:rPr>
        <w:t xml:space="preserve">data </w:t>
      </w:r>
      <w:r w:rsidR="000D5E1D">
        <w:rPr>
          <w:lang w:val="en-US"/>
        </w:rPr>
        <w:t>on</w:t>
      </w:r>
      <w:r>
        <w:rPr>
          <w:lang w:val="en-US"/>
        </w:rPr>
        <w:t xml:space="preserve"> non-ToTV instruments</w:t>
      </w:r>
      <w:r w:rsidRPr="00336880">
        <w:rPr>
          <w:lang w:val="en-US"/>
        </w:rPr>
        <w:t xml:space="preserve">. </w:t>
      </w:r>
      <w:r>
        <w:rPr>
          <w:lang w:val="en-US"/>
        </w:rPr>
        <w:t xml:space="preserve">The </w:t>
      </w:r>
      <w:r w:rsidRPr="00336880">
        <w:rPr>
          <w:lang w:val="en-US"/>
        </w:rPr>
        <w:t xml:space="preserve">concept of issuers does not make much sense in a derivatives context. </w:t>
      </w:r>
      <w:r w:rsidR="000D5E1D">
        <w:rPr>
          <w:lang w:val="en-US"/>
        </w:rPr>
        <w:t>T</w:t>
      </w:r>
      <w:r w:rsidRPr="00336880">
        <w:rPr>
          <w:lang w:val="en-US"/>
        </w:rPr>
        <w:t>he terminology of admitting to trading also does not lead to any logical conclusion in the context of SI for derivatives.</w:t>
      </w:r>
    </w:p>
    <w:permEnd w:id="414326142"/>
    <w:p w14:paraId="047C5EA4" w14:textId="77777777" w:rsidR="000B0D26" w:rsidRDefault="000B0D26" w:rsidP="000B0D26">
      <w:r>
        <w:t>&lt;ESMA_QUESTION_TRRF_13&gt;</w:t>
      </w:r>
    </w:p>
    <w:p w14:paraId="32477A2B" w14:textId="77777777" w:rsidR="000B0D26" w:rsidRDefault="000B0D26" w:rsidP="000B0D26"/>
    <w:p w14:paraId="7B268D1F" w14:textId="77777777" w:rsidR="000B0D26" w:rsidRDefault="000B0D26" w:rsidP="00990D80">
      <w:pPr>
        <w:pStyle w:val="Questionstyle"/>
      </w:pPr>
      <w:r>
        <w:t>: Did you experience any difficulties with the application of the defined list concept? If yes, please explain.</w:t>
      </w:r>
    </w:p>
    <w:p w14:paraId="1100E5BC" w14:textId="77777777" w:rsidR="000B0D26" w:rsidRDefault="000B0D26" w:rsidP="000B0D26">
      <w:r>
        <w:t>&lt;ESMA_QUESTION_TRRF_14&gt;</w:t>
      </w:r>
    </w:p>
    <w:p w14:paraId="6A7A205B" w14:textId="77777777" w:rsidR="000B0D26" w:rsidRDefault="000B0D26" w:rsidP="000B0D26">
      <w:permStart w:id="597436822" w:edGrp="everyone"/>
      <w:r>
        <w:t>TYPE YOUR TEXT HERE</w:t>
      </w:r>
    </w:p>
    <w:permEnd w:id="597436822"/>
    <w:p w14:paraId="6A3832B3" w14:textId="77777777" w:rsidR="000B0D26" w:rsidRDefault="000B0D26" w:rsidP="000B0D26">
      <w:r>
        <w:t>&lt;ESMA_QUESTION_TRRF_14&gt;</w:t>
      </w:r>
    </w:p>
    <w:p w14:paraId="08FDEF99" w14:textId="77777777" w:rsidR="000B0D26" w:rsidRDefault="000B0D26" w:rsidP="000B0D26"/>
    <w:p w14:paraId="10DD69A5" w14:textId="77777777" w:rsidR="000B0D26" w:rsidRDefault="000B0D26" w:rsidP="00990D80">
      <w:pPr>
        <w:pStyle w:val="Questionstyle"/>
      </w:pPr>
      <w:r>
        <w:t>: Do you foresee any challenges with the approach as outlined in the above proposal? If yes, please explain and provide alternative proposals.</w:t>
      </w:r>
    </w:p>
    <w:p w14:paraId="192AA71A" w14:textId="77777777" w:rsidR="000B0D26" w:rsidRDefault="000B0D26" w:rsidP="000B0D26">
      <w:r>
        <w:t>&lt;ESMA_QUESTION_TRRF_15&gt;</w:t>
      </w:r>
    </w:p>
    <w:p w14:paraId="145940DA" w14:textId="220B621C" w:rsidR="000B0D26" w:rsidRDefault="00F742EC" w:rsidP="000B0D26">
      <w:permStart w:id="1847806116" w:edGrp="everyone"/>
      <w:r w:rsidRPr="00A44518">
        <w:t xml:space="preserve">It might be advisable to upgrade the </w:t>
      </w:r>
      <w:r w:rsidR="000D5E1D">
        <w:t xml:space="preserve">FIRDS </w:t>
      </w:r>
      <w:r w:rsidRPr="00A44518">
        <w:t>system so that the database contents meet the usual quality requirements and allow for automated processing.</w:t>
      </w:r>
      <w:r>
        <w:t xml:space="preserve"> </w:t>
      </w:r>
      <w:r w:rsidR="000D5E1D">
        <w:t>It is doubtful</w:t>
      </w:r>
      <w:r w:rsidRPr="00A44518">
        <w:t xml:space="preserve"> </w:t>
      </w:r>
      <w:r w:rsidR="000D5E1D">
        <w:t xml:space="preserve">that </w:t>
      </w:r>
      <w:r w:rsidRPr="00A44518">
        <w:t>FIRDS would be able to process further amounts of data</w:t>
      </w:r>
      <w:r>
        <w:t>, especially on a daily basis.</w:t>
      </w:r>
    </w:p>
    <w:permEnd w:id="1847806116"/>
    <w:p w14:paraId="3F19ABB5" w14:textId="77777777" w:rsidR="000B0D26" w:rsidRDefault="000B0D26" w:rsidP="000B0D26">
      <w:r>
        <w:t>&lt;ESMA_QUESTION_TRRF_15&gt;</w:t>
      </w:r>
    </w:p>
    <w:p w14:paraId="56DD27A7" w14:textId="77777777" w:rsidR="000B0D26" w:rsidRDefault="000B0D26" w:rsidP="000B0D26"/>
    <w:p w14:paraId="7D4716E5" w14:textId="77777777" w:rsidR="000B0D26" w:rsidRDefault="000B0D26" w:rsidP="00990D80">
      <w:pPr>
        <w:pStyle w:val="Questionstyle"/>
      </w:pPr>
      <w:r>
        <w:t>: Do you foresee any challenges with the outlined approach? If yes, please explain and provide alternative proposals.</w:t>
      </w:r>
    </w:p>
    <w:p w14:paraId="2B46383E" w14:textId="77777777" w:rsidR="000B0D26" w:rsidRDefault="000B0D26" w:rsidP="000B0D26">
      <w:r>
        <w:t>&lt;ESMA_QUESTION_TRRF_16&gt;</w:t>
      </w:r>
    </w:p>
    <w:p w14:paraId="3FE86F7A" w14:textId="5FA809D8" w:rsidR="000B0D26" w:rsidRDefault="000D5E1D" w:rsidP="000B0D26">
      <w:permStart w:id="1451755809" w:edGrp="everyone"/>
      <w:r>
        <w:t>A</w:t>
      </w:r>
      <w:r w:rsidR="00F742EC">
        <w:t xml:space="preserve"> detailed analysis of all consequences that would result from</w:t>
      </w:r>
      <w:r>
        <w:t xml:space="preserve"> the</w:t>
      </w:r>
      <w:r w:rsidR="00F742EC">
        <w:t xml:space="preserve"> proposal</w:t>
      </w:r>
      <w:r>
        <w:t xml:space="preserve"> is missing</w:t>
      </w:r>
      <w:r w:rsidR="00F742EC">
        <w:t xml:space="preserve">. </w:t>
      </w:r>
      <w:r>
        <w:t>A</w:t>
      </w:r>
      <w:r w:rsidR="00F742EC">
        <w:t xml:space="preserve"> consultation paper on transaction reporting is not the appropriate place to</w:t>
      </w:r>
      <w:r w:rsidR="00F742EC" w:rsidRPr="00A44518">
        <w:t xml:space="preserve"> propose </w:t>
      </w:r>
      <w:r w:rsidR="00F742EC">
        <w:t>such</w:t>
      </w:r>
      <w:r w:rsidR="00F742EC" w:rsidRPr="00A44518">
        <w:t xml:space="preserve"> very far-reaching amendment to </w:t>
      </w:r>
      <w:r w:rsidR="00F742EC">
        <w:t>Article 27.</w:t>
      </w:r>
    </w:p>
    <w:permEnd w:id="1451755809"/>
    <w:p w14:paraId="530963B3" w14:textId="77777777" w:rsidR="000B0D26" w:rsidRDefault="000B0D26" w:rsidP="000B0D26">
      <w:r>
        <w:t>&lt;ESMA_QUESTION_TRRF_16&gt;</w:t>
      </w:r>
    </w:p>
    <w:p w14:paraId="2A42B5B3" w14:textId="77777777" w:rsidR="000B0D26" w:rsidRDefault="000B0D26" w:rsidP="000B0D26"/>
    <w:p w14:paraId="5C416E8A" w14:textId="77777777" w:rsidR="000B0D26" w:rsidRDefault="000B0D26" w:rsidP="00990D80">
      <w:pPr>
        <w:pStyle w:val="Questionstyle"/>
      </w:pPr>
      <w:r>
        <w:t>: Do you foresee any challenges with the outlined approach? If yes, please explain and provide alternative proposals.</w:t>
      </w:r>
    </w:p>
    <w:p w14:paraId="553A8E28" w14:textId="77777777" w:rsidR="000B0D26" w:rsidRDefault="000B0D26" w:rsidP="000B0D26">
      <w:r>
        <w:t>&lt;ESMA_QUESTION_TRRF_17&gt;</w:t>
      </w:r>
    </w:p>
    <w:p w14:paraId="426C6F32" w14:textId="7AA986F2" w:rsidR="000B0D26" w:rsidRDefault="007F3A65" w:rsidP="000B0D26">
      <w:permStart w:id="52261098" w:edGrp="everyone"/>
      <w:r>
        <w:t>T</w:t>
      </w:r>
      <w:r w:rsidR="00F742EC">
        <w:t>he deletion of Art. 4 MAR would ensure that only the reporting requirements under Art. 26 and 27 could be designed as to fully serve the detection of market abuse and no other reporting regime would be necessary. The proposal</w:t>
      </w:r>
      <w:r w:rsidR="00F742EC" w:rsidRPr="00056882">
        <w:t xml:space="preserve"> </w:t>
      </w:r>
      <w:r w:rsidR="00F742EC">
        <w:t xml:space="preserve">would </w:t>
      </w:r>
      <w:r w:rsidR="00F742EC" w:rsidRPr="00056882">
        <w:t>reduce complexity and costs for both regulatory authorities and reporting firms.</w:t>
      </w:r>
    </w:p>
    <w:permEnd w:id="52261098"/>
    <w:p w14:paraId="54F2A2C3" w14:textId="77777777" w:rsidR="000B0D26" w:rsidRDefault="000B0D26" w:rsidP="000B0D26">
      <w:r>
        <w:t>&lt;ESMA_QUESTION_TRRF_17&gt;</w:t>
      </w:r>
    </w:p>
    <w:p w14:paraId="7B5AE542" w14:textId="77777777" w:rsidR="000B0D26" w:rsidRDefault="000B0D26" w:rsidP="000B0D26"/>
    <w:p w14:paraId="691A0DAF" w14:textId="77777777" w:rsidR="000B0D26" w:rsidRDefault="000B0D26" w:rsidP="00990D80">
      <w:pPr>
        <w:pStyle w:val="Questionstyle"/>
      </w:pPr>
      <w:r>
        <w:t>: Do you foresee any challenges with the approach outlined in paragraphs 75 and 76? If yes, please explain and provide alternative proposals.</w:t>
      </w:r>
    </w:p>
    <w:p w14:paraId="278BE464" w14:textId="77777777" w:rsidR="000B0D26" w:rsidRDefault="000B0D26" w:rsidP="000B0D26">
      <w:r>
        <w:t>&lt;ESMA_QUESTION_TRRF_18&gt;</w:t>
      </w:r>
    </w:p>
    <w:p w14:paraId="44D7EC75" w14:textId="78A175DF" w:rsidR="00F742EC" w:rsidRDefault="007F3A65" w:rsidP="00F742EC">
      <w:permStart w:id="609292179" w:edGrp="everyone"/>
      <w:r>
        <w:t>The proposal</w:t>
      </w:r>
      <w:r w:rsidR="00F742EC" w:rsidRPr="007A4452">
        <w:t xml:space="preserve"> to identify “chains of transactions” contradicts </w:t>
      </w:r>
      <w:r w:rsidR="00F742EC" w:rsidRPr="00B85161">
        <w:t>the approach according to which the market side has to report</w:t>
      </w:r>
      <w:r>
        <w:t xml:space="preserve"> its</w:t>
      </w:r>
      <w:r w:rsidR="00F742EC" w:rsidRPr="00B85161">
        <w:t xml:space="preserve"> details of the transaction. </w:t>
      </w:r>
      <w:r>
        <w:rPr>
          <w:lang w:val="en-US"/>
        </w:rPr>
        <w:t>B</w:t>
      </w:r>
      <w:r w:rsidR="00F742EC" w:rsidRPr="000B17DE">
        <w:rPr>
          <w:lang w:val="en-US"/>
        </w:rPr>
        <w:t>esides the necessary identification and processing</w:t>
      </w:r>
      <w:r>
        <w:rPr>
          <w:lang w:val="en-US"/>
        </w:rPr>
        <w:t xml:space="preserve">, </w:t>
      </w:r>
      <w:r w:rsidR="00F742EC" w:rsidRPr="000B17DE">
        <w:rPr>
          <w:lang w:val="en-US"/>
        </w:rPr>
        <w:t>the proposed dissemination of the additional code along the transaction chain would require set</w:t>
      </w:r>
      <w:r>
        <w:rPr>
          <w:lang w:val="en-US"/>
        </w:rPr>
        <w:t>ting</w:t>
      </w:r>
      <w:r w:rsidR="00F742EC" w:rsidRPr="000B17DE">
        <w:rPr>
          <w:lang w:val="en-US"/>
        </w:rPr>
        <w:t xml:space="preserve"> up a completely new process. Reporting entities involved would have to ensure correct and timely interaction with respective intermediaries along the transaction reporting chain. </w:t>
      </w:r>
      <w:r>
        <w:rPr>
          <w:lang w:val="en-US"/>
        </w:rPr>
        <w:t>There is</w:t>
      </w:r>
      <w:r w:rsidR="00F742EC" w:rsidRPr="000B17DE">
        <w:rPr>
          <w:lang w:val="en-US"/>
        </w:rPr>
        <w:t xml:space="preserve"> an increased risk for potential failures and additional </w:t>
      </w:r>
      <w:r w:rsidRPr="000B17DE">
        <w:rPr>
          <w:lang w:val="en-US"/>
        </w:rPr>
        <w:t>time-consuming</w:t>
      </w:r>
      <w:r w:rsidR="00F742EC" w:rsidRPr="000B17DE">
        <w:rPr>
          <w:lang w:val="en-US"/>
        </w:rPr>
        <w:t xml:space="preserve"> processes with regard to the transmission of the new code to reporting entities. </w:t>
      </w:r>
      <w:r>
        <w:t>A</w:t>
      </w:r>
      <w:r w:rsidR="00F742EC" w:rsidRPr="00B85161">
        <w:t xml:space="preserve"> mapping of a connecting element in all reports will encounter </w:t>
      </w:r>
      <w:r w:rsidR="00F742EC" w:rsidRPr="007A4452">
        <w:t xml:space="preserve">difficulties in implementation </w:t>
      </w:r>
      <w:r>
        <w:t xml:space="preserve">to an extent </w:t>
      </w:r>
      <w:r w:rsidR="00F742EC" w:rsidRPr="007A4452">
        <w:t>tha</w:t>
      </w:r>
      <w:r>
        <w:t>t</w:t>
      </w:r>
      <w:r w:rsidR="00F742EC" w:rsidRPr="007A4452">
        <w:t xml:space="preserve"> the goal</w:t>
      </w:r>
      <w:r w:rsidR="00F742EC">
        <w:t xml:space="preserve"> to enable CAs to link all transactions</w:t>
      </w:r>
      <w:r w:rsidR="00F742EC" w:rsidRPr="007A4452">
        <w:t xml:space="preserve"> cannot be achieved. </w:t>
      </w:r>
    </w:p>
    <w:p w14:paraId="3CC5A6CC" w14:textId="7992A3E4" w:rsidR="000B0D26" w:rsidRDefault="00F742EC" w:rsidP="00F742EC">
      <w:r w:rsidRPr="007A4452">
        <w:t xml:space="preserve">A possible obligation to specify a TVTIC for transactions in third countries will lead to practical problems, since the relevant </w:t>
      </w:r>
      <w:r w:rsidR="007F3A65">
        <w:t>TV</w:t>
      </w:r>
      <w:r w:rsidRPr="007A4452">
        <w:t xml:space="preserve">s are not subject to MiFIR and therefore cannot be obliged to generate a TVTIC. </w:t>
      </w:r>
      <w:r w:rsidR="007F3A65">
        <w:t>T</w:t>
      </w:r>
      <w:r w:rsidRPr="007A4452">
        <w:t xml:space="preserve">hose subject to the reporting obligation </w:t>
      </w:r>
      <w:r>
        <w:t>would not be able</w:t>
      </w:r>
      <w:r w:rsidRPr="007A4452">
        <w:t xml:space="preserve"> not fully comply with </w:t>
      </w:r>
      <w:r w:rsidR="007F3A65">
        <w:t>it</w:t>
      </w:r>
      <w:r w:rsidRPr="007A4452">
        <w:t>.</w:t>
      </w:r>
    </w:p>
    <w:permEnd w:id="609292179"/>
    <w:p w14:paraId="059CAB1E" w14:textId="77777777" w:rsidR="000B0D26" w:rsidRDefault="000B0D26" w:rsidP="000B0D26">
      <w:r>
        <w:t>&lt;ESMA_QUESTION_TRRF_18&gt;</w:t>
      </w:r>
    </w:p>
    <w:p w14:paraId="665D4A8E" w14:textId="77777777" w:rsidR="000B0D26" w:rsidRDefault="000B0D26" w:rsidP="000B0D26"/>
    <w:p w14:paraId="24020D51" w14:textId="77777777" w:rsidR="000B0D26" w:rsidRDefault="000B0D26" w:rsidP="00990D80">
      <w:pPr>
        <w:pStyle w:val="Questionstyle"/>
      </w:pPr>
      <w:r>
        <w:t xml:space="preserve">: Do you foresee any difficulties with the implementation of an additional code generated by the trading venue to be disseminated down the transaction </w:t>
      </w:r>
      <w:r>
        <w:lastRenderedPageBreak/>
        <w:t xml:space="preserve">chain in order to link all transactions pertaining to the same execution? If yes, please explain and provide alternative proposals. </w:t>
      </w:r>
    </w:p>
    <w:p w14:paraId="7DC5AD32" w14:textId="77777777" w:rsidR="000B0D26" w:rsidRDefault="000B0D26" w:rsidP="000B0D26">
      <w:r>
        <w:t>&lt;ESMA_QUESTION_TRRF_19&gt;</w:t>
      </w:r>
    </w:p>
    <w:p w14:paraId="5151D378" w14:textId="4935F0F7" w:rsidR="00F742EC" w:rsidRDefault="00086C4C" w:rsidP="00F742EC">
      <w:permStart w:id="1075606273" w:edGrp="everyone"/>
      <w:r w:rsidRPr="00086C4C">
        <w:t xml:space="preserve">The proposal to identify “chains of transactions” contradicts the approach according to which the market side has to report its details of the transaction. </w:t>
      </w:r>
      <w:r w:rsidR="00F742EC" w:rsidRPr="007A4452">
        <w:t xml:space="preserve"> </w:t>
      </w:r>
      <w:r w:rsidRPr="00086C4C">
        <w:t>A mapping of a connecting element in all reports will encounter difficulties in implementation to an extent that the goal to enable CAs to link all transactions cannot be achieved.</w:t>
      </w:r>
      <w:r w:rsidR="00F742EC" w:rsidRPr="00203595">
        <w:t xml:space="preserve"> OTC derivatives are predominantly used for the purpose of risk management between dealer banks</w:t>
      </w:r>
      <w:r>
        <w:t>. R</w:t>
      </w:r>
      <w:r w:rsidR="00F742EC" w:rsidRPr="00203595">
        <w:t>egulators’ need to link all transactions pertaining to the same transaction chain might be less relevant in this context and not justify the creation of a separate code.</w:t>
      </w:r>
    </w:p>
    <w:p w14:paraId="23925007" w14:textId="0A819AE6" w:rsidR="000B0D26" w:rsidRDefault="00086C4C" w:rsidP="00F742EC">
      <w:r>
        <w:t>O</w:t>
      </w:r>
      <w:r w:rsidR="00F742EC">
        <w:t xml:space="preserve">rganised trading platforms outside the </w:t>
      </w:r>
      <w:r>
        <w:t>EU should not be included</w:t>
      </w:r>
      <w:r w:rsidR="00F742EC">
        <w:t xml:space="preserve">. It will </w:t>
      </w:r>
      <w:r>
        <w:t>not be feasible</w:t>
      </w:r>
      <w:r w:rsidR="00F742EC">
        <w:t xml:space="preserve"> to get these entities to comply with such obligation, since the relevant </w:t>
      </w:r>
      <w:r>
        <w:t>TV</w:t>
      </w:r>
      <w:r w:rsidR="00F742EC">
        <w:t>s are not subject to MiFIR and</w:t>
      </w:r>
      <w:r w:rsidR="00F742EC" w:rsidRPr="007A4452">
        <w:t xml:space="preserve"> cannot be obliged to generate a TVTIC. </w:t>
      </w:r>
      <w:r w:rsidR="00F742EC">
        <w:t xml:space="preserve"> European entities subject to the transaction reporting requirements w</w:t>
      </w:r>
      <w:r>
        <w:t>ill</w:t>
      </w:r>
      <w:r w:rsidR="00F742EC">
        <w:t xml:space="preserve"> face enormous difficulties in setting up correct files for their reports.</w:t>
      </w:r>
    </w:p>
    <w:permEnd w:id="1075606273"/>
    <w:p w14:paraId="3F14CF92" w14:textId="77777777" w:rsidR="000B0D26" w:rsidRDefault="000B0D26" w:rsidP="000B0D26">
      <w:r>
        <w:t>&lt;ESMA_QUESTION_TRRF_19&gt;</w:t>
      </w:r>
    </w:p>
    <w:p w14:paraId="1C6BE244" w14:textId="77777777" w:rsidR="000B0D26" w:rsidRDefault="000B0D26" w:rsidP="000B0D26"/>
    <w:p w14:paraId="71D41674" w14:textId="77777777" w:rsidR="000B0D26" w:rsidRDefault="000B0D26" w:rsidP="00990D80">
      <w:pPr>
        <w:pStyle w:val="Questionstyle"/>
      </w:pPr>
      <w:r>
        <w:t>: Do you foresee any challenges with the outlined approach? If yes, please explain and provide alternative proposals.</w:t>
      </w:r>
    </w:p>
    <w:p w14:paraId="706E527B" w14:textId="77777777" w:rsidR="000B0D26" w:rsidRDefault="000B0D26" w:rsidP="000B0D26">
      <w:r>
        <w:t>&lt;ESMA_QUESTION_TRRF_20&gt;</w:t>
      </w:r>
    </w:p>
    <w:p w14:paraId="535F19B7" w14:textId="69D334A6" w:rsidR="000B0D26" w:rsidRDefault="00086C4C" w:rsidP="000B0D26">
      <w:permStart w:id="580139045" w:edGrp="everyone"/>
      <w:r>
        <w:t>There should be</w:t>
      </w:r>
      <w:r w:rsidR="00F742EC" w:rsidRPr="00741782">
        <w:t xml:space="preserve"> significant problems if the </w:t>
      </w:r>
      <w:r w:rsidR="00F742EC">
        <w:t>client</w:t>
      </w:r>
      <w:r w:rsidR="00F742EC" w:rsidRPr="00741782">
        <w:t xml:space="preserve"> category stored in the customer master data were to be fed into the transaction report. These are separate systems. It is also not apparent that the </w:t>
      </w:r>
      <w:r>
        <w:t>CA</w:t>
      </w:r>
      <w:r w:rsidR="00F742EC" w:rsidRPr="00741782">
        <w:t xml:space="preserve"> needs this data for market surveillance purposes. </w:t>
      </w:r>
      <w:r w:rsidR="00F742EC" w:rsidRPr="00245D36">
        <w:t xml:space="preserve">“Suitability“ and </w:t>
      </w:r>
      <w:r>
        <w:t>“</w:t>
      </w:r>
      <w:r w:rsidR="00F742EC" w:rsidRPr="00245D36">
        <w:t>market trends“ are not relevant in the context of transaction reporting.</w:t>
      </w:r>
      <w:r w:rsidR="00F742EC">
        <w:t xml:space="preserve"> </w:t>
      </w:r>
      <w:r w:rsidR="00F742EC" w:rsidRPr="00741782">
        <w:t xml:space="preserve">Not even the very broad norm of Article 24 is aimed at monitoring suitability obligations. </w:t>
      </w:r>
      <w:r w:rsidR="00F742EC" w:rsidRPr="00245D36">
        <w:rPr>
          <w:lang w:val="en-US"/>
        </w:rPr>
        <w:t xml:space="preserve">Thus, the last sentence in Art. 26(6) </w:t>
      </w:r>
      <w:r w:rsidR="00F742EC">
        <w:rPr>
          <w:lang w:val="en-US"/>
        </w:rPr>
        <w:t xml:space="preserve">as proposed by ESMA </w:t>
      </w:r>
      <w:r w:rsidR="00F742EC" w:rsidRPr="00245D36">
        <w:rPr>
          <w:lang w:val="en-US"/>
        </w:rPr>
        <w:t>should not be added.</w:t>
      </w:r>
    </w:p>
    <w:permEnd w:id="580139045"/>
    <w:p w14:paraId="026A6404" w14:textId="77777777" w:rsidR="000B0D26" w:rsidRDefault="000B0D26" w:rsidP="000B0D26">
      <w:r>
        <w:t>&lt;ESMA_QUESTION_TRRF_20&gt;</w:t>
      </w:r>
    </w:p>
    <w:p w14:paraId="468B9B76" w14:textId="77777777" w:rsidR="000B0D26" w:rsidRDefault="000B0D26" w:rsidP="000B0D26"/>
    <w:p w14:paraId="74D7C593" w14:textId="77777777" w:rsidR="000B0D26" w:rsidRDefault="000B0D26" w:rsidP="00990D80">
      <w:pPr>
        <w:pStyle w:val="Questionstyle"/>
      </w:pPr>
      <w:r>
        <w:t>: Do you foresee any challenges with the outlined approach? If yes, please explain and provide alternative proposals.</w:t>
      </w:r>
    </w:p>
    <w:p w14:paraId="14C382BB" w14:textId="77777777" w:rsidR="000B0D26" w:rsidRDefault="000B0D26" w:rsidP="000B0D26">
      <w:r>
        <w:t>&lt;ESMA_QUESTION_TRRF_21&gt;</w:t>
      </w:r>
    </w:p>
    <w:p w14:paraId="2B7AE9D2" w14:textId="6BA15E73" w:rsidR="000B0D26" w:rsidRDefault="00F742EC" w:rsidP="000B0D26">
      <w:permStart w:id="197869488" w:edGrp="everyone"/>
      <w:r w:rsidRPr="00320A45">
        <w:rPr>
          <w:lang w:val="en-US"/>
        </w:rPr>
        <w:lastRenderedPageBreak/>
        <w:t xml:space="preserve">As this field has in the past years not been of any use, </w:t>
      </w:r>
      <w:r w:rsidR="00086C4C">
        <w:rPr>
          <w:lang w:val="en-US"/>
        </w:rPr>
        <w:t>it should be deleted</w:t>
      </w:r>
      <w:r>
        <w:rPr>
          <w:lang w:val="en-US"/>
        </w:rPr>
        <w:t>.</w:t>
      </w:r>
    </w:p>
    <w:permEnd w:id="197869488"/>
    <w:p w14:paraId="2568E55F" w14:textId="77777777" w:rsidR="000B0D26" w:rsidRDefault="000B0D26" w:rsidP="000B0D26">
      <w:r>
        <w:t>&lt;ESMA_QUESTION_TRRF_21&gt;</w:t>
      </w:r>
    </w:p>
    <w:p w14:paraId="44343D4F" w14:textId="77777777" w:rsidR="000B0D26" w:rsidRDefault="000B0D26" w:rsidP="000B0D26"/>
    <w:p w14:paraId="2320EAB3" w14:textId="77777777" w:rsidR="000B0D26" w:rsidRDefault="000B0D26" w:rsidP="00990D80">
      <w:pPr>
        <w:pStyle w:val="Questionstyle"/>
      </w:pPr>
      <w:r>
        <w:t>: Which of the two approaches do you consider the most appropriate? Please explain for which reasons.</w:t>
      </w:r>
    </w:p>
    <w:p w14:paraId="40D89730" w14:textId="77777777" w:rsidR="000B0D26" w:rsidRDefault="000B0D26" w:rsidP="000B0D26">
      <w:r>
        <w:t>&lt;ESMA_QUESTION_TRRF_22&gt;</w:t>
      </w:r>
    </w:p>
    <w:p w14:paraId="502CF530" w14:textId="709D4A38" w:rsidR="000B0D26" w:rsidRDefault="00086C4C" w:rsidP="000B0D26">
      <w:permStart w:id="657135577" w:edGrp="everyone"/>
      <w:r>
        <w:t>I</w:t>
      </w:r>
      <w:r w:rsidR="00F742EC" w:rsidRPr="00862871">
        <w:t xml:space="preserve">t is not possible to make meaningful use of the information on whether a transaction is a short sale. Short sales must meet the requirements of Regulation (EU) No. 236/2012. The </w:t>
      </w:r>
      <w:r>
        <w:t>CA</w:t>
      </w:r>
      <w:r w:rsidR="00F742EC" w:rsidRPr="00862871">
        <w:t xml:space="preserve"> therefore has the necessary data; an additional data source </w:t>
      </w:r>
      <w:r w:rsidR="00F742EC">
        <w:t>is</w:t>
      </w:r>
      <w:r w:rsidR="00F742EC" w:rsidRPr="00862871">
        <w:t xml:space="preserve"> dispensable.</w:t>
      </w:r>
    </w:p>
    <w:permEnd w:id="657135577"/>
    <w:p w14:paraId="67C709BA" w14:textId="77777777" w:rsidR="000B0D26" w:rsidRDefault="000B0D26" w:rsidP="000B0D26">
      <w:r>
        <w:t>&lt;ESMA_QUESTION_TRRF_22&gt;</w:t>
      </w:r>
    </w:p>
    <w:p w14:paraId="59CD15DC" w14:textId="77777777" w:rsidR="000B0D26" w:rsidRDefault="000B0D26" w:rsidP="000B0D26"/>
    <w:p w14:paraId="2BCC8B57" w14:textId="77777777" w:rsidR="000B0D26" w:rsidRDefault="000B0D26" w:rsidP="00990D80">
      <w:pPr>
        <w:pStyle w:val="Questionstyle"/>
      </w:pPr>
      <w:r>
        <w:t>: Do you foresee any challenges with the outlined approaches? If yes, please explain and provide alternative proposals.</w:t>
      </w:r>
    </w:p>
    <w:p w14:paraId="610A4A17" w14:textId="77777777" w:rsidR="000B0D26" w:rsidRDefault="000B0D26" w:rsidP="000B0D26">
      <w:r>
        <w:t>&lt;ESMA_QUESTION_TRRF_23&gt;</w:t>
      </w:r>
    </w:p>
    <w:p w14:paraId="62C94B1D" w14:textId="3664983A" w:rsidR="000B0D26" w:rsidRDefault="002207D9" w:rsidP="000B0D26">
      <w:permStart w:id="300050786" w:edGrp="everyone"/>
      <w:r>
        <w:t>Th</w:t>
      </w:r>
      <w:r w:rsidR="00F742EC">
        <w:t xml:space="preserve">e designation to identify short sales </w:t>
      </w:r>
      <w:r>
        <w:t xml:space="preserve">should be omitted </w:t>
      </w:r>
      <w:r w:rsidR="00F742EC">
        <w:t xml:space="preserve">from the transaction </w:t>
      </w:r>
      <w:r w:rsidR="00F742EC" w:rsidRPr="00B85161">
        <w:t>report.</w:t>
      </w:r>
    </w:p>
    <w:permEnd w:id="300050786"/>
    <w:p w14:paraId="5F5393EA" w14:textId="77777777" w:rsidR="000B0D26" w:rsidRDefault="000B0D26" w:rsidP="000B0D26">
      <w:r>
        <w:t>&lt;ESMA_QUESTION_TRRF_23&gt;</w:t>
      </w:r>
    </w:p>
    <w:p w14:paraId="245E65EE" w14:textId="77777777" w:rsidR="000B0D26" w:rsidRDefault="000B0D26" w:rsidP="000B0D26"/>
    <w:p w14:paraId="547920D8" w14:textId="77777777" w:rsidR="000B0D26" w:rsidRDefault="000B0D26" w:rsidP="00990D80">
      <w:pPr>
        <w:pStyle w:val="Questionstyle"/>
      </w:pPr>
      <w:r>
        <w:t>: Do you foresee any challenges with the outlined approach to pre-trade waivers? If yes, please explain and provide alternative proposals.</w:t>
      </w:r>
    </w:p>
    <w:p w14:paraId="45EDDFF3" w14:textId="77777777" w:rsidR="000B0D26" w:rsidRDefault="000B0D26" w:rsidP="000B0D26">
      <w:r>
        <w:t>&lt;ESMA_QUESTION_TRRF_24&gt;</w:t>
      </w:r>
    </w:p>
    <w:p w14:paraId="51B5532E" w14:textId="686ECC1F" w:rsidR="000B0D26" w:rsidRDefault="00F742EC" w:rsidP="000B0D26">
      <w:permStart w:id="783692263" w:edGrp="everyone"/>
      <w:r w:rsidRPr="00F37337">
        <w:t xml:space="preserve">According to </w:t>
      </w:r>
      <w:r w:rsidR="002207D9">
        <w:t>par.</w:t>
      </w:r>
      <w:r w:rsidRPr="00F37337">
        <w:t xml:space="preserve"> 193 of ESMA</w:t>
      </w:r>
      <w:r>
        <w:t>70-156-2756</w:t>
      </w:r>
      <w:r w:rsidRPr="00F37337">
        <w:t>, Art. 18(2) is to be deleted without replacement. Since this also eliminates the possibility of using a waiver, the proposal</w:t>
      </w:r>
      <w:r>
        <w:t xml:space="preserve"> in the CP</w:t>
      </w:r>
      <w:r w:rsidRPr="00F37337">
        <w:t xml:space="preserve"> </w:t>
      </w:r>
      <w:r w:rsidR="002207D9">
        <w:t>has no effect</w:t>
      </w:r>
    </w:p>
    <w:permEnd w:id="783692263"/>
    <w:p w14:paraId="3444E6C0" w14:textId="77777777" w:rsidR="000B0D26" w:rsidRDefault="000B0D26" w:rsidP="000B0D26">
      <w:r>
        <w:t>&lt;ESMA_QUESTION_TRRF_24&gt;</w:t>
      </w:r>
    </w:p>
    <w:p w14:paraId="525521D3" w14:textId="77777777" w:rsidR="000B0D26" w:rsidRDefault="000B0D26" w:rsidP="000B0D26"/>
    <w:p w14:paraId="26FF7FD5" w14:textId="77777777" w:rsidR="000B0D26" w:rsidRDefault="000B0D26" w:rsidP="00990D80">
      <w:pPr>
        <w:pStyle w:val="Questionstyle"/>
      </w:pPr>
      <w:r>
        <w:lastRenderedPageBreak/>
        <w:t xml:space="preserve">: Have you experienced any difficulties with providing the information relating to the indicators mentioned in this section? If yes, please explain and provide proposals on how to improve the quality of the information required.  </w:t>
      </w:r>
    </w:p>
    <w:p w14:paraId="32D7E299" w14:textId="77777777" w:rsidR="000B0D26" w:rsidRDefault="000B0D26" w:rsidP="000B0D26">
      <w:r>
        <w:t>&lt;ESMA_QUESTION_TRRF_25&gt;</w:t>
      </w:r>
    </w:p>
    <w:p w14:paraId="1F1CE7B8" w14:textId="4B4C87ED" w:rsidR="000B0D26" w:rsidRDefault="002207D9" w:rsidP="000B0D26">
      <w:permStart w:id="975453435" w:edGrp="everyone"/>
      <w:r>
        <w:t>T</w:t>
      </w:r>
      <w:r w:rsidR="00F742EC" w:rsidRPr="00DE2FC3">
        <w:rPr>
          <w:lang w:val="en-US"/>
        </w:rPr>
        <w:t>here seem to be no requirements for ARMs/APAs to pass on this information free of charge to</w:t>
      </w:r>
      <w:r w:rsidR="00F742EC">
        <w:rPr>
          <w:lang w:val="en-US"/>
        </w:rPr>
        <w:t xml:space="preserve"> </w:t>
      </w:r>
      <w:r w:rsidR="00F742EC" w:rsidRPr="00DE2FC3">
        <w:rPr>
          <w:lang w:val="en-US"/>
        </w:rPr>
        <w:t xml:space="preserve">the market participants. </w:t>
      </w:r>
      <w:r w:rsidR="00F742EC">
        <w:rPr>
          <w:lang w:val="en-US"/>
        </w:rPr>
        <w:t xml:space="preserve">However, </w:t>
      </w:r>
      <w:r>
        <w:rPr>
          <w:lang w:val="en-US"/>
        </w:rPr>
        <w:t>CAs</w:t>
      </w:r>
      <w:r w:rsidR="00F742EC">
        <w:rPr>
          <w:lang w:val="en-US"/>
        </w:rPr>
        <w:t xml:space="preserve"> should receive this information in the context of post-trade requirements anyway.</w:t>
      </w:r>
    </w:p>
    <w:permEnd w:id="975453435"/>
    <w:p w14:paraId="32F2330B" w14:textId="77777777" w:rsidR="000B0D26" w:rsidRDefault="000B0D26" w:rsidP="000B0D26">
      <w:r>
        <w:t>&lt;ESMA_QUESTION_TRRF_25&gt;</w:t>
      </w:r>
    </w:p>
    <w:p w14:paraId="109D057D" w14:textId="77777777" w:rsidR="000B0D26" w:rsidRDefault="000B0D26" w:rsidP="000B0D26"/>
    <w:p w14:paraId="72E853BD" w14:textId="77777777" w:rsidR="000B0D26" w:rsidRDefault="000B0D26" w:rsidP="00990D80">
      <w:pPr>
        <w:pStyle w:val="Questionstyle"/>
      </w:pPr>
      <w:r>
        <w:t>: Do you foresee any challenges with this proposal? If yes, please explain and provide alternative proposals.</w:t>
      </w:r>
    </w:p>
    <w:p w14:paraId="55E176DD" w14:textId="77777777" w:rsidR="000B0D26" w:rsidRDefault="000B0D26" w:rsidP="000B0D26">
      <w:r>
        <w:t>&lt;ESMA_QUESTION_TRRF_26&gt;</w:t>
      </w:r>
    </w:p>
    <w:p w14:paraId="4599EA34" w14:textId="299C74CE" w:rsidR="000B0D26" w:rsidRDefault="00F742EC" w:rsidP="000B0D26">
      <w:permStart w:id="1526940698" w:edGrp="everyone"/>
      <w:r w:rsidRPr="006333BC">
        <w:t xml:space="preserve">ESMA should clearly state that the filling of an additional reporting field (buy-back yes/no) </w:t>
      </w:r>
      <w:r>
        <w:t>would</w:t>
      </w:r>
      <w:r w:rsidRPr="006333BC">
        <w:t xml:space="preserve"> replace Article 5(3) MAR.</w:t>
      </w:r>
      <w:r w:rsidRPr="00457903">
        <w:rPr>
          <w:lang w:val="en-US"/>
        </w:rPr>
        <w:t xml:space="preserve"> </w:t>
      </w:r>
      <w:r w:rsidR="002207D9">
        <w:rPr>
          <w:lang w:val="en-US"/>
        </w:rPr>
        <w:t>S</w:t>
      </w:r>
      <w:r w:rsidRPr="00457903">
        <w:rPr>
          <w:lang w:val="en-US"/>
        </w:rPr>
        <w:t>ufficient lead time for necessary implementation should be considered.</w:t>
      </w:r>
    </w:p>
    <w:permEnd w:id="1526940698"/>
    <w:p w14:paraId="3CBAB8A3" w14:textId="77777777" w:rsidR="000B0D26" w:rsidRDefault="000B0D26" w:rsidP="000B0D26">
      <w:r>
        <w:t>&lt;ESMA_QUESTION_TRRF_26&gt;</w:t>
      </w:r>
    </w:p>
    <w:p w14:paraId="624A26B2" w14:textId="77777777" w:rsidR="000B0D26" w:rsidRDefault="000B0D26" w:rsidP="000B0D26"/>
    <w:p w14:paraId="51BB6091" w14:textId="77777777" w:rsidR="000B0D26" w:rsidRDefault="000B0D26" w:rsidP="00990D80">
      <w:pPr>
        <w:pStyle w:val="Questionstyle"/>
      </w:pPr>
      <w:r>
        <w:t>: Do you agree with this approach? If not, please clarify your concerns and propose alternative solutions</w:t>
      </w:r>
    </w:p>
    <w:p w14:paraId="1C7475B7" w14:textId="77777777" w:rsidR="000B0D26" w:rsidRDefault="000B0D26" w:rsidP="000B0D26">
      <w:r>
        <w:t>&lt;ESMA_QUESTION_TRRF_27&gt;</w:t>
      </w:r>
    </w:p>
    <w:p w14:paraId="3AD4BB8E" w14:textId="512B5794" w:rsidR="000B0D26" w:rsidRDefault="00F742EC" w:rsidP="000B0D26">
      <w:permStart w:id="1698904276" w:edGrp="everyone"/>
      <w:r>
        <w:rPr>
          <w:lang w:val="en-US"/>
        </w:rPr>
        <w:t>No.</w:t>
      </w:r>
      <w:r w:rsidRPr="00004670">
        <w:rPr>
          <w:lang w:val="en-US"/>
        </w:rPr>
        <w:t xml:space="preserve"> </w:t>
      </w:r>
      <w:r w:rsidRPr="00C454D5">
        <w:rPr>
          <w:lang w:val="en-US"/>
        </w:rPr>
        <w:t>It is not comprehensible that transmitting investment firms are favored at the expense of larger investment firms.</w:t>
      </w:r>
      <w:r w:rsidR="002207D9">
        <w:rPr>
          <w:lang w:val="en-US"/>
        </w:rPr>
        <w:t xml:space="preserve"> T</w:t>
      </w:r>
      <w:r w:rsidRPr="00C454D5">
        <w:rPr>
          <w:lang w:val="en-US"/>
        </w:rPr>
        <w:t>his proposal effectively interven</w:t>
      </w:r>
      <w:r w:rsidR="002207D9">
        <w:rPr>
          <w:lang w:val="en-US"/>
        </w:rPr>
        <w:t>es</w:t>
      </w:r>
      <w:r w:rsidRPr="00C454D5">
        <w:rPr>
          <w:lang w:val="en-US"/>
        </w:rPr>
        <w:t xml:space="preserve"> in civil law to achieve supervisory objectives. </w:t>
      </w:r>
      <w:r>
        <w:rPr>
          <w:lang w:val="en-US"/>
        </w:rPr>
        <w:t>Experience in the context of EMIR R</w:t>
      </w:r>
      <w:r w:rsidR="002207D9">
        <w:rPr>
          <w:lang w:val="en-US"/>
        </w:rPr>
        <w:t>EFIT</w:t>
      </w:r>
      <w:r>
        <w:rPr>
          <w:lang w:val="en-US"/>
        </w:rPr>
        <w:t xml:space="preserve"> and the introduction of mandatory reporting by </w:t>
      </w:r>
      <w:r w:rsidR="002207D9">
        <w:rPr>
          <w:lang w:val="en-US"/>
        </w:rPr>
        <w:t>FCs</w:t>
      </w:r>
      <w:r>
        <w:rPr>
          <w:lang w:val="en-US"/>
        </w:rPr>
        <w:t xml:space="preserve"> for small </w:t>
      </w:r>
      <w:r w:rsidR="002207D9">
        <w:rPr>
          <w:lang w:val="en-US"/>
        </w:rPr>
        <w:t>NFC</w:t>
      </w:r>
      <w:r>
        <w:rPr>
          <w:lang w:val="en-US"/>
        </w:rPr>
        <w:t xml:space="preserve">s proves that the market has experienced severe problems since the </w:t>
      </w:r>
      <w:r w:rsidR="002207D9">
        <w:rPr>
          <w:lang w:val="en-US"/>
        </w:rPr>
        <w:t>obligations</w:t>
      </w:r>
      <w:r>
        <w:rPr>
          <w:lang w:val="en-US"/>
        </w:rPr>
        <w:t xml:space="preserve"> of cooperation of </w:t>
      </w:r>
      <w:r w:rsidR="002207D9">
        <w:rPr>
          <w:lang w:val="en-US"/>
        </w:rPr>
        <w:t>NFC</w:t>
      </w:r>
      <w:r>
        <w:rPr>
          <w:lang w:val="en-US"/>
        </w:rPr>
        <w:t>s were not specified on L</w:t>
      </w:r>
      <w:r w:rsidR="002207D9">
        <w:rPr>
          <w:lang w:val="en-US"/>
        </w:rPr>
        <w:t>2</w:t>
      </w:r>
      <w:r>
        <w:rPr>
          <w:lang w:val="en-US"/>
        </w:rPr>
        <w:t>.</w:t>
      </w:r>
    </w:p>
    <w:permEnd w:id="1698904276"/>
    <w:p w14:paraId="0E2C1AC5" w14:textId="77777777" w:rsidR="000B0D26" w:rsidRDefault="000B0D26" w:rsidP="000B0D26">
      <w:r>
        <w:t>&lt;ESMA_QUESTION_TRRF_27&gt;</w:t>
      </w:r>
    </w:p>
    <w:p w14:paraId="4D0BA56C" w14:textId="77777777" w:rsidR="000B0D26" w:rsidRDefault="000B0D26" w:rsidP="000B0D26"/>
    <w:p w14:paraId="52D6005E" w14:textId="77777777" w:rsidR="000B0D26" w:rsidRDefault="000B0D26" w:rsidP="00990D80">
      <w:pPr>
        <w:pStyle w:val="Questionstyle"/>
      </w:pPr>
      <w:r>
        <w:lastRenderedPageBreak/>
        <w:t>: Do you agree with this analysis? If not, please clarify your concerns and propose alternative solutions.</w:t>
      </w:r>
    </w:p>
    <w:p w14:paraId="76D8F1B5" w14:textId="77777777" w:rsidR="000B0D26" w:rsidRDefault="000B0D26" w:rsidP="000B0D26">
      <w:r>
        <w:t>&lt;ESMA_QUESTION_TRRF_28&gt;</w:t>
      </w:r>
    </w:p>
    <w:p w14:paraId="7BBDAB9B" w14:textId="7DEED45C" w:rsidR="000B0D26" w:rsidRDefault="00F742EC" w:rsidP="000B0D26">
      <w:permStart w:id="501251014" w:edGrp="everyone"/>
      <w:r>
        <w:t>Yes.</w:t>
      </w:r>
    </w:p>
    <w:permEnd w:id="501251014"/>
    <w:p w14:paraId="366D4714" w14:textId="77777777" w:rsidR="000B0D26" w:rsidRDefault="000B0D26" w:rsidP="000B0D26">
      <w:r>
        <w:t>&lt;ESMA_QUESTION_TRRF_28&gt;</w:t>
      </w:r>
    </w:p>
    <w:p w14:paraId="194CA827" w14:textId="77777777" w:rsidR="000B0D26" w:rsidRDefault="000B0D26" w:rsidP="000B0D26"/>
    <w:p w14:paraId="2CDBAA80" w14:textId="77777777" w:rsidR="000B0D26" w:rsidRDefault="000B0D26" w:rsidP="00990D80">
      <w:pPr>
        <w:pStyle w:val="Questionstyle"/>
      </w:pPr>
      <w:r>
        <w:t>: Do you foresee any challenges with the outlined approach? If yes, please explain and provide alternative proposals.</w:t>
      </w:r>
    </w:p>
    <w:p w14:paraId="0228AB2C" w14:textId="77777777" w:rsidR="000B0D26" w:rsidRDefault="000B0D26" w:rsidP="000B0D26">
      <w:r>
        <w:t>&lt;ESMA_QUESTION_TRRF_29&gt;</w:t>
      </w:r>
    </w:p>
    <w:p w14:paraId="6D3B7313" w14:textId="68327C05" w:rsidR="000B0D26" w:rsidRDefault="002207D9" w:rsidP="000B0D26">
      <w:permStart w:id="869752172" w:edGrp="everyone"/>
      <w:r>
        <w:t>The</w:t>
      </w:r>
      <w:r w:rsidR="00F742EC" w:rsidRPr="0063610F">
        <w:t xml:space="preserve"> proposal would put an end to the consolidation of various reporting requirements.</w:t>
      </w:r>
      <w:r w:rsidR="00F742EC">
        <w:t xml:space="preserve"> </w:t>
      </w:r>
      <w:r>
        <w:t>T</w:t>
      </w:r>
      <w:r w:rsidR="00F742EC" w:rsidRPr="0063610F">
        <w:t>he constant increase in reporting requirements underscores the need for a conscientious examination of the options for consolidation.</w:t>
      </w:r>
      <w:r w:rsidR="00F742EC">
        <w:t xml:space="preserve"> </w:t>
      </w:r>
      <w:r w:rsidR="00F742EC">
        <w:rPr>
          <w:lang w:val="en-US"/>
        </w:rPr>
        <w:t>D</w:t>
      </w:r>
      <w:r w:rsidR="00F742EC" w:rsidRPr="00AA5C66">
        <w:rPr>
          <w:lang w:val="en-US"/>
        </w:rPr>
        <w:t xml:space="preserve">ouble reporting should be avoided and </w:t>
      </w:r>
      <w:r>
        <w:rPr>
          <w:lang w:val="en-US"/>
        </w:rPr>
        <w:t>the</w:t>
      </w:r>
      <w:r w:rsidR="00F742EC" w:rsidRPr="00AA5C66">
        <w:rPr>
          <w:lang w:val="en-US"/>
        </w:rPr>
        <w:t xml:space="preserve"> goal should be the convergence of</w:t>
      </w:r>
      <w:r w:rsidR="00F742EC">
        <w:rPr>
          <w:lang w:val="en-US"/>
        </w:rPr>
        <w:t xml:space="preserve"> </w:t>
      </w:r>
      <w:r w:rsidR="00F742EC" w:rsidRPr="00AA5C66">
        <w:rPr>
          <w:lang w:val="en-US"/>
        </w:rPr>
        <w:t>the different reporting systems.</w:t>
      </w:r>
    </w:p>
    <w:permEnd w:id="869752172"/>
    <w:p w14:paraId="1CBA93AC" w14:textId="77777777" w:rsidR="000B0D26" w:rsidRDefault="000B0D26" w:rsidP="000B0D26">
      <w:r>
        <w:t>&lt;ESMA_QUESTION_TRRF_29&gt;</w:t>
      </w:r>
    </w:p>
    <w:p w14:paraId="3CBFE9F4" w14:textId="77777777" w:rsidR="000B0D26" w:rsidRDefault="000B0D26" w:rsidP="000B0D26"/>
    <w:p w14:paraId="297EFF86" w14:textId="77777777" w:rsidR="000B0D26" w:rsidRDefault="000B0D26" w:rsidP="00990D80">
      <w:pPr>
        <w:pStyle w:val="Questionstyle"/>
      </w:pPr>
      <w:r>
        <w:t>: Do you foresee any challenges with the outlined approach? If yes, please explain and provide alternative proposals.</w:t>
      </w:r>
    </w:p>
    <w:p w14:paraId="081D6EE8" w14:textId="77777777" w:rsidR="000B0D26" w:rsidRDefault="000B0D26" w:rsidP="000B0D26">
      <w:r>
        <w:t>&lt;ESMA_QUESTION_TRRF_30&gt;</w:t>
      </w:r>
    </w:p>
    <w:p w14:paraId="6C3468BC" w14:textId="1F3A8D78" w:rsidR="000B0D26" w:rsidRDefault="00F742EC" w:rsidP="00F742EC">
      <w:permStart w:id="1581188992" w:edGrp="everyone"/>
      <w:r w:rsidRPr="000B17DE">
        <w:rPr>
          <w:lang w:val="en-US"/>
        </w:rPr>
        <w:t>ANNA DSB at present generates ISINs for derivatives reported un</w:t>
      </w:r>
      <w:r w:rsidR="002207D9">
        <w:rPr>
          <w:lang w:val="en-US"/>
        </w:rPr>
        <w:t>d</w:t>
      </w:r>
      <w:r w:rsidRPr="000B17DE">
        <w:rPr>
          <w:lang w:val="en-US"/>
        </w:rPr>
        <w:t xml:space="preserve">er Art. 26. The FIRDS Database is ISIN-based and represents reportable products/instruments under MiFIR. </w:t>
      </w:r>
      <w:r w:rsidR="002207D9">
        <w:rPr>
          <w:lang w:val="en-US"/>
        </w:rPr>
        <w:t>T</w:t>
      </w:r>
      <w:r w:rsidRPr="000B17DE">
        <w:rPr>
          <w:lang w:val="en-US"/>
        </w:rPr>
        <w:t xml:space="preserve">he ISIN as a global and standardised instrument/product identifier has been well established in MiFIR reporting practice. </w:t>
      </w:r>
      <w:r w:rsidR="002207D9">
        <w:rPr>
          <w:lang w:val="en-US"/>
        </w:rPr>
        <w:t>A</w:t>
      </w:r>
      <w:r w:rsidRPr="000B17DE">
        <w:rPr>
          <w:lang w:val="en-US"/>
        </w:rPr>
        <w:t xml:space="preserve"> potential use of the UPI as an alternative identifier for OTC derivatives </w:t>
      </w:r>
      <w:r w:rsidR="002F6DB9">
        <w:rPr>
          <w:lang w:val="en-US"/>
        </w:rPr>
        <w:t>would</w:t>
      </w:r>
      <w:r w:rsidRPr="000B17DE">
        <w:rPr>
          <w:lang w:val="en-US"/>
        </w:rPr>
        <w:t xml:space="preserve"> result in higher complexity and additional implementation efforts. </w:t>
      </w:r>
      <w:r w:rsidR="00DC5582">
        <w:rPr>
          <w:lang w:val="en-US"/>
        </w:rPr>
        <w:t>T</w:t>
      </w:r>
      <w:r w:rsidRPr="000B17DE">
        <w:rPr>
          <w:lang w:val="en-US"/>
        </w:rPr>
        <w:t xml:space="preserve">he use of the UPI instead of the ISIN under Art. 26 </w:t>
      </w:r>
      <w:r w:rsidR="00DC5582">
        <w:rPr>
          <w:lang w:val="en-US"/>
        </w:rPr>
        <w:t>would require</w:t>
      </w:r>
      <w:r w:rsidRPr="000B17DE">
        <w:rPr>
          <w:lang w:val="en-US"/>
        </w:rPr>
        <w:t xml:space="preserve"> clear and precise guidance.</w:t>
      </w:r>
    </w:p>
    <w:permEnd w:id="1581188992"/>
    <w:p w14:paraId="31A2E5D0" w14:textId="77777777" w:rsidR="000B0D26" w:rsidRDefault="000B0D26" w:rsidP="000B0D26">
      <w:r>
        <w:t>&lt;ESMA_QUESTION_TRRF_30&gt;</w:t>
      </w:r>
    </w:p>
    <w:p w14:paraId="51573D98" w14:textId="77777777" w:rsidR="000B0D26" w:rsidRDefault="000B0D26" w:rsidP="000B0D26"/>
    <w:p w14:paraId="1AE2D2AD" w14:textId="77777777" w:rsidR="000B0D26" w:rsidRDefault="000B0D26" w:rsidP="00990D80">
      <w:pPr>
        <w:pStyle w:val="Questionstyle"/>
      </w:pPr>
      <w:r>
        <w:t xml:space="preserve">: Are there any specific aspects relating to the ISIN granularity reported in reference data which need to be addressed? Is the current precision and </w:t>
      </w:r>
      <w:r>
        <w:lastRenderedPageBreak/>
        <w:t>granularity of ISIN appropriate or is (for certain asset classes) a different granularity more appropriate?</w:t>
      </w:r>
    </w:p>
    <w:p w14:paraId="0AB90441" w14:textId="77777777" w:rsidR="000B0D26" w:rsidRDefault="000B0D26" w:rsidP="000B0D26">
      <w:r>
        <w:t>&lt;ESMA_QUESTION_TRRF_31&gt;</w:t>
      </w:r>
    </w:p>
    <w:p w14:paraId="76E4D713" w14:textId="77777777" w:rsidR="000B0D26" w:rsidRDefault="000B0D26" w:rsidP="000B0D26">
      <w:permStart w:id="1580817176" w:edGrp="everyone"/>
      <w:r>
        <w:t>TYPE YOUR TEXT HERE</w:t>
      </w:r>
    </w:p>
    <w:permEnd w:id="1580817176"/>
    <w:p w14:paraId="441BED36" w14:textId="77777777" w:rsidR="000B0D26" w:rsidRDefault="000B0D26" w:rsidP="000B0D26">
      <w:r>
        <w:t>&lt;ESMA_QUESTION_TRRF_31&gt;</w:t>
      </w:r>
    </w:p>
    <w:p w14:paraId="7E680D73" w14:textId="77777777" w:rsidR="000B0D26" w:rsidRDefault="000B0D26" w:rsidP="000B0D26"/>
    <w:p w14:paraId="78D8F700" w14:textId="77777777" w:rsidR="000B0D26" w:rsidRDefault="000B0D26" w:rsidP="00990D80">
      <w:pPr>
        <w:pStyle w:val="Questionstyle"/>
      </w:pPr>
      <w:r>
        <w:t>: Do you foresee any challenges with the outlined approach? If yes, please explain and provide alternative proposals.</w:t>
      </w:r>
    </w:p>
    <w:p w14:paraId="3688AF84" w14:textId="77777777" w:rsidR="000B0D26" w:rsidRDefault="000B0D26" w:rsidP="000B0D26">
      <w:r>
        <w:t>&lt;ESMA_QUESTION_TRRF_32&gt;</w:t>
      </w:r>
    </w:p>
    <w:p w14:paraId="34C21FD0" w14:textId="77777777" w:rsidR="000B0D26" w:rsidRDefault="000B0D26" w:rsidP="000B0D26">
      <w:permStart w:id="1128496454" w:edGrp="everyone"/>
      <w:r>
        <w:t>TYPE YOUR TEXT HERE</w:t>
      </w:r>
    </w:p>
    <w:permEnd w:id="1128496454"/>
    <w:p w14:paraId="164B45A2" w14:textId="77777777" w:rsidR="000B0D26" w:rsidRDefault="000B0D26" w:rsidP="000B0D26">
      <w:r>
        <w:t>&lt;ESMA_QUESTION_TRRF_32&gt;</w:t>
      </w:r>
    </w:p>
    <w:p w14:paraId="60BB0DE0" w14:textId="77777777" w:rsidR="000B0D26" w:rsidRDefault="000B0D26" w:rsidP="000B0D26"/>
    <w:p w14:paraId="031022CB" w14:textId="77777777" w:rsidR="000B0D26" w:rsidRDefault="000B0D26" w:rsidP="00990D80">
      <w:pPr>
        <w:pStyle w:val="Questionstyle"/>
      </w:pPr>
      <w:r>
        <w:t>: Do you foresee any challenges with the outlined approach? If yes, please explain and provide alternative proposals.</w:t>
      </w:r>
    </w:p>
    <w:p w14:paraId="1D13861D" w14:textId="77777777" w:rsidR="000B0D26" w:rsidRDefault="000B0D26" w:rsidP="000B0D26">
      <w:r>
        <w:t>&lt;ESMA_QUESTION_TRRF_33&gt;</w:t>
      </w:r>
    </w:p>
    <w:p w14:paraId="110CBB24" w14:textId="77777777" w:rsidR="000B0D26" w:rsidRDefault="000B0D26" w:rsidP="000B0D26">
      <w:permStart w:id="546641594" w:edGrp="everyone"/>
      <w:r>
        <w:t>TYPE YOUR TEXT HERE</w:t>
      </w:r>
    </w:p>
    <w:permEnd w:id="546641594"/>
    <w:p w14:paraId="30740BD3" w14:textId="77777777" w:rsidR="000B0D26" w:rsidRDefault="000B0D26" w:rsidP="000B0D26">
      <w:r>
        <w:t>&lt;ESMA_QUESTION_TRRF_33&gt;</w:t>
      </w:r>
    </w:p>
    <w:p w14:paraId="5EAB6EA3" w14:textId="17401C58" w:rsidR="001B4996" w:rsidRDefault="001B4996" w:rsidP="000B0D26">
      <w:pPr>
        <w:rPr>
          <w:rFonts w:asciiTheme="majorHAnsi" w:eastAsiaTheme="majorEastAsia" w:hAnsiTheme="majorHAnsi" w:cstheme="majorBidi"/>
          <w:sz w:val="32"/>
          <w:szCs w:val="32"/>
        </w:rPr>
      </w:pPr>
    </w:p>
    <w:sectPr w:rsidR="001B4996" w:rsidSect="004242B3">
      <w:headerReference w:type="default" r:id="rId21"/>
      <w:footerReference w:type="default" r:id="rId22"/>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4F2B7" w14:textId="77777777" w:rsidR="00F31A60" w:rsidRDefault="00F31A60" w:rsidP="007E7997">
      <w:pPr>
        <w:spacing w:line="240" w:lineRule="auto"/>
      </w:pPr>
      <w:r>
        <w:separator/>
      </w:r>
    </w:p>
  </w:endnote>
  <w:endnote w:type="continuationSeparator" w:id="0">
    <w:p w14:paraId="2A6D3FE6" w14:textId="77777777" w:rsidR="00F31A60" w:rsidRDefault="00F31A60" w:rsidP="007E7997">
      <w:pPr>
        <w:spacing w:line="240" w:lineRule="auto"/>
      </w:pPr>
      <w:r>
        <w:continuationSeparator/>
      </w:r>
    </w:p>
  </w:endnote>
  <w:endnote w:type="continuationNotice" w:id="1">
    <w:p w14:paraId="76C1B936" w14:textId="77777777" w:rsidR="00F31A60" w:rsidRDefault="00F31A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DA7C3" w14:textId="1B9FF0D1" w:rsidR="001B50AB" w:rsidRDefault="001B50AB" w:rsidP="007A160F">
    <w:pPr>
      <w:pStyle w:val="Fuzeile"/>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5072420F" w14:textId="77777777" w:rsidR="00E862D0" w:rsidRPr="008F1DCF" w:rsidRDefault="00E862D0" w:rsidP="008F1DCF">
        <w:pPr>
          <w:pStyle w:val="Fuzeile"/>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Fuzeile"/>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14:paraId="5EAB6EC7" w14:textId="50DF9FA7" w:rsidR="001B50AB" w:rsidRDefault="001B50AB" w:rsidP="00FB24ED">
        <w:pPr>
          <w:pStyle w:val="Fuzeile"/>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74B4B" w14:textId="77777777" w:rsidR="00F31A60" w:rsidRDefault="00F31A60" w:rsidP="007E7997">
      <w:pPr>
        <w:spacing w:line="240" w:lineRule="auto"/>
      </w:pPr>
      <w:r>
        <w:separator/>
      </w:r>
    </w:p>
  </w:footnote>
  <w:footnote w:type="continuationSeparator" w:id="0">
    <w:p w14:paraId="568BF0DF" w14:textId="77777777" w:rsidR="00F31A60" w:rsidRDefault="00F31A60" w:rsidP="007E7997">
      <w:pPr>
        <w:spacing w:line="240" w:lineRule="auto"/>
      </w:pPr>
      <w:r>
        <w:continuationSeparator/>
      </w:r>
    </w:p>
  </w:footnote>
  <w:footnote w:type="continuationNotice" w:id="1">
    <w:p w14:paraId="309EB8C7" w14:textId="77777777" w:rsidR="00F31A60" w:rsidRDefault="00F31A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2" w14:textId="77777777" w:rsidR="001B50AB" w:rsidRDefault="001B50AB">
    <w:pPr>
      <w:pStyle w:val="Kopfzeile"/>
    </w:pPr>
    <w:r>
      <w:rPr>
        <w:noProof/>
        <w:lang w:eastAsia="en-GB"/>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E86B2" w14:textId="77777777" w:rsidR="00E862D0" w:rsidRPr="003669AC" w:rsidRDefault="00E862D0" w:rsidP="006C5A3D">
    <w:pPr>
      <w:pStyle w:val="Kopfzeile"/>
      <w:ind w:left="708"/>
      <w:jc w:val="right"/>
    </w:pPr>
  </w:p>
  <w:p w14:paraId="77899FEE" w14:textId="1FBF18B1" w:rsidR="00E862D0" w:rsidRDefault="00E862D0" w:rsidP="00E862D0">
    <w:pPr>
      <w:pStyle w:val="Kopfzeile"/>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14:paraId="01230929" w14:textId="77777777" w:rsidR="00E862D0" w:rsidRPr="008F1DCF" w:rsidRDefault="00E862D0" w:rsidP="00E862D0">
    <w:pPr>
      <w:pStyle w:val="Kopfzeile"/>
      <w:ind w:left="6663"/>
      <w:jc w:val="right"/>
      <w:rPr>
        <w:rFonts w:asciiTheme="majorHAnsi" w:hAnsiTheme="majorHAnsi" w:cstheme="majorHAnsi"/>
        <w:color w:val="2F5496" w:themeColor="accent5" w:themeShade="BF"/>
        <w:sz w:val="20"/>
      </w:rPr>
    </w:pPr>
  </w:p>
  <w:p w14:paraId="75DBFCE3" w14:textId="77777777" w:rsidR="00E862D0" w:rsidRDefault="00E862D0" w:rsidP="006C5A3D">
    <w:pPr>
      <w:pStyle w:val="Kopfzeile"/>
      <w:ind w:left="6663"/>
      <w:rPr>
        <w:color w:val="FF0000"/>
        <w:sz w:val="20"/>
      </w:rPr>
    </w:pPr>
  </w:p>
  <w:p w14:paraId="13818030" w14:textId="77777777" w:rsidR="00E862D0" w:rsidRDefault="00E862D0">
    <w:pPr>
      <w:pStyle w:val="Kopfzeile"/>
    </w:pPr>
    <w:r>
      <w:rPr>
        <w:noProof/>
      </w:rPr>
      <w:drawing>
        <wp:anchor distT="0" distB="0" distL="114300" distR="114300" simplePos="0" relativeHeight="251660291"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7253" w14:textId="77777777" w:rsidR="00E862D0" w:rsidRDefault="00E862D0">
    <w:pPr>
      <w:pStyle w:val="Kopfzeile"/>
    </w:pPr>
  </w:p>
  <w:p w14:paraId="2085CF44" w14:textId="77777777" w:rsidR="00E862D0" w:rsidRDefault="00E862D0">
    <w:pPr>
      <w:pStyle w:val="Kopfzeile"/>
    </w:pPr>
  </w:p>
  <w:p w14:paraId="486D39F2" w14:textId="77777777" w:rsidR="00E862D0" w:rsidRDefault="00E862D0">
    <w:pPr>
      <w:pStyle w:val="Kopfzeile"/>
    </w:pPr>
    <w:r>
      <w:rPr>
        <w:noProof/>
      </w:rPr>
      <w:drawing>
        <wp:anchor distT="0" distB="0" distL="114300" distR="114300" simplePos="0" relativeHeight="25166131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77777777" w:rsidR="001B50AB" w:rsidRDefault="001B50AB" w:rsidP="00B50534">
    <w:pPr>
      <w:pStyle w:val="Kopfzeile"/>
      <w:jc w:val="right"/>
      <w:rPr>
        <w:b/>
        <w:color w:val="FF0000"/>
      </w:rPr>
    </w:pPr>
    <w:r w:rsidRPr="008D5F86">
      <w:rPr>
        <w:rFonts w:ascii="Arial" w:hAnsi="Arial" w:cs="Arial"/>
        <w:noProof/>
        <w:lang w:eastAsia="en-GB"/>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009AC"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Kopfzeile"/>
      <w:ind w:left="6663"/>
      <w:jc w:val="right"/>
      <w:rPr>
        <w:rFonts w:asciiTheme="majorHAnsi" w:hAnsiTheme="majorHAnsi" w:cstheme="majorHAnsi"/>
        <w:color w:val="2F5496" w:themeColor="accent5" w:themeShade="BF"/>
        <w:sz w:val="20"/>
      </w:rPr>
    </w:pPr>
    <w:r w:rsidRPr="006D39E0">
      <w:rPr>
        <w:noProof/>
        <w:color w:val="00B050"/>
        <w:sz w:val="20"/>
        <w:lang w:eastAsia="en-GB"/>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Kopfzeile"/>
      <w:jc w:val="right"/>
      <w:rPr>
        <w:color w:val="00B050"/>
        <w:sz w:val="20"/>
      </w:rPr>
    </w:pPr>
  </w:p>
  <w:p w14:paraId="08307736" w14:textId="2CB27F20" w:rsidR="00E862D0" w:rsidRPr="006D39E0" w:rsidRDefault="00E862D0" w:rsidP="00B50534">
    <w:pPr>
      <w:pStyle w:val="Kopfzeile"/>
      <w:jc w:val="right"/>
      <w:rPr>
        <w:color w:val="00B050"/>
        <w:sz w:val="20"/>
      </w:rPr>
    </w:pPr>
  </w:p>
  <w:p w14:paraId="5EAB6EC6" w14:textId="77777777" w:rsidR="001B50AB" w:rsidRPr="00B50534" w:rsidRDefault="001B50AB"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9536ECD"/>
    <w:multiLevelType w:val="hybridMultilevel"/>
    <w:tmpl w:val="73FC2AE8"/>
    <w:lvl w:ilvl="0" w:tplc="8B581AB6">
      <w:start w:val="1"/>
      <w:numFmt w:val="decimal"/>
      <w:pStyle w:val="Listenabsatz"/>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D1101"/>
    <w:multiLevelType w:val="multilevel"/>
    <w:tmpl w:val="CB1CA814"/>
    <w:lvl w:ilvl="0">
      <w:start w:val="1"/>
      <w:numFmt w:val="decimal"/>
      <w:pStyle w:val="berschrift1"/>
      <w:lvlText w:val="%1."/>
      <w:lvlJc w:val="left"/>
      <w:pPr>
        <w:ind w:left="432" w:hanging="432"/>
      </w:pPr>
      <w:rPr>
        <w:color w:val="auto"/>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7"/>
  </w:num>
  <w:num w:numId="3">
    <w:abstractNumId w:val="1"/>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activeWritingStyle w:appName="MSWord" w:lang="en-GB" w:vendorID="64" w:dllVersion="4096" w:nlCheck="1" w:checkStyle="0"/>
  <w:activeWritingStyle w:appName="MSWord" w:lang="en-US" w:vendorID="64" w:dllVersion="4096" w:nlCheck="1" w:checkStyle="0"/>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C4C"/>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1D"/>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0E15"/>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3299"/>
    <w:rsid w:val="00213BFB"/>
    <w:rsid w:val="00214AB3"/>
    <w:rsid w:val="00215AE7"/>
    <w:rsid w:val="0021600C"/>
    <w:rsid w:val="002167C9"/>
    <w:rsid w:val="00217478"/>
    <w:rsid w:val="002207D9"/>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10A"/>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6DB9"/>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6E5D"/>
    <w:rsid w:val="0052704C"/>
    <w:rsid w:val="00530738"/>
    <w:rsid w:val="00531432"/>
    <w:rsid w:val="005333E8"/>
    <w:rsid w:val="00533BEF"/>
    <w:rsid w:val="00533DD4"/>
    <w:rsid w:val="00533E89"/>
    <w:rsid w:val="00534647"/>
    <w:rsid w:val="00534EE1"/>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837"/>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3A65"/>
    <w:rsid w:val="007F48EF"/>
    <w:rsid w:val="007F4F88"/>
    <w:rsid w:val="007F5822"/>
    <w:rsid w:val="007F6881"/>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3AE"/>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1C7C"/>
    <w:rsid w:val="00A31D93"/>
    <w:rsid w:val="00A34A04"/>
    <w:rsid w:val="00A35C4D"/>
    <w:rsid w:val="00A367AA"/>
    <w:rsid w:val="00A36D06"/>
    <w:rsid w:val="00A375DF"/>
    <w:rsid w:val="00A37C4A"/>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2C9C"/>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124"/>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16E9"/>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1D3B"/>
    <w:rsid w:val="00D821BC"/>
    <w:rsid w:val="00D82429"/>
    <w:rsid w:val="00D83693"/>
    <w:rsid w:val="00D84C2A"/>
    <w:rsid w:val="00D8726A"/>
    <w:rsid w:val="00D90C91"/>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582"/>
    <w:rsid w:val="00DC58C8"/>
    <w:rsid w:val="00DC7669"/>
    <w:rsid w:val="00DC7A05"/>
    <w:rsid w:val="00DC7F4F"/>
    <w:rsid w:val="00DD1214"/>
    <w:rsid w:val="00DD1464"/>
    <w:rsid w:val="00DD15B9"/>
    <w:rsid w:val="00DD21A4"/>
    <w:rsid w:val="00DD330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1A79"/>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B9"/>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614B"/>
    <w:rsid w:val="00EB6639"/>
    <w:rsid w:val="00EB723C"/>
    <w:rsid w:val="00EB7402"/>
    <w:rsid w:val="00EC0254"/>
    <w:rsid w:val="00EC0B75"/>
    <w:rsid w:val="00EC0CA7"/>
    <w:rsid w:val="00EC21CF"/>
    <w:rsid w:val="00EC2E88"/>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1A60"/>
    <w:rsid w:val="00F3279A"/>
    <w:rsid w:val="00F3555B"/>
    <w:rsid w:val="00F401F4"/>
    <w:rsid w:val="00F42CF5"/>
    <w:rsid w:val="00F43305"/>
    <w:rsid w:val="00F43BF5"/>
    <w:rsid w:val="00F44634"/>
    <w:rsid w:val="00F44CA4"/>
    <w:rsid w:val="00F46823"/>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2EC"/>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7C8F"/>
    <w:pPr>
      <w:spacing w:after="25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lang w:val="en-GB"/>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ind w:left="792" w:hanging="432"/>
    </w:pPr>
    <w:rPr>
      <w:b/>
      <w:sz w:val="28"/>
    </w:rPr>
  </w:style>
  <w:style w:type="character" w:customStyle="1" w:styleId="Title1Char">
    <w:name w:val="Title 1 Char"/>
    <w:basedOn w:val="Absatz-Standardschriftart"/>
    <w:link w:val="Title1"/>
    <w:rsid w:val="003C4EB5"/>
    <w:rPr>
      <w:rFonts w:asciiTheme="majorHAnsi" w:hAnsiTheme="majorHAnsi" w:cstheme="majorBidi"/>
      <w:b/>
      <w:sz w:val="28"/>
      <w:szCs w:val="22"/>
      <w:lang w:val="de-DE"/>
    </w:rPr>
  </w:style>
  <w:style w:type="paragraph" w:styleId="Listenabsatz">
    <w:name w:val="List Paragraph"/>
    <w:aliases w:val="Paragraphe EI,Paragraphe de liste1,EC,Paragraphe de liste,Normal Nivel 1,List Paragraph Main,List first level,List Paragraph_Sections,Dot pt,Bullet Points,No Spacing1,List Paragraph Char Char Char,Indicator Text,Numbered Para 1,Bullet 1"/>
    <w:basedOn w:val="Standard"/>
    <w:link w:val="ListenabsatzZchn"/>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Listenabsatz"/>
    <w:link w:val="Title3Char"/>
    <w:autoRedefine/>
    <w:rsid w:val="002574D1"/>
    <w:pPr>
      <w:numPr>
        <w:ilvl w:val="3"/>
        <w:numId w:val="1"/>
      </w:numPr>
    </w:pPr>
  </w:style>
  <w:style w:type="character" w:customStyle="1" w:styleId="Title3Char">
    <w:name w:val="Title 3 Char"/>
    <w:basedOn w:val="Absatz-Standardschriftar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el">
    <w:name w:val="Title"/>
    <w:basedOn w:val="Standard"/>
    <w:next w:val="Standard"/>
    <w:link w:val="TitelZchn"/>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AD3DE6"/>
    <w:pPr>
      <w:tabs>
        <w:tab w:val="left" w:pos="440"/>
        <w:tab w:val="right" w:leader="dot" w:pos="9062"/>
      </w:tabs>
      <w:spacing w:after="100"/>
    </w:pPr>
  </w:style>
  <w:style w:type="paragraph" w:styleId="Verzeichnis2">
    <w:name w:val="toc 2"/>
    <w:basedOn w:val="Standard"/>
    <w:next w:val="Standard"/>
    <w:autoRedefine/>
    <w:uiPriority w:val="39"/>
    <w:unhideWhenUsed/>
    <w:rsid w:val="002607CC"/>
    <w:pPr>
      <w:tabs>
        <w:tab w:val="left" w:pos="880"/>
        <w:tab w:val="right" w:leader="dot" w:pos="9062"/>
      </w:tabs>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4815AE"/>
    <w:pPr>
      <w:numPr>
        <w:numId w:val="8"/>
      </w:numPr>
      <w:contextualSpacing/>
    </w:pPr>
    <w:rPr>
      <w:b/>
      <w:szCs w:val="22"/>
    </w:rPr>
  </w:style>
  <w:style w:type="character" w:customStyle="1" w:styleId="QuestionstyleChar">
    <w:name w:val="Question style Char"/>
    <w:basedOn w:val="Absatz-Standardschriftart"/>
    <w:link w:val="Questionstyle"/>
    <w:rsid w:val="004815AE"/>
    <w:rPr>
      <w:b/>
      <w:sz w:val="22"/>
      <w:szCs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Footnote Text Char Char,Fußnote,FSR footnote,lábléc,fn,Texto nota pie Car,notefranz,Note de bas de page,single space,FOOTNOTES,Footnote Text Char Char Char Char Char Char,stile 1,Testo_note,Testo_note1,Testo_note2,Fußnotentext C,f,Char3"/>
    <w:basedOn w:val="Standard"/>
    <w:link w:val="FunotentextZchn"/>
    <w:autoRedefine/>
    <w:uiPriority w:val="99"/>
    <w:unhideWhenUsed/>
    <w:qFormat/>
    <w:rsid w:val="00955893"/>
    <w:pPr>
      <w:spacing w:after="0" w:line="240" w:lineRule="auto"/>
    </w:pPr>
    <w:rPr>
      <w:sz w:val="16"/>
    </w:rPr>
  </w:style>
  <w:style w:type="character" w:customStyle="1" w:styleId="FunotentextZchn">
    <w:name w:val="Fußnotentext Zchn"/>
    <w:aliases w:val="Footnote Text Char Char Zchn,Fußnote Zchn,FSR footnote Zchn,lábléc Zchn,fn Zchn,Texto nota pie Car Zchn,notefranz Zchn,Note de bas de page Zchn,single space Zchn,FOOTNOTES Zchn,Footnote Text Char Char Char Char Char Char Zchn,f Zchn"/>
    <w:basedOn w:val="Absatz-Standardschriftart"/>
    <w:link w:val="Funotentext"/>
    <w:uiPriority w:val="99"/>
    <w:rsid w:val="00955893"/>
    <w:rPr>
      <w:sz w:val="16"/>
      <w:lang w:val="en-GB"/>
    </w:rPr>
  </w:style>
  <w:style w:type="character" w:styleId="Funotenzeichen">
    <w:name w:val="footnote reference"/>
    <w:aliases w:val="Footnote Reference Number,Footnote Reference_LVL6,Footnote Reference_LVL61,Footnote Reference_LVL62,Footnote Reference_LVL63,Footnote Reference_LVL64,normal,Appel note de bas de p.,fr,SUPERS,EN Footnote Reference,number,Footnote symbo"/>
    <w:basedOn w:val="Absatz-Standardschriftart"/>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3C16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pPr>
      <w:spacing w:line="240" w:lineRule="auto"/>
    </w:pPr>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Absatz-Standardschriftart"/>
    <w:rsid w:val="00595F08"/>
  </w:style>
  <w:style w:type="character" w:styleId="NichtaufgelsteErwhnung">
    <w:name w:val="Unresolved Mention"/>
    <w:basedOn w:val="Absatz-Standardschriftart"/>
    <w:uiPriority w:val="99"/>
    <w:semiHidden/>
    <w:unhideWhenUsed/>
    <w:rsid w:val="008E7ADA"/>
    <w:rPr>
      <w:color w:val="605E5C"/>
      <w:shd w:val="clear" w:color="auto" w:fill="E1DFDD"/>
    </w:rPr>
  </w:style>
  <w:style w:type="paragraph" w:customStyle="1" w:styleId="CM1">
    <w:name w:val="CM1"/>
    <w:basedOn w:val="Standard"/>
    <w:next w:val="Standard"/>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Standard"/>
    <w:next w:val="Standard"/>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Standard"/>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Absatz-Standardschriftart"/>
    <w:uiPriority w:val="99"/>
    <w:rsid w:val="00F70AD5"/>
    <w:rPr>
      <w:b/>
      <w:bCs/>
      <w:i/>
      <w:iCs/>
      <w:color w:val="00C000"/>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Dot pt Zchn,Bullet Points Zchn,No Spacing1 Zchn,Bullet 1 Zchn"/>
    <w:basedOn w:val="Absatz-Standardschriftart"/>
    <w:link w:val="Listenabsatz"/>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Standard"/>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ma.europa.e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ESMA74-362-887</_dlc_DocId>
    <TaxCatchAll xmlns="20fbe147-bbda-4e53-b6b1-7e8bbff3fe19">
      <Value>14</Value>
      <Value>45</Value>
      <Value>801</Value>
      <Value>91</Value>
    </TaxCatchAll>
    <_dlc_DocIdUrl xmlns="20fbe147-bbda-4e53-b6b1-7e8bbff3fe19">
      <Url>https://sherpa.esma.europa.eu/sites/MKT/MDP/_layouts/15/DocIdRedir.aspx?ID=ESMA74-362-887</Url>
      <Description>ESMA74-362-887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MITF</TermName>
          <TermId xmlns="http://schemas.microsoft.com/office/infopath/2007/PartnerControls">a0706370-0a24-486c-a476-21d9f6c624d8</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ee140d88-8f0a-4721-93ff-8646c3896e06</TermId>
        </TermInfo>
      </Term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9D08C-C201-48AF-BAD4-5D640F044587}">
  <ds:schemaRefs>
    <ds:schemaRef ds:uri="http://schemas.openxmlformats.org/officeDocument/2006/bibliography"/>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16</Pages>
  <Words>3048</Words>
  <Characters>19204</Characters>
  <Application>Microsoft Office Word</Application>
  <DocSecurity>8</DocSecurity>
  <Lines>160</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Boris Bartels</cp:lastModifiedBy>
  <cp:revision>15</cp:revision>
  <cp:lastPrinted>2017-07-24T14:47:00Z</cp:lastPrinted>
  <dcterms:created xsi:type="dcterms:W3CDTF">2020-11-17T11:56:00Z</dcterms:created>
  <dcterms:modified xsi:type="dcterms:W3CDTF">2020-11-17T20:23:00Z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