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0E139EFF" w:rsidR="00997DA7" w:rsidRPr="00C85C8B" w:rsidRDefault="004C4688" w:rsidP="00A402A0">
                <w:pPr>
                  <w:rPr>
                    <w:rFonts w:ascii="Arial" w:hAnsi="Arial" w:cs="Arial"/>
                    <w:color w:val="808080"/>
                    <w:sz w:val="20"/>
                    <w:lang w:eastAsia="de-DE"/>
                  </w:rPr>
                </w:pPr>
                <w:r>
                  <w:rPr>
                    <w:rFonts w:ascii="Arial" w:hAnsi="Arial" w:cs="Arial"/>
                    <w:sz w:val="20"/>
                    <w:lang w:eastAsia="de-DE"/>
                  </w:rPr>
                  <w:t>Citadel</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37C85F7" w:rsidR="00997DA7" w:rsidRPr="00C85C8B" w:rsidRDefault="000B0BA9"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C4688">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4F6B418F" w:rsidR="00997DA7" w:rsidRPr="00C85C8B" w:rsidRDefault="004C4688" w:rsidP="00A402A0">
                <w:pPr>
                  <w:rPr>
                    <w:rFonts w:ascii="Arial" w:hAnsi="Arial" w:cs="Arial"/>
                    <w:sz w:val="20"/>
                    <w:lang w:eastAsia="de-DE"/>
                  </w:rPr>
                </w:pPr>
                <w:r>
                  <w:rPr>
                    <w:rFonts w:ascii="Arial" w:hAnsi="Arial" w:cs="Arial"/>
                    <w:sz w:val="20"/>
                    <w:lang w:eastAsia="de-DE"/>
                  </w:rPr>
                  <w:t>International</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24B3880" w14:textId="77777777" w:rsidR="000B0D26" w:rsidRDefault="000B0D26" w:rsidP="000B0D26">
      <w:permStart w:id="2008832412" w:edGrp="everyone"/>
      <w:r>
        <w:t>TYPE YOUR TEXT HERE</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29B32309" w:rsidR="000B0D26" w:rsidRDefault="00477827" w:rsidP="000B0D26">
      <w:permStart w:id="999892361" w:edGrp="everyone"/>
      <w:r>
        <w:t>No, this simply serves to clarify the existing requirement in Article 26(5).</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lastRenderedPageBreak/>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64016871" w14:textId="4D10EF42" w:rsidR="00477827" w:rsidRDefault="001135DF" w:rsidP="004D23D6">
      <w:pPr>
        <w:spacing w:line="240" w:lineRule="auto"/>
        <w:rPr>
          <w:szCs w:val="22"/>
        </w:rPr>
      </w:pPr>
      <w:permStart w:id="1725236856" w:edGrp="everyone"/>
      <w:r>
        <w:rPr>
          <w:szCs w:val="22"/>
        </w:rPr>
        <w:t>We strongly support ESMA extending reference data reporting, transaction reporting, and transparency to include derivatives traded with an SI.</w:t>
      </w:r>
    </w:p>
    <w:p w14:paraId="1FFBBECD" w14:textId="5F8548B7" w:rsidR="00477827" w:rsidRDefault="001135DF" w:rsidP="004D23D6">
      <w:pPr>
        <w:spacing w:line="240" w:lineRule="auto"/>
        <w:rPr>
          <w:rFonts w:cs="Arial"/>
        </w:rPr>
      </w:pPr>
      <w:r>
        <w:rPr>
          <w:rFonts w:cs="Arial"/>
        </w:rPr>
        <w:t>At the moment, ~95% of off-venue trading activity in interest rate OTC derivatives is currently not considered ToTV.</w:t>
      </w:r>
      <w:r>
        <w:rPr>
          <w:rStyle w:val="FootnoteReference"/>
          <w:rFonts w:cs="Arial"/>
        </w:rPr>
        <w:footnoteReference w:id="2"/>
      </w:r>
      <w:r>
        <w:rPr>
          <w:rFonts w:cs="Arial"/>
        </w:rPr>
        <w:t xml:space="preserve">  We agree with ESMA’s conclusion in the </w:t>
      </w:r>
      <w:r w:rsidRPr="000F3129">
        <w:rPr>
          <w:rFonts w:cs="Arial"/>
          <w:i/>
        </w:rPr>
        <w:t>MiFID II/MiFIR review report on the transparency regime for non-equity instruments</w:t>
      </w:r>
      <w:r>
        <w:rPr>
          <w:rFonts w:cs="Arial"/>
        </w:rPr>
        <w:t xml:space="preserve"> that this was not the intention of the co-legislators.</w:t>
      </w:r>
      <w:r>
        <w:rPr>
          <w:rStyle w:val="FootnoteReference"/>
          <w:rFonts w:cs="Arial"/>
        </w:rPr>
        <w:footnoteReference w:id="3"/>
      </w:r>
      <w:r>
        <w:rPr>
          <w:rFonts w:cs="Arial"/>
        </w:rPr>
        <w:t xml:space="preserve">  </w:t>
      </w:r>
      <w:r w:rsidR="000F3129">
        <w:rPr>
          <w:rFonts w:cs="Arial"/>
        </w:rPr>
        <w:t>The status quo approach not only undermines market transparency but also hinders regulatory oversight and supervision of SI trading activity.</w:t>
      </w:r>
      <w:r w:rsidR="001F3E48">
        <w:rPr>
          <w:rFonts w:cs="Arial"/>
        </w:rPr>
        <w:t xml:space="preserve">  We note that, based on feedback to the non-equity transparency consultation, this view is shared by a broad and diverse coalition of market participants (including buy-side trade associations, trading venues, proprietary trading firms, and technology providers), with the notable exception of bank SIs and </w:t>
      </w:r>
      <w:r w:rsidR="00F05380">
        <w:rPr>
          <w:rFonts w:cs="Arial"/>
        </w:rPr>
        <w:t xml:space="preserve">bank SI </w:t>
      </w:r>
      <w:r w:rsidR="001F3E48">
        <w:rPr>
          <w:rFonts w:cs="Arial"/>
        </w:rPr>
        <w:t>trade associations.</w:t>
      </w:r>
    </w:p>
    <w:p w14:paraId="034962E9" w14:textId="1EC38248" w:rsidR="000F3129" w:rsidRPr="000F3129" w:rsidRDefault="000F3129" w:rsidP="004D23D6">
      <w:pPr>
        <w:spacing w:line="240" w:lineRule="auto"/>
        <w:rPr>
          <w:szCs w:val="22"/>
        </w:rPr>
      </w:pPr>
      <w:r>
        <w:rPr>
          <w:rFonts w:cs="Arial"/>
        </w:rPr>
        <w:t>Including derivatives traded with an SI has several benefits compared to solely revising the definition of ToTV:</w:t>
      </w:r>
    </w:p>
    <w:p w14:paraId="01B43A9F" w14:textId="060DD39C" w:rsidR="00D61394" w:rsidRDefault="00D61394" w:rsidP="003A3494">
      <w:pPr>
        <w:pStyle w:val="ListParagraph"/>
        <w:numPr>
          <w:ilvl w:val="0"/>
          <w:numId w:val="9"/>
        </w:numPr>
      </w:pPr>
      <w:r w:rsidRPr="001D5E39">
        <w:rPr>
          <w:b/>
        </w:rPr>
        <w:t xml:space="preserve">Levels the playing field between trading venues and </w:t>
      </w:r>
      <w:r w:rsidR="000B0BA9">
        <w:rPr>
          <w:b/>
        </w:rPr>
        <w:t xml:space="preserve">non-equities </w:t>
      </w:r>
      <w:r w:rsidRPr="001D5E39">
        <w:rPr>
          <w:b/>
        </w:rPr>
        <w:t>S</w:t>
      </w:r>
      <w:r>
        <w:rPr>
          <w:b/>
        </w:rPr>
        <w:t xml:space="preserve">Is.  </w:t>
      </w:r>
      <w:r>
        <w:t>At the moment, there is</w:t>
      </w:r>
      <w:r w:rsidRPr="001D5E39">
        <w:t xml:space="preserve"> an unlevel </w:t>
      </w:r>
      <w:r w:rsidR="004D23D6">
        <w:t xml:space="preserve">regulatory </w:t>
      </w:r>
      <w:r w:rsidRPr="001D5E39">
        <w:t xml:space="preserve">playing field in favour of </w:t>
      </w:r>
      <w:r w:rsidR="000B0BA9">
        <w:t xml:space="preserve">non-equities </w:t>
      </w:r>
      <w:r w:rsidRPr="001D5E39">
        <w:t xml:space="preserve">SIs, </w:t>
      </w:r>
      <w:r>
        <w:t xml:space="preserve">which </w:t>
      </w:r>
      <w:r w:rsidRPr="001D5E39">
        <w:t xml:space="preserve">incentivizes </w:t>
      </w:r>
      <w:r w:rsidR="000B0BA9">
        <w:t xml:space="preserve">non-equities </w:t>
      </w:r>
      <w:r w:rsidRPr="001D5E39">
        <w:t>SIs to keep as much of their trading activity away from regulated venues as possible.  These incentives are contrary to the objectives of the post-crisis reforms to the OTC derivatives markets, which include increasing market transparency and transitioning OTC derivatives trading activity onto regulated trading venues.</w:t>
      </w:r>
    </w:p>
    <w:p w14:paraId="55B38FD3" w14:textId="7E13723C" w:rsidR="00477827" w:rsidRDefault="00477827" w:rsidP="003A3494">
      <w:pPr>
        <w:pStyle w:val="ListParagraph"/>
        <w:numPr>
          <w:ilvl w:val="0"/>
          <w:numId w:val="9"/>
        </w:numPr>
      </w:pPr>
      <w:r w:rsidRPr="00D61394">
        <w:rPr>
          <w:b/>
        </w:rPr>
        <w:t>Establishes a comprehensive post-trade transparency regime</w:t>
      </w:r>
      <w:r w:rsidRPr="001D5E39">
        <w:t xml:space="preserve">.  </w:t>
      </w:r>
      <w:r w:rsidR="00D61394">
        <w:t xml:space="preserve">This approach </w:t>
      </w:r>
      <w:r w:rsidR="00333330">
        <w:t xml:space="preserve">seeks to </w:t>
      </w:r>
      <w:r w:rsidR="003F4967">
        <w:t>ensure</w:t>
      </w:r>
      <w:r w:rsidR="00D61394">
        <w:t xml:space="preserve"> that </w:t>
      </w:r>
      <w:r w:rsidRPr="001D5E39">
        <w:t xml:space="preserve">all off-venue derivatives </w:t>
      </w:r>
      <w:r w:rsidR="00D61394">
        <w:t xml:space="preserve">traded with an SI </w:t>
      </w:r>
      <w:r w:rsidRPr="001D5E39">
        <w:t>are subject to post-trade transparency</w:t>
      </w:r>
      <w:r w:rsidR="003F4967">
        <w:t>, closing a significant gap in the current regime</w:t>
      </w:r>
      <w:r w:rsidRPr="001D5E39">
        <w:t>.  Comprehensive post-</w:t>
      </w:r>
      <w:r w:rsidRPr="001D5E39">
        <w:lastRenderedPageBreak/>
        <w:t>trade transparency is critical in order for investors to perform accurate transaction cost analysis and best execution assessments, and enables the production of more general market research and commentary that benefits all market participants.  Academic research finds that where post-trade transparency is comprehensively implemented, material benefits accrue to investors, including improved liquidity (even for larger sized trades), lower transaction cos</w:t>
      </w:r>
      <w:r w:rsidR="00D61394">
        <w:t xml:space="preserve">ts, and increased competition. </w:t>
      </w:r>
    </w:p>
    <w:p w14:paraId="061A1523" w14:textId="3068067E" w:rsidR="00716135" w:rsidRPr="00716135" w:rsidRDefault="00716135" w:rsidP="007C21E7">
      <w:pPr>
        <w:pStyle w:val="ListParagraph"/>
        <w:numPr>
          <w:ilvl w:val="0"/>
          <w:numId w:val="9"/>
        </w:numPr>
      </w:pPr>
      <w:r w:rsidRPr="00716135">
        <w:rPr>
          <w:b/>
        </w:rPr>
        <w:t>Support</w:t>
      </w:r>
      <w:r w:rsidR="007C21E7">
        <w:rPr>
          <w:b/>
        </w:rPr>
        <w:t>s</w:t>
      </w:r>
      <w:r w:rsidRPr="00716135">
        <w:rPr>
          <w:b/>
        </w:rPr>
        <w:t xml:space="preserve"> the implemen</w:t>
      </w:r>
      <w:r w:rsidR="006C13FB">
        <w:rPr>
          <w:b/>
        </w:rPr>
        <w:t>tation of a post-trade consoli</w:t>
      </w:r>
      <w:r w:rsidRPr="00716135">
        <w:rPr>
          <w:b/>
        </w:rPr>
        <w:t>dated tape</w:t>
      </w:r>
      <w:r>
        <w:t xml:space="preserve">.  </w:t>
      </w:r>
      <w:r w:rsidR="007C21E7" w:rsidRPr="007C21E7">
        <w:t xml:space="preserve">A post-trade CT should provide market participants with a consolidated view of all trading activity in a particular instrument (both on-venue and off-venue).  </w:t>
      </w:r>
      <w:r w:rsidR="007C21E7">
        <w:t xml:space="preserve">The current lack of data relating to derivatives traded off-venue undermines the benefits of a post-trade CT, including </w:t>
      </w:r>
      <w:r w:rsidR="007C21E7" w:rsidRPr="007C21E7">
        <w:t>being able to use the post-trade CT for transaction cost analysis and best execution asse</w:t>
      </w:r>
      <w:r w:rsidR="007C21E7">
        <w:t>ssments.</w:t>
      </w:r>
    </w:p>
    <w:p w14:paraId="7B0E6A72" w14:textId="0BC7ABE5" w:rsidR="00D61394" w:rsidRDefault="004D23D6" w:rsidP="003A3494">
      <w:pPr>
        <w:pStyle w:val="ListParagraph"/>
        <w:numPr>
          <w:ilvl w:val="0"/>
          <w:numId w:val="9"/>
        </w:numPr>
      </w:pPr>
      <w:r>
        <w:rPr>
          <w:b/>
        </w:rPr>
        <w:t>Minimal</w:t>
      </w:r>
      <w:r w:rsidR="00D61394" w:rsidRPr="001D5E39">
        <w:rPr>
          <w:b/>
        </w:rPr>
        <w:t xml:space="preserve"> operational and compliance costs</w:t>
      </w:r>
      <w:r w:rsidR="00D61394" w:rsidRPr="001D5E39">
        <w:t xml:space="preserve">.  Operational costs associated with the change should be minimal, as </w:t>
      </w:r>
      <w:r>
        <w:t>SI</w:t>
      </w:r>
      <w:r w:rsidR="00D61394" w:rsidRPr="001D5E39">
        <w:t>s have already established the necessary reporting infrastructure under MiFID II and will simply leverage t</w:t>
      </w:r>
      <w:r>
        <w:t>hese existing systems to report</w:t>
      </w:r>
      <w:r w:rsidR="00D61394" w:rsidRPr="001D5E39">
        <w:t xml:space="preserve"> transactions.  </w:t>
      </w:r>
      <w:r>
        <w:t>As a result</w:t>
      </w:r>
      <w:r w:rsidR="00D61394" w:rsidRPr="001D5E39">
        <w:t xml:space="preserve">, the </w:t>
      </w:r>
      <w:r>
        <w:t xml:space="preserve">inclusion of </w:t>
      </w:r>
      <w:r>
        <w:rPr>
          <w:rFonts w:cs="Arial"/>
        </w:rPr>
        <w:t>derivatives traded with an SI</w:t>
      </w:r>
      <w:r w:rsidR="00D61394" w:rsidRPr="001D5E39">
        <w:t xml:space="preserve"> should not create new reporting parties or a need to establish new reporting arrangements.  </w:t>
      </w:r>
      <w:r w:rsidR="00BD77F1">
        <w:t>In addition, instead of assessing each SI transaction against a ever-changing ToTV standard, SIs will simply be required to report all transactions, reducing internal compliance costs.</w:t>
      </w:r>
    </w:p>
    <w:p w14:paraId="72EAD04C" w14:textId="3BEF35F2" w:rsidR="003F4967" w:rsidRPr="001D5E39" w:rsidRDefault="003F4967" w:rsidP="003A3494">
      <w:pPr>
        <w:pStyle w:val="ListParagraph"/>
        <w:numPr>
          <w:ilvl w:val="0"/>
          <w:numId w:val="9"/>
        </w:numPr>
      </w:pPr>
      <w:r w:rsidRPr="001D5E39">
        <w:rPr>
          <w:b/>
        </w:rPr>
        <w:t xml:space="preserve">Provides </w:t>
      </w:r>
      <w:r w:rsidRPr="001D5E39">
        <w:rPr>
          <w:b/>
          <w:color w:val="000000" w:themeColor="text1"/>
        </w:rPr>
        <w:t>sufficient time to hedge</w:t>
      </w:r>
      <w:r w:rsidRPr="001D5E39">
        <w:rPr>
          <w:color w:val="000000" w:themeColor="text1"/>
        </w:rPr>
        <w:t xml:space="preserve">.  </w:t>
      </w:r>
      <w:r>
        <w:t xml:space="preserve">Including derivatives traded with SIs </w:t>
      </w:r>
      <w:r w:rsidRPr="001D5E39">
        <w:t xml:space="preserve">does not mean that </w:t>
      </w:r>
      <w:r w:rsidR="00BD77F1">
        <w:t xml:space="preserve">all off-venue transactions will be </w:t>
      </w:r>
      <w:r w:rsidRPr="001D5E39">
        <w:t xml:space="preserve">reported in real-time.  Instead, the available post-trade deferrals are designed to provide sufficient time for liquidity providers to hedge, regardless of whether the transaction is executed on-venue or off-venue.  </w:t>
      </w:r>
      <w:r>
        <w:t xml:space="preserve">We support ESMA’s </w:t>
      </w:r>
      <w:r w:rsidR="004D23D6">
        <w:t>recommendations</w:t>
      </w:r>
      <w:r w:rsidRPr="001D5E39">
        <w:t xml:space="preserve"> </w:t>
      </w:r>
      <w:r w:rsidR="004D23D6">
        <w:t>in the</w:t>
      </w:r>
      <w:r w:rsidRPr="001D5E39">
        <w:t xml:space="preserve"> </w:t>
      </w:r>
      <w:r w:rsidR="004D23D6" w:rsidRPr="000F3129">
        <w:rPr>
          <w:rFonts w:cs="Arial"/>
          <w:i/>
        </w:rPr>
        <w:t>MiFID II/MiFIR review report on the transparency regime for non-equity instruments</w:t>
      </w:r>
      <w:r w:rsidR="004D23D6">
        <w:rPr>
          <w:rFonts w:cs="Arial"/>
        </w:rPr>
        <w:t xml:space="preserve"> setting forth a more streamlined deferral regime.  </w:t>
      </w:r>
      <w:r w:rsidRPr="001D5E39">
        <w:t>As a leading liquidity provider in non-equities asset classes, Citadel Securities has found that this type of post-trade transparency framework provides appropriate protections against information leakage while supporting competition and liquidity.</w:t>
      </w:r>
    </w:p>
    <w:p w14:paraId="532F54CA" w14:textId="709CAD1B" w:rsidR="00477827" w:rsidRPr="001D5E39" w:rsidRDefault="00477827" w:rsidP="003A3494">
      <w:pPr>
        <w:pStyle w:val="ListParagraph"/>
        <w:numPr>
          <w:ilvl w:val="0"/>
          <w:numId w:val="9"/>
        </w:numPr>
      </w:pPr>
      <w:r w:rsidRPr="001D5E39">
        <w:rPr>
          <w:b/>
        </w:rPr>
        <w:t>Increases harmonisation with other jurisdictions</w:t>
      </w:r>
      <w:r w:rsidRPr="001D5E39">
        <w:t xml:space="preserve">.  </w:t>
      </w:r>
      <w:r w:rsidR="004D23D6">
        <w:t>T</w:t>
      </w:r>
      <w:r w:rsidRPr="001D5E39">
        <w:t>he post-trade transparency frameworks implemented in the US for non-equities asset classes, including OTC derivatives, corporate bonds, municipal bonds, and agency mortgage-backed securities, cover all off-venue transactions and do not contain anything similar to the ToTV concept in MiFID II.</w:t>
      </w:r>
      <w:r w:rsidR="004D23D6">
        <w:t xml:space="preserve">  Expanding MiFID II transparency regime to cover derivatives traded with an SI will increase harmonisation with those frameworks.</w:t>
      </w:r>
    </w:p>
    <w:p w14:paraId="44F5109E" w14:textId="01BD02BB" w:rsidR="00477827" w:rsidRDefault="00477827" w:rsidP="003A3494">
      <w:pPr>
        <w:pStyle w:val="ListParagraph"/>
        <w:numPr>
          <w:ilvl w:val="0"/>
          <w:numId w:val="9"/>
        </w:numPr>
      </w:pPr>
      <w:r w:rsidRPr="001D5E39">
        <w:rPr>
          <w:b/>
        </w:rPr>
        <w:lastRenderedPageBreak/>
        <w:t>Reduces systemic risk</w:t>
      </w:r>
      <w:r w:rsidRPr="001D5E39">
        <w:t xml:space="preserve">.  A key lesson of the financial crisis is the importance of providing policymakers with access to comprehensive data regarding trading activity in the OTC derivatives market for monitoring and surveillance purposes.  </w:t>
      </w:r>
      <w:r w:rsidR="004D23D6">
        <w:t xml:space="preserve">Including derivatives traded with SIs for transaction reporting </w:t>
      </w:r>
      <w:r w:rsidRPr="001D5E39">
        <w:t>provide</w:t>
      </w:r>
      <w:r w:rsidR="004D23D6">
        <w:t>s</w:t>
      </w:r>
      <w:r w:rsidRPr="001D5E39">
        <w:t xml:space="preserve"> </w:t>
      </w:r>
      <w:r w:rsidR="004D23D6">
        <w:t xml:space="preserve">more </w:t>
      </w:r>
      <w:r w:rsidRPr="001D5E39">
        <w:t>comprehensive data regarding off-venue transactions to policymakers.  Providing policymakers with comprehensive data will not only assist in the analysis of specific market events, but will also improve general monitoring and surveillance capabilities, including those designed to detect disruptive trading practices or risks to market stability.  These reporting enhancements will also protect market resiliency by increasing market oversight and will provide policymakers with the data to better evaluate how policy decisions may be expected to impact the market.</w:t>
      </w:r>
    </w:p>
    <w:p w14:paraId="49A2772E" w14:textId="14D95502" w:rsidR="00477827" w:rsidRPr="00F05380" w:rsidRDefault="00F05380" w:rsidP="00F05380">
      <w:pPr>
        <w:spacing w:line="240" w:lineRule="auto"/>
        <w:rPr>
          <w:szCs w:val="22"/>
        </w:rPr>
      </w:pPr>
      <w:r>
        <w:rPr>
          <w:szCs w:val="22"/>
        </w:rPr>
        <w:t>Solely revising</w:t>
      </w:r>
      <w:r w:rsidR="00477827" w:rsidRPr="001D5E39">
        <w:rPr>
          <w:szCs w:val="22"/>
        </w:rPr>
        <w:t xml:space="preserve"> the interpretation of ToTV, with the intent of broadening its scope</w:t>
      </w:r>
      <w:r>
        <w:rPr>
          <w:szCs w:val="22"/>
        </w:rPr>
        <w:t xml:space="preserve">, </w:t>
      </w:r>
      <w:r w:rsidR="00477827" w:rsidRPr="001D5E39">
        <w:rPr>
          <w:szCs w:val="22"/>
        </w:rPr>
        <w:t>would fail to deliver the benefits detailed above, leaving a post-t</w:t>
      </w:r>
      <w:r>
        <w:rPr>
          <w:szCs w:val="22"/>
        </w:rPr>
        <w:t xml:space="preserve">rade transparency regime that </w:t>
      </w:r>
      <w:r w:rsidR="00333330">
        <w:rPr>
          <w:szCs w:val="22"/>
        </w:rPr>
        <w:t>maintains</w:t>
      </w:r>
      <w:r w:rsidR="00477827" w:rsidRPr="001D5E39">
        <w:rPr>
          <w:szCs w:val="22"/>
        </w:rPr>
        <w:t xml:space="preserve"> an unlevel playing field betwee</w:t>
      </w:r>
      <w:r>
        <w:rPr>
          <w:szCs w:val="22"/>
        </w:rPr>
        <w:t xml:space="preserve">n trading venues and </w:t>
      </w:r>
      <w:r w:rsidR="000B0BA9">
        <w:t xml:space="preserve">non-equities </w:t>
      </w:r>
      <w:proofErr w:type="spellStart"/>
      <w:r>
        <w:rPr>
          <w:szCs w:val="22"/>
        </w:rPr>
        <w:t>SIs</w:t>
      </w:r>
      <w:proofErr w:type="spellEnd"/>
      <w:r w:rsidR="00477827" w:rsidRPr="001D5E39">
        <w:rPr>
          <w:szCs w:val="22"/>
        </w:rPr>
        <w:t xml:space="preserve">.  Importantly, as long as market participants are subject to </w:t>
      </w:r>
      <w:r>
        <w:rPr>
          <w:szCs w:val="22"/>
        </w:rPr>
        <w:t>materially</w:t>
      </w:r>
      <w:r w:rsidR="00477827" w:rsidRPr="001D5E39">
        <w:rPr>
          <w:szCs w:val="22"/>
        </w:rPr>
        <w:t xml:space="preserve"> different post-trade transparency requirements depending on whether a transaction is considered to be ToTV, there will be incentives to structure around whatever definition of ToTV is provided.  The current regime has clearly demonstrated the practical difficulties associated with attempting to delineate specific characteristics of complex OTC derivatives that must be present in order for an instrument to be considered ToTV, characteristics that </w:t>
      </w:r>
      <w:r>
        <w:rPr>
          <w:szCs w:val="22"/>
        </w:rPr>
        <w:t>vary across asset classes.</w:t>
      </w:r>
      <w:r w:rsidR="00BD77F1">
        <w:rPr>
          <w:szCs w:val="22"/>
        </w:rPr>
        <w:t xml:space="preserve">  As such, we recommend that ESMA include derivatives traded on an SI for reference data reporting, transaction reporting, and transparency purposes.</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6794C76E" w:rsidR="000B0D26" w:rsidRDefault="00BB6C52" w:rsidP="00BB6C52">
      <w:pPr>
        <w:spacing w:line="240" w:lineRule="auto"/>
      </w:pPr>
      <w:permStart w:id="1355041525" w:edGrp="everyone"/>
      <w:r>
        <w:t xml:space="preserve">We agree that all SIs should be covered, including voluntary SIs.  This is particularly important in the derivatives asset classes, where continuing data quality issues mean that the mandatory SI regime fails to capture </w:t>
      </w:r>
      <w:r w:rsidR="00333330">
        <w:t xml:space="preserve">many </w:t>
      </w:r>
      <w:r>
        <w:t>firms that</w:t>
      </w:r>
      <w:r w:rsidR="00333330">
        <w:t xml:space="preserve"> are in practice acting as SIs in particular sub-asset classes</w:t>
      </w:r>
      <w:r>
        <w:t>.  Opting-into the SI regime means that a firm is agreeing to comply with the requirements associated with being a registered SI, including any transaction reporting and transparency requirements.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lastRenderedPageBreak/>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49EE6F68" w:rsidR="000B0D26" w:rsidRDefault="003A3494" w:rsidP="000B0D26">
      <w:permStart w:id="1583692609" w:edGrp="everyone"/>
      <w:r>
        <w:t>Option 1 is the only option that will meaningfully increase transparency compared to the current status quo.</w:t>
      </w:r>
    </w:p>
    <w:p w14:paraId="396665B0" w14:textId="317CC648" w:rsidR="003A3494" w:rsidRDefault="003A3494" w:rsidP="000B0D26">
      <w:r>
        <w:t>Options 2 and 3 suffer from two critical flaws:</w:t>
      </w:r>
    </w:p>
    <w:p w14:paraId="7687710F" w14:textId="2130A114" w:rsidR="00082010" w:rsidRDefault="003A3494" w:rsidP="003A3494">
      <w:pPr>
        <w:pStyle w:val="ListParagraph"/>
      </w:pPr>
      <w:r w:rsidRPr="003A3494">
        <w:rPr>
          <w:b/>
        </w:rPr>
        <w:t xml:space="preserve">Many investment firms have opted-in as an SI </w:t>
      </w:r>
      <w:r w:rsidR="00082010">
        <w:rPr>
          <w:b/>
        </w:rPr>
        <w:t xml:space="preserve">only </w:t>
      </w:r>
      <w:r w:rsidRPr="003A3494">
        <w:rPr>
          <w:b/>
        </w:rPr>
        <w:t>for ToTV instruments</w:t>
      </w:r>
      <w:r>
        <w:t xml:space="preserve">.  As ESMA has indicated in Question 11a in </w:t>
      </w:r>
      <w:r w:rsidRPr="003A3494">
        <w:rPr>
          <w:i/>
        </w:rPr>
        <w:t>MiFID II and MiFIR transparency topics – Systematic internaliser regime</w:t>
      </w:r>
      <w:r>
        <w:t>,</w:t>
      </w:r>
      <w:r w:rsidRPr="003A3494">
        <w:rPr>
          <w:rStyle w:val="FootnoteReference"/>
        </w:rPr>
        <w:footnoteReference w:id="4"/>
      </w:r>
      <w:r>
        <w:t xml:space="preserve"> firms can decide to opt-in as an SI solely for ToTV instruments.  With continuing data quality</w:t>
      </w:r>
      <w:bookmarkStart w:id="2" w:name="_GoBack"/>
      <w:bookmarkEnd w:id="2"/>
      <w:r>
        <w:t xml:space="preserve"> issues limiting the scope of the mandatory SI regime</w:t>
      </w:r>
      <w:r w:rsidR="00082010">
        <w:t xml:space="preserve"> for derivatives</w:t>
      </w:r>
      <w:r w:rsidR="000B0BA9">
        <w:t>, voluntary SI</w:t>
      </w:r>
      <w:r>
        <w:t xml:space="preserve">s account for a significant trading volumes in derivatives.  </w:t>
      </w:r>
    </w:p>
    <w:p w14:paraId="6537F128" w14:textId="479D4A81" w:rsidR="00082010" w:rsidRDefault="00082010" w:rsidP="003A3494">
      <w:pPr>
        <w:pStyle w:val="ListParagraph"/>
      </w:pPr>
      <w:r>
        <w:rPr>
          <w:b/>
        </w:rPr>
        <w:t xml:space="preserve">The mandatory SI regime for derivatives is largely limited to ToTV instruments.  </w:t>
      </w:r>
      <w:r>
        <w:t xml:space="preserve">As ESMA has acknowledged in Question 11 in </w:t>
      </w:r>
      <w:r w:rsidRPr="003A3494">
        <w:rPr>
          <w:i/>
        </w:rPr>
        <w:t>MiFID II and MiFIR transparency topics – Systematic internaliser regime</w:t>
      </w:r>
      <w:r>
        <w:t>,</w:t>
      </w:r>
      <w:r w:rsidRPr="003A3494">
        <w:rPr>
          <w:rStyle w:val="FootnoteReference"/>
        </w:rPr>
        <w:footnoteReference w:id="5"/>
      </w:r>
      <w:r>
        <w:t xml:space="preserve"> ESMA (and NCAs) do not have access to comprehensive data regarding non-ToTV instruments.  As a result, ESMA is only publishing information on ToTV instruments for determining whether an investment firm meets the thresholds to be considered as an SI.  While it is theretically possible for a firm to qualify as a mandatory SI in a non-ToTV instrument, in practice, the mandatory Si regime for derivatives is largely limited to ToTV instruments.</w:t>
      </w:r>
    </w:p>
    <w:p w14:paraId="2E97C900" w14:textId="713C3415" w:rsidR="00082010" w:rsidRDefault="00082010" w:rsidP="00082010">
      <w:r>
        <w:t>Given the above, if transparency and transaction reporting requirements were limited only to instruments for which an investment firm qualifies as an SI, in many cases, there would be little to no change from the current status quo, as only ToTV instruments would be covered.</w:t>
      </w:r>
      <w:r w:rsidR="002C65DE">
        <w:t xml:space="preserve">  This limited scope would also be self-perpetuating, as there would be no mechanism for ESMA (or NCAs) to collect comprehensive data on non-ToTV instruments in order to increase to scope of the mandatory SI regime over time.</w:t>
      </w:r>
    </w:p>
    <w:p w14:paraId="2DA6F2FB" w14:textId="5E4F9E42" w:rsidR="002C65DE" w:rsidRDefault="002C65DE" w:rsidP="00082010">
      <w:pPr>
        <w:rPr>
          <w:szCs w:val="22"/>
        </w:rPr>
      </w:pPr>
      <w:r>
        <w:t xml:space="preserve">As a result, if the objective is to increase the scope of the </w:t>
      </w:r>
      <w:r w:rsidR="002D0BA8">
        <w:rPr>
          <w:szCs w:val="22"/>
        </w:rPr>
        <w:t xml:space="preserve">reference data reporting, transaction reporting, and transparency requirements and level the playing field between </w:t>
      </w:r>
      <w:r w:rsidR="000B0BA9">
        <w:t xml:space="preserve">non-equities </w:t>
      </w:r>
      <w:proofErr w:type="spellStart"/>
      <w:r w:rsidR="002D0BA8">
        <w:rPr>
          <w:szCs w:val="22"/>
        </w:rPr>
        <w:t>SIs</w:t>
      </w:r>
      <w:proofErr w:type="spellEnd"/>
      <w:r w:rsidR="002D0BA8">
        <w:rPr>
          <w:szCs w:val="22"/>
        </w:rPr>
        <w:t xml:space="preserve"> and trading venues, Option 1 must be selected.  This approach will ensure regulators have </w:t>
      </w:r>
      <w:r w:rsidR="002D0BA8">
        <w:rPr>
          <w:szCs w:val="22"/>
        </w:rPr>
        <w:lastRenderedPageBreak/>
        <w:t>access to more comprehensive data regarding SI trading activities and will also be easier to implement and supervise.</w:t>
      </w:r>
    </w:p>
    <w:p w14:paraId="19457B5D" w14:textId="29B7F779" w:rsidR="00BB6C52" w:rsidRDefault="002D0BA8" w:rsidP="000B0D26">
      <w:r>
        <w:rPr>
          <w:szCs w:val="22"/>
        </w:rPr>
        <w:t>In addition to applying requirements on a sub-asset class level, we recommend specifying that  a</w:t>
      </w:r>
      <w:r w:rsidRPr="002D0BA8">
        <w:rPr>
          <w:szCs w:val="22"/>
        </w:rPr>
        <w:t xml:space="preserve">ll derivatives subject to the derivatives trading obligation (DTO) </w:t>
      </w:r>
      <w:r>
        <w:rPr>
          <w:szCs w:val="22"/>
        </w:rPr>
        <w:t xml:space="preserve">are </w:t>
      </w:r>
      <w:r w:rsidRPr="002D0BA8">
        <w:rPr>
          <w:szCs w:val="22"/>
        </w:rPr>
        <w:t xml:space="preserve">automatically considered ToTV. </w:t>
      </w:r>
      <w:r>
        <w:rPr>
          <w:szCs w:val="22"/>
        </w:rPr>
        <w:t xml:space="preserve">  By definition, these instruments are traded on trading venues an</w:t>
      </w:r>
      <w:r w:rsidR="004F0697">
        <w:rPr>
          <w:szCs w:val="22"/>
        </w:rPr>
        <w:t>d adding this</w:t>
      </w:r>
      <w:r>
        <w:rPr>
          <w:szCs w:val="22"/>
        </w:rPr>
        <w:t xml:space="preserve"> qualitative criteria </w:t>
      </w:r>
      <w:r w:rsidRPr="002D0BA8">
        <w:rPr>
          <w:szCs w:val="22"/>
        </w:rPr>
        <w:t xml:space="preserve">will ensure that, even if a counterparty is not subject to the DTO, and therefore is </w:t>
      </w:r>
      <w:r>
        <w:rPr>
          <w:szCs w:val="22"/>
        </w:rPr>
        <w:t xml:space="preserve">permitted </w:t>
      </w:r>
      <w:r w:rsidRPr="002D0BA8">
        <w:rPr>
          <w:szCs w:val="22"/>
        </w:rPr>
        <w:t xml:space="preserve">to execute the transaction off-venue, that transaction will be subject to transparency </w:t>
      </w:r>
      <w:r>
        <w:rPr>
          <w:szCs w:val="22"/>
        </w:rPr>
        <w:t xml:space="preserve">and transaction reporting </w:t>
      </w:r>
      <w:r w:rsidRPr="002D0BA8">
        <w:rPr>
          <w:szCs w:val="22"/>
        </w:rPr>
        <w:t>requirements.</w:t>
      </w:r>
      <w:r>
        <w:rPr>
          <w:szCs w:val="22"/>
        </w:rPr>
        <w:t xml:space="preserve">  At the moment, this is not always the case for interest rate derivatives subject to the DTO, given the multiple ISINs often created for the same instrument.</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lastRenderedPageBreak/>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lastRenderedPageBreak/>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lastRenderedPageBreak/>
        <w:t>&lt;ESMA_QUESTION_TRRF_18&gt;</w:t>
      </w:r>
    </w:p>
    <w:p w14:paraId="3CC5A6CC" w14:textId="77777777" w:rsidR="000B0D26" w:rsidRDefault="000B0D26" w:rsidP="000B0D26">
      <w:permStart w:id="609292179" w:edGrp="everyone"/>
      <w:r>
        <w:t>TYPE YOUR TEXT HERE</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77777777" w:rsidR="000B0D26" w:rsidRDefault="000B0D26" w:rsidP="000B0D26">
      <w:permStart w:id="1075606273" w:edGrp="everyone"/>
      <w:r>
        <w:t>TYPE YOUR TEXT HERE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77777777" w:rsidR="000B0D26" w:rsidRDefault="000B0D26" w:rsidP="000B0D26">
      <w:permStart w:id="580139045" w:edGrp="everyone"/>
      <w:r>
        <w:t>TYPE YOUR TEXT HERE</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lastRenderedPageBreak/>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BA7D637" w:rsidR="000B0D26" w:rsidRDefault="004F0697" w:rsidP="000B0D26">
      <w:permStart w:id="783692263" w:edGrp="everyone"/>
      <w:r>
        <w:t>We agree that both trading venues and SIs should indicate whether a pre-trade waiver (or post-trade deferral) has been applied to a specific transaction.</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654CF480" w:rsidR="000B0D26" w:rsidRDefault="003A4F03" w:rsidP="000B0D26">
      <w:permStart w:id="1580817176" w:edGrp="everyone"/>
      <w:r>
        <w:t xml:space="preserve">We are concerned that current ISIN granularity continues to result in </w:t>
      </w:r>
      <w:r w:rsidR="00923579">
        <w:t>serious data quality issues, even where additional ESMA guidance has been provided.</w:t>
      </w:r>
    </w:p>
    <w:p w14:paraId="327C6F19" w14:textId="0D5E4E09" w:rsidR="00923579" w:rsidRDefault="00923579" w:rsidP="000B0D26">
      <w:r>
        <w:t xml:space="preserve">For example, ESMA helpfully clarified that the field “Delivery Type” is only to be populated with “Cash” for interest rate derivatives when the settlement currency amounts are paid in a currency other than the reference currency.  However, analysis by ANNA-DSB shows that market practice continues to be inconsistent (see </w:t>
      </w:r>
      <w:hyperlink r:id="rId21" w:history="1">
        <w:r w:rsidRPr="00F8732B">
          <w:rPr>
            <w:rStyle w:val="Hyperlink"/>
          </w:rPr>
          <w:t>https://www.anna-dsb.com/2019/10/31/cash-or-physical-otc-ird-delivery-type-user-activity-evolves-but-more-work-needed-to-implement-the-esma-guidance/</w:t>
        </w:r>
      </w:hyperlink>
      <w:r>
        <w:t xml:space="preserve">).  </w:t>
      </w:r>
    </w:p>
    <w:p w14:paraId="47E14529" w14:textId="60E37DD0" w:rsidR="003A4F03" w:rsidRDefault="003A4F03" w:rsidP="000B0D26">
      <w:r>
        <w:t xml:space="preserve">Referencing international </w:t>
      </w:r>
      <w:r w:rsidR="006E22E2">
        <w:t>standards and/or identifiers when possible may alleviate existing data quality issues under MiFID II.</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lastRenderedPageBreak/>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2"/>
      <w:footerReference w:type="default" r:id="rId2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BB6B" w14:textId="77777777" w:rsidR="007457D1" w:rsidRDefault="007457D1" w:rsidP="007E7997">
      <w:pPr>
        <w:spacing w:line="240" w:lineRule="auto"/>
      </w:pPr>
      <w:r>
        <w:separator/>
      </w:r>
    </w:p>
  </w:endnote>
  <w:endnote w:type="continuationSeparator" w:id="0">
    <w:p w14:paraId="0D95ECE2" w14:textId="77777777" w:rsidR="007457D1" w:rsidRDefault="007457D1" w:rsidP="007E7997">
      <w:pPr>
        <w:spacing w:line="240" w:lineRule="auto"/>
      </w:pPr>
      <w:r>
        <w:continuationSeparator/>
      </w:r>
    </w:p>
  </w:endnote>
  <w:endnote w:type="continuationNotice" w:id="1">
    <w:p w14:paraId="542F654C" w14:textId="77777777" w:rsidR="007457D1" w:rsidRDefault="007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22230BFA" w:rsidR="001B50AB" w:rsidRDefault="001B50AB" w:rsidP="00FB24ED">
        <w:pPr>
          <w:pStyle w:val="Footer"/>
          <w:jc w:val="right"/>
        </w:pPr>
        <w:r>
          <w:fldChar w:fldCharType="begin"/>
        </w:r>
        <w:r>
          <w:instrText xml:space="preserve"> PAGE   \* MERGEFORMAT </w:instrText>
        </w:r>
        <w:r>
          <w:fldChar w:fldCharType="separate"/>
        </w:r>
        <w:r w:rsidR="000B0BA9">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D0F6" w14:textId="77777777" w:rsidR="007457D1" w:rsidRDefault="007457D1" w:rsidP="007E7997">
      <w:pPr>
        <w:spacing w:line="240" w:lineRule="auto"/>
      </w:pPr>
      <w:r>
        <w:separator/>
      </w:r>
    </w:p>
  </w:footnote>
  <w:footnote w:type="continuationSeparator" w:id="0">
    <w:p w14:paraId="6A312A6F" w14:textId="77777777" w:rsidR="007457D1" w:rsidRDefault="007457D1" w:rsidP="007E7997">
      <w:pPr>
        <w:spacing w:line="240" w:lineRule="auto"/>
      </w:pPr>
      <w:r>
        <w:continuationSeparator/>
      </w:r>
    </w:p>
  </w:footnote>
  <w:footnote w:type="continuationNotice" w:id="1">
    <w:p w14:paraId="584E7D1C" w14:textId="77777777" w:rsidR="007457D1" w:rsidRDefault="007457D1">
      <w:pPr>
        <w:spacing w:after="0" w:line="240" w:lineRule="auto"/>
      </w:pPr>
    </w:p>
  </w:footnote>
  <w:footnote w:id="2">
    <w:p w14:paraId="048C5A27" w14:textId="6A8CDCC1" w:rsidR="001135DF" w:rsidRPr="001135DF" w:rsidRDefault="001135DF">
      <w:pPr>
        <w:pStyle w:val="FootnoteText"/>
        <w:rPr>
          <w:lang w:val="en-US"/>
        </w:rPr>
      </w:pPr>
      <w:r>
        <w:rPr>
          <w:rStyle w:val="FootnoteReference"/>
        </w:rPr>
        <w:footnoteRef/>
      </w:r>
      <w:r>
        <w:t xml:space="preserve"> </w:t>
      </w:r>
      <w:hyperlink r:id="rId1" w:history="1">
        <w:r>
          <w:rPr>
            <w:rStyle w:val="Hyperlink"/>
            <w:rFonts w:cs="Arial"/>
          </w:rPr>
          <w:t>https://www.clarusft.com/what-we-need-to-do-to-fix-mifid-ii-data/</w:t>
        </w:r>
      </w:hyperlink>
      <w:r>
        <w:t>.</w:t>
      </w:r>
    </w:p>
  </w:footnote>
  <w:footnote w:id="3">
    <w:p w14:paraId="23439E2B" w14:textId="20E54C76" w:rsidR="001135DF" w:rsidRPr="001135DF" w:rsidRDefault="001135DF" w:rsidP="001135DF">
      <w:pPr>
        <w:pStyle w:val="FootnoteText"/>
        <w:rPr>
          <w:lang w:val="en-US"/>
        </w:rPr>
      </w:pPr>
      <w:r>
        <w:rPr>
          <w:rStyle w:val="FootnoteReference"/>
        </w:rPr>
        <w:footnoteRef/>
      </w:r>
      <w:r>
        <w:t xml:space="preserve"> </w:t>
      </w:r>
      <w:hyperlink r:id="rId2" w:history="1">
        <w:r w:rsidRPr="00342EBA">
          <w:rPr>
            <w:rStyle w:val="Hyperlink"/>
          </w:rPr>
          <w:t>https://www.esma.europa.eu/sites/default/files/library/esma70-156-3329_mifid_ii_mifir_review_report_on_the_transparency_regime_for_non-equity_instruments.pdf</w:t>
        </w:r>
      </w:hyperlink>
      <w:r>
        <w:t xml:space="preserve"> at Paragraph 221.</w:t>
      </w:r>
    </w:p>
  </w:footnote>
  <w:footnote w:id="4">
    <w:p w14:paraId="7E5424CB" w14:textId="26CC3417" w:rsidR="003A3494" w:rsidRPr="003A3494" w:rsidRDefault="003A3494">
      <w:pPr>
        <w:pStyle w:val="FootnoteText"/>
        <w:rPr>
          <w:lang w:val="en-US"/>
        </w:rPr>
      </w:pPr>
      <w:r>
        <w:rPr>
          <w:rStyle w:val="FootnoteReference"/>
        </w:rPr>
        <w:footnoteRef/>
      </w:r>
      <w:r>
        <w:t xml:space="preserve"> </w:t>
      </w:r>
      <w:r w:rsidRPr="003A3494">
        <w:t>https://www.esma.europa.eu/sites/default/files/library/esma70-872942901-35_qas_transparency_issues.pdf</w:t>
      </w:r>
    </w:p>
  </w:footnote>
  <w:footnote w:id="5">
    <w:p w14:paraId="60EAF926" w14:textId="77777777" w:rsidR="00082010" w:rsidRPr="003A3494" w:rsidRDefault="00082010" w:rsidP="00082010">
      <w:pPr>
        <w:pStyle w:val="FootnoteText"/>
        <w:rPr>
          <w:lang w:val="en-US"/>
        </w:rPr>
      </w:pPr>
      <w:r>
        <w:rPr>
          <w:rStyle w:val="FootnoteReference"/>
        </w:rPr>
        <w:footnoteRef/>
      </w:r>
      <w:r>
        <w:t xml:space="preserve"> </w:t>
      </w:r>
      <w:r w:rsidRPr="003A3494">
        <w:t>https://www.esma.europa.eu/sites/default/files/library/esma70-872942901-35_qas_transparency_issues.pdf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2" w14:textId="77777777" w:rsidR="001B50AB" w:rsidRDefault="001B50AB">
    <w:pPr>
      <w:pStyle w:val="Header"/>
    </w:pPr>
    <w:r>
      <w:rPr>
        <w:noProof/>
        <w:lang w:val="en-US"/>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lang w:val="en-US"/>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lang w:val="en-US"/>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77777777" w:rsidR="001B50AB" w:rsidRDefault="001B50AB"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val="en-US"/>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E570460"/>
    <w:multiLevelType w:val="hybridMultilevel"/>
    <w:tmpl w:val="C07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2B7310"/>
    <w:multiLevelType w:val="hybridMultilevel"/>
    <w:tmpl w:val="6FC6964E"/>
    <w:lvl w:ilvl="0" w:tplc="97B2F4C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36ECD"/>
    <w:multiLevelType w:val="hybridMultilevel"/>
    <w:tmpl w:val="73FC2AE8"/>
    <w:lvl w:ilvl="0" w:tplc="8B581AB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9"/>
  </w:num>
  <w:num w:numId="3">
    <w:abstractNumId w:val="1"/>
  </w:num>
  <w:num w:numId="4">
    <w:abstractNumId w:val="4"/>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proofState w:spelling="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201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BA9"/>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129"/>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5DF"/>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5E39"/>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3E48"/>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29AF"/>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65DE"/>
    <w:rsid w:val="002C76F4"/>
    <w:rsid w:val="002D0AF9"/>
    <w:rsid w:val="002D0BA8"/>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3330"/>
    <w:rsid w:val="0033587C"/>
    <w:rsid w:val="00335C95"/>
    <w:rsid w:val="003371E8"/>
    <w:rsid w:val="003377DC"/>
    <w:rsid w:val="00337FA7"/>
    <w:rsid w:val="003400BB"/>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494"/>
    <w:rsid w:val="003A39B8"/>
    <w:rsid w:val="003A3D55"/>
    <w:rsid w:val="003A42E4"/>
    <w:rsid w:val="003A43D8"/>
    <w:rsid w:val="003A44D0"/>
    <w:rsid w:val="003A4719"/>
    <w:rsid w:val="003A4F03"/>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C7E77"/>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4967"/>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827"/>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4688"/>
    <w:rsid w:val="004C608D"/>
    <w:rsid w:val="004C6728"/>
    <w:rsid w:val="004D1834"/>
    <w:rsid w:val="004D23D6"/>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697"/>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4C9"/>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13F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2E2"/>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135"/>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1E7"/>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357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C52"/>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7F1"/>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39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380"/>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3A3494"/>
    <w:pPr>
      <w:numPr>
        <w:numId w:val="10"/>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FT"/>
    <w:basedOn w:val="Normal"/>
    <w:link w:val="FootnoteTextChar"/>
    <w:autoRedefine/>
    <w:unhideWhenUsed/>
    <w:qFormat/>
    <w:rsid w:val="001135DF"/>
    <w:pPr>
      <w:spacing w:after="0" w:line="240" w:lineRule="auto"/>
      <w:jc w:val="left"/>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rsid w:val="001135DF"/>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3A3494"/>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nna-dsb.com/2019/10/31/cash-or-physical-otc-ird-delivery-type-user-activity-evolves-but-more-work-needed-to-implement-the-esma-guidan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esma70-156-3329_mifid_ii_mifir_review_report_on_the_transparency_regime_for_non-equity_instruments.pdf" TargetMode="External"/><Relationship Id="rId1" Type="http://schemas.openxmlformats.org/officeDocument/2006/relationships/hyperlink" Target="https://www.clarusft.com/what-we-need-to-do-to-fix-mifid-ii-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documentManagement/types"/>
    <ds:schemaRef ds:uri="http://purl.org/dc/elements/1.1/"/>
    <ds:schemaRef ds:uri="http://purl.org/dc/terms/"/>
    <ds:schemaRef ds:uri="http://schemas.microsoft.com/sharepoint/v4"/>
    <ds:schemaRef ds:uri="http://schemas.openxmlformats.org/package/2006/metadata/core-properties"/>
    <ds:schemaRef ds:uri="20fbe147-bbda-4e53-b6b1-7e8bbff3fe19"/>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7655F89-6E66-4A08-A868-CCD67C58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17</Pages>
  <Words>3265</Words>
  <Characters>18611</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Platt, Jonah</cp:lastModifiedBy>
  <cp:revision>3</cp:revision>
  <cp:lastPrinted>2017-07-24T14:47:00Z</cp:lastPrinted>
  <dcterms:created xsi:type="dcterms:W3CDTF">2020-11-17T16:02:00Z</dcterms:created>
  <dcterms:modified xsi:type="dcterms:W3CDTF">2020-11-17T16:05:00Z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