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ubtitle"/>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4"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5"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6" w:history="1">
        <w:r w:rsidRPr="00AB6157">
          <w:rPr>
            <w:color w:val="0563C1" w:themeColor="hyperlink"/>
            <w:u w:val="single"/>
          </w:rPr>
          <w:t>www.esma.europa.eu</w:t>
        </w:r>
      </w:hyperlink>
      <w:r w:rsidRPr="00AB6157">
        <w:t xml:space="preserve"> under the heading </w:t>
      </w:r>
      <w:hyperlink r:id="rId17"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tc>
          <w:tcPr>
            <w:tcW w:w="5595" w:type="dxa"/>
            <w:shd w:val="clear" w:color="auto" w:fill="auto"/>
          </w:tcPr>
          <w:p w14:paraId="040F9675" w14:textId="24D76D23" w:rsidR="00997DA7" w:rsidRPr="00C85C8B" w:rsidRDefault="0005345F" w:rsidP="0005345F">
            <w:pPr>
              <w:rPr>
                <w:rFonts w:ascii="Arial" w:hAnsi="Arial" w:cs="Arial"/>
                <w:color w:val="808080"/>
                <w:sz w:val="20"/>
                <w:lang w:eastAsia="de-DE"/>
              </w:rPr>
            </w:pPr>
            <w:r>
              <w:rPr>
                <w:rFonts w:ascii="Arial" w:hAnsi="Arial" w:cs="Arial"/>
                <w:sz w:val="20"/>
                <w:lang w:eastAsia="de-DE"/>
              </w:rPr>
              <w:t>Bloomberg L.P.</w:t>
            </w:r>
          </w:p>
        </w:tc>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27E01B9B" w:rsidR="00997DA7" w:rsidRPr="00C85C8B" w:rsidRDefault="00A13C28"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94378">
                  <w:rPr>
                    <w:rFonts w:ascii="Arial" w:hAnsi="Arial" w:cs="Arial"/>
                    <w:sz w:val="20"/>
                    <w:lang w:eastAsia="de-DE"/>
                  </w:rPr>
                  <w:t>Other Financial service providers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978DA0" w14:textId="77777777" w:rsidR="00997DA7" w:rsidRPr="00C85C8B" w:rsidRDefault="00997DA7" w:rsidP="00A402A0">
                <w:pPr>
                  <w:rPr>
                    <w:rFonts w:ascii="Arial" w:hAnsi="Arial" w:cs="Arial"/>
                    <w:sz w:val="20"/>
                    <w:lang w:eastAsia="de-DE"/>
                  </w:rPr>
                </w:pPr>
                <w:r w:rsidRPr="00C85C8B">
                  <w:rPr>
                    <w:rFonts w:ascii="Segoe UI Symbol" w:hAnsi="Segoe UI Symbol" w:cs="Segoe UI Symbol"/>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13DBBD5C" w:rsidR="00997DA7" w:rsidRPr="00C85C8B" w:rsidRDefault="0005345F" w:rsidP="00A402A0">
                <w:pPr>
                  <w:rPr>
                    <w:rFonts w:ascii="Arial" w:hAnsi="Arial" w:cs="Arial"/>
                    <w:sz w:val="20"/>
                    <w:lang w:eastAsia="de-DE"/>
                  </w:rPr>
                </w:pPr>
                <w:r>
                  <w:rPr>
                    <w:rFonts w:ascii="Arial" w:hAnsi="Arial" w:cs="Arial"/>
                    <w:sz w:val="20"/>
                    <w:lang w:eastAsia="de-DE"/>
                  </w:rPr>
                  <w:t>UK</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bookmarkStart w:id="2" w:name="_GoBack"/>
      <w:bookmarkEnd w:id="2"/>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3414929F" w14:textId="77777777" w:rsidR="00AA737D" w:rsidRDefault="00AA737D" w:rsidP="00AA737D">
      <w:permStart w:id="2008832412" w:edGrp="everyone"/>
      <w:r>
        <w:t>TYPE YOUR TEXT HERE</w:t>
      </w:r>
    </w:p>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62EFC4F1" w14:textId="77777777" w:rsidR="001A69DB" w:rsidRPr="001A69DB" w:rsidRDefault="00DA4021" w:rsidP="00FC0BDE">
      <w:pPr>
        <w:spacing w:after="0" w:line="266" w:lineRule="auto"/>
        <w:rPr>
          <w:rFonts w:cstheme="minorHAnsi"/>
        </w:rPr>
      </w:pPr>
      <w:permStart w:id="1600792670" w:edGrp="everyone"/>
      <w:r w:rsidRPr="001A69DB">
        <w:rPr>
          <w:rFonts w:cstheme="minorHAnsi"/>
          <w:highlight w:val="darkGray"/>
        </w:rPr>
        <w:t>We would support this proposal and consider that the challenges im</w:t>
      </w:r>
      <w:r w:rsidR="00544EC2" w:rsidRPr="001A69DB">
        <w:rPr>
          <w:rFonts w:cstheme="minorHAnsi"/>
          <w:highlight w:val="darkGray"/>
        </w:rPr>
        <w:t>posed w</w:t>
      </w:r>
      <w:r w:rsidRPr="001A69DB">
        <w:rPr>
          <w:rFonts w:cstheme="minorHAnsi"/>
          <w:highlight w:val="darkGray"/>
        </w:rPr>
        <w:t>ould likely be limited given that ma</w:t>
      </w:r>
      <w:r w:rsidR="00294378" w:rsidRPr="001A69DB">
        <w:rPr>
          <w:rFonts w:cstheme="minorHAnsi"/>
          <w:highlight w:val="darkGray"/>
        </w:rPr>
        <w:t>ny firms regulated under UCITS/</w:t>
      </w:r>
      <w:r w:rsidRPr="001A69DB">
        <w:rPr>
          <w:rFonts w:cstheme="minorHAnsi"/>
          <w:highlight w:val="darkGray"/>
        </w:rPr>
        <w:t>AIFMD already trade on EU regulated Trading Venues and therefore are already providing the same information to these Trading Venues as they would now be required to provide to an Approved Reporting Mechanism.</w:t>
      </w:r>
    </w:p>
    <w:permEnd w:id="1600792670"/>
    <w:p w14:paraId="7E8F6CF8" w14:textId="48EDB96F"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7841A561" w14:textId="77777777" w:rsidR="000B0D26" w:rsidRDefault="000B0D26" w:rsidP="000B0D26">
      <w:permStart w:id="999892361" w:edGrp="everyone"/>
      <w:r>
        <w:t>TYPE YOUR TEXT HERE</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5F3D5325" w14:textId="77777777" w:rsidR="000B0D26" w:rsidRDefault="000B0D26" w:rsidP="000B0D26">
      <w:permStart w:id="1042289045" w:edGrp="everyone"/>
      <w:r>
        <w:t>TYPE YOUR TEXT HERE</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lastRenderedPageBreak/>
        <w:t>&lt;ESMA_QUESTION_TRRF_4&gt;</w:t>
      </w:r>
    </w:p>
    <w:p w14:paraId="61BADF68" w14:textId="77777777" w:rsidR="000B0D26" w:rsidRDefault="000B0D26" w:rsidP="000B0D26">
      <w:permStart w:id="1998264754" w:edGrp="everyone"/>
      <w:r>
        <w:t>TYPE YOUR TEXT HERE</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2BBE6F4F" w14:textId="157EC63C" w:rsidR="000B0D26" w:rsidRPr="001A69DB" w:rsidRDefault="00996C5D" w:rsidP="000B0D26">
      <w:pPr>
        <w:rPr>
          <w:rFonts w:cstheme="minorHAnsi"/>
        </w:rPr>
      </w:pPr>
      <w:permStart w:id="1725236856" w:edGrp="everyone"/>
      <w:r w:rsidRPr="001A69DB">
        <w:rPr>
          <w:rFonts w:cstheme="minorHAnsi"/>
        </w:rPr>
        <w:t>We welcome the proposal to extend the scope to instruments traded exclusively by SIs. We believe there would be less issues, as it would mean that all instruments in FIRDS would be reportable. There is confusion today as to whether instrument</w:t>
      </w:r>
      <w:r w:rsidR="001A69DB">
        <w:rPr>
          <w:rFonts w:cstheme="minorHAnsi"/>
        </w:rPr>
        <w:t>s</w:t>
      </w:r>
      <w:r w:rsidRPr="001A69DB">
        <w:rPr>
          <w:rFonts w:cstheme="minorHAnsi"/>
        </w:rPr>
        <w:t xml:space="preserve"> reported exclusively by SIs are reportable, and this proposal will reduce the confusion.</w:t>
      </w:r>
    </w:p>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4BF4D04C" w14:textId="7D699B33" w:rsidR="000B0D26" w:rsidRPr="00FA65D9" w:rsidRDefault="00996C5D" w:rsidP="000B0D26">
      <w:permStart w:id="1355041525" w:edGrp="everyone"/>
      <w:r w:rsidRPr="00FA65D9">
        <w:rPr>
          <w:rFonts w:ascii="Arial" w:hAnsi="Arial" w:cs="Arial"/>
        </w:rPr>
        <w:t>We</w:t>
      </w:r>
      <w:r w:rsidR="00BF6E27" w:rsidRPr="00FA65D9">
        <w:rPr>
          <w:rFonts w:ascii="Arial" w:hAnsi="Arial" w:cs="Arial"/>
        </w:rPr>
        <w:t xml:space="preserve"> agree with ESMA and we</w:t>
      </w:r>
      <w:r w:rsidRPr="00FA65D9">
        <w:rPr>
          <w:rFonts w:ascii="Arial" w:hAnsi="Arial" w:cs="Arial"/>
        </w:rPr>
        <w:t xml:space="preserve"> believe all SIs should be in scope as the alternative would be too complex to implement. Some SIs will have opted in for some instruments and be obliged to be an SI in others. Therefore</w:t>
      </w:r>
      <w:r w:rsidR="001A69DB">
        <w:rPr>
          <w:rFonts w:ascii="Arial" w:hAnsi="Arial" w:cs="Arial"/>
        </w:rPr>
        <w:t>,</w:t>
      </w:r>
      <w:r w:rsidRPr="00FA65D9">
        <w:rPr>
          <w:rFonts w:ascii="Arial" w:hAnsi="Arial" w:cs="Arial"/>
        </w:rPr>
        <w:t xml:space="preserve"> to only require instruments to be reported where they are mandatory, would create unnecessary complexity and </w:t>
      </w:r>
      <w:r w:rsidR="001A69DB">
        <w:rPr>
          <w:rFonts w:ascii="Arial" w:hAnsi="Arial" w:cs="Arial"/>
        </w:rPr>
        <w:t xml:space="preserve">be </w:t>
      </w:r>
      <w:r w:rsidRPr="00FA65D9">
        <w:rPr>
          <w:rFonts w:ascii="Arial" w:hAnsi="Arial" w:cs="Arial"/>
        </w:rPr>
        <w:t>prone to errors.</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xml:space="preserve">: Do you envisage any challenges with the approach described in paragraphs 45-46 on the scope of transactions to be covered by the extension? Please justify your position and indicate your preferred option for SIs under the mandatory </w:t>
      </w:r>
      <w:r>
        <w:lastRenderedPageBreak/>
        <w:t>regime explaining for which reasons. If you disagree with all of the outlined options, please suggest alternatives.</w:t>
      </w:r>
    </w:p>
    <w:p w14:paraId="7D061942" w14:textId="77777777" w:rsidR="000B0D26" w:rsidRDefault="000B0D26" w:rsidP="000B0D26">
      <w:r>
        <w:t>&lt;ESMA_QUESTION_TRRF_7&gt;</w:t>
      </w:r>
    </w:p>
    <w:p w14:paraId="6E03F0EF" w14:textId="371C53D1" w:rsidR="000B0D26" w:rsidRPr="00FA65D9" w:rsidRDefault="00996C5D" w:rsidP="00FC0BDE">
      <w:pPr>
        <w:spacing w:line="266" w:lineRule="auto"/>
      </w:pPr>
      <w:permStart w:id="1583692609" w:edGrp="everyone"/>
      <w:r w:rsidRPr="00FA65D9">
        <w:rPr>
          <w:rFonts w:ascii="Arial" w:hAnsi="Arial" w:cs="Arial"/>
        </w:rPr>
        <w:t>Option 3 would be the preferable option (i.e. only report the instruments in derivatives for which the IF qualifies as an SI and is acting in its capacity as an SI). For these instruments the SI will have obtaine</w:t>
      </w:r>
      <w:r w:rsidR="001A69DB">
        <w:rPr>
          <w:rFonts w:ascii="Arial" w:hAnsi="Arial" w:cs="Arial"/>
        </w:rPr>
        <w:t>d an ISIN, while for the other two</w:t>
      </w:r>
      <w:r w:rsidRPr="00FA65D9">
        <w:rPr>
          <w:rFonts w:ascii="Arial" w:hAnsi="Arial" w:cs="Arial"/>
        </w:rPr>
        <w:t xml:space="preserve"> options the IF will not necessarily have an ISIN, or will now require an ISIN in order to report.</w:t>
      </w:r>
    </w:p>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38ABD462" w14:textId="6B655CC3" w:rsidR="00BF6E27" w:rsidRPr="001A69DB" w:rsidRDefault="00BF6E27" w:rsidP="0005345F">
      <w:pPr>
        <w:rPr>
          <w:rFonts w:cstheme="minorHAnsi"/>
        </w:rPr>
      </w:pPr>
      <w:permStart w:id="2001084504" w:edGrp="everyone"/>
      <w:r w:rsidRPr="001A69DB">
        <w:rPr>
          <w:rFonts w:cstheme="minorHAnsi"/>
        </w:rPr>
        <w:t>As a preliminary observation, the challenge with the existing reporting obligation for indices has been the inability to determine the composition of the index and whether it includes securities that would</w:t>
      </w:r>
      <w:r w:rsidR="001A69DB" w:rsidRPr="001A69DB">
        <w:rPr>
          <w:rFonts w:cstheme="minorHAnsi"/>
        </w:rPr>
        <w:t xml:space="preserve"> be reportable. Additionally we ha</w:t>
      </w:r>
      <w:r w:rsidRPr="001A69DB">
        <w:rPr>
          <w:rFonts w:cstheme="minorHAnsi"/>
        </w:rPr>
        <w:t xml:space="preserve">ve noticed that even NCAs do not validate the reporting eligibility of instruments reported with an index underlying, therefore it has been difficult to gauge whether IFs are under or over reporting. </w:t>
      </w:r>
    </w:p>
    <w:p w14:paraId="391E8B59" w14:textId="5BF07642" w:rsidR="0005345F" w:rsidRPr="001A69DB" w:rsidRDefault="00BF6E27" w:rsidP="0005345F">
      <w:pPr>
        <w:rPr>
          <w:rFonts w:cstheme="minorHAnsi"/>
        </w:rPr>
      </w:pPr>
      <w:r w:rsidRPr="001A69DB">
        <w:rPr>
          <w:rFonts w:cstheme="minorHAnsi"/>
        </w:rPr>
        <w:t>T</w:t>
      </w:r>
      <w:r w:rsidR="0005345F" w:rsidRPr="001A69DB">
        <w:rPr>
          <w:rFonts w:cstheme="minorHAnsi"/>
        </w:rPr>
        <w:t>he amendment of Article 26(2)(c) to reference ‘benchmark’ as defined under the BMR and ensuing need to check the planned central ESMA register of data at benchmark level, would add an another layer of complexity to existing processes and require considerable logic changes for market participants. Furthermore, dependency on another ESMA register woul</w:t>
      </w:r>
      <w:r w:rsidR="00870AE8">
        <w:rPr>
          <w:rFonts w:cstheme="minorHAnsi"/>
        </w:rPr>
        <w:t xml:space="preserve">d create an additional possible challenge and, given the issues experienced </w:t>
      </w:r>
      <w:r w:rsidR="0005345F" w:rsidRPr="001A69DB">
        <w:rPr>
          <w:rFonts w:cstheme="minorHAnsi"/>
        </w:rPr>
        <w:t xml:space="preserve">by FIRDS and FITRS since </w:t>
      </w:r>
      <w:r w:rsidR="001A69DB" w:rsidRPr="001A69DB">
        <w:rPr>
          <w:rFonts w:cstheme="minorHAnsi"/>
        </w:rPr>
        <w:t xml:space="preserve">the </w:t>
      </w:r>
      <w:r w:rsidR="0005345F" w:rsidRPr="001A69DB">
        <w:rPr>
          <w:rFonts w:cstheme="minorHAnsi"/>
        </w:rPr>
        <w:t xml:space="preserve">MiFID II go-live, could be the source of further data management/data quality concerns. </w:t>
      </w:r>
    </w:p>
    <w:p w14:paraId="08F3C6D7" w14:textId="581004B7" w:rsidR="0005345F" w:rsidRPr="00FA65D9" w:rsidRDefault="00243D65" w:rsidP="0005345F">
      <w:pPr>
        <w:rPr>
          <w:rFonts w:cstheme="minorHAnsi"/>
        </w:rPr>
      </w:pPr>
      <w:r>
        <w:rPr>
          <w:rFonts w:cstheme="minorHAnsi"/>
        </w:rPr>
        <w:t>M</w:t>
      </w:r>
      <w:r w:rsidR="0005345F" w:rsidRPr="001A69DB">
        <w:rPr>
          <w:rFonts w:cstheme="minorHAnsi"/>
        </w:rPr>
        <w:t>arket participants’ workflows and reporting processes are likely to be built around programmatic acquisition and processing of FIRDS files, and automated checks. Due consideration must therefore be given to how firms can practically implement an amended scope for TOTV on a large scale and in an automated fashion</w:t>
      </w:r>
      <w:r w:rsidR="0005345F" w:rsidRPr="00FA65D9">
        <w:rPr>
          <w:rFonts w:cstheme="minorHAnsi"/>
        </w:rPr>
        <w:t>.</w:t>
      </w:r>
    </w:p>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lastRenderedPageBreak/>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1C1576A8" w14:textId="77777777" w:rsidR="00BA7341" w:rsidRPr="00FA65D9" w:rsidRDefault="0005345F" w:rsidP="000B0D26">
      <w:pPr>
        <w:rPr>
          <w:rFonts w:cstheme="minorHAnsi"/>
        </w:rPr>
      </w:pPr>
      <w:permStart w:id="292098219" w:edGrp="everyone"/>
      <w:r w:rsidRPr="00FA65D9">
        <w:rPr>
          <w:rFonts w:cstheme="minorHAnsi"/>
        </w:rPr>
        <w:t>As outlined in our response to question 8, we would anticipate that any departure from the status quo could require onerous changes to market participants’ processes.</w:t>
      </w:r>
      <w:r w:rsidR="00BF6E27" w:rsidRPr="00FA65D9">
        <w:rPr>
          <w:rFonts w:cstheme="minorHAnsi"/>
        </w:rPr>
        <w:t xml:space="preserve"> </w:t>
      </w:r>
    </w:p>
    <w:p w14:paraId="53F4F626" w14:textId="3F541CE4" w:rsidR="0005345F" w:rsidRPr="00BA7341" w:rsidRDefault="00BF6E27" w:rsidP="000B0D26">
      <w:pPr>
        <w:rPr>
          <w:rFonts w:cstheme="minorHAnsi"/>
          <w:color w:val="FF0000"/>
        </w:rPr>
      </w:pPr>
      <w:r w:rsidRPr="00FA65D9">
        <w:rPr>
          <w:rFonts w:cstheme="minorHAnsi"/>
        </w:rPr>
        <w:t xml:space="preserve">Nevertheless, whatever </w:t>
      </w:r>
      <w:r w:rsidR="00BA7341" w:rsidRPr="00FA65D9">
        <w:rPr>
          <w:rFonts w:cstheme="minorHAnsi"/>
        </w:rPr>
        <w:t xml:space="preserve">ESMA’s retained option </w:t>
      </w:r>
      <w:r w:rsidRPr="00FA65D9">
        <w:rPr>
          <w:rFonts w:cstheme="minorHAnsi"/>
        </w:rPr>
        <w:t xml:space="preserve">will be, it would be important that </w:t>
      </w:r>
      <w:r w:rsidR="00996C5D" w:rsidRPr="00FA65D9">
        <w:rPr>
          <w:rFonts w:ascii="Arial" w:hAnsi="Arial" w:cs="Arial"/>
        </w:rPr>
        <w:t xml:space="preserve">IFs have a manner in which they can clearly identify if the traded </w:t>
      </w:r>
      <w:r w:rsidR="00BA7341" w:rsidRPr="00FA65D9">
        <w:rPr>
          <w:rFonts w:ascii="Arial" w:hAnsi="Arial" w:cs="Arial"/>
        </w:rPr>
        <w:t>instrument is reportable</w:t>
      </w:r>
      <w:r w:rsidR="00996C5D" w:rsidRPr="00FA65D9">
        <w:rPr>
          <w:rFonts w:ascii="Arial" w:hAnsi="Arial" w:cs="Arial"/>
        </w:rPr>
        <w:t>.</w:t>
      </w:r>
    </w:p>
    <w:permEnd w:id="292098219"/>
    <w:p w14:paraId="6BD5D552" w14:textId="468DE174"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t>&lt;ESMA_QUESTION_TRRF_10&gt;</w:t>
      </w:r>
    </w:p>
    <w:p w14:paraId="419A3F08" w14:textId="77777777" w:rsidR="000B0D26" w:rsidRDefault="000B0D26" w:rsidP="000B0D26">
      <w:permStart w:id="49881006" w:edGrp="everyone"/>
      <w:r>
        <w:t>TYPE YOUR TEXT HERE</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49563860" w14:textId="4C905D0F" w:rsidR="000B0D26" w:rsidRDefault="00DA4021" w:rsidP="000B0D26">
      <w:permStart w:id="692536742" w:edGrp="everyone"/>
      <w:r>
        <w:t xml:space="preserve">We do not foresee challenges, noting that there is no requirement for trading venues offering non-equity products </w:t>
      </w:r>
      <w:r w:rsidR="000A6EF9">
        <w:t xml:space="preserve">in the secondary market </w:t>
      </w:r>
      <w:r>
        <w:t>to seek issuer approval</w:t>
      </w:r>
      <w:r w:rsidR="000A6EF9">
        <w:t>, as detailed in the ESMA Q&amp;A on MiFIR data reporting</w:t>
      </w:r>
      <w:r w:rsidR="001A69DB">
        <w:t>.</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lastRenderedPageBreak/>
        <w:t>&lt;ESMA_QUESTION_TRRF_12&gt;</w:t>
      </w:r>
    </w:p>
    <w:p w14:paraId="5C5E9052" w14:textId="42BB1A5B" w:rsidR="000A6EF9" w:rsidRDefault="000A6EF9" w:rsidP="000B0D26">
      <w:permStart w:id="610287253" w:edGrp="everyone"/>
      <w:r>
        <w:t>We refer you to our response in Q11</w:t>
      </w:r>
      <w:r w:rsidR="001A69DB">
        <w:t>.</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0B317C5B" w14:textId="77777777" w:rsidR="000B0D26" w:rsidRDefault="000B0D26" w:rsidP="000B0D26">
      <w:permStart w:id="414326142" w:edGrp="everyone"/>
      <w:r>
        <w:t>TYPE YOUR TEXT HERE</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6A7A205B" w14:textId="77777777" w:rsidR="000B0D26" w:rsidRDefault="000B0D26" w:rsidP="000B0D26">
      <w:permStart w:id="597436822" w:edGrp="everyone"/>
      <w:r>
        <w:t>TYPE YOUR TEXT HERE</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145940DA" w14:textId="76830C53" w:rsidR="000B0D26" w:rsidRDefault="000A6EF9" w:rsidP="000B0D26">
      <w:permStart w:id="1847806116" w:edGrp="everyone"/>
      <w:r>
        <w:t>We disagree</w:t>
      </w:r>
      <w:r w:rsidR="00DE56C3">
        <w:t xml:space="preserve"> with this proposal considering that it would pose unnecessary operational burden on Trading Venues.  We consider that ESMA could achieve the objective that it seeks through greater promotion of the Termination of FIRDS entries.</w:t>
      </w:r>
    </w:p>
    <w:p w14:paraId="5DBF43B8" w14:textId="1B7A5711" w:rsidR="007E01E5" w:rsidRDefault="00DE56C3" w:rsidP="000B0D26">
      <w:r>
        <w:t xml:space="preserve">Requiring Trading Venues to submit an additive file as </w:t>
      </w:r>
      <w:r w:rsidR="001A69DB">
        <w:t xml:space="preserve">it </w:t>
      </w:r>
      <w:r>
        <w:t>is suggested will require a significant system re-build at significant expense to the industry.  It will likely result in a number of Trading Venues generating extremely large (+100k instrument) lists</w:t>
      </w:r>
      <w:r w:rsidR="007E01E5">
        <w:t xml:space="preserve"> that will be unwieldy to generate and unwieldy for FIRDS to consume.</w:t>
      </w:r>
    </w:p>
    <w:p w14:paraId="446C3FB8" w14:textId="6CA9BF39" w:rsidR="00DE56C3" w:rsidRDefault="007E01E5" w:rsidP="000B0D26">
      <w:r>
        <w:lastRenderedPageBreak/>
        <w:t>ESMA could achieve the objective of encouraging instrument termination through sending reminder files to trading venues when an instrument is live in FIRDS beyond its maturity date.</w:t>
      </w:r>
      <w:r w:rsidR="00DE56C3">
        <w:t xml:space="preserve"> </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3FE86F7A" w14:textId="77777777" w:rsidR="000B0D26" w:rsidRDefault="000B0D26" w:rsidP="000B0D26">
      <w:permStart w:id="1451755809" w:edGrp="everyone"/>
      <w:r>
        <w:t>TYPE YOUR TEXT HERE</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t>&lt;ESMA_QUESTION_TRRF_17&gt;</w:t>
      </w:r>
    </w:p>
    <w:p w14:paraId="426C6F32" w14:textId="77777777" w:rsidR="000B0D26" w:rsidRDefault="000B0D26" w:rsidP="000B0D26">
      <w:permStart w:id="52261098" w:edGrp="everyone"/>
      <w:r>
        <w:t>TYPE YOUR TEXT HERE</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3CC5A6CC" w14:textId="1669A3FB" w:rsidR="000B0D26" w:rsidRDefault="005001CB" w:rsidP="000B0D26">
      <w:permStart w:id="609292179" w:edGrp="everyone"/>
      <w:r>
        <w:t>We consider that a thorough Cost Benefit Analysis should be performed before a new code is man</w:t>
      </w:r>
      <w:r w:rsidR="001A69DB">
        <w:t xml:space="preserve">dated as suggested in Para 76. </w:t>
      </w:r>
      <w:r>
        <w:t>ESMA should consider the cost implications of implementing such a code across the Transaction Reporting community in balance with the</w:t>
      </w:r>
      <w:r w:rsidR="00595E68">
        <w:t xml:space="preserve"> benefits, which are currently unclear, to NCAs.</w:t>
      </w:r>
    </w:p>
    <w:permEnd w:id="609292179"/>
    <w:p w14:paraId="059CAB1E" w14:textId="77777777"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lastRenderedPageBreak/>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0B4868D0" w14:textId="0732FDF9" w:rsidR="00A54DBE" w:rsidRDefault="00A54DBE" w:rsidP="00FC0BDE">
      <w:pPr>
        <w:spacing w:after="0" w:line="264" w:lineRule="auto"/>
        <w:rPr>
          <w:rFonts w:cstheme="minorHAnsi"/>
          <w:bCs/>
          <w:szCs w:val="22"/>
        </w:rPr>
      </w:pPr>
      <w:permStart w:id="1075606273" w:edGrp="everyone"/>
      <w:r w:rsidRPr="001A69DB">
        <w:rPr>
          <w:rFonts w:cstheme="minorHAnsi"/>
          <w:bCs/>
          <w:szCs w:val="22"/>
        </w:rPr>
        <w:t>Distribution of data from systematic internalisers (i.e. SI MIC and ISINs) to their counterparties has been poor. This appears to be particularly problematic in circumstances where the transaction is executed on voice or in asset classes where FIX is not historically used to share transaction details. In many circumstances the non-SI firm is left to make an assumption as to whether their counterparty had acted as an SI in the traded. We welcome any change that will help improve the sharing of data between SIs and their IF firm clients</w:t>
      </w:r>
      <w:r w:rsidR="00FA65D9" w:rsidRPr="001A69DB">
        <w:rPr>
          <w:rFonts w:cstheme="minorHAnsi"/>
          <w:bCs/>
          <w:szCs w:val="22"/>
        </w:rPr>
        <w:t>.</w:t>
      </w:r>
    </w:p>
    <w:p w14:paraId="4A45EF55" w14:textId="77777777" w:rsidR="00FC0BDE" w:rsidRPr="001A69DB" w:rsidRDefault="00FC0BDE" w:rsidP="00FC0BDE">
      <w:pPr>
        <w:spacing w:after="0" w:line="264" w:lineRule="auto"/>
        <w:rPr>
          <w:rFonts w:cstheme="minorHAnsi"/>
          <w:bCs/>
          <w:szCs w:val="22"/>
        </w:rPr>
      </w:pPr>
    </w:p>
    <w:p w14:paraId="50988EAA" w14:textId="07B640CD" w:rsidR="0005345F" w:rsidRPr="001A69DB" w:rsidRDefault="00A54DBE" w:rsidP="001A69DB">
      <w:pPr>
        <w:pStyle w:val="Default"/>
        <w:spacing w:line="264" w:lineRule="auto"/>
        <w:jc w:val="both"/>
        <w:rPr>
          <w:rFonts w:asciiTheme="minorHAnsi" w:hAnsiTheme="minorHAnsi" w:cstheme="minorHAnsi"/>
          <w:bCs/>
          <w:color w:val="auto"/>
          <w:sz w:val="22"/>
          <w:szCs w:val="22"/>
        </w:rPr>
      </w:pPr>
      <w:r w:rsidRPr="001A69DB">
        <w:rPr>
          <w:rFonts w:asciiTheme="minorHAnsi" w:hAnsiTheme="minorHAnsi" w:cstheme="minorHAnsi"/>
          <w:bCs/>
          <w:color w:val="auto"/>
          <w:sz w:val="22"/>
          <w:szCs w:val="22"/>
        </w:rPr>
        <w:t>However, t</w:t>
      </w:r>
      <w:r w:rsidR="0005345F" w:rsidRPr="001A69DB">
        <w:rPr>
          <w:rFonts w:asciiTheme="minorHAnsi" w:hAnsiTheme="minorHAnsi" w:cstheme="minorHAnsi"/>
          <w:bCs/>
          <w:color w:val="auto"/>
          <w:sz w:val="22"/>
          <w:szCs w:val="22"/>
        </w:rPr>
        <w:t xml:space="preserve">he proposal seems to involve the creation of more identification codes purely for this reporting </w:t>
      </w:r>
      <w:r w:rsidR="001A69DB" w:rsidRPr="001A69DB">
        <w:rPr>
          <w:rFonts w:asciiTheme="minorHAnsi" w:hAnsiTheme="minorHAnsi" w:cstheme="minorHAnsi"/>
          <w:bCs/>
          <w:color w:val="auto"/>
          <w:sz w:val="22"/>
          <w:szCs w:val="22"/>
        </w:rPr>
        <w:t xml:space="preserve">requirement. </w:t>
      </w:r>
      <w:r w:rsidR="0005345F" w:rsidRPr="001A69DB">
        <w:rPr>
          <w:rFonts w:asciiTheme="minorHAnsi" w:hAnsiTheme="minorHAnsi" w:cstheme="minorHAnsi"/>
          <w:bCs/>
          <w:color w:val="auto"/>
          <w:sz w:val="22"/>
          <w:szCs w:val="22"/>
        </w:rPr>
        <w:t>Any bespoke coding system such as this, which applies to only one regulation, adds unnecessary burdens to firms that may have many reporting obligations globally. It adds to the data challenges firms face.</w:t>
      </w:r>
    </w:p>
    <w:p w14:paraId="07A5FA76" w14:textId="77777777" w:rsidR="0005345F" w:rsidRPr="001A69DB" w:rsidRDefault="0005345F" w:rsidP="00692A89">
      <w:pPr>
        <w:pStyle w:val="Default"/>
        <w:jc w:val="both"/>
        <w:rPr>
          <w:rFonts w:asciiTheme="minorHAnsi" w:hAnsiTheme="minorHAnsi" w:cstheme="minorHAnsi"/>
          <w:bCs/>
          <w:color w:val="auto"/>
          <w:sz w:val="22"/>
          <w:szCs w:val="22"/>
        </w:rPr>
      </w:pPr>
    </w:p>
    <w:p w14:paraId="05862729" w14:textId="77777777" w:rsidR="0005345F" w:rsidRPr="001A69DB" w:rsidRDefault="0005345F" w:rsidP="00FC0BDE">
      <w:pPr>
        <w:pStyle w:val="Default"/>
        <w:spacing w:line="264" w:lineRule="auto"/>
        <w:jc w:val="both"/>
        <w:rPr>
          <w:rFonts w:asciiTheme="minorHAnsi" w:hAnsiTheme="minorHAnsi" w:cstheme="minorHAnsi"/>
          <w:bCs/>
          <w:color w:val="auto"/>
          <w:sz w:val="22"/>
          <w:szCs w:val="22"/>
        </w:rPr>
      </w:pPr>
      <w:r w:rsidRPr="001A69DB">
        <w:rPr>
          <w:rFonts w:asciiTheme="minorHAnsi" w:hAnsiTheme="minorHAnsi" w:cstheme="minorHAnsi"/>
          <w:bCs/>
          <w:color w:val="auto"/>
          <w:sz w:val="22"/>
          <w:szCs w:val="22"/>
        </w:rPr>
        <w:t>Creating a new identifier would necessitate firms to maintain a mapping from ticker-based systems that are specific to particular venues, to this new identifier.</w:t>
      </w:r>
    </w:p>
    <w:p w14:paraId="0698FC68" w14:textId="77777777" w:rsidR="0005345F" w:rsidRPr="001A69DB" w:rsidRDefault="0005345F" w:rsidP="00FC0BDE">
      <w:pPr>
        <w:pStyle w:val="Default"/>
        <w:spacing w:line="264" w:lineRule="auto"/>
        <w:jc w:val="both"/>
        <w:rPr>
          <w:rFonts w:asciiTheme="minorHAnsi" w:hAnsiTheme="minorHAnsi" w:cstheme="minorHAnsi"/>
          <w:bCs/>
          <w:color w:val="auto"/>
          <w:sz w:val="22"/>
          <w:szCs w:val="22"/>
        </w:rPr>
      </w:pPr>
    </w:p>
    <w:p w14:paraId="3617D136" w14:textId="77777777" w:rsidR="0005345F" w:rsidRPr="001A69DB" w:rsidRDefault="0005345F" w:rsidP="00FC0BDE">
      <w:pPr>
        <w:pStyle w:val="Default"/>
        <w:spacing w:line="264" w:lineRule="auto"/>
        <w:jc w:val="both"/>
        <w:rPr>
          <w:rFonts w:asciiTheme="minorHAnsi" w:hAnsiTheme="minorHAnsi" w:cstheme="minorHAnsi"/>
          <w:bCs/>
          <w:color w:val="auto"/>
          <w:sz w:val="22"/>
          <w:szCs w:val="22"/>
        </w:rPr>
      </w:pPr>
      <w:r w:rsidRPr="001A69DB">
        <w:rPr>
          <w:rFonts w:asciiTheme="minorHAnsi" w:hAnsiTheme="minorHAnsi" w:cstheme="minorHAnsi"/>
          <w:bCs/>
          <w:color w:val="auto"/>
          <w:sz w:val="22"/>
          <w:szCs w:val="22"/>
        </w:rPr>
        <w:t>We would suggest that where possible existing standards are leveraged, rather than new ones being created. Especially where the mapping between tickers, other 3</w:t>
      </w:r>
      <w:r w:rsidRPr="001A69DB">
        <w:rPr>
          <w:rFonts w:asciiTheme="minorHAnsi" w:hAnsiTheme="minorHAnsi" w:cstheme="minorHAnsi"/>
          <w:bCs/>
          <w:color w:val="auto"/>
          <w:sz w:val="22"/>
          <w:szCs w:val="22"/>
          <w:vertAlign w:val="superscript"/>
        </w:rPr>
        <w:t>rd</w:t>
      </w:r>
      <w:r w:rsidRPr="001A69DB">
        <w:rPr>
          <w:rFonts w:asciiTheme="minorHAnsi" w:hAnsiTheme="minorHAnsi" w:cstheme="minorHAnsi"/>
          <w:bCs/>
          <w:color w:val="auto"/>
          <w:sz w:val="22"/>
          <w:szCs w:val="22"/>
        </w:rPr>
        <w:t xml:space="preserve"> party identifiers, and international standards already exists.</w:t>
      </w:r>
    </w:p>
    <w:p w14:paraId="4AC1DDA2" w14:textId="77777777" w:rsidR="0005345F" w:rsidRPr="001A69DB" w:rsidRDefault="0005345F" w:rsidP="00FC0BDE">
      <w:pPr>
        <w:pStyle w:val="Default"/>
        <w:spacing w:line="264" w:lineRule="auto"/>
        <w:jc w:val="both"/>
        <w:rPr>
          <w:rFonts w:asciiTheme="minorHAnsi" w:hAnsiTheme="minorHAnsi" w:cstheme="minorHAnsi"/>
          <w:bCs/>
          <w:color w:val="auto"/>
          <w:sz w:val="22"/>
          <w:szCs w:val="22"/>
        </w:rPr>
      </w:pPr>
    </w:p>
    <w:p w14:paraId="0A60619A" w14:textId="610A26E9" w:rsidR="0005345F" w:rsidRPr="001A69DB" w:rsidRDefault="0005345F" w:rsidP="00FC0BDE">
      <w:pPr>
        <w:pStyle w:val="Default"/>
        <w:spacing w:line="264" w:lineRule="auto"/>
        <w:jc w:val="both"/>
        <w:rPr>
          <w:rFonts w:asciiTheme="minorHAnsi" w:hAnsiTheme="minorHAnsi" w:cstheme="minorHAnsi"/>
          <w:bCs/>
          <w:color w:val="auto"/>
          <w:sz w:val="22"/>
          <w:szCs w:val="22"/>
        </w:rPr>
      </w:pPr>
      <w:r w:rsidRPr="001A69DB">
        <w:rPr>
          <w:rFonts w:asciiTheme="minorHAnsi" w:hAnsiTheme="minorHAnsi" w:cstheme="minorHAnsi"/>
          <w:bCs/>
          <w:color w:val="auto"/>
          <w:sz w:val="22"/>
          <w:szCs w:val="22"/>
        </w:rPr>
        <w:t>For example, we would suggest that the widely used Financial Instrument Global Identifier (FIGI), a 12 character alpha-numeric code which m</w:t>
      </w:r>
      <w:r w:rsidR="00A54DBE" w:rsidRPr="001A69DB">
        <w:rPr>
          <w:rFonts w:asciiTheme="minorHAnsi" w:hAnsiTheme="minorHAnsi" w:cstheme="minorHAnsi"/>
          <w:bCs/>
          <w:color w:val="auto"/>
          <w:sz w:val="22"/>
          <w:szCs w:val="22"/>
        </w:rPr>
        <w:t xml:space="preserve">aps to ISIN, can be leveraged. </w:t>
      </w:r>
      <w:r w:rsidRPr="001A69DB">
        <w:rPr>
          <w:rFonts w:asciiTheme="minorHAnsi" w:hAnsiTheme="minorHAnsi" w:cstheme="minorHAnsi"/>
          <w:bCs/>
          <w:color w:val="auto"/>
          <w:sz w:val="22"/>
          <w:szCs w:val="22"/>
        </w:rPr>
        <w:t xml:space="preserve">The FIGI standard provides a data model to enable the assignment and linking of identifiers at multiple hierarchical levels. For equity assets, for example, unique FIGIs exist for every traded </w:t>
      </w:r>
      <w:r w:rsidR="00A54DBE" w:rsidRPr="001A69DB">
        <w:rPr>
          <w:rFonts w:asciiTheme="minorHAnsi" w:hAnsiTheme="minorHAnsi" w:cstheme="minorHAnsi"/>
          <w:bCs/>
          <w:color w:val="auto"/>
          <w:sz w:val="22"/>
          <w:szCs w:val="22"/>
        </w:rPr>
        <w:t xml:space="preserve">instance, by exchange and MTF. </w:t>
      </w:r>
      <w:r w:rsidRPr="001A69DB">
        <w:rPr>
          <w:rFonts w:asciiTheme="minorHAnsi" w:hAnsiTheme="minorHAnsi" w:cstheme="minorHAnsi"/>
          <w:bCs/>
          <w:color w:val="auto"/>
          <w:sz w:val="22"/>
          <w:szCs w:val="22"/>
        </w:rPr>
        <w:t>At the same time, FIGIs exist to aggregate all venue-level FIGIs in a particular country.  And finally, a unique FIGI exists on par with, and maps to, an ISIN, allowing aggregating all trading in a single common stock at multiple levels.</w:t>
      </w:r>
    </w:p>
    <w:p w14:paraId="2E8D0AF1" w14:textId="77777777" w:rsidR="0005345F" w:rsidRPr="001A69DB" w:rsidRDefault="0005345F" w:rsidP="00FC0BDE">
      <w:pPr>
        <w:pStyle w:val="Default"/>
        <w:spacing w:line="264" w:lineRule="auto"/>
        <w:jc w:val="both"/>
        <w:rPr>
          <w:rFonts w:asciiTheme="minorHAnsi" w:hAnsiTheme="minorHAnsi" w:cstheme="minorHAnsi"/>
          <w:bCs/>
          <w:color w:val="auto"/>
          <w:sz w:val="22"/>
          <w:szCs w:val="22"/>
        </w:rPr>
      </w:pPr>
    </w:p>
    <w:p w14:paraId="73E989A7" w14:textId="77777777" w:rsidR="0005345F" w:rsidRPr="001A69DB" w:rsidRDefault="0005345F" w:rsidP="00FC0BDE">
      <w:pPr>
        <w:pStyle w:val="Default"/>
        <w:spacing w:line="264" w:lineRule="auto"/>
        <w:jc w:val="both"/>
        <w:rPr>
          <w:rFonts w:asciiTheme="minorHAnsi" w:hAnsiTheme="minorHAnsi" w:cstheme="minorHAnsi"/>
          <w:bCs/>
          <w:color w:val="auto"/>
          <w:sz w:val="22"/>
          <w:szCs w:val="22"/>
        </w:rPr>
      </w:pPr>
      <w:r w:rsidRPr="001A69DB">
        <w:rPr>
          <w:rFonts w:asciiTheme="minorHAnsi" w:hAnsiTheme="minorHAnsi" w:cstheme="minorHAnsi"/>
          <w:bCs/>
          <w:color w:val="auto"/>
          <w:sz w:val="22"/>
          <w:szCs w:val="22"/>
        </w:rPr>
        <w:t>In the same way, futures and options across strikes can be aggregated by the CME and LCH.</w:t>
      </w:r>
    </w:p>
    <w:p w14:paraId="6152BE28" w14:textId="77777777" w:rsidR="0005345F" w:rsidRPr="001A69DB" w:rsidRDefault="0005345F" w:rsidP="00FC0BDE">
      <w:pPr>
        <w:pStyle w:val="Default"/>
        <w:spacing w:line="264" w:lineRule="auto"/>
        <w:jc w:val="both"/>
        <w:rPr>
          <w:rFonts w:asciiTheme="minorHAnsi" w:hAnsiTheme="minorHAnsi" w:cstheme="minorHAnsi"/>
          <w:bCs/>
          <w:color w:val="auto"/>
          <w:sz w:val="22"/>
          <w:szCs w:val="22"/>
        </w:rPr>
      </w:pPr>
      <w:r w:rsidRPr="001A69DB">
        <w:rPr>
          <w:rFonts w:asciiTheme="minorHAnsi" w:hAnsiTheme="minorHAnsi" w:cstheme="minorHAnsi"/>
          <w:bCs/>
          <w:color w:val="auto"/>
          <w:sz w:val="22"/>
          <w:szCs w:val="22"/>
        </w:rPr>
        <w:t xml:space="preserve">This model can be extended for other asset classes if required, without amending the standard.   </w:t>
      </w:r>
    </w:p>
    <w:p w14:paraId="3E55F35A" w14:textId="77777777" w:rsidR="0005345F" w:rsidRPr="001A69DB" w:rsidRDefault="0005345F" w:rsidP="00FC0BDE">
      <w:pPr>
        <w:pStyle w:val="Default"/>
        <w:spacing w:line="264" w:lineRule="auto"/>
        <w:jc w:val="both"/>
        <w:rPr>
          <w:rFonts w:asciiTheme="minorHAnsi" w:hAnsiTheme="minorHAnsi" w:cstheme="minorHAnsi"/>
          <w:bCs/>
          <w:color w:val="auto"/>
          <w:sz w:val="22"/>
          <w:szCs w:val="22"/>
        </w:rPr>
      </w:pPr>
    </w:p>
    <w:p w14:paraId="02658FFA" w14:textId="77777777" w:rsidR="0005345F" w:rsidRPr="00FA65D9" w:rsidRDefault="0005345F" w:rsidP="00FC0BDE">
      <w:pPr>
        <w:pStyle w:val="Default"/>
        <w:spacing w:line="264" w:lineRule="auto"/>
        <w:jc w:val="both"/>
        <w:rPr>
          <w:bCs/>
          <w:color w:val="auto"/>
          <w:sz w:val="22"/>
          <w:szCs w:val="22"/>
        </w:rPr>
      </w:pPr>
      <w:r w:rsidRPr="001A69DB">
        <w:rPr>
          <w:rFonts w:asciiTheme="minorHAnsi" w:hAnsiTheme="minorHAnsi" w:cstheme="minorHAnsi"/>
          <w:bCs/>
          <w:color w:val="auto"/>
          <w:sz w:val="22"/>
          <w:szCs w:val="22"/>
        </w:rPr>
        <w:t>Additionally, as noted, FIGI already maintains a publicly accessible, global mapping to standards such as ISIN, SEDOL, and CUSIP, as well as to tickers and other national codes.  This mapping carries no restrictions on access, and no licensing requirements, as it is provided under the MIT Open Source dedication</w:t>
      </w:r>
      <w:r w:rsidRPr="00FA65D9">
        <w:rPr>
          <w:bCs/>
          <w:color w:val="auto"/>
          <w:sz w:val="22"/>
          <w:szCs w:val="22"/>
        </w:rPr>
        <w:t>.</w:t>
      </w:r>
    </w:p>
    <w:p w14:paraId="7B59843B" w14:textId="77777777" w:rsidR="0005345F" w:rsidRPr="00FA65D9" w:rsidRDefault="0005345F" w:rsidP="00FC0BDE">
      <w:pPr>
        <w:pStyle w:val="Default"/>
        <w:spacing w:line="264" w:lineRule="auto"/>
        <w:jc w:val="both"/>
        <w:rPr>
          <w:bCs/>
          <w:color w:val="auto"/>
          <w:sz w:val="22"/>
          <w:szCs w:val="22"/>
        </w:rPr>
      </w:pPr>
      <w:r w:rsidRPr="00FA65D9">
        <w:rPr>
          <w:bCs/>
          <w:color w:val="auto"/>
          <w:sz w:val="22"/>
          <w:szCs w:val="22"/>
        </w:rPr>
        <w:lastRenderedPageBreak/>
        <w:t>Enabling use of FIGI in this way would allow firms to continue to use identifiers they currently have embedded in their systems, yet easily be able to provide a consistent identifier without imposing significant systems changes, incur charges for a new identifier.</w:t>
      </w:r>
    </w:p>
    <w:p w14:paraId="3432B992" w14:textId="77777777" w:rsidR="0005345F" w:rsidRPr="00FA65D9" w:rsidRDefault="0005345F" w:rsidP="00FC0BDE">
      <w:pPr>
        <w:pStyle w:val="Default"/>
        <w:spacing w:line="264" w:lineRule="auto"/>
        <w:jc w:val="both"/>
        <w:rPr>
          <w:bCs/>
          <w:color w:val="auto"/>
          <w:sz w:val="22"/>
          <w:szCs w:val="22"/>
        </w:rPr>
      </w:pPr>
    </w:p>
    <w:p w14:paraId="1905E132" w14:textId="77777777" w:rsidR="0005345F" w:rsidRPr="00FA65D9" w:rsidRDefault="0005345F" w:rsidP="00FC0BDE">
      <w:pPr>
        <w:pStyle w:val="Default"/>
        <w:spacing w:line="264" w:lineRule="auto"/>
        <w:jc w:val="both"/>
        <w:rPr>
          <w:bCs/>
          <w:color w:val="auto"/>
          <w:sz w:val="22"/>
          <w:szCs w:val="22"/>
        </w:rPr>
      </w:pPr>
      <w:r w:rsidRPr="00FA65D9">
        <w:rPr>
          <w:bCs/>
          <w:color w:val="auto"/>
          <w:sz w:val="22"/>
          <w:szCs w:val="22"/>
        </w:rPr>
        <w:t>Finally, ESMA would not need to wait for the standards development process, and the related delays, in regards to implementing helpful data elements and identifiers that would enhance transparency and greatly increase data quality at little impact to the industry as a whole, in regards to disruption, development and costs.</w:t>
      </w:r>
    </w:p>
    <w:p w14:paraId="119CF5C3" w14:textId="77777777" w:rsidR="0005345F" w:rsidRPr="00FA65D9" w:rsidRDefault="0005345F" w:rsidP="00FC0BDE">
      <w:pPr>
        <w:pStyle w:val="Default"/>
        <w:spacing w:line="264" w:lineRule="auto"/>
        <w:jc w:val="both"/>
        <w:rPr>
          <w:bCs/>
          <w:color w:val="auto"/>
          <w:sz w:val="22"/>
          <w:szCs w:val="22"/>
        </w:rPr>
      </w:pPr>
    </w:p>
    <w:p w14:paraId="4D8CEEF7" w14:textId="24CE753C" w:rsidR="0005345F" w:rsidRPr="00FA65D9" w:rsidRDefault="0005345F" w:rsidP="00FC0BDE">
      <w:pPr>
        <w:pStyle w:val="Default"/>
        <w:spacing w:line="264" w:lineRule="auto"/>
        <w:jc w:val="both"/>
        <w:rPr>
          <w:bCs/>
          <w:color w:val="auto"/>
          <w:sz w:val="22"/>
          <w:szCs w:val="22"/>
        </w:rPr>
      </w:pPr>
      <w:r w:rsidRPr="00FA65D9">
        <w:rPr>
          <w:bCs/>
          <w:color w:val="auto"/>
          <w:sz w:val="22"/>
          <w:szCs w:val="22"/>
        </w:rPr>
        <w:t>The trading venue is implicit in the FIGI assignment structure, and this could assist with the fulfilmen</w:t>
      </w:r>
      <w:r w:rsidR="00294378">
        <w:rPr>
          <w:bCs/>
          <w:color w:val="auto"/>
          <w:sz w:val="22"/>
          <w:szCs w:val="22"/>
        </w:rPr>
        <w:t xml:space="preserve">t of ESMA’s requirements here. </w:t>
      </w:r>
      <w:r w:rsidRPr="00FA65D9">
        <w:rPr>
          <w:bCs/>
          <w:color w:val="auto"/>
          <w:sz w:val="22"/>
          <w:szCs w:val="22"/>
        </w:rPr>
        <w:t>As the issuer of FIGI, which is available openly outside of Bloomberg, we would be pleased to discuss this further with ESMA.</w:t>
      </w:r>
    </w:p>
    <w:p w14:paraId="32B84B41" w14:textId="77777777" w:rsidR="0005345F" w:rsidRPr="00FA65D9" w:rsidRDefault="0005345F" w:rsidP="00FC0BDE">
      <w:pPr>
        <w:pStyle w:val="Default"/>
        <w:spacing w:line="264" w:lineRule="auto"/>
        <w:jc w:val="both"/>
        <w:rPr>
          <w:bCs/>
          <w:color w:val="auto"/>
          <w:sz w:val="22"/>
          <w:szCs w:val="22"/>
        </w:rPr>
      </w:pPr>
    </w:p>
    <w:p w14:paraId="632BC810" w14:textId="1018CE98" w:rsidR="0005345F" w:rsidRPr="00FA65D9" w:rsidRDefault="0005345F" w:rsidP="005D0A12">
      <w:pPr>
        <w:pStyle w:val="Default"/>
        <w:spacing w:after="240" w:line="264" w:lineRule="auto"/>
        <w:jc w:val="both"/>
        <w:rPr>
          <w:bCs/>
          <w:color w:val="auto"/>
          <w:sz w:val="22"/>
          <w:szCs w:val="22"/>
        </w:rPr>
      </w:pPr>
      <w:r w:rsidRPr="00FA65D9">
        <w:rPr>
          <w:bCs/>
          <w:color w:val="auto"/>
          <w:sz w:val="22"/>
          <w:szCs w:val="22"/>
        </w:rPr>
        <w:t>In terms of transaction identification, it may be possible to leverage the recently released ISO UTI standard for this purpose.</w:t>
      </w:r>
    </w:p>
    <w:permEnd w:id="1075606273"/>
    <w:p w14:paraId="3F14CF92" w14:textId="77777777"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6D1C5D32" w14:textId="72FF8401" w:rsidR="001C2F08" w:rsidRPr="0085212C" w:rsidRDefault="0085212C" w:rsidP="00FC0BDE">
      <w:pPr>
        <w:pStyle w:val="Default"/>
        <w:spacing w:line="264" w:lineRule="auto"/>
        <w:jc w:val="both"/>
        <w:rPr>
          <w:rFonts w:asciiTheme="majorHAnsi" w:hAnsiTheme="majorHAnsi" w:cstheme="majorHAnsi"/>
          <w:color w:val="auto"/>
          <w:sz w:val="22"/>
          <w:szCs w:val="22"/>
        </w:rPr>
      </w:pPr>
      <w:permStart w:id="580139045" w:edGrp="everyone"/>
      <w:r w:rsidRPr="0085212C">
        <w:rPr>
          <w:bCs/>
          <w:color w:val="auto"/>
          <w:sz w:val="22"/>
          <w:szCs w:val="22"/>
        </w:rPr>
        <w:t>W</w:t>
      </w:r>
      <w:r w:rsidR="00EE29EB" w:rsidRPr="0085212C">
        <w:rPr>
          <w:bCs/>
          <w:color w:val="auto"/>
          <w:sz w:val="22"/>
          <w:szCs w:val="22"/>
        </w:rPr>
        <w:t xml:space="preserve">e </w:t>
      </w:r>
      <w:r w:rsidRPr="0085212C">
        <w:rPr>
          <w:bCs/>
          <w:color w:val="auto"/>
          <w:sz w:val="22"/>
          <w:szCs w:val="22"/>
        </w:rPr>
        <w:t>strongly support the L</w:t>
      </w:r>
      <w:r w:rsidR="0005345F" w:rsidRPr="0085212C">
        <w:rPr>
          <w:bCs/>
          <w:color w:val="auto"/>
          <w:sz w:val="22"/>
          <w:szCs w:val="22"/>
        </w:rPr>
        <w:t>EI</w:t>
      </w:r>
      <w:r w:rsidRPr="0085212C">
        <w:rPr>
          <w:bCs/>
          <w:color w:val="auto"/>
          <w:sz w:val="22"/>
          <w:szCs w:val="22"/>
        </w:rPr>
        <w:t xml:space="preserve"> standard and want to see greater take-up of the identifier in the EU and globally. </w:t>
      </w:r>
      <w:r w:rsidR="00EE29EB" w:rsidRPr="0085212C">
        <w:rPr>
          <w:bCs/>
          <w:color w:val="auto"/>
          <w:sz w:val="22"/>
          <w:szCs w:val="22"/>
        </w:rPr>
        <w:t xml:space="preserve">However, </w:t>
      </w:r>
      <w:r w:rsidRPr="0085212C">
        <w:rPr>
          <w:bCs/>
          <w:color w:val="auto"/>
          <w:sz w:val="22"/>
          <w:szCs w:val="22"/>
        </w:rPr>
        <w:t>it is important that ESMA consider</w:t>
      </w:r>
      <w:r w:rsidR="00FC0BDE">
        <w:rPr>
          <w:bCs/>
          <w:color w:val="auto"/>
          <w:sz w:val="22"/>
          <w:szCs w:val="22"/>
        </w:rPr>
        <w:t>s</w:t>
      </w:r>
      <w:r w:rsidRPr="0085212C">
        <w:rPr>
          <w:bCs/>
          <w:color w:val="auto"/>
          <w:sz w:val="22"/>
          <w:szCs w:val="22"/>
        </w:rPr>
        <w:t xml:space="preserve"> possible unintended consequences stemming from the proposal that </w:t>
      </w:r>
      <w:r w:rsidR="001C2F08" w:rsidRPr="0085212C">
        <w:rPr>
          <w:rFonts w:asciiTheme="majorHAnsi" w:hAnsiTheme="majorHAnsi" w:cstheme="majorHAnsi"/>
          <w:color w:val="auto"/>
          <w:sz w:val="22"/>
          <w:szCs w:val="22"/>
        </w:rPr>
        <w:t xml:space="preserve">'clients shall be categorised according to Article 24 of Directive 2014/65/EU'. </w:t>
      </w:r>
      <w:r w:rsidRPr="0085212C">
        <w:rPr>
          <w:rFonts w:asciiTheme="majorHAnsi" w:hAnsiTheme="majorHAnsi" w:cstheme="majorHAnsi"/>
          <w:color w:val="auto"/>
          <w:sz w:val="22"/>
          <w:szCs w:val="22"/>
        </w:rPr>
        <w:t xml:space="preserve">Any requirement that puts an </w:t>
      </w:r>
      <w:r w:rsidR="001C2F08" w:rsidRPr="0085212C">
        <w:rPr>
          <w:rFonts w:asciiTheme="majorHAnsi" w:hAnsiTheme="majorHAnsi" w:cstheme="majorHAnsi"/>
          <w:color w:val="auto"/>
          <w:sz w:val="22"/>
          <w:szCs w:val="22"/>
        </w:rPr>
        <w:t xml:space="preserve">onus on </w:t>
      </w:r>
      <w:r w:rsidRPr="0085212C">
        <w:rPr>
          <w:rFonts w:asciiTheme="majorHAnsi" w:hAnsiTheme="majorHAnsi" w:cstheme="majorHAnsi"/>
          <w:color w:val="auto"/>
          <w:sz w:val="22"/>
          <w:szCs w:val="22"/>
        </w:rPr>
        <w:t xml:space="preserve">EU </w:t>
      </w:r>
      <w:r w:rsidR="001C2F08" w:rsidRPr="0085212C">
        <w:rPr>
          <w:rFonts w:asciiTheme="majorHAnsi" w:hAnsiTheme="majorHAnsi" w:cstheme="majorHAnsi"/>
          <w:color w:val="auto"/>
          <w:sz w:val="22"/>
          <w:szCs w:val="22"/>
        </w:rPr>
        <w:t>Trading Venues to collect yet m</w:t>
      </w:r>
      <w:r w:rsidR="00EE29EB" w:rsidRPr="0085212C">
        <w:rPr>
          <w:rFonts w:asciiTheme="majorHAnsi" w:hAnsiTheme="majorHAnsi" w:cstheme="majorHAnsi"/>
          <w:color w:val="auto"/>
          <w:sz w:val="22"/>
          <w:szCs w:val="22"/>
        </w:rPr>
        <w:t xml:space="preserve">ore data from </w:t>
      </w:r>
      <w:r w:rsidR="00FC0BDE">
        <w:rPr>
          <w:rFonts w:asciiTheme="majorHAnsi" w:hAnsiTheme="majorHAnsi" w:cstheme="majorHAnsi"/>
          <w:color w:val="auto"/>
          <w:sz w:val="22"/>
          <w:szCs w:val="22"/>
        </w:rPr>
        <w:t>non-EU/</w:t>
      </w:r>
      <w:r w:rsidRPr="0085212C">
        <w:rPr>
          <w:rFonts w:asciiTheme="majorHAnsi" w:hAnsiTheme="majorHAnsi" w:cstheme="majorHAnsi"/>
          <w:color w:val="auto"/>
          <w:sz w:val="22"/>
          <w:szCs w:val="22"/>
        </w:rPr>
        <w:t xml:space="preserve">market </w:t>
      </w:r>
      <w:r w:rsidR="00EE29EB" w:rsidRPr="0085212C">
        <w:rPr>
          <w:rFonts w:asciiTheme="majorHAnsi" w:hAnsiTheme="majorHAnsi" w:cstheme="majorHAnsi"/>
          <w:color w:val="auto"/>
          <w:sz w:val="22"/>
          <w:szCs w:val="22"/>
        </w:rPr>
        <w:t xml:space="preserve">participants </w:t>
      </w:r>
      <w:r w:rsidRPr="0085212C">
        <w:rPr>
          <w:rFonts w:asciiTheme="majorHAnsi" w:hAnsiTheme="majorHAnsi" w:cstheme="majorHAnsi"/>
          <w:color w:val="auto"/>
          <w:sz w:val="22"/>
          <w:szCs w:val="22"/>
        </w:rPr>
        <w:t xml:space="preserve">outside the scope of MIFID, </w:t>
      </w:r>
      <w:r w:rsidR="00EE29EB" w:rsidRPr="0085212C">
        <w:rPr>
          <w:rFonts w:asciiTheme="majorHAnsi" w:hAnsiTheme="majorHAnsi" w:cstheme="majorHAnsi"/>
          <w:color w:val="auto"/>
          <w:sz w:val="22"/>
          <w:szCs w:val="22"/>
        </w:rPr>
        <w:t>could</w:t>
      </w:r>
      <w:r w:rsidRPr="0085212C">
        <w:rPr>
          <w:rFonts w:asciiTheme="majorHAnsi" w:hAnsiTheme="majorHAnsi" w:cstheme="majorHAnsi"/>
          <w:color w:val="auto"/>
          <w:sz w:val="22"/>
          <w:szCs w:val="22"/>
        </w:rPr>
        <w:t xml:space="preserve"> unintentionally </w:t>
      </w:r>
      <w:r w:rsidR="00EE29EB" w:rsidRPr="0085212C">
        <w:rPr>
          <w:rFonts w:asciiTheme="majorHAnsi" w:hAnsiTheme="majorHAnsi" w:cstheme="majorHAnsi"/>
          <w:color w:val="auto"/>
          <w:sz w:val="22"/>
          <w:szCs w:val="22"/>
        </w:rPr>
        <w:t>direct trading flow to thi</w:t>
      </w:r>
      <w:r w:rsidRPr="0085212C">
        <w:rPr>
          <w:rFonts w:asciiTheme="majorHAnsi" w:hAnsiTheme="majorHAnsi" w:cstheme="majorHAnsi"/>
          <w:color w:val="auto"/>
          <w:sz w:val="22"/>
          <w:szCs w:val="22"/>
        </w:rPr>
        <w:t xml:space="preserve">rd country venues or indeed OTC, </w:t>
      </w:r>
      <w:r>
        <w:rPr>
          <w:rFonts w:asciiTheme="majorHAnsi" w:hAnsiTheme="majorHAnsi" w:cstheme="majorHAnsi"/>
          <w:color w:val="auto"/>
          <w:sz w:val="22"/>
          <w:szCs w:val="22"/>
        </w:rPr>
        <w:t xml:space="preserve">if </w:t>
      </w:r>
      <w:r w:rsidRPr="0085212C">
        <w:rPr>
          <w:rFonts w:asciiTheme="majorHAnsi" w:hAnsiTheme="majorHAnsi" w:cstheme="majorHAnsi"/>
          <w:color w:val="auto"/>
          <w:sz w:val="22"/>
          <w:szCs w:val="22"/>
        </w:rPr>
        <w:t xml:space="preserve">participants </w:t>
      </w:r>
      <w:r>
        <w:rPr>
          <w:rFonts w:asciiTheme="majorHAnsi" w:hAnsiTheme="majorHAnsi" w:cstheme="majorHAnsi"/>
          <w:color w:val="auto"/>
          <w:sz w:val="22"/>
          <w:szCs w:val="22"/>
        </w:rPr>
        <w:t xml:space="preserve">are </w:t>
      </w:r>
      <w:r w:rsidRPr="0085212C">
        <w:rPr>
          <w:rFonts w:asciiTheme="majorHAnsi" w:hAnsiTheme="majorHAnsi" w:cstheme="majorHAnsi"/>
          <w:color w:val="auto"/>
          <w:sz w:val="22"/>
          <w:szCs w:val="22"/>
        </w:rPr>
        <w:t>not willing to provide the data</w:t>
      </w:r>
      <w:r w:rsidR="007D7A53">
        <w:rPr>
          <w:rFonts w:asciiTheme="majorHAnsi" w:hAnsiTheme="majorHAnsi" w:cstheme="majorHAnsi"/>
          <w:color w:val="auto"/>
          <w:sz w:val="22"/>
          <w:szCs w:val="22"/>
        </w:rPr>
        <w:t xml:space="preserve"> </w:t>
      </w:r>
      <w:r w:rsidR="00670EBE">
        <w:rPr>
          <w:rFonts w:asciiTheme="majorHAnsi" w:hAnsiTheme="majorHAnsi" w:cstheme="majorHAnsi"/>
          <w:color w:val="auto"/>
          <w:sz w:val="22"/>
          <w:szCs w:val="22"/>
        </w:rPr>
        <w:t xml:space="preserve">to </w:t>
      </w:r>
      <w:r w:rsidR="007D7A53">
        <w:rPr>
          <w:rFonts w:asciiTheme="majorHAnsi" w:hAnsiTheme="majorHAnsi" w:cstheme="majorHAnsi"/>
          <w:color w:val="auto"/>
          <w:sz w:val="22"/>
          <w:szCs w:val="22"/>
        </w:rPr>
        <w:t xml:space="preserve">Trading </w:t>
      </w:r>
      <w:r w:rsidR="00670EBE">
        <w:rPr>
          <w:rFonts w:asciiTheme="majorHAnsi" w:hAnsiTheme="majorHAnsi" w:cstheme="majorHAnsi"/>
          <w:color w:val="auto"/>
          <w:sz w:val="22"/>
          <w:szCs w:val="22"/>
        </w:rPr>
        <w:t>Venues</w:t>
      </w:r>
      <w:r w:rsidRPr="0085212C">
        <w:rPr>
          <w:rFonts w:asciiTheme="majorHAnsi" w:hAnsiTheme="majorHAnsi" w:cstheme="majorHAnsi"/>
          <w:color w:val="auto"/>
          <w:sz w:val="22"/>
          <w:szCs w:val="22"/>
        </w:rPr>
        <w:t xml:space="preserve">. </w:t>
      </w:r>
      <w:r w:rsidR="001C2F08" w:rsidRPr="0085212C">
        <w:rPr>
          <w:rFonts w:asciiTheme="majorHAnsi" w:hAnsiTheme="majorHAnsi" w:cstheme="majorHAnsi"/>
          <w:color w:val="auto"/>
          <w:sz w:val="22"/>
          <w:szCs w:val="22"/>
        </w:rPr>
        <w:t xml:space="preserve"> This would clearly run counter t</w:t>
      </w:r>
      <w:r w:rsidRPr="0085212C">
        <w:rPr>
          <w:rFonts w:asciiTheme="majorHAnsi" w:hAnsiTheme="majorHAnsi" w:cstheme="majorHAnsi"/>
          <w:color w:val="auto"/>
          <w:sz w:val="22"/>
          <w:szCs w:val="22"/>
        </w:rPr>
        <w:t>o the policy objectives of EU policymakers</w:t>
      </w:r>
      <w:r w:rsidR="001C2F08" w:rsidRPr="0085212C">
        <w:rPr>
          <w:rFonts w:asciiTheme="majorHAnsi" w:hAnsiTheme="majorHAnsi" w:cstheme="majorHAnsi"/>
          <w:color w:val="auto"/>
          <w:sz w:val="22"/>
          <w:szCs w:val="22"/>
        </w:rPr>
        <w:t>.</w:t>
      </w:r>
    </w:p>
    <w:p w14:paraId="4E1C9BC5" w14:textId="77777777" w:rsidR="0085212C" w:rsidRPr="0085212C" w:rsidRDefault="0085212C" w:rsidP="00FC0BDE">
      <w:pPr>
        <w:pStyle w:val="Default"/>
        <w:spacing w:line="264" w:lineRule="auto"/>
        <w:jc w:val="both"/>
        <w:rPr>
          <w:rFonts w:asciiTheme="majorHAnsi" w:hAnsiTheme="majorHAnsi" w:cstheme="majorHAnsi"/>
          <w:color w:val="auto"/>
          <w:sz w:val="22"/>
          <w:szCs w:val="22"/>
        </w:rPr>
      </w:pPr>
    </w:p>
    <w:p w14:paraId="3E04AF5F" w14:textId="22C622FF" w:rsidR="00FC0BDE" w:rsidRDefault="0085212C" w:rsidP="005D0A12">
      <w:pPr>
        <w:spacing w:after="240" w:line="264" w:lineRule="auto"/>
        <w:rPr>
          <w:rFonts w:asciiTheme="majorHAnsi" w:hAnsiTheme="majorHAnsi" w:cstheme="majorHAnsi"/>
          <w:szCs w:val="22"/>
        </w:rPr>
      </w:pPr>
      <w:r w:rsidRPr="0085212C">
        <w:rPr>
          <w:rFonts w:asciiTheme="majorHAnsi" w:hAnsiTheme="majorHAnsi" w:cstheme="majorHAnsi"/>
          <w:szCs w:val="22"/>
        </w:rPr>
        <w:t xml:space="preserve">EU </w:t>
      </w:r>
      <w:r w:rsidR="001C2F08" w:rsidRPr="0085212C">
        <w:rPr>
          <w:rFonts w:asciiTheme="majorHAnsi" w:hAnsiTheme="majorHAnsi" w:cstheme="majorHAnsi"/>
          <w:szCs w:val="22"/>
        </w:rPr>
        <w:t xml:space="preserve">Trading Venues have long </w:t>
      </w:r>
      <w:r w:rsidRPr="0085212C">
        <w:rPr>
          <w:rFonts w:asciiTheme="majorHAnsi" w:hAnsiTheme="majorHAnsi" w:cstheme="majorHAnsi"/>
          <w:szCs w:val="22"/>
        </w:rPr>
        <w:t>pointed out</w:t>
      </w:r>
      <w:r w:rsidR="001C2F08" w:rsidRPr="0085212C">
        <w:rPr>
          <w:rFonts w:asciiTheme="majorHAnsi" w:hAnsiTheme="majorHAnsi" w:cstheme="majorHAnsi"/>
          <w:szCs w:val="22"/>
        </w:rPr>
        <w:t xml:space="preserve"> that the operational burdens placed upon them with ref</w:t>
      </w:r>
      <w:r w:rsidR="00670EBE">
        <w:rPr>
          <w:rFonts w:asciiTheme="majorHAnsi" w:hAnsiTheme="majorHAnsi" w:cstheme="majorHAnsi"/>
          <w:szCs w:val="22"/>
        </w:rPr>
        <w:t>erence to Article 26(</w:t>
      </w:r>
      <w:r w:rsidR="001C2F08" w:rsidRPr="0085212C">
        <w:rPr>
          <w:rFonts w:asciiTheme="majorHAnsi" w:hAnsiTheme="majorHAnsi" w:cstheme="majorHAnsi"/>
          <w:szCs w:val="22"/>
        </w:rPr>
        <w:t>5</w:t>
      </w:r>
      <w:r w:rsidR="00670EBE">
        <w:rPr>
          <w:rFonts w:asciiTheme="majorHAnsi" w:hAnsiTheme="majorHAnsi" w:cstheme="majorHAnsi"/>
          <w:szCs w:val="22"/>
        </w:rPr>
        <w:t>)</w:t>
      </w:r>
      <w:r w:rsidR="001C2F08" w:rsidRPr="0085212C">
        <w:rPr>
          <w:rFonts w:asciiTheme="majorHAnsi" w:hAnsiTheme="majorHAnsi" w:cstheme="majorHAnsi"/>
          <w:szCs w:val="22"/>
        </w:rPr>
        <w:t xml:space="preserve"> are extensive and create an unlevel playing field with regard to the requirements of Systematic Internalisers. </w:t>
      </w:r>
      <w:r w:rsidRPr="0085212C">
        <w:rPr>
          <w:rFonts w:asciiTheme="majorHAnsi" w:hAnsiTheme="majorHAnsi" w:cstheme="majorHAnsi"/>
          <w:szCs w:val="22"/>
        </w:rPr>
        <w:t xml:space="preserve">Any </w:t>
      </w:r>
      <w:r w:rsidR="001C2F08" w:rsidRPr="0085212C">
        <w:rPr>
          <w:rFonts w:asciiTheme="majorHAnsi" w:hAnsiTheme="majorHAnsi" w:cstheme="majorHAnsi"/>
          <w:szCs w:val="22"/>
        </w:rPr>
        <w:t xml:space="preserve">new requirement </w:t>
      </w:r>
      <w:r w:rsidRPr="0085212C">
        <w:rPr>
          <w:rFonts w:asciiTheme="majorHAnsi" w:hAnsiTheme="majorHAnsi" w:cstheme="majorHAnsi"/>
          <w:szCs w:val="22"/>
        </w:rPr>
        <w:t xml:space="preserve">must not </w:t>
      </w:r>
      <w:r w:rsidR="001C2F08" w:rsidRPr="0085212C">
        <w:rPr>
          <w:rFonts w:asciiTheme="majorHAnsi" w:hAnsiTheme="majorHAnsi" w:cstheme="majorHAnsi"/>
          <w:szCs w:val="22"/>
        </w:rPr>
        <w:t>serve to increase the imbalance</w:t>
      </w:r>
      <w:r w:rsidR="001C2F08" w:rsidRPr="00EE29EB">
        <w:rPr>
          <w:rFonts w:asciiTheme="majorHAnsi" w:hAnsiTheme="majorHAnsi" w:cstheme="majorHAnsi"/>
          <w:szCs w:val="22"/>
        </w:rPr>
        <w:t>.</w:t>
      </w:r>
    </w:p>
    <w:permEnd w:id="580139045"/>
    <w:p w14:paraId="026A6404" w14:textId="4E26B543"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lastRenderedPageBreak/>
        <w:t>: Do you foresee any challenges with the outlined approach? If yes, please explain and provide alternative proposals.</w:t>
      </w:r>
    </w:p>
    <w:p w14:paraId="14C382BB" w14:textId="77777777" w:rsidR="000B0D26" w:rsidRDefault="000B0D26" w:rsidP="000B0D26">
      <w:r>
        <w:t>&lt;ESMA_QUESTION_TRRF_21&gt;</w:t>
      </w:r>
    </w:p>
    <w:p w14:paraId="2B7AE9D2" w14:textId="77777777" w:rsidR="000B0D26" w:rsidRDefault="000B0D26" w:rsidP="000B0D26">
      <w:permStart w:id="197869488" w:edGrp="everyone"/>
      <w:r>
        <w:t>TYPE YOUR TEXT HERE</w:t>
      </w:r>
    </w:p>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7171EA00" w14:textId="77777777" w:rsidR="00816725" w:rsidRDefault="00996C5D" w:rsidP="000B0D26">
      <w:pPr>
        <w:rPr>
          <w:color w:val="FF0000"/>
        </w:rPr>
      </w:pPr>
      <w:permStart w:id="657135577" w:edGrp="everyone"/>
      <w:r w:rsidRPr="00FA65D9">
        <w:t>We believe the difficulty with this identifier has been to determine the exact population of instruments in scope, particularly when firms are trading equities and debt instruments in global markets. Therefore we would support option a) to remove this information, unless ESMA is willing provide a way for IFs to clearly identify which instruments are in scope, such as an indicator in FIRDS at the ISIN level.</w:t>
      </w:r>
    </w:p>
    <w:permEnd w:id="657135577"/>
    <w:p w14:paraId="67C709BA" w14:textId="7D5643BF" w:rsidR="000B0D26" w:rsidRDefault="000B0D26" w:rsidP="000B0D26">
      <w:r>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62C94B1D" w14:textId="1CE73955" w:rsidR="000B0D26" w:rsidRDefault="00714505" w:rsidP="000B0D26">
      <w:permStart w:id="300050786" w:edGrp="everyone"/>
      <w:r>
        <w:t>We do not foresee and challenges with pursuing Option 91a (removing the short sale indicator from the transaction report).</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71401386" w14:textId="4690683F" w:rsidR="00996C5D" w:rsidRPr="00FA65D9" w:rsidRDefault="00816725" w:rsidP="000B0D26">
      <w:pPr>
        <w:rPr>
          <w:rFonts w:ascii="Arial" w:hAnsi="Arial" w:cs="Arial"/>
        </w:rPr>
      </w:pPr>
      <w:permStart w:id="783692263" w:edGrp="everyone"/>
      <w:r w:rsidRPr="00FA65D9">
        <w:rPr>
          <w:rFonts w:ascii="Arial" w:hAnsi="Arial" w:cs="Arial"/>
        </w:rPr>
        <w:lastRenderedPageBreak/>
        <w:t>It would be first of all important for ESMA to clarify whether</w:t>
      </w:r>
      <w:r w:rsidR="00996C5D" w:rsidRPr="00FA65D9">
        <w:rPr>
          <w:rFonts w:ascii="Arial" w:hAnsi="Arial" w:cs="Arial"/>
        </w:rPr>
        <w:t xml:space="preserve"> the waiver should be</w:t>
      </w:r>
      <w:r w:rsidR="00294378">
        <w:rPr>
          <w:rFonts w:ascii="Arial" w:hAnsi="Arial" w:cs="Arial"/>
        </w:rPr>
        <w:t xml:space="preserve"> included in both counterparties’</w:t>
      </w:r>
      <w:r w:rsidR="00996C5D" w:rsidRPr="00FA65D9">
        <w:rPr>
          <w:rFonts w:ascii="Arial" w:hAnsi="Arial" w:cs="Arial"/>
        </w:rPr>
        <w:t xml:space="preserve"> report</w:t>
      </w:r>
      <w:r w:rsidR="00294378">
        <w:rPr>
          <w:rFonts w:ascii="Arial" w:hAnsi="Arial" w:cs="Arial"/>
        </w:rPr>
        <w:t>s</w:t>
      </w:r>
      <w:r w:rsidR="00FC0BDE">
        <w:rPr>
          <w:rFonts w:ascii="Arial" w:hAnsi="Arial" w:cs="Arial"/>
        </w:rPr>
        <w:t xml:space="preserve">, </w:t>
      </w:r>
      <w:r w:rsidR="00996C5D" w:rsidRPr="00FA65D9">
        <w:rPr>
          <w:rFonts w:ascii="Arial" w:hAnsi="Arial" w:cs="Arial"/>
        </w:rPr>
        <w:t>or only the SI. If the waiver must be populated by both firms, as the distribution of data from systematic internalisers (i.e. SI MIC and ISINs) to their counterparties has been poor, it is likely that reporting errors would occur.</w:t>
      </w:r>
    </w:p>
    <w:permEnd w:id="783692263"/>
    <w:p w14:paraId="3444E6C0" w14:textId="1D2360AA"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59D81122" w14:textId="596B3749" w:rsidR="00996C5D" w:rsidRPr="005D0A12" w:rsidRDefault="00996C5D" w:rsidP="00FC0BDE">
      <w:pPr>
        <w:spacing w:after="0" w:line="264" w:lineRule="auto"/>
        <w:jc w:val="left"/>
        <w:rPr>
          <w:rFonts w:ascii="Arial" w:hAnsi="Arial" w:cs="Arial"/>
        </w:rPr>
      </w:pPr>
      <w:permStart w:id="975453435" w:edGrp="everyone"/>
      <w:r w:rsidRPr="005D0A12">
        <w:rPr>
          <w:rFonts w:ascii="Arial" w:hAnsi="Arial" w:cs="Arial"/>
        </w:rPr>
        <w:t>T</w:t>
      </w:r>
      <w:r w:rsidR="003232AF" w:rsidRPr="005D0A12">
        <w:rPr>
          <w:rFonts w:ascii="Arial" w:hAnsi="Arial" w:cs="Arial"/>
        </w:rPr>
        <w:t xml:space="preserve">here is a lack of clarity on some key reporting issues. Please see below some examples of the questions which we think it would be useful for ESMA to clarify. </w:t>
      </w:r>
    </w:p>
    <w:p w14:paraId="088EF750" w14:textId="77777777" w:rsidR="00816725" w:rsidRPr="005D0A12" w:rsidRDefault="00816725" w:rsidP="00FC0BDE">
      <w:pPr>
        <w:spacing w:after="0" w:line="264" w:lineRule="auto"/>
        <w:jc w:val="left"/>
        <w:rPr>
          <w:rFonts w:ascii="Arial" w:hAnsi="Arial" w:cs="Arial"/>
          <w:sz w:val="24"/>
        </w:rPr>
      </w:pPr>
    </w:p>
    <w:p w14:paraId="51162D80" w14:textId="77777777" w:rsidR="00996C5D" w:rsidRPr="005D0A12" w:rsidRDefault="00996C5D" w:rsidP="00FC0BDE">
      <w:pPr>
        <w:spacing w:after="0" w:line="264" w:lineRule="auto"/>
        <w:rPr>
          <w:rFonts w:ascii="Arial" w:hAnsi="Arial" w:cs="Arial"/>
        </w:rPr>
      </w:pPr>
      <w:r w:rsidRPr="005D0A12">
        <w:rPr>
          <w:rFonts w:ascii="Arial" w:hAnsi="Arial" w:cs="Arial"/>
        </w:rPr>
        <w:t xml:space="preserve">Post-Trade Indicator </w:t>
      </w:r>
    </w:p>
    <w:p w14:paraId="5ADC73C5" w14:textId="5A213CE5" w:rsidR="00996C5D" w:rsidRPr="005D0A12" w:rsidRDefault="00996C5D" w:rsidP="005D0A12">
      <w:pPr>
        <w:pStyle w:val="ListParagraph"/>
        <w:rPr>
          <w:color w:val="auto"/>
        </w:rPr>
      </w:pPr>
      <w:r w:rsidRPr="005D0A12">
        <w:rPr>
          <w:color w:val="auto"/>
        </w:rPr>
        <w:t>We believe the use of the AMND flag in transaction reports is not clear. When should IFs report the AMND flag? Is it where a previously published trade report has been amended? What if the trade report is amended after the submission of the transaction report? Should the transaction report also be corrected? We assume that the AMND flag, when it is required to be populated, would only be populated by the firm with the publishing responsibility.</w:t>
      </w:r>
    </w:p>
    <w:p w14:paraId="2B4CF64A" w14:textId="4A38FBB3" w:rsidR="00996C5D" w:rsidRPr="005D0A12" w:rsidRDefault="00996C5D" w:rsidP="005D0A12">
      <w:pPr>
        <w:pStyle w:val="ListParagraph"/>
        <w:rPr>
          <w:color w:val="auto"/>
        </w:rPr>
      </w:pPr>
      <w:r w:rsidRPr="005D0A12">
        <w:rPr>
          <w:color w:val="auto"/>
        </w:rPr>
        <w:t>We believe the use of the CANC flag in transaction reports requires further clarification. Cancel flag, while the Q&amp;A notes that it is not required, we note that trade reports can be cancelled when the transaction itself has not been cancelled (i.e. when a report was published when it was not required to be because the other party had the publication obligation). In this case should the CANC flag be populated? Or as the trade report and subsequent cancellation were erroneous, then is it the case that the CANC flag should never be populated in the transaction report.</w:t>
      </w:r>
    </w:p>
    <w:p w14:paraId="071CEA2E" w14:textId="77777777" w:rsidR="00FC0BDE" w:rsidRPr="005D0A12" w:rsidRDefault="00FC0BDE" w:rsidP="00FC0BDE">
      <w:pPr>
        <w:spacing w:after="0" w:line="264" w:lineRule="auto"/>
      </w:pPr>
    </w:p>
    <w:p w14:paraId="5658BC7F" w14:textId="77777777" w:rsidR="00996C5D" w:rsidRPr="005D0A12" w:rsidRDefault="00996C5D" w:rsidP="00FC0BDE">
      <w:pPr>
        <w:spacing w:after="0" w:line="264" w:lineRule="auto"/>
        <w:rPr>
          <w:rFonts w:ascii="Arial" w:hAnsi="Arial" w:cs="Arial"/>
        </w:rPr>
      </w:pPr>
      <w:r w:rsidRPr="005D0A12">
        <w:rPr>
          <w:rFonts w:ascii="Arial" w:hAnsi="Arial" w:cs="Arial"/>
        </w:rPr>
        <w:t>Commodity Derivative Indicator</w:t>
      </w:r>
    </w:p>
    <w:p w14:paraId="4692DFBD" w14:textId="213F3364" w:rsidR="00996C5D" w:rsidRPr="00FA65D9" w:rsidRDefault="00996C5D" w:rsidP="005D0A12">
      <w:pPr>
        <w:pStyle w:val="ListParagraph"/>
      </w:pPr>
      <w:r w:rsidRPr="005D0A12">
        <w:rPr>
          <w:color w:val="auto"/>
        </w:rPr>
        <w:t>We note there is a poor understanding of this field, and many IFs are under the misunderstanding that the field is to identify an instrument as a commodity derivative</w:t>
      </w:r>
      <w:r w:rsidRPr="00FA65D9">
        <w:t>.</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lastRenderedPageBreak/>
        <w:t>: Do you foresee any challenges with this proposal? If yes, please explain and provide alternative proposals.</w:t>
      </w:r>
    </w:p>
    <w:p w14:paraId="55E176DD" w14:textId="77777777" w:rsidR="000B0D26" w:rsidRDefault="000B0D26" w:rsidP="000B0D26">
      <w:r>
        <w:t>&lt;ESMA_QUESTION_TRRF_26&gt;</w:t>
      </w:r>
    </w:p>
    <w:p w14:paraId="4599EA34" w14:textId="77777777" w:rsidR="000B0D26" w:rsidRDefault="000B0D26" w:rsidP="000B0D26">
      <w:permStart w:id="1526940698" w:edGrp="everyone"/>
      <w:r>
        <w:t>TYPE YOUR TEXT HERE</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7348B703" w14:textId="30811A99" w:rsidR="003232AF" w:rsidRPr="00FA65D9" w:rsidRDefault="00996C5D" w:rsidP="00FC0BDE">
      <w:pPr>
        <w:spacing w:after="0" w:line="264" w:lineRule="auto"/>
        <w:jc w:val="left"/>
        <w:rPr>
          <w:rFonts w:ascii="Arial" w:hAnsi="Arial" w:cs="Arial"/>
        </w:rPr>
      </w:pPr>
      <w:permStart w:id="1698904276" w:edGrp="everyone"/>
      <w:r w:rsidRPr="00FA65D9">
        <w:rPr>
          <w:rFonts w:ascii="Arial" w:hAnsi="Arial" w:cs="Arial"/>
        </w:rPr>
        <w:t xml:space="preserve">We believe fields 25 to 27 are the least understood fields in ARM reporting. </w:t>
      </w:r>
    </w:p>
    <w:p w14:paraId="63E6373F" w14:textId="77777777" w:rsidR="003232AF" w:rsidRPr="00FA65D9" w:rsidRDefault="003232AF" w:rsidP="00FC0BDE">
      <w:pPr>
        <w:spacing w:after="0" w:line="264" w:lineRule="auto"/>
        <w:jc w:val="left"/>
        <w:rPr>
          <w:rFonts w:ascii="Arial" w:hAnsi="Arial" w:cs="Arial"/>
        </w:rPr>
      </w:pPr>
    </w:p>
    <w:p w14:paraId="13B9DE2D" w14:textId="5036651F" w:rsidR="00996C5D" w:rsidRDefault="00996C5D" w:rsidP="00FC0BDE">
      <w:pPr>
        <w:spacing w:after="0" w:line="264" w:lineRule="auto"/>
        <w:rPr>
          <w:rFonts w:ascii="Arial" w:hAnsi="Arial" w:cs="Arial"/>
        </w:rPr>
      </w:pPr>
      <w:r w:rsidRPr="00FA65D9">
        <w:rPr>
          <w:rFonts w:ascii="Arial" w:hAnsi="Arial" w:cs="Arial"/>
        </w:rPr>
        <w:t>The proposed approach to mandating that a receiving firm to report a transmitted order fails to recognise that most IFs did not want to report on behalf of other IFs due to the need to receive client and decision maker personal data (i.e</w:t>
      </w:r>
      <w:r w:rsidR="003232AF" w:rsidRPr="00FA65D9">
        <w:rPr>
          <w:rFonts w:ascii="Arial" w:hAnsi="Arial" w:cs="Arial"/>
        </w:rPr>
        <w:t>.</w:t>
      </w:r>
      <w:r w:rsidRPr="00FA65D9">
        <w:rPr>
          <w:rFonts w:ascii="Arial" w:hAnsi="Arial" w:cs="Arial"/>
        </w:rPr>
        <w:t xml:space="preserve"> national IDs) from the transmitting firm. Additionally it places a burden on the receiving firm to ensure reporting accuracy, when the accuracy of their transaction report is dependent on the transmitting firm. </w:t>
      </w:r>
    </w:p>
    <w:p w14:paraId="51D22B61" w14:textId="77777777" w:rsidR="00FC0BDE" w:rsidRPr="00FA65D9" w:rsidRDefault="00FC0BDE" w:rsidP="00FC0BDE">
      <w:pPr>
        <w:spacing w:after="0" w:line="264" w:lineRule="auto"/>
        <w:rPr>
          <w:rFonts w:ascii="Arial" w:hAnsi="Arial" w:cs="Arial"/>
        </w:rPr>
      </w:pPr>
    </w:p>
    <w:p w14:paraId="18B80D3A" w14:textId="26309BB9" w:rsidR="00996C5D" w:rsidRDefault="003232AF" w:rsidP="00FC0BDE">
      <w:pPr>
        <w:spacing w:after="0" w:line="264" w:lineRule="auto"/>
        <w:rPr>
          <w:rFonts w:ascii="Arial" w:hAnsi="Arial" w:cs="Arial"/>
        </w:rPr>
      </w:pPr>
      <w:r w:rsidRPr="00FA65D9">
        <w:rPr>
          <w:rFonts w:ascii="Arial" w:hAnsi="Arial" w:cs="Arial"/>
        </w:rPr>
        <w:t>Under certain circumstances, w</w:t>
      </w:r>
      <w:r w:rsidR="00996C5D" w:rsidRPr="00FA65D9">
        <w:rPr>
          <w:rFonts w:ascii="Arial" w:hAnsi="Arial" w:cs="Arial"/>
        </w:rPr>
        <w:t>e believe receiving firms would be more willing to provide tr</w:t>
      </w:r>
      <w:r w:rsidRPr="00FA65D9">
        <w:rPr>
          <w:rFonts w:ascii="Arial" w:hAnsi="Arial" w:cs="Arial"/>
        </w:rPr>
        <w:t>ansaction reporting data (i.e. t</w:t>
      </w:r>
      <w:r w:rsidR="00996C5D" w:rsidRPr="00FA65D9">
        <w:rPr>
          <w:rFonts w:ascii="Arial" w:hAnsi="Arial" w:cs="Arial"/>
        </w:rPr>
        <w:t xml:space="preserve">he trade economics and instrument identifiers) to their small IF firm clients, to allow them to report on their own behalf. Tools created by technology vendors to allow the smaller firms to supplement the trade economics with their own client, decision maker data and trading capacity, would ensure the receiving firm isn't obliged to assume the reporting responsibility of the other firm, while providing the smaller firm with accurate data to include in their own reports. </w:t>
      </w:r>
    </w:p>
    <w:p w14:paraId="31D2BDB5" w14:textId="77777777" w:rsidR="00FC0BDE" w:rsidRPr="00FA65D9" w:rsidRDefault="00FC0BDE" w:rsidP="00FC0BDE">
      <w:pPr>
        <w:spacing w:after="0" w:line="264" w:lineRule="auto"/>
        <w:rPr>
          <w:rFonts w:ascii="Arial" w:hAnsi="Arial" w:cs="Arial"/>
        </w:rPr>
      </w:pPr>
    </w:p>
    <w:p w14:paraId="67E03333" w14:textId="4DD2442A" w:rsidR="00996C5D" w:rsidRPr="00FA65D9" w:rsidRDefault="00996C5D" w:rsidP="00FC0BDE">
      <w:pPr>
        <w:spacing w:after="0" w:line="264" w:lineRule="auto"/>
        <w:rPr>
          <w:rFonts w:ascii="Arial" w:hAnsi="Arial" w:cs="Arial"/>
        </w:rPr>
      </w:pPr>
      <w:r w:rsidRPr="00FA65D9">
        <w:rPr>
          <w:rFonts w:ascii="Arial" w:hAnsi="Arial" w:cs="Arial"/>
        </w:rPr>
        <w:t xml:space="preserve">We believe the proposal set out by ESMA would result in </w:t>
      </w:r>
      <w:r w:rsidR="003232AF" w:rsidRPr="00FA65D9">
        <w:rPr>
          <w:rFonts w:ascii="Arial" w:hAnsi="Arial" w:cs="Arial"/>
        </w:rPr>
        <w:t xml:space="preserve">a </w:t>
      </w:r>
      <w:r w:rsidRPr="00FA65D9">
        <w:rPr>
          <w:rFonts w:ascii="Arial" w:hAnsi="Arial" w:cs="Arial"/>
        </w:rPr>
        <w:t>similar practice that occurred under MiFID I, whereby many buy-side firms place reliance on their sell-side counterparty's reporting. Many sell-side firms were not aware that they were being relied upon. Even where the sell-side firms were aware of this reliance, the content of the reports were not shared, which meant that these buy-side firms were unable to determine with certainty the accuracy of the reports.</w:t>
      </w:r>
    </w:p>
    <w:p w14:paraId="182DB9F0" w14:textId="77777777" w:rsidR="00996C5D" w:rsidRPr="00FA65D9" w:rsidRDefault="00996C5D" w:rsidP="005D0A12">
      <w:pPr>
        <w:spacing w:after="240" w:line="264" w:lineRule="auto"/>
        <w:rPr>
          <w:rFonts w:ascii="Arial" w:hAnsi="Arial" w:cs="Arial"/>
        </w:rPr>
      </w:pPr>
      <w:r w:rsidRPr="00FA65D9">
        <w:rPr>
          <w:rFonts w:ascii="Arial" w:hAnsi="Arial" w:cs="Arial"/>
        </w:rPr>
        <w:t>We also believe there is further need to clarify the requirements of field 25, Transmission of Order Indicator. We believe the guidance requires further clarification and should be supplemented with a clear definition of transmission, particularly how this relates to the investment service of 'reception and transmission of orders in relation to one or more financial instruments', which we also note has not been defined in MiFID Article 4.</w:t>
      </w:r>
    </w:p>
    <w:permEnd w:id="1698904276"/>
    <w:p w14:paraId="0E2C1AC5" w14:textId="77777777" w:rsidR="000B0D26" w:rsidRDefault="000B0D26" w:rsidP="000B0D26">
      <w:r>
        <w:lastRenderedPageBreak/>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7BBDAB9B" w14:textId="77777777" w:rsidR="000B0D26" w:rsidRDefault="000B0D26" w:rsidP="000B0D26">
      <w:permStart w:id="501251014" w:edGrp="everyone"/>
      <w:r>
        <w:t>TYPE YOUR TEXT HERE</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6D3B7313" w14:textId="77777777" w:rsidR="000B0D26" w:rsidRDefault="000B0D26" w:rsidP="000B0D26">
      <w:permStart w:id="869752172" w:edGrp="everyone"/>
      <w:r>
        <w:t>TYPE YOUR TEXT HERE</w:t>
      </w:r>
    </w:p>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502C5300" w14:textId="515164F5" w:rsidR="0005345F" w:rsidRPr="00FA65D9" w:rsidRDefault="0005345F" w:rsidP="00FC0BDE">
      <w:pPr>
        <w:pStyle w:val="Subtitle"/>
        <w:spacing w:after="0" w:line="264" w:lineRule="auto"/>
        <w:rPr>
          <w:sz w:val="22"/>
          <w:szCs w:val="22"/>
        </w:rPr>
      </w:pPr>
      <w:permStart w:id="1581188992" w:edGrp="everyone"/>
      <w:r w:rsidRPr="00FA65D9">
        <w:rPr>
          <w:b w:val="0"/>
          <w:sz w:val="22"/>
          <w:szCs w:val="22"/>
        </w:rPr>
        <w:t>As we mentioned in our response to the</w:t>
      </w:r>
      <w:r w:rsidRPr="00FA65D9">
        <w:rPr>
          <w:sz w:val="22"/>
          <w:szCs w:val="22"/>
        </w:rPr>
        <w:t xml:space="preserve"> </w:t>
      </w:r>
      <w:r w:rsidRPr="00FA65D9">
        <w:rPr>
          <w:b w:val="0"/>
          <w:sz w:val="22"/>
          <w:szCs w:val="22"/>
        </w:rPr>
        <w:t>recent</w:t>
      </w:r>
      <w:r w:rsidR="00527F59" w:rsidRPr="00FA65D9">
        <w:rPr>
          <w:b w:val="0"/>
          <w:sz w:val="22"/>
          <w:szCs w:val="22"/>
        </w:rPr>
        <w:t xml:space="preserve"> ESMA Consultation Paper on</w:t>
      </w:r>
      <w:r w:rsidRPr="00FA65D9">
        <w:rPr>
          <w:b w:val="0"/>
          <w:sz w:val="22"/>
          <w:szCs w:val="22"/>
        </w:rPr>
        <w:t xml:space="preserve"> </w:t>
      </w:r>
      <w:r w:rsidR="00527F59" w:rsidRPr="00FA65D9">
        <w:rPr>
          <w:b w:val="0"/>
          <w:sz w:val="22"/>
          <w:szCs w:val="22"/>
        </w:rPr>
        <w:t xml:space="preserve">Technical standards on reporting, data quality, data access and registration of Trade Repositories under EMIR REFIT, </w:t>
      </w:r>
      <w:r w:rsidRPr="00FA65D9">
        <w:rPr>
          <w:b w:val="0"/>
          <w:sz w:val="22"/>
          <w:szCs w:val="22"/>
        </w:rPr>
        <w:t>we regard the use of ISINs in the derivatives space as having been misconceived from the start. We do not believe that the way ISIN has been implemented has brought meaningful transparency to the OTC derivatives space.</w:t>
      </w:r>
    </w:p>
    <w:p w14:paraId="4F7910CC" w14:textId="77777777" w:rsidR="0005345F" w:rsidRPr="00FA65D9" w:rsidRDefault="0005345F" w:rsidP="00FC0BDE">
      <w:pPr>
        <w:pStyle w:val="Default"/>
        <w:spacing w:line="264" w:lineRule="auto"/>
        <w:rPr>
          <w:color w:val="auto"/>
          <w:sz w:val="22"/>
          <w:szCs w:val="22"/>
        </w:rPr>
      </w:pPr>
      <w:r w:rsidRPr="00FA65D9">
        <w:rPr>
          <w:color w:val="auto"/>
          <w:sz w:val="22"/>
          <w:szCs w:val="22"/>
        </w:rPr>
        <w:t>We have been supportive of the development in this space of the UPI standard, and regard this as offering a better approach, subject to the caveats below.</w:t>
      </w:r>
    </w:p>
    <w:p w14:paraId="72864E3A" w14:textId="77777777" w:rsidR="0005345F" w:rsidRPr="00FA65D9" w:rsidRDefault="0005345F" w:rsidP="00FC0BDE">
      <w:pPr>
        <w:pStyle w:val="Default"/>
        <w:spacing w:line="264" w:lineRule="auto"/>
        <w:rPr>
          <w:color w:val="auto"/>
          <w:sz w:val="22"/>
          <w:szCs w:val="22"/>
        </w:rPr>
      </w:pPr>
      <w:r w:rsidRPr="00FA65D9">
        <w:rPr>
          <w:color w:val="auto"/>
          <w:sz w:val="22"/>
          <w:szCs w:val="22"/>
        </w:rPr>
        <w:t xml:space="preserve">We are concerned that ESMA is once again confusing the OTC ISIN standard and the UPI as if they are all part of one standard. </w:t>
      </w:r>
    </w:p>
    <w:p w14:paraId="25740B65" w14:textId="77777777" w:rsidR="0005345F" w:rsidRPr="00FA65D9" w:rsidRDefault="0005345F" w:rsidP="00FC0BDE">
      <w:pPr>
        <w:pStyle w:val="body"/>
        <w:spacing w:before="0" w:after="0" w:line="264" w:lineRule="auto"/>
        <w:rPr>
          <w:i/>
        </w:rPr>
      </w:pPr>
      <w:r w:rsidRPr="00FA65D9">
        <w:rPr>
          <w:szCs w:val="22"/>
        </w:rPr>
        <w:t>ESMA states that: ‘</w:t>
      </w:r>
      <w:r w:rsidRPr="00FA65D9">
        <w:rPr>
          <w:i/>
        </w:rPr>
        <w:t xml:space="preserve">Accordingly, ESMA proposals in the review of the EMIR technical standards on reporting assume that the implementation of the UPI under EMIR could in principle be consistent with the ISIN framework. In particular, in the case of realisation of a multi-level identifier hierarchy, the more granular level already used for MiFIR reporting could be retained </w:t>
      </w:r>
      <w:r w:rsidRPr="00FA65D9">
        <w:rPr>
          <w:i/>
        </w:rPr>
        <w:lastRenderedPageBreak/>
        <w:t>for the purpose of identifying derivatives that are currently reported under MiFIR (in reports submitted to TRs) in order to ensure consistency of reporting under MiFIR and EMIR.’</w:t>
      </w:r>
    </w:p>
    <w:p w14:paraId="6FE5F323" w14:textId="77777777" w:rsidR="0005345F" w:rsidRPr="00FA65D9" w:rsidRDefault="0005345F" w:rsidP="00FC0BDE">
      <w:pPr>
        <w:pStyle w:val="Default"/>
        <w:spacing w:line="264" w:lineRule="auto"/>
        <w:jc w:val="both"/>
        <w:rPr>
          <w:bCs/>
          <w:color w:val="auto"/>
          <w:sz w:val="22"/>
          <w:szCs w:val="22"/>
        </w:rPr>
      </w:pPr>
      <w:r w:rsidRPr="00FA65D9">
        <w:rPr>
          <w:bCs/>
          <w:color w:val="auto"/>
          <w:sz w:val="22"/>
          <w:szCs w:val="22"/>
        </w:rPr>
        <w:t>The ISIN standard, however, is not built to enable hierarchies, and does not provide a ready framework whereby such linkage might be delivered. Other instrument identifier standards such as the Financial Instrument Global Identifier (FIGI) are already implemented to enable instrument hierarchies within a single standard, and this is something ESMA should consider if identifier hierarchies are considered helpful in this context.</w:t>
      </w:r>
    </w:p>
    <w:p w14:paraId="63AD7090" w14:textId="77777777" w:rsidR="0005345F" w:rsidRPr="00FA65D9" w:rsidRDefault="0005345F" w:rsidP="00FC0BDE">
      <w:pPr>
        <w:pStyle w:val="Default"/>
        <w:spacing w:line="264" w:lineRule="auto"/>
        <w:jc w:val="both"/>
        <w:rPr>
          <w:bCs/>
          <w:color w:val="auto"/>
          <w:sz w:val="22"/>
          <w:szCs w:val="22"/>
        </w:rPr>
      </w:pPr>
    </w:p>
    <w:p w14:paraId="0FC41F0E" w14:textId="77777777" w:rsidR="0005345F" w:rsidRPr="00FA65D9" w:rsidRDefault="0005345F" w:rsidP="00FC0BDE">
      <w:pPr>
        <w:pStyle w:val="Default"/>
        <w:spacing w:line="264" w:lineRule="auto"/>
        <w:jc w:val="both"/>
        <w:rPr>
          <w:bCs/>
          <w:color w:val="auto"/>
          <w:sz w:val="22"/>
          <w:szCs w:val="22"/>
        </w:rPr>
      </w:pPr>
      <w:r w:rsidRPr="00FA65D9">
        <w:rPr>
          <w:bCs/>
          <w:color w:val="auto"/>
          <w:sz w:val="22"/>
          <w:szCs w:val="22"/>
        </w:rPr>
        <w:t>Furthermore it is clear that the UPI is a standalone ISO standard, not part of the existing ISO 6166 ISIN, nor are there plans within ISO to change this fact, or to incorporate one standard within the other.</w:t>
      </w:r>
    </w:p>
    <w:p w14:paraId="71E80E49" w14:textId="77777777" w:rsidR="0005345F" w:rsidRPr="00FA65D9" w:rsidRDefault="0005345F" w:rsidP="00FC0BDE">
      <w:pPr>
        <w:pStyle w:val="Default"/>
        <w:spacing w:line="264" w:lineRule="auto"/>
        <w:jc w:val="both"/>
        <w:rPr>
          <w:bCs/>
          <w:color w:val="auto"/>
          <w:sz w:val="22"/>
          <w:szCs w:val="22"/>
        </w:rPr>
      </w:pPr>
    </w:p>
    <w:p w14:paraId="6E78FB2E" w14:textId="77777777" w:rsidR="0005345F" w:rsidRPr="00FA65D9" w:rsidRDefault="0005345F" w:rsidP="00FC0BDE">
      <w:pPr>
        <w:pStyle w:val="Default"/>
        <w:spacing w:line="264" w:lineRule="auto"/>
        <w:jc w:val="both"/>
        <w:rPr>
          <w:bCs/>
          <w:color w:val="auto"/>
          <w:sz w:val="22"/>
          <w:szCs w:val="22"/>
        </w:rPr>
      </w:pPr>
      <w:r w:rsidRPr="00FA65D9">
        <w:rPr>
          <w:bCs/>
          <w:color w:val="auto"/>
          <w:sz w:val="22"/>
          <w:szCs w:val="22"/>
        </w:rPr>
        <w:t>Given this reality we suggest that contrary to the view expressed by ESMA that UPI would only be used for instruments falling within any ultimately expanded scope of MiFIR reporting, we believe that ESMA needs to consider that UPI should be leveraged for all OTC derivatives instruments to which UPI can be assigned, in lieu of ISIN.</w:t>
      </w:r>
    </w:p>
    <w:p w14:paraId="32490CDF" w14:textId="77777777" w:rsidR="0005345F" w:rsidRPr="00FA65D9" w:rsidRDefault="0005345F" w:rsidP="00FC0BDE">
      <w:pPr>
        <w:pStyle w:val="Default"/>
        <w:spacing w:line="264" w:lineRule="auto"/>
        <w:jc w:val="both"/>
        <w:rPr>
          <w:bCs/>
          <w:color w:val="auto"/>
          <w:sz w:val="22"/>
          <w:szCs w:val="22"/>
        </w:rPr>
      </w:pPr>
    </w:p>
    <w:p w14:paraId="377F95E9" w14:textId="3567AD38" w:rsidR="0005345F" w:rsidRPr="00FA65D9" w:rsidRDefault="0005345F" w:rsidP="00FC0BDE">
      <w:pPr>
        <w:pStyle w:val="Default"/>
        <w:spacing w:line="264" w:lineRule="auto"/>
        <w:jc w:val="both"/>
        <w:rPr>
          <w:bCs/>
          <w:color w:val="auto"/>
          <w:sz w:val="22"/>
          <w:szCs w:val="22"/>
        </w:rPr>
      </w:pPr>
      <w:r w:rsidRPr="00FA65D9">
        <w:rPr>
          <w:bCs/>
          <w:color w:val="auto"/>
          <w:sz w:val="22"/>
          <w:szCs w:val="22"/>
        </w:rPr>
        <w:t>In our view, ESMA should focus on the implementation of the UPI as a primary identifier for OTC de</w:t>
      </w:r>
      <w:r w:rsidR="00B62A83" w:rsidRPr="00FA65D9">
        <w:rPr>
          <w:bCs/>
          <w:color w:val="auto"/>
          <w:sz w:val="22"/>
          <w:szCs w:val="22"/>
        </w:rPr>
        <w:t>rivative products of all types.</w:t>
      </w:r>
      <w:r w:rsidRPr="00FA65D9">
        <w:rPr>
          <w:bCs/>
          <w:color w:val="auto"/>
          <w:sz w:val="22"/>
          <w:szCs w:val="22"/>
        </w:rPr>
        <w:t xml:space="preserve"> ESMA should not require that products are identified in MiFIR reporting with both an ISIN and a UPI, where both could in theory be allocated.  Mandating both identifiers going forward would negate all the advantages of the UPI, and the role of the ISIN in such circumstances would be superfluous in terms of delivering regulatory transparency.</w:t>
      </w:r>
    </w:p>
    <w:p w14:paraId="34A6EFC0" w14:textId="77777777" w:rsidR="0005345F" w:rsidRPr="00FA65D9" w:rsidRDefault="0005345F" w:rsidP="00FC0BDE">
      <w:pPr>
        <w:pStyle w:val="Default"/>
        <w:spacing w:line="264" w:lineRule="auto"/>
        <w:jc w:val="both"/>
        <w:rPr>
          <w:bCs/>
          <w:color w:val="auto"/>
          <w:sz w:val="22"/>
          <w:szCs w:val="22"/>
        </w:rPr>
      </w:pPr>
    </w:p>
    <w:p w14:paraId="79C382CD" w14:textId="2857B746" w:rsidR="0005345F" w:rsidRPr="00FA65D9" w:rsidRDefault="0005345F" w:rsidP="00FC0BDE">
      <w:pPr>
        <w:pStyle w:val="Default"/>
        <w:spacing w:line="264" w:lineRule="auto"/>
        <w:jc w:val="both"/>
        <w:rPr>
          <w:bCs/>
          <w:color w:val="auto"/>
          <w:sz w:val="22"/>
          <w:szCs w:val="22"/>
        </w:rPr>
      </w:pPr>
      <w:r w:rsidRPr="00FA65D9">
        <w:rPr>
          <w:bCs/>
          <w:color w:val="auto"/>
          <w:sz w:val="22"/>
          <w:szCs w:val="22"/>
        </w:rPr>
        <w:t>It will be noted that amongst the metad</w:t>
      </w:r>
      <w:r w:rsidR="00B62A83" w:rsidRPr="00FA65D9">
        <w:rPr>
          <w:bCs/>
          <w:color w:val="auto"/>
          <w:sz w:val="22"/>
          <w:szCs w:val="22"/>
        </w:rPr>
        <w:t>ata of the UPI is the underlier</w:t>
      </w:r>
      <w:r w:rsidR="00527F59" w:rsidRPr="00FA65D9">
        <w:rPr>
          <w:bCs/>
          <w:color w:val="auto"/>
          <w:sz w:val="22"/>
          <w:szCs w:val="22"/>
        </w:rPr>
        <w:t>.</w:t>
      </w:r>
      <w:r w:rsidR="00B62A83" w:rsidRPr="00FA65D9">
        <w:rPr>
          <w:bCs/>
          <w:color w:val="auto"/>
          <w:sz w:val="22"/>
          <w:szCs w:val="22"/>
        </w:rPr>
        <w:t xml:space="preserve"> </w:t>
      </w:r>
      <w:r w:rsidRPr="00FA65D9">
        <w:rPr>
          <w:bCs/>
          <w:color w:val="auto"/>
          <w:sz w:val="22"/>
          <w:szCs w:val="22"/>
        </w:rPr>
        <w:t>ESMA needs to consider a broader range of options for how underliers are identified as well. In IRS products for example an underlier benchmark is often unlikely to have an ISIN assigned, but in most cases will have a Financial Instrument Global Identifier (FIGI).  ESMA should make provision for the use of FIGI in this attribute of the UPI going forward.</w:t>
      </w:r>
    </w:p>
    <w:p w14:paraId="5DC1CF29" w14:textId="77777777" w:rsidR="00527F59" w:rsidRPr="00FA65D9" w:rsidRDefault="00527F59" w:rsidP="00FC0BDE">
      <w:pPr>
        <w:pStyle w:val="Default"/>
        <w:spacing w:line="264" w:lineRule="auto"/>
        <w:jc w:val="both"/>
        <w:rPr>
          <w:bCs/>
          <w:color w:val="auto"/>
          <w:sz w:val="22"/>
          <w:szCs w:val="22"/>
        </w:rPr>
      </w:pPr>
    </w:p>
    <w:p w14:paraId="64D96358" w14:textId="4C06D02B" w:rsidR="0005345F" w:rsidRPr="00FA65D9" w:rsidRDefault="0005345F" w:rsidP="00FC0BDE">
      <w:pPr>
        <w:pStyle w:val="Default"/>
        <w:spacing w:line="264" w:lineRule="auto"/>
        <w:jc w:val="both"/>
        <w:rPr>
          <w:bCs/>
          <w:color w:val="auto"/>
          <w:sz w:val="22"/>
          <w:szCs w:val="22"/>
        </w:rPr>
      </w:pPr>
      <w:r w:rsidRPr="00FA65D9">
        <w:rPr>
          <w:bCs/>
          <w:color w:val="auto"/>
          <w:sz w:val="22"/>
          <w:szCs w:val="22"/>
        </w:rPr>
        <w:t>Finally it is important to note</w:t>
      </w:r>
      <w:r w:rsidR="00527F59" w:rsidRPr="00FA65D9">
        <w:rPr>
          <w:bCs/>
          <w:color w:val="auto"/>
          <w:sz w:val="22"/>
          <w:szCs w:val="22"/>
        </w:rPr>
        <w:t>, as we stated in our EMIR REFIT</w:t>
      </w:r>
      <w:r w:rsidRPr="00FA65D9">
        <w:rPr>
          <w:bCs/>
          <w:color w:val="auto"/>
          <w:sz w:val="22"/>
          <w:szCs w:val="22"/>
        </w:rPr>
        <w:t xml:space="preserve"> response, that our support for the UPI is conditional on a fairer and more effective governance model being in place than that for the OTC ISIN. The DSB has been chosen as the only issuer of UPIs and controller of the databased of issued UPIs.  It is essential that proper industry involvement in the commercial governance of the UPI is forthcoming. It is also essential for both industry and regulatory authorities that a robust plan B is in place for if the DSB is not able to perform its duties.  </w:t>
      </w:r>
    </w:p>
    <w:p w14:paraId="02C501A3" w14:textId="77777777" w:rsidR="0005345F" w:rsidRPr="00FA65D9" w:rsidRDefault="0005345F" w:rsidP="00FC0BDE">
      <w:pPr>
        <w:pStyle w:val="Default"/>
        <w:spacing w:line="264" w:lineRule="auto"/>
        <w:jc w:val="both"/>
        <w:rPr>
          <w:bCs/>
          <w:color w:val="auto"/>
          <w:sz w:val="22"/>
          <w:szCs w:val="22"/>
        </w:rPr>
      </w:pPr>
    </w:p>
    <w:p w14:paraId="5ADC7572" w14:textId="77777777" w:rsidR="0005345F" w:rsidRPr="00FA65D9" w:rsidRDefault="0005345F" w:rsidP="00FC0BDE">
      <w:pPr>
        <w:pStyle w:val="Default"/>
        <w:spacing w:line="264" w:lineRule="auto"/>
        <w:jc w:val="both"/>
        <w:rPr>
          <w:bCs/>
          <w:color w:val="auto"/>
          <w:sz w:val="22"/>
          <w:szCs w:val="22"/>
        </w:rPr>
      </w:pPr>
      <w:r w:rsidRPr="00FA65D9">
        <w:rPr>
          <w:bCs/>
          <w:color w:val="auto"/>
          <w:sz w:val="22"/>
          <w:szCs w:val="22"/>
        </w:rPr>
        <w:t xml:space="preserve">A second provider of UPI services in this space would provide greater assurance around service continuity and potentially a greater incentive to keep costs down (as with the LEI scheme). </w:t>
      </w:r>
    </w:p>
    <w:p w14:paraId="56928F33" w14:textId="77777777" w:rsidR="0005345F" w:rsidRPr="00FA65D9" w:rsidRDefault="0005345F" w:rsidP="00FC0BDE">
      <w:pPr>
        <w:pStyle w:val="Default"/>
        <w:spacing w:line="264" w:lineRule="auto"/>
        <w:jc w:val="both"/>
        <w:rPr>
          <w:bCs/>
          <w:color w:val="auto"/>
          <w:sz w:val="22"/>
          <w:szCs w:val="22"/>
        </w:rPr>
      </w:pPr>
    </w:p>
    <w:p w14:paraId="4F8C80E0" w14:textId="77777777" w:rsidR="0005345F" w:rsidRPr="00FA65D9" w:rsidRDefault="0005345F" w:rsidP="005D0A12">
      <w:pPr>
        <w:pStyle w:val="Default"/>
        <w:spacing w:after="240" w:line="264" w:lineRule="auto"/>
        <w:jc w:val="both"/>
        <w:rPr>
          <w:color w:val="auto"/>
          <w:sz w:val="22"/>
          <w:szCs w:val="22"/>
        </w:rPr>
      </w:pPr>
      <w:r w:rsidRPr="00FA65D9">
        <w:rPr>
          <w:bCs/>
          <w:color w:val="auto"/>
          <w:sz w:val="22"/>
          <w:szCs w:val="22"/>
        </w:rPr>
        <w:t xml:space="preserve">We are particularly concerned that this single point of failure could become more acute should ESMA rely on some form of additional mapping service from the DSB to solve the fact that UPI </w:t>
      </w:r>
      <w:r w:rsidRPr="00FA65D9">
        <w:rPr>
          <w:bCs/>
          <w:color w:val="auto"/>
          <w:sz w:val="22"/>
          <w:szCs w:val="22"/>
        </w:rPr>
        <w:lastRenderedPageBreak/>
        <w:t>and ISIN are separate standards.  This would be a sticking plaster solution, and one likely to cost the industry further licencing costs on top of those already being charged for full access to OTC ISINs, as well as adding to single point of failure concerns.</w:t>
      </w:r>
    </w:p>
    <w:permEnd w:id="1581188992"/>
    <w:p w14:paraId="31A2E5D0" w14:textId="77777777"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75CF133A" w14:textId="7EAB72A8" w:rsidR="0005345F" w:rsidRPr="00FA65D9" w:rsidRDefault="0005345F" w:rsidP="00FC0BDE">
      <w:pPr>
        <w:pStyle w:val="Default"/>
        <w:spacing w:line="264" w:lineRule="auto"/>
        <w:jc w:val="both"/>
        <w:rPr>
          <w:color w:val="auto"/>
          <w:sz w:val="22"/>
          <w:szCs w:val="22"/>
        </w:rPr>
      </w:pPr>
      <w:permStart w:id="1580817176" w:edGrp="everyone"/>
      <w:r w:rsidRPr="00FA65D9">
        <w:rPr>
          <w:color w:val="auto"/>
          <w:sz w:val="22"/>
          <w:szCs w:val="22"/>
        </w:rPr>
        <w:t>The ISIN regime for OTC instruments post MiFID II/MiFIR, as implemented, h</w:t>
      </w:r>
      <w:r w:rsidR="00FC0BDE">
        <w:rPr>
          <w:color w:val="auto"/>
          <w:sz w:val="22"/>
          <w:szCs w:val="22"/>
        </w:rPr>
        <w:t xml:space="preserve">as not delivered transparency. </w:t>
      </w:r>
      <w:r w:rsidRPr="00FA65D9">
        <w:rPr>
          <w:color w:val="auto"/>
          <w:sz w:val="22"/>
          <w:szCs w:val="22"/>
        </w:rPr>
        <w:t>As</w:t>
      </w:r>
      <w:r w:rsidR="00FC0BDE">
        <w:rPr>
          <w:color w:val="auto"/>
          <w:sz w:val="22"/>
          <w:szCs w:val="22"/>
        </w:rPr>
        <w:t xml:space="preserve"> it</w:t>
      </w:r>
      <w:r w:rsidRPr="00FA65D9">
        <w:rPr>
          <w:color w:val="auto"/>
          <w:sz w:val="22"/>
          <w:szCs w:val="22"/>
        </w:rPr>
        <w:t xml:space="preserve"> has been noted repeatedly we have the situation whereby different ISINs refer to the same products, while in other cases different products have the same ISINs.  </w:t>
      </w:r>
    </w:p>
    <w:p w14:paraId="24217F8C" w14:textId="77777777" w:rsidR="0005345F" w:rsidRPr="00FA65D9" w:rsidRDefault="0005345F" w:rsidP="00FC0BDE">
      <w:pPr>
        <w:pStyle w:val="Default"/>
        <w:spacing w:line="264" w:lineRule="auto"/>
        <w:jc w:val="both"/>
        <w:rPr>
          <w:color w:val="auto"/>
          <w:sz w:val="22"/>
          <w:szCs w:val="22"/>
        </w:rPr>
      </w:pPr>
    </w:p>
    <w:p w14:paraId="1A6D5D5A" w14:textId="32D1C895" w:rsidR="00FC0BDE" w:rsidRDefault="0005345F" w:rsidP="000B0D26">
      <w:pPr>
        <w:rPr>
          <w:szCs w:val="22"/>
        </w:rPr>
      </w:pPr>
      <w:r w:rsidRPr="00FA65D9">
        <w:rPr>
          <w:szCs w:val="22"/>
        </w:rPr>
        <w:t xml:space="preserve">The granularity has not been calibrated appropriately, and we would urge ESMA to listen to industry input in order to correct </w:t>
      </w:r>
      <w:r w:rsidR="00FC0BDE">
        <w:rPr>
          <w:szCs w:val="22"/>
        </w:rPr>
        <w:t xml:space="preserve">the problems that have arisen. </w:t>
      </w:r>
    </w:p>
    <w:permEnd w:id="1580817176"/>
    <w:p w14:paraId="441BED36" w14:textId="7AA8024E"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01FCE87B" w14:textId="47F93E59" w:rsidR="0005345F" w:rsidRPr="00FA65D9" w:rsidRDefault="0005345F" w:rsidP="00FC0BDE">
      <w:pPr>
        <w:pStyle w:val="Default"/>
        <w:spacing w:line="264" w:lineRule="auto"/>
        <w:jc w:val="both"/>
        <w:rPr>
          <w:color w:val="auto"/>
          <w:sz w:val="22"/>
          <w:szCs w:val="22"/>
        </w:rPr>
      </w:pPr>
      <w:permStart w:id="1128496454" w:edGrp="everyone"/>
      <w:r w:rsidRPr="00FA65D9">
        <w:rPr>
          <w:color w:val="auto"/>
          <w:sz w:val="22"/>
          <w:szCs w:val="22"/>
        </w:rPr>
        <w:t>We do not see any need for the level of extra detail ESMA is proposing to insert in the level one text articles concerning lists of reference data standards used in MiFIR reporting.  Standards changes (especially where the landscape is still evolving e.g. UPI) can be managed in the level 2 technical standards more effectively, which can be adapted as standards choices change and develop.</w:t>
      </w:r>
    </w:p>
    <w:p w14:paraId="70E9FFED" w14:textId="4A312285" w:rsidR="0005345F" w:rsidRPr="00FA65D9" w:rsidRDefault="0005345F" w:rsidP="00FC0BDE">
      <w:pPr>
        <w:pStyle w:val="Default"/>
        <w:spacing w:line="264" w:lineRule="auto"/>
        <w:jc w:val="both"/>
        <w:rPr>
          <w:color w:val="auto"/>
          <w:sz w:val="22"/>
          <w:szCs w:val="22"/>
        </w:rPr>
      </w:pPr>
    </w:p>
    <w:p w14:paraId="220F8DB0" w14:textId="5490BB36" w:rsidR="003232AF" w:rsidRDefault="0005345F" w:rsidP="00FC0BDE">
      <w:pPr>
        <w:spacing w:after="0" w:line="264" w:lineRule="auto"/>
        <w:rPr>
          <w:rFonts w:cstheme="minorHAnsi"/>
        </w:rPr>
      </w:pPr>
      <w:r w:rsidRPr="00FA65D9">
        <w:rPr>
          <w:rFonts w:cstheme="minorHAnsi"/>
        </w:rPr>
        <w:t>In addition, in our capacity as a data provider, we continue to see issues with the assignment of official CFI codes for cash instruments and exchange-traded derivatives. The lack of an official CFI (assigned by a National Numbering Agency) is still widespread for many instruments and is a major source of questions from our clients.</w:t>
      </w:r>
      <w:r w:rsidR="003232AF" w:rsidRPr="00FA65D9">
        <w:rPr>
          <w:rFonts w:cstheme="minorHAnsi"/>
        </w:rPr>
        <w:t xml:space="preserve"> </w:t>
      </w:r>
    </w:p>
    <w:p w14:paraId="4F6ADD3C" w14:textId="77777777" w:rsidR="00FC0BDE" w:rsidRPr="00FA65D9" w:rsidRDefault="00FC0BDE" w:rsidP="00FC0BDE">
      <w:pPr>
        <w:spacing w:after="0" w:line="264" w:lineRule="auto"/>
        <w:rPr>
          <w:rFonts w:cstheme="minorHAnsi"/>
        </w:rPr>
      </w:pPr>
    </w:p>
    <w:p w14:paraId="7445D85D" w14:textId="701765C8" w:rsidR="003232AF" w:rsidRDefault="0005345F" w:rsidP="00FC0BDE">
      <w:pPr>
        <w:spacing w:after="0" w:line="264" w:lineRule="auto"/>
        <w:rPr>
          <w:rFonts w:cstheme="minorHAnsi"/>
        </w:rPr>
      </w:pPr>
      <w:r w:rsidRPr="00FA65D9">
        <w:rPr>
          <w:rFonts w:cstheme="minorHAnsi"/>
        </w:rPr>
        <w:lastRenderedPageBreak/>
        <w:t xml:space="preserve">We would also note that there are still cases of invalid CFI codes (i.e. codes that are no longer in line with the prevailing ISO standard), and incorrect CFIs, which do not accurately capture the attributes of the instrument, are frequent. </w:t>
      </w:r>
    </w:p>
    <w:p w14:paraId="4CA8A98F" w14:textId="77777777" w:rsidR="00FC0BDE" w:rsidRPr="00FA65D9" w:rsidRDefault="00FC0BDE" w:rsidP="00FC0BDE">
      <w:pPr>
        <w:spacing w:after="0" w:line="264" w:lineRule="auto"/>
        <w:rPr>
          <w:rFonts w:cstheme="minorHAnsi"/>
        </w:rPr>
      </w:pPr>
    </w:p>
    <w:p w14:paraId="2D75F41E" w14:textId="073DE2DC" w:rsidR="00FC0BDE" w:rsidRPr="00FA65D9" w:rsidRDefault="0005345F" w:rsidP="005D0A12">
      <w:pPr>
        <w:spacing w:after="240" w:line="264" w:lineRule="auto"/>
        <w:rPr>
          <w:rFonts w:cstheme="minorHAnsi"/>
        </w:rPr>
      </w:pPr>
      <w:r w:rsidRPr="00FA65D9">
        <w:rPr>
          <w:rFonts w:cstheme="minorHAnsi"/>
        </w:rPr>
        <w:t>Our perspective would therefore be that the explicit inclusion of data standards and formats in the Level 1 (or indeed Level 2) text is of little value unless measures are taken at the regulator-level to ensure that the data in question is consistently made available by the official sources and is quality controlled (in the cas</w:t>
      </w:r>
      <w:r w:rsidR="00122E73" w:rsidRPr="00FA65D9">
        <w:rPr>
          <w:rFonts w:cstheme="minorHAnsi"/>
        </w:rPr>
        <w:t>e of CFI codes, for example).</w:t>
      </w:r>
    </w:p>
    <w:permEnd w:id="1128496454"/>
    <w:p w14:paraId="164B45A2" w14:textId="1B0DEC09"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3CD087DA" w14:textId="7D3608FF" w:rsidR="00670EBE" w:rsidRPr="000F78B0" w:rsidRDefault="00670EBE" w:rsidP="00FC0BDE">
      <w:pPr>
        <w:pStyle w:val="Default"/>
        <w:spacing w:line="264" w:lineRule="auto"/>
        <w:jc w:val="both"/>
        <w:rPr>
          <w:bCs/>
          <w:color w:val="auto"/>
          <w:sz w:val="22"/>
          <w:szCs w:val="22"/>
        </w:rPr>
      </w:pPr>
      <w:permStart w:id="546641594" w:edGrp="everyone"/>
      <w:r w:rsidRPr="000F78B0">
        <w:rPr>
          <w:bCs/>
          <w:color w:val="auto"/>
          <w:sz w:val="22"/>
          <w:szCs w:val="22"/>
        </w:rPr>
        <w:t xml:space="preserve">As outlined in response to Q20, we strongly support the LEI standard and want to see greater take-up of the identifier in the EU and globally. </w:t>
      </w:r>
    </w:p>
    <w:p w14:paraId="1D04110E" w14:textId="31B113C3" w:rsidR="00670EBE" w:rsidRPr="000F78B0" w:rsidRDefault="00670EBE" w:rsidP="00FC0BDE">
      <w:pPr>
        <w:pStyle w:val="Default"/>
        <w:spacing w:line="264" w:lineRule="auto"/>
        <w:jc w:val="both"/>
        <w:rPr>
          <w:bCs/>
          <w:color w:val="auto"/>
          <w:sz w:val="22"/>
          <w:szCs w:val="22"/>
        </w:rPr>
      </w:pPr>
    </w:p>
    <w:p w14:paraId="1EFC392C" w14:textId="57FE707A" w:rsidR="00670EBE" w:rsidRPr="000F78B0" w:rsidRDefault="00670EBE" w:rsidP="00FC0BDE">
      <w:pPr>
        <w:pStyle w:val="Default"/>
        <w:spacing w:line="264" w:lineRule="auto"/>
        <w:jc w:val="both"/>
        <w:rPr>
          <w:rFonts w:cstheme="minorHAnsi"/>
          <w:color w:val="auto"/>
          <w:sz w:val="22"/>
          <w:szCs w:val="22"/>
        </w:rPr>
      </w:pPr>
      <w:r w:rsidRPr="000F78B0">
        <w:rPr>
          <w:bCs/>
          <w:color w:val="auto"/>
          <w:sz w:val="22"/>
          <w:szCs w:val="22"/>
        </w:rPr>
        <w:t>However, it is important that ESMA consider</w:t>
      </w:r>
      <w:r w:rsidR="00FC0BDE">
        <w:rPr>
          <w:bCs/>
          <w:color w:val="auto"/>
          <w:sz w:val="22"/>
          <w:szCs w:val="22"/>
        </w:rPr>
        <w:t>s</w:t>
      </w:r>
      <w:r w:rsidRPr="000F78B0">
        <w:rPr>
          <w:bCs/>
          <w:color w:val="auto"/>
          <w:sz w:val="22"/>
          <w:szCs w:val="22"/>
        </w:rPr>
        <w:t xml:space="preserve"> possible unintended consequences for EU </w:t>
      </w:r>
      <w:r w:rsidR="00EE29EB" w:rsidRPr="000F78B0">
        <w:rPr>
          <w:rFonts w:cstheme="minorHAnsi"/>
          <w:color w:val="auto"/>
          <w:sz w:val="22"/>
          <w:szCs w:val="22"/>
        </w:rPr>
        <w:t>Trading Venue</w:t>
      </w:r>
      <w:r w:rsidRPr="000F78B0">
        <w:rPr>
          <w:rFonts w:cstheme="minorHAnsi"/>
          <w:color w:val="auto"/>
          <w:sz w:val="22"/>
          <w:szCs w:val="22"/>
        </w:rPr>
        <w:t xml:space="preserve">s, which </w:t>
      </w:r>
      <w:r w:rsidR="007021AC" w:rsidRPr="000F78B0">
        <w:rPr>
          <w:rFonts w:cstheme="minorHAnsi"/>
          <w:color w:val="auto"/>
          <w:sz w:val="22"/>
          <w:szCs w:val="22"/>
        </w:rPr>
        <w:t>face a number of hurdles in obtaining LEIs of issuers</w:t>
      </w:r>
      <w:r w:rsidRPr="000F78B0">
        <w:rPr>
          <w:rFonts w:cstheme="minorHAnsi"/>
          <w:color w:val="auto"/>
          <w:sz w:val="22"/>
          <w:szCs w:val="22"/>
        </w:rPr>
        <w:t xml:space="preserve">. </w:t>
      </w:r>
      <w:r w:rsidRPr="000F78B0">
        <w:rPr>
          <w:rFonts w:asciiTheme="majorHAnsi" w:hAnsiTheme="majorHAnsi" w:cstheme="majorHAnsi"/>
          <w:color w:val="auto"/>
          <w:sz w:val="22"/>
          <w:szCs w:val="22"/>
        </w:rPr>
        <w:t>Requirement that puts an onus on EU Trading Venu</w:t>
      </w:r>
      <w:r w:rsidR="00FC0BDE">
        <w:rPr>
          <w:rFonts w:asciiTheme="majorHAnsi" w:hAnsiTheme="majorHAnsi" w:cstheme="majorHAnsi"/>
          <w:color w:val="auto"/>
          <w:sz w:val="22"/>
          <w:szCs w:val="22"/>
        </w:rPr>
        <w:t>es to collect data from non-EU/</w:t>
      </w:r>
      <w:r w:rsidRPr="000F78B0">
        <w:rPr>
          <w:rFonts w:asciiTheme="majorHAnsi" w:hAnsiTheme="majorHAnsi" w:cstheme="majorHAnsi"/>
          <w:color w:val="auto"/>
          <w:sz w:val="22"/>
          <w:szCs w:val="22"/>
        </w:rPr>
        <w:t>market part</w:t>
      </w:r>
      <w:r w:rsidR="00FC0BDE">
        <w:rPr>
          <w:rFonts w:asciiTheme="majorHAnsi" w:hAnsiTheme="majorHAnsi" w:cstheme="majorHAnsi"/>
          <w:color w:val="auto"/>
          <w:sz w:val="22"/>
          <w:szCs w:val="22"/>
        </w:rPr>
        <w:t>icipants outside the scope of Mi</w:t>
      </w:r>
      <w:r w:rsidRPr="000F78B0">
        <w:rPr>
          <w:rFonts w:asciiTheme="majorHAnsi" w:hAnsiTheme="majorHAnsi" w:cstheme="majorHAnsi"/>
          <w:color w:val="auto"/>
          <w:sz w:val="22"/>
          <w:szCs w:val="22"/>
        </w:rPr>
        <w:t>FID, could unintentionally direct trading flow to third country venues or indeed OTC, if participants are not willing to provi</w:t>
      </w:r>
      <w:r w:rsidR="00FC0BDE">
        <w:rPr>
          <w:rFonts w:asciiTheme="majorHAnsi" w:hAnsiTheme="majorHAnsi" w:cstheme="majorHAnsi"/>
          <w:color w:val="auto"/>
          <w:sz w:val="22"/>
          <w:szCs w:val="22"/>
        </w:rPr>
        <w:t xml:space="preserve">de the data to Trading Venues. </w:t>
      </w:r>
      <w:r w:rsidRPr="000F78B0">
        <w:rPr>
          <w:rFonts w:asciiTheme="majorHAnsi" w:hAnsiTheme="majorHAnsi" w:cstheme="majorHAnsi"/>
          <w:color w:val="auto"/>
          <w:sz w:val="22"/>
          <w:szCs w:val="22"/>
        </w:rPr>
        <w:t>This would clearly run counter to the policy objectives of EU policymakers.</w:t>
      </w:r>
    </w:p>
    <w:p w14:paraId="4D2A0C86" w14:textId="77777777" w:rsidR="00670EBE" w:rsidRPr="000F78B0" w:rsidRDefault="00670EBE" w:rsidP="00FC0BDE">
      <w:pPr>
        <w:pStyle w:val="Default"/>
        <w:spacing w:line="264" w:lineRule="auto"/>
        <w:jc w:val="both"/>
        <w:rPr>
          <w:rFonts w:asciiTheme="majorHAnsi" w:hAnsiTheme="majorHAnsi" w:cstheme="majorHAnsi"/>
          <w:color w:val="auto"/>
          <w:sz w:val="22"/>
          <w:szCs w:val="22"/>
        </w:rPr>
      </w:pPr>
    </w:p>
    <w:p w14:paraId="4C533A6A" w14:textId="0E293DE0" w:rsidR="0005345F" w:rsidRPr="000F78B0" w:rsidRDefault="00EE29EB" w:rsidP="005D0A12">
      <w:pPr>
        <w:spacing w:after="240" w:line="264" w:lineRule="auto"/>
        <w:rPr>
          <w:rFonts w:cstheme="minorHAnsi"/>
          <w:szCs w:val="22"/>
        </w:rPr>
      </w:pPr>
      <w:r w:rsidRPr="000F78B0">
        <w:rPr>
          <w:rFonts w:cstheme="minorHAnsi"/>
          <w:szCs w:val="22"/>
        </w:rPr>
        <w:t>W</w:t>
      </w:r>
      <w:r w:rsidR="00BD5EE8" w:rsidRPr="000F78B0">
        <w:rPr>
          <w:rFonts w:cstheme="minorHAnsi"/>
          <w:szCs w:val="22"/>
        </w:rPr>
        <w:t xml:space="preserve">e would </w:t>
      </w:r>
      <w:r w:rsidR="00670EBE" w:rsidRPr="000F78B0">
        <w:rPr>
          <w:rFonts w:cstheme="minorHAnsi"/>
          <w:szCs w:val="22"/>
        </w:rPr>
        <w:t xml:space="preserve">strongly support </w:t>
      </w:r>
      <w:r w:rsidRPr="000F78B0">
        <w:rPr>
          <w:rFonts w:cstheme="minorHAnsi"/>
          <w:szCs w:val="22"/>
        </w:rPr>
        <w:t xml:space="preserve">ESMA </w:t>
      </w:r>
      <w:r w:rsidR="00670EBE" w:rsidRPr="000F78B0">
        <w:rPr>
          <w:rFonts w:cstheme="minorHAnsi"/>
          <w:szCs w:val="22"/>
        </w:rPr>
        <w:t xml:space="preserve">coordinating </w:t>
      </w:r>
      <w:r w:rsidR="00BD5EE8" w:rsidRPr="000F78B0">
        <w:rPr>
          <w:rFonts w:cstheme="minorHAnsi"/>
          <w:szCs w:val="22"/>
        </w:rPr>
        <w:t xml:space="preserve">closely </w:t>
      </w:r>
      <w:r w:rsidRPr="000F78B0">
        <w:rPr>
          <w:rFonts w:cstheme="minorHAnsi"/>
          <w:szCs w:val="22"/>
        </w:rPr>
        <w:t xml:space="preserve">with </w:t>
      </w:r>
      <w:r w:rsidR="00BD5EE8" w:rsidRPr="000F78B0">
        <w:rPr>
          <w:rFonts w:cstheme="minorHAnsi"/>
          <w:szCs w:val="22"/>
        </w:rPr>
        <w:t xml:space="preserve">third country competent authorities </w:t>
      </w:r>
      <w:r w:rsidR="000F78B0">
        <w:rPr>
          <w:rFonts w:cstheme="minorHAnsi"/>
          <w:szCs w:val="22"/>
        </w:rPr>
        <w:t xml:space="preserve">so that </w:t>
      </w:r>
      <w:r w:rsidRPr="000F78B0">
        <w:rPr>
          <w:rFonts w:cstheme="minorHAnsi"/>
          <w:szCs w:val="22"/>
        </w:rPr>
        <w:t>th</w:t>
      </w:r>
      <w:r w:rsidR="00670EBE" w:rsidRPr="000F78B0">
        <w:rPr>
          <w:rFonts w:cstheme="minorHAnsi"/>
          <w:szCs w:val="22"/>
        </w:rPr>
        <w:t xml:space="preserve">ey step up action to ensure </w:t>
      </w:r>
      <w:r w:rsidRPr="000F78B0">
        <w:rPr>
          <w:rFonts w:cstheme="minorHAnsi"/>
          <w:szCs w:val="22"/>
        </w:rPr>
        <w:t>issue</w:t>
      </w:r>
      <w:r w:rsidR="00BD5EE8" w:rsidRPr="000F78B0">
        <w:rPr>
          <w:rFonts w:cstheme="minorHAnsi"/>
          <w:szCs w:val="22"/>
        </w:rPr>
        <w:t>r</w:t>
      </w:r>
      <w:r w:rsidRPr="000F78B0">
        <w:rPr>
          <w:rFonts w:cstheme="minorHAnsi"/>
          <w:szCs w:val="22"/>
        </w:rPr>
        <w:t xml:space="preserve">s </w:t>
      </w:r>
      <w:r w:rsidR="00670EBE" w:rsidRPr="000F78B0">
        <w:rPr>
          <w:rFonts w:cstheme="minorHAnsi"/>
          <w:szCs w:val="22"/>
        </w:rPr>
        <w:t xml:space="preserve">in their jurisdiction obtain </w:t>
      </w:r>
      <w:r w:rsidR="00BD5EE8" w:rsidRPr="000F78B0">
        <w:rPr>
          <w:rFonts w:cstheme="minorHAnsi"/>
          <w:szCs w:val="22"/>
        </w:rPr>
        <w:t>LEIs</w:t>
      </w:r>
      <w:r w:rsidR="000F78B0" w:rsidRPr="000F78B0">
        <w:rPr>
          <w:rFonts w:cstheme="minorHAnsi"/>
          <w:szCs w:val="22"/>
        </w:rPr>
        <w:t>. This would be</w:t>
      </w:r>
      <w:r w:rsidR="00670EBE" w:rsidRPr="000F78B0">
        <w:rPr>
          <w:rFonts w:cstheme="minorHAnsi"/>
          <w:szCs w:val="22"/>
        </w:rPr>
        <w:t xml:space="preserve"> in line with the global objective of further promoting this key international standard.</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1"/>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7E537" w14:textId="77777777" w:rsidR="00C24545" w:rsidRDefault="00C24545" w:rsidP="007E7997">
      <w:pPr>
        <w:spacing w:line="240" w:lineRule="auto"/>
      </w:pPr>
      <w:r>
        <w:separator/>
      </w:r>
    </w:p>
  </w:endnote>
  <w:endnote w:type="continuationSeparator" w:id="0">
    <w:p w14:paraId="679DF288" w14:textId="77777777" w:rsidR="00C24545" w:rsidRDefault="00C24545" w:rsidP="007E7997">
      <w:pPr>
        <w:spacing w:line="240" w:lineRule="auto"/>
      </w:pPr>
      <w:r>
        <w:continuationSeparator/>
      </w:r>
    </w:p>
  </w:endnote>
  <w:endnote w:type="continuationNotice" w:id="1">
    <w:p w14:paraId="6EADD8F9" w14:textId="77777777" w:rsidR="00C24545" w:rsidRDefault="00C24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DA7C3" w14:textId="1B9FF0D1"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63279AB6" w:rsidR="001B50AB" w:rsidRDefault="001B50AB" w:rsidP="00FB24ED">
        <w:pPr>
          <w:pStyle w:val="Footer"/>
          <w:jc w:val="right"/>
        </w:pPr>
        <w:r>
          <w:fldChar w:fldCharType="begin"/>
        </w:r>
        <w:r>
          <w:instrText xml:space="preserve"> PAGE   \* MERGEFORMAT </w:instrText>
        </w:r>
        <w:r>
          <w:fldChar w:fldCharType="separate"/>
        </w:r>
        <w:r w:rsidR="00A13C28">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47FDC" w14:textId="77777777" w:rsidR="00C24545" w:rsidRDefault="00C24545" w:rsidP="007E7997">
      <w:pPr>
        <w:spacing w:line="240" w:lineRule="auto"/>
      </w:pPr>
      <w:r>
        <w:separator/>
      </w:r>
    </w:p>
  </w:footnote>
  <w:footnote w:type="continuationSeparator" w:id="0">
    <w:p w14:paraId="2F0F1D54" w14:textId="77777777" w:rsidR="00C24545" w:rsidRDefault="00C24545" w:rsidP="007E7997">
      <w:pPr>
        <w:spacing w:line="240" w:lineRule="auto"/>
      </w:pPr>
      <w:r>
        <w:continuationSeparator/>
      </w:r>
    </w:p>
  </w:footnote>
  <w:footnote w:type="continuationNotice" w:id="1">
    <w:p w14:paraId="7786F201" w14:textId="77777777" w:rsidR="00C24545" w:rsidRDefault="00C245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2" w14:textId="77777777" w:rsidR="001B50AB" w:rsidRDefault="001B50AB">
    <w:pPr>
      <w:pStyle w:val="Header"/>
    </w:pPr>
    <w:r>
      <w:rPr>
        <w:noProof/>
        <w:lang w:eastAsia="zh-CN"/>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E86B2" w14:textId="77777777" w:rsidR="00E862D0" w:rsidRPr="003669AC" w:rsidRDefault="00E862D0" w:rsidP="006C5A3D">
    <w:pPr>
      <w:pStyle w:val="Header"/>
      <w:ind w:left="708"/>
      <w:jc w:val="right"/>
    </w:pPr>
  </w:p>
  <w:p w14:paraId="77899FEE" w14:textId="1FBF18B1" w:rsidR="00E862D0" w:rsidRDefault="00E862D0" w:rsidP="00E862D0">
    <w:pPr>
      <w:pStyle w:val="Header"/>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Header"/>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Header"/>
      <w:ind w:left="6663"/>
      <w:rPr>
        <w:color w:val="FF0000"/>
        <w:sz w:val="20"/>
      </w:rPr>
    </w:pPr>
  </w:p>
  <w:p w14:paraId="13818030" w14:textId="77777777" w:rsidR="00E862D0" w:rsidRDefault="00E862D0">
    <w:pPr>
      <w:pStyle w:val="Header"/>
    </w:pPr>
    <w:r>
      <w:rPr>
        <w:noProof/>
        <w:lang w:eastAsia="zh-CN"/>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7253" w14:textId="77777777" w:rsidR="00E862D0" w:rsidRDefault="00E862D0">
    <w:pPr>
      <w:pStyle w:val="Header"/>
    </w:pPr>
  </w:p>
  <w:p w14:paraId="2085CF44" w14:textId="77777777" w:rsidR="00E862D0" w:rsidRDefault="00E862D0">
    <w:pPr>
      <w:pStyle w:val="Header"/>
    </w:pPr>
  </w:p>
  <w:p w14:paraId="486D39F2" w14:textId="77777777" w:rsidR="00E862D0" w:rsidRDefault="00E862D0">
    <w:pPr>
      <w:pStyle w:val="Header"/>
    </w:pPr>
    <w:r>
      <w:rPr>
        <w:noProof/>
        <w:lang w:eastAsia="zh-CN"/>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77777777" w:rsidR="001B50AB" w:rsidRDefault="001B50AB" w:rsidP="00B50534">
    <w:pPr>
      <w:pStyle w:val="Header"/>
      <w:jc w:val="right"/>
      <w:rPr>
        <w:b/>
        <w:color w:val="FF0000"/>
      </w:rPr>
    </w:pPr>
    <w:r w:rsidRPr="008D5F86">
      <w:rPr>
        <w:rFonts w:ascii="Arial" w:hAnsi="Arial" w:cs="Arial"/>
        <w:noProof/>
        <w:lang w:eastAsia="zh-CN"/>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eastAsia="zh-CN"/>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Header"/>
      <w:jc w:val="right"/>
      <w:rPr>
        <w:color w:val="00B050"/>
        <w:sz w:val="20"/>
      </w:rPr>
    </w:pPr>
  </w:p>
  <w:p w14:paraId="08307736" w14:textId="2CB27F20" w:rsidR="00E862D0" w:rsidRPr="006D39E0" w:rsidRDefault="00E862D0" w:rsidP="00B50534">
    <w:pPr>
      <w:pStyle w:val="Header"/>
      <w:jc w:val="right"/>
      <w:rPr>
        <w:color w:val="00B050"/>
        <w:sz w:val="20"/>
      </w:rPr>
    </w:pPr>
  </w:p>
  <w:p w14:paraId="5EAB6EC6" w14:textId="77777777"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F2268"/>
    <w:multiLevelType w:val="hybridMultilevel"/>
    <w:tmpl w:val="6F5C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8290F32"/>
    <w:multiLevelType w:val="hybridMultilevel"/>
    <w:tmpl w:val="A0A6902A"/>
    <w:lvl w:ilvl="0" w:tplc="06345294">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16798"/>
    <w:multiLevelType w:val="hybridMultilevel"/>
    <w:tmpl w:val="1CA41BF8"/>
    <w:lvl w:ilvl="0" w:tplc="7204691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9536ECD"/>
    <w:multiLevelType w:val="hybridMultilevel"/>
    <w:tmpl w:val="73FC2AE8"/>
    <w:lvl w:ilvl="0" w:tplc="8B581AB6">
      <w:start w:val="1"/>
      <w:numFmt w:val="decimal"/>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10"/>
  </w:num>
  <w:num w:numId="3">
    <w:abstractNumId w:val="2"/>
  </w:num>
  <w:num w:numId="4">
    <w:abstractNumId w:val="5"/>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6"/>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35C3"/>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45F"/>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6EF9"/>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6E24"/>
    <w:rsid w:val="000F78B0"/>
    <w:rsid w:val="000F7998"/>
    <w:rsid w:val="0010035A"/>
    <w:rsid w:val="00100ADC"/>
    <w:rsid w:val="00100F58"/>
    <w:rsid w:val="00101F4F"/>
    <w:rsid w:val="00103DCC"/>
    <w:rsid w:val="00104992"/>
    <w:rsid w:val="00104D03"/>
    <w:rsid w:val="00105424"/>
    <w:rsid w:val="00105559"/>
    <w:rsid w:val="001075EC"/>
    <w:rsid w:val="00107ECB"/>
    <w:rsid w:val="00110EF9"/>
    <w:rsid w:val="00112E75"/>
    <w:rsid w:val="001138CC"/>
    <w:rsid w:val="00113D82"/>
    <w:rsid w:val="00113F93"/>
    <w:rsid w:val="00114AFF"/>
    <w:rsid w:val="00120382"/>
    <w:rsid w:val="00120F0D"/>
    <w:rsid w:val="0012201A"/>
    <w:rsid w:val="00122E73"/>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69DB"/>
    <w:rsid w:val="001A6A73"/>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2F08"/>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3D65"/>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4378"/>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32A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031"/>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29A"/>
    <w:rsid w:val="00445696"/>
    <w:rsid w:val="00446E5F"/>
    <w:rsid w:val="0044769C"/>
    <w:rsid w:val="00447B97"/>
    <w:rsid w:val="00450CA3"/>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01CB"/>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27F59"/>
    <w:rsid w:val="00530738"/>
    <w:rsid w:val="00531432"/>
    <w:rsid w:val="005333E8"/>
    <w:rsid w:val="00533BEF"/>
    <w:rsid w:val="00533E89"/>
    <w:rsid w:val="00534647"/>
    <w:rsid w:val="00535019"/>
    <w:rsid w:val="00536A69"/>
    <w:rsid w:val="0054375C"/>
    <w:rsid w:val="0054391F"/>
    <w:rsid w:val="00544E63"/>
    <w:rsid w:val="00544EC2"/>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E68"/>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12"/>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0EBE"/>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2A89"/>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1AC"/>
    <w:rsid w:val="00702512"/>
    <w:rsid w:val="0070268F"/>
    <w:rsid w:val="0070373B"/>
    <w:rsid w:val="0070427E"/>
    <w:rsid w:val="0070480F"/>
    <w:rsid w:val="00704D53"/>
    <w:rsid w:val="007056C3"/>
    <w:rsid w:val="00706072"/>
    <w:rsid w:val="0071005C"/>
    <w:rsid w:val="00711091"/>
    <w:rsid w:val="00711D70"/>
    <w:rsid w:val="00712824"/>
    <w:rsid w:val="00713644"/>
    <w:rsid w:val="00714505"/>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A53"/>
    <w:rsid w:val="007D7CEF"/>
    <w:rsid w:val="007E01E5"/>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25"/>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212C"/>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0AE8"/>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6C5D"/>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3C28"/>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DBE"/>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A737D"/>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2C1"/>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2A83"/>
    <w:rsid w:val="00B6383E"/>
    <w:rsid w:val="00B638FF"/>
    <w:rsid w:val="00B648F2"/>
    <w:rsid w:val="00B64C8F"/>
    <w:rsid w:val="00B655D1"/>
    <w:rsid w:val="00B65C58"/>
    <w:rsid w:val="00B679DD"/>
    <w:rsid w:val="00B70D20"/>
    <w:rsid w:val="00B70EDF"/>
    <w:rsid w:val="00B7366A"/>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341"/>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5EE8"/>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6E27"/>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4545"/>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218"/>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021"/>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6C3"/>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B01"/>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29EB"/>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65D9"/>
    <w:rsid w:val="00FA74C6"/>
    <w:rsid w:val="00FA7D39"/>
    <w:rsid w:val="00FB001B"/>
    <w:rsid w:val="00FB1E1A"/>
    <w:rsid w:val="00FB24ED"/>
    <w:rsid w:val="00FB291C"/>
    <w:rsid w:val="00FB313D"/>
    <w:rsid w:val="00FB4003"/>
    <w:rsid w:val="00FB590F"/>
    <w:rsid w:val="00FB7086"/>
    <w:rsid w:val="00FB78EF"/>
    <w:rsid w:val="00FC03A3"/>
    <w:rsid w:val="00FC075C"/>
    <w:rsid w:val="00FC0BDE"/>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5D0A12"/>
    <w:pPr>
      <w:numPr>
        <w:numId w:val="11"/>
      </w:numPr>
      <w:spacing w:after="240" w:line="264" w:lineRule="auto"/>
      <w:ind w:left="714" w:hanging="357"/>
    </w:pPr>
    <w:rPr>
      <w:rFonts w:asciiTheme="majorHAnsi" w:hAnsiTheme="majorHAnsi" w:cstheme="majorBidi"/>
      <w:color w:val="FF0000"/>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DefaultParagraphFon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customStyle="1"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5D0A12"/>
    <w:rPr>
      <w:rFonts w:asciiTheme="majorHAnsi" w:hAnsiTheme="majorHAnsi" w:cstheme="majorBidi"/>
      <w:color w:val="FF0000"/>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57800163">
      <w:bodyDiv w:val="1"/>
      <w:marLeft w:val="0"/>
      <w:marRight w:val="0"/>
      <w:marTop w:val="0"/>
      <w:marBottom w:val="0"/>
      <w:divBdr>
        <w:top w:val="none" w:sz="0" w:space="0" w:color="auto"/>
        <w:left w:val="none" w:sz="0" w:space="0" w:color="auto"/>
        <w:bottom w:val="none" w:sz="0" w:space="0" w:color="auto"/>
        <w:right w:val="none" w:sz="0" w:space="0" w:color="auto"/>
      </w:divBdr>
      <w:divsChild>
        <w:div w:id="990215775">
          <w:marLeft w:val="0"/>
          <w:marRight w:val="0"/>
          <w:marTop w:val="0"/>
          <w:marBottom w:val="0"/>
          <w:divBdr>
            <w:top w:val="none" w:sz="0" w:space="0" w:color="auto"/>
            <w:left w:val="none" w:sz="0" w:space="0" w:color="auto"/>
            <w:bottom w:val="none" w:sz="0" w:space="0" w:color="auto"/>
            <w:right w:val="none" w:sz="0" w:space="0" w:color="auto"/>
          </w:divBdr>
        </w:div>
        <w:div w:id="615672973">
          <w:marLeft w:val="0"/>
          <w:marRight w:val="0"/>
          <w:marTop w:val="0"/>
          <w:marBottom w:val="0"/>
          <w:divBdr>
            <w:top w:val="none" w:sz="0" w:space="0" w:color="auto"/>
            <w:left w:val="none" w:sz="0" w:space="0" w:color="auto"/>
            <w:bottom w:val="none" w:sz="0" w:space="0" w:color="auto"/>
            <w:right w:val="none" w:sz="0" w:space="0" w:color="auto"/>
          </w:divBdr>
        </w:div>
        <w:div w:id="2058313422">
          <w:marLeft w:val="0"/>
          <w:marRight w:val="0"/>
          <w:marTop w:val="0"/>
          <w:marBottom w:val="0"/>
          <w:divBdr>
            <w:top w:val="none" w:sz="0" w:space="0" w:color="auto"/>
            <w:left w:val="none" w:sz="0" w:space="0" w:color="auto"/>
            <w:bottom w:val="none" w:sz="0" w:space="0" w:color="auto"/>
            <w:right w:val="none" w:sz="0" w:space="0" w:color="auto"/>
          </w:divBdr>
        </w:div>
        <w:div w:id="388110259">
          <w:marLeft w:val="0"/>
          <w:marRight w:val="0"/>
          <w:marTop w:val="0"/>
          <w:marBottom w:val="0"/>
          <w:divBdr>
            <w:top w:val="none" w:sz="0" w:space="0" w:color="auto"/>
            <w:left w:val="none" w:sz="0" w:space="0" w:color="auto"/>
            <w:bottom w:val="none" w:sz="0" w:space="0" w:color="auto"/>
            <w:right w:val="none" w:sz="0" w:space="0" w:color="auto"/>
          </w:divBdr>
        </w:div>
        <w:div w:id="1322583812">
          <w:marLeft w:val="0"/>
          <w:marRight w:val="0"/>
          <w:marTop w:val="0"/>
          <w:marBottom w:val="0"/>
          <w:divBdr>
            <w:top w:val="none" w:sz="0" w:space="0" w:color="auto"/>
            <w:left w:val="none" w:sz="0" w:space="0" w:color="auto"/>
            <w:bottom w:val="none" w:sz="0" w:space="0" w:color="auto"/>
            <w:right w:val="none" w:sz="0" w:space="0" w:color="auto"/>
          </w:divBdr>
        </w:div>
      </w:divsChild>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487402101">
      <w:bodyDiv w:val="1"/>
      <w:marLeft w:val="0"/>
      <w:marRight w:val="0"/>
      <w:marTop w:val="0"/>
      <w:marBottom w:val="0"/>
      <w:divBdr>
        <w:top w:val="none" w:sz="0" w:space="0" w:color="auto"/>
        <w:left w:val="none" w:sz="0" w:space="0" w:color="auto"/>
        <w:bottom w:val="none" w:sz="0" w:space="0" w:color="auto"/>
        <w:right w:val="none" w:sz="0" w:space="0" w:color="auto"/>
      </w:divBdr>
      <w:divsChild>
        <w:div w:id="187524904">
          <w:marLeft w:val="0"/>
          <w:marRight w:val="0"/>
          <w:marTop w:val="0"/>
          <w:marBottom w:val="0"/>
          <w:divBdr>
            <w:top w:val="none" w:sz="0" w:space="0" w:color="auto"/>
            <w:left w:val="none" w:sz="0" w:space="0" w:color="auto"/>
            <w:bottom w:val="none" w:sz="0" w:space="0" w:color="auto"/>
            <w:right w:val="none" w:sz="0" w:space="0" w:color="auto"/>
          </w:divBdr>
          <w:divsChild>
            <w:div w:id="1106123731">
              <w:marLeft w:val="0"/>
              <w:marRight w:val="0"/>
              <w:marTop w:val="0"/>
              <w:marBottom w:val="0"/>
              <w:divBdr>
                <w:top w:val="none" w:sz="0" w:space="0" w:color="auto"/>
                <w:left w:val="none" w:sz="0" w:space="0" w:color="auto"/>
                <w:bottom w:val="none" w:sz="0" w:space="0" w:color="auto"/>
                <w:right w:val="none" w:sz="0" w:space="0" w:color="auto"/>
              </w:divBdr>
            </w:div>
            <w:div w:id="244800822">
              <w:marLeft w:val="0"/>
              <w:marRight w:val="0"/>
              <w:marTop w:val="0"/>
              <w:marBottom w:val="0"/>
              <w:divBdr>
                <w:top w:val="none" w:sz="0" w:space="0" w:color="auto"/>
                <w:left w:val="none" w:sz="0" w:space="0" w:color="auto"/>
                <w:bottom w:val="none" w:sz="0" w:space="0" w:color="auto"/>
                <w:right w:val="none" w:sz="0" w:space="0" w:color="auto"/>
              </w:divBdr>
            </w:div>
          </w:divsChild>
        </w:div>
        <w:div w:id="1960407399">
          <w:blockQuote w:val="1"/>
          <w:marLeft w:val="600"/>
          <w:marRight w:val="0"/>
          <w:marTop w:val="0"/>
          <w:marBottom w:val="0"/>
          <w:divBdr>
            <w:top w:val="none" w:sz="0" w:space="0" w:color="auto"/>
            <w:left w:val="none" w:sz="0" w:space="0" w:color="auto"/>
            <w:bottom w:val="none" w:sz="0" w:space="0" w:color="auto"/>
            <w:right w:val="none" w:sz="0" w:space="0" w:color="auto"/>
          </w:divBdr>
          <w:divsChild>
            <w:div w:id="2142260943">
              <w:marLeft w:val="0"/>
              <w:marRight w:val="0"/>
              <w:marTop w:val="0"/>
              <w:marBottom w:val="0"/>
              <w:divBdr>
                <w:top w:val="none" w:sz="0" w:space="0" w:color="auto"/>
                <w:left w:val="none" w:sz="0" w:space="0" w:color="auto"/>
                <w:bottom w:val="none" w:sz="0" w:space="0" w:color="auto"/>
                <w:right w:val="none" w:sz="0" w:space="0" w:color="auto"/>
              </w:divBdr>
            </w:div>
          </w:divsChild>
        </w:div>
        <w:div w:id="842428493">
          <w:marLeft w:val="0"/>
          <w:marRight w:val="0"/>
          <w:marTop w:val="0"/>
          <w:marBottom w:val="0"/>
          <w:divBdr>
            <w:top w:val="none" w:sz="0" w:space="0" w:color="auto"/>
            <w:left w:val="none" w:sz="0" w:space="0" w:color="auto"/>
            <w:bottom w:val="none" w:sz="0" w:space="0" w:color="auto"/>
            <w:right w:val="none" w:sz="0" w:space="0" w:color="auto"/>
          </w:divBdr>
        </w:div>
        <w:div w:id="1525752370">
          <w:blockQuote w:val="1"/>
          <w:marLeft w:val="600"/>
          <w:marRight w:val="0"/>
          <w:marTop w:val="0"/>
          <w:marBottom w:val="0"/>
          <w:divBdr>
            <w:top w:val="none" w:sz="0" w:space="0" w:color="auto"/>
            <w:left w:val="none" w:sz="0" w:space="0" w:color="auto"/>
            <w:bottom w:val="none" w:sz="0" w:space="0" w:color="auto"/>
            <w:right w:val="none" w:sz="0" w:space="0" w:color="auto"/>
          </w:divBdr>
          <w:divsChild>
            <w:div w:id="1790586335">
              <w:marLeft w:val="0"/>
              <w:marRight w:val="0"/>
              <w:marTop w:val="0"/>
              <w:marBottom w:val="0"/>
              <w:divBdr>
                <w:top w:val="none" w:sz="0" w:space="0" w:color="auto"/>
                <w:left w:val="none" w:sz="0" w:space="0" w:color="auto"/>
                <w:bottom w:val="none" w:sz="0" w:space="0" w:color="auto"/>
                <w:right w:val="none" w:sz="0" w:space="0" w:color="auto"/>
              </w:divBdr>
            </w:div>
          </w:divsChild>
        </w:div>
        <w:div w:id="1182235519">
          <w:marLeft w:val="0"/>
          <w:marRight w:val="0"/>
          <w:marTop w:val="0"/>
          <w:marBottom w:val="0"/>
          <w:divBdr>
            <w:top w:val="none" w:sz="0" w:space="0" w:color="auto"/>
            <w:left w:val="none" w:sz="0" w:space="0" w:color="auto"/>
            <w:bottom w:val="none" w:sz="0" w:space="0" w:color="auto"/>
            <w:right w:val="none" w:sz="0" w:space="0" w:color="auto"/>
          </w:divBdr>
          <w:divsChild>
            <w:div w:id="1715233666">
              <w:marLeft w:val="0"/>
              <w:marRight w:val="0"/>
              <w:marTop w:val="0"/>
              <w:marBottom w:val="0"/>
              <w:divBdr>
                <w:top w:val="none" w:sz="0" w:space="0" w:color="auto"/>
                <w:left w:val="none" w:sz="0" w:space="0" w:color="auto"/>
                <w:bottom w:val="none" w:sz="0" w:space="0" w:color="auto"/>
                <w:right w:val="none" w:sz="0" w:space="0" w:color="auto"/>
              </w:divBdr>
            </w:div>
            <w:div w:id="699669030">
              <w:marLeft w:val="0"/>
              <w:marRight w:val="0"/>
              <w:marTop w:val="0"/>
              <w:marBottom w:val="0"/>
              <w:divBdr>
                <w:top w:val="none" w:sz="0" w:space="0" w:color="auto"/>
                <w:left w:val="none" w:sz="0" w:space="0" w:color="auto"/>
                <w:bottom w:val="none" w:sz="0" w:space="0" w:color="auto"/>
                <w:right w:val="none" w:sz="0" w:space="0" w:color="auto"/>
              </w:divBdr>
            </w:div>
          </w:divsChild>
        </w:div>
        <w:div w:id="1422483197">
          <w:blockQuote w:val="1"/>
          <w:marLeft w:val="600"/>
          <w:marRight w:val="0"/>
          <w:marTop w:val="0"/>
          <w:marBottom w:val="0"/>
          <w:divBdr>
            <w:top w:val="none" w:sz="0" w:space="0" w:color="auto"/>
            <w:left w:val="none" w:sz="0" w:space="0" w:color="auto"/>
            <w:bottom w:val="none" w:sz="0" w:space="0" w:color="auto"/>
            <w:right w:val="none" w:sz="0" w:space="0" w:color="auto"/>
          </w:divBdr>
          <w:divsChild>
            <w:div w:id="1980259610">
              <w:marLeft w:val="0"/>
              <w:marRight w:val="0"/>
              <w:marTop w:val="0"/>
              <w:marBottom w:val="0"/>
              <w:divBdr>
                <w:top w:val="none" w:sz="0" w:space="0" w:color="auto"/>
                <w:left w:val="none" w:sz="0" w:space="0" w:color="auto"/>
                <w:bottom w:val="none" w:sz="0" w:space="0" w:color="auto"/>
                <w:right w:val="none" w:sz="0" w:space="0" w:color="auto"/>
              </w:divBdr>
            </w:div>
          </w:divsChild>
        </w:div>
        <w:div w:id="2109933519">
          <w:marLeft w:val="0"/>
          <w:marRight w:val="0"/>
          <w:marTop w:val="0"/>
          <w:marBottom w:val="0"/>
          <w:divBdr>
            <w:top w:val="none" w:sz="0" w:space="0" w:color="auto"/>
            <w:left w:val="none" w:sz="0" w:space="0" w:color="auto"/>
            <w:bottom w:val="none" w:sz="0" w:space="0" w:color="auto"/>
            <w:right w:val="none" w:sz="0" w:space="0" w:color="auto"/>
          </w:divBdr>
          <w:divsChild>
            <w:div w:id="7241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20021721">
      <w:bodyDiv w:val="1"/>
      <w:marLeft w:val="0"/>
      <w:marRight w:val="0"/>
      <w:marTop w:val="0"/>
      <w:marBottom w:val="0"/>
      <w:divBdr>
        <w:top w:val="none" w:sz="0" w:space="0" w:color="auto"/>
        <w:left w:val="none" w:sz="0" w:space="0" w:color="auto"/>
        <w:bottom w:val="none" w:sz="0" w:space="0" w:color="auto"/>
        <w:right w:val="none" w:sz="0" w:space="0" w:color="auto"/>
      </w:divBdr>
      <w:divsChild>
        <w:div w:id="669254279">
          <w:marLeft w:val="0"/>
          <w:marRight w:val="0"/>
          <w:marTop w:val="0"/>
          <w:marBottom w:val="0"/>
          <w:divBdr>
            <w:top w:val="none" w:sz="0" w:space="0" w:color="auto"/>
            <w:left w:val="none" w:sz="0" w:space="0" w:color="auto"/>
            <w:bottom w:val="none" w:sz="0" w:space="0" w:color="auto"/>
            <w:right w:val="none" w:sz="0" w:space="0" w:color="auto"/>
          </w:divBdr>
        </w:div>
        <w:div w:id="1916550580">
          <w:marLeft w:val="0"/>
          <w:marRight w:val="0"/>
          <w:marTop w:val="0"/>
          <w:marBottom w:val="0"/>
          <w:divBdr>
            <w:top w:val="none" w:sz="0" w:space="0" w:color="auto"/>
            <w:left w:val="none" w:sz="0" w:space="0" w:color="auto"/>
            <w:bottom w:val="none" w:sz="0" w:space="0" w:color="auto"/>
            <w:right w:val="none" w:sz="0" w:space="0" w:color="auto"/>
          </w:divBdr>
        </w:div>
        <w:div w:id="1174343095">
          <w:marLeft w:val="0"/>
          <w:marRight w:val="0"/>
          <w:marTop w:val="0"/>
          <w:marBottom w:val="0"/>
          <w:divBdr>
            <w:top w:val="none" w:sz="0" w:space="0" w:color="auto"/>
            <w:left w:val="none" w:sz="0" w:space="0" w:color="auto"/>
            <w:bottom w:val="none" w:sz="0" w:space="0" w:color="auto"/>
            <w:right w:val="none" w:sz="0" w:space="0" w:color="auto"/>
          </w:divBdr>
        </w:div>
      </w:divsChild>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292443428">
      <w:bodyDiv w:val="1"/>
      <w:marLeft w:val="0"/>
      <w:marRight w:val="0"/>
      <w:marTop w:val="0"/>
      <w:marBottom w:val="0"/>
      <w:divBdr>
        <w:top w:val="none" w:sz="0" w:space="0" w:color="auto"/>
        <w:left w:val="none" w:sz="0" w:space="0" w:color="auto"/>
        <w:bottom w:val="none" w:sz="0" w:space="0" w:color="auto"/>
        <w:right w:val="none" w:sz="0" w:space="0" w:color="auto"/>
      </w:divBdr>
      <w:divsChild>
        <w:div w:id="1435399959">
          <w:marLeft w:val="0"/>
          <w:marRight w:val="0"/>
          <w:marTop w:val="0"/>
          <w:marBottom w:val="0"/>
          <w:divBdr>
            <w:top w:val="none" w:sz="0" w:space="0" w:color="auto"/>
            <w:left w:val="none" w:sz="0" w:space="0" w:color="auto"/>
            <w:bottom w:val="none" w:sz="0" w:space="0" w:color="auto"/>
            <w:right w:val="none" w:sz="0" w:space="0" w:color="auto"/>
          </w:divBdr>
        </w:div>
        <w:div w:id="1744378347">
          <w:marLeft w:val="0"/>
          <w:marRight w:val="0"/>
          <w:marTop w:val="0"/>
          <w:marBottom w:val="0"/>
          <w:divBdr>
            <w:top w:val="none" w:sz="0" w:space="0" w:color="auto"/>
            <w:left w:val="none" w:sz="0" w:space="0" w:color="auto"/>
            <w:bottom w:val="none" w:sz="0" w:space="0" w:color="auto"/>
            <w:right w:val="none" w:sz="0" w:space="0" w:color="auto"/>
          </w:divBdr>
        </w:div>
      </w:divsChild>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0283730">
      <w:bodyDiv w:val="1"/>
      <w:marLeft w:val="0"/>
      <w:marRight w:val="0"/>
      <w:marTop w:val="0"/>
      <w:marBottom w:val="0"/>
      <w:divBdr>
        <w:top w:val="none" w:sz="0" w:space="0" w:color="auto"/>
        <w:left w:val="none" w:sz="0" w:space="0" w:color="auto"/>
        <w:bottom w:val="none" w:sz="0" w:space="0" w:color="auto"/>
        <w:right w:val="none" w:sz="0" w:space="0" w:color="auto"/>
      </w:divBdr>
      <w:divsChild>
        <w:div w:id="1368723280">
          <w:marLeft w:val="0"/>
          <w:marRight w:val="0"/>
          <w:marTop w:val="0"/>
          <w:marBottom w:val="0"/>
          <w:divBdr>
            <w:top w:val="none" w:sz="0" w:space="0" w:color="auto"/>
            <w:left w:val="none" w:sz="0" w:space="0" w:color="auto"/>
            <w:bottom w:val="none" w:sz="0" w:space="0" w:color="auto"/>
            <w:right w:val="none" w:sz="0" w:space="0" w:color="auto"/>
          </w:divBdr>
        </w:div>
        <w:div w:id="1897009039">
          <w:marLeft w:val="0"/>
          <w:marRight w:val="0"/>
          <w:marTop w:val="0"/>
          <w:marBottom w:val="0"/>
          <w:divBdr>
            <w:top w:val="none" w:sz="0" w:space="0" w:color="auto"/>
            <w:left w:val="none" w:sz="0" w:space="0" w:color="auto"/>
            <w:bottom w:val="none" w:sz="0" w:space="0" w:color="auto"/>
            <w:right w:val="none" w:sz="0" w:space="0" w:color="auto"/>
          </w:divBdr>
        </w:div>
      </w:divsChild>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 w:id="2113893827">
      <w:bodyDiv w:val="1"/>
      <w:marLeft w:val="0"/>
      <w:marRight w:val="0"/>
      <w:marTop w:val="0"/>
      <w:marBottom w:val="0"/>
      <w:divBdr>
        <w:top w:val="none" w:sz="0" w:space="0" w:color="auto"/>
        <w:left w:val="none" w:sz="0" w:space="0" w:color="auto"/>
        <w:bottom w:val="none" w:sz="0" w:space="0" w:color="auto"/>
        <w:right w:val="none" w:sz="0" w:space="0" w:color="auto"/>
      </w:divBdr>
      <w:divsChild>
        <w:div w:id="820078843">
          <w:marLeft w:val="0"/>
          <w:marRight w:val="0"/>
          <w:marTop w:val="0"/>
          <w:marBottom w:val="0"/>
          <w:divBdr>
            <w:top w:val="none" w:sz="0" w:space="0" w:color="auto"/>
            <w:left w:val="none" w:sz="0" w:space="0" w:color="auto"/>
            <w:bottom w:val="none" w:sz="0" w:space="0" w:color="auto"/>
            <w:right w:val="none" w:sz="0" w:space="0" w:color="auto"/>
          </w:divBdr>
        </w:div>
        <w:div w:id="218832807">
          <w:marLeft w:val="0"/>
          <w:marRight w:val="0"/>
          <w:marTop w:val="0"/>
          <w:marBottom w:val="0"/>
          <w:divBdr>
            <w:top w:val="none" w:sz="0" w:space="0" w:color="auto"/>
            <w:left w:val="none" w:sz="0" w:space="0" w:color="auto"/>
            <w:bottom w:val="none" w:sz="0" w:space="0" w:color="auto"/>
            <w:right w:val="none" w:sz="0" w:space="0" w:color="auto"/>
          </w:divBdr>
        </w:div>
        <w:div w:id="1694454647">
          <w:marLeft w:val="0"/>
          <w:marRight w:val="0"/>
          <w:marTop w:val="0"/>
          <w:marBottom w:val="0"/>
          <w:divBdr>
            <w:top w:val="none" w:sz="0" w:space="0" w:color="auto"/>
            <w:left w:val="none" w:sz="0" w:space="0" w:color="auto"/>
            <w:bottom w:val="none" w:sz="0" w:space="0" w:color="auto"/>
            <w:right w:val="none" w:sz="0" w:space="0" w:color="auto"/>
          </w:divBdr>
        </w:div>
        <w:div w:id="636835520">
          <w:marLeft w:val="0"/>
          <w:marRight w:val="0"/>
          <w:marTop w:val="0"/>
          <w:marBottom w:val="0"/>
          <w:divBdr>
            <w:top w:val="none" w:sz="0" w:space="0" w:color="auto"/>
            <w:left w:val="none" w:sz="0" w:space="0" w:color="auto"/>
            <w:bottom w:val="none" w:sz="0" w:space="0" w:color="auto"/>
            <w:right w:val="none" w:sz="0" w:space="0" w:color="auto"/>
          </w:divBdr>
        </w:div>
        <w:div w:id="701635280">
          <w:marLeft w:val="0"/>
          <w:marRight w:val="0"/>
          <w:marTop w:val="0"/>
          <w:marBottom w:val="0"/>
          <w:divBdr>
            <w:top w:val="none" w:sz="0" w:space="0" w:color="auto"/>
            <w:left w:val="none" w:sz="0" w:space="0" w:color="auto"/>
            <w:bottom w:val="none" w:sz="0" w:space="0" w:color="auto"/>
            <w:right w:val="none" w:sz="0" w:space="0" w:color="auto"/>
          </w:divBdr>
        </w:div>
        <w:div w:id="888107324">
          <w:marLeft w:val="0"/>
          <w:marRight w:val="0"/>
          <w:marTop w:val="0"/>
          <w:marBottom w:val="0"/>
          <w:divBdr>
            <w:top w:val="none" w:sz="0" w:space="0" w:color="auto"/>
            <w:left w:val="none" w:sz="0" w:space="0" w:color="auto"/>
            <w:bottom w:val="none" w:sz="0" w:space="0" w:color="auto"/>
            <w:right w:val="none" w:sz="0" w:space="0" w:color="auto"/>
          </w:divBdr>
        </w:div>
        <w:div w:id="1036856786">
          <w:marLeft w:val="0"/>
          <w:marRight w:val="0"/>
          <w:marTop w:val="0"/>
          <w:marBottom w:val="0"/>
          <w:divBdr>
            <w:top w:val="none" w:sz="0" w:space="0" w:color="auto"/>
            <w:left w:val="none" w:sz="0" w:space="0" w:color="auto"/>
            <w:bottom w:val="none" w:sz="0" w:space="0" w:color="auto"/>
            <w:right w:val="none" w:sz="0" w:space="0" w:color="auto"/>
          </w:divBdr>
        </w:div>
        <w:div w:id="1796170768">
          <w:marLeft w:val="0"/>
          <w:marRight w:val="0"/>
          <w:marTop w:val="0"/>
          <w:marBottom w:val="0"/>
          <w:divBdr>
            <w:top w:val="none" w:sz="0" w:space="0" w:color="auto"/>
            <w:left w:val="none" w:sz="0" w:space="0" w:color="auto"/>
            <w:bottom w:val="none" w:sz="0" w:space="0" w:color="auto"/>
            <w:right w:val="none" w:sz="0" w:space="0" w:color="auto"/>
          </w:divBdr>
        </w:div>
        <w:div w:id="1391154733">
          <w:marLeft w:val="0"/>
          <w:marRight w:val="0"/>
          <w:marTop w:val="0"/>
          <w:marBottom w:val="0"/>
          <w:divBdr>
            <w:top w:val="none" w:sz="0" w:space="0" w:color="auto"/>
            <w:left w:val="none" w:sz="0" w:space="0" w:color="auto"/>
            <w:bottom w:val="none" w:sz="0" w:space="0" w:color="auto"/>
            <w:right w:val="none" w:sz="0" w:space="0" w:color="auto"/>
          </w:divBdr>
        </w:div>
        <w:div w:id="592127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ESMA74-362-887</_dlc_DocId>
    <TaxCatchAll xmlns="20fbe147-bbda-4e53-b6b1-7e8bbff3fe19">
      <Value>14</Value>
      <Value>45</Value>
      <Value>801</Value>
      <Value>91</Value>
    </TaxCatchAll>
    <_dlc_DocIdUrl xmlns="20fbe147-bbda-4e53-b6b1-7e8bbff3fe19">
      <Url>https://sherpa.esma.europa.eu/sites/MKT/MDP/_layouts/15/DocIdRedir.aspx?ID=ESMA74-362-887</Url>
      <Description>ESMA74-362-887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MITF</TermName>
          <TermId xmlns="http://schemas.microsoft.com/office/infopath/2007/PartnerControls">a0706370-0a24-486c-a476-21d9f6c624d8</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3.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51AFAF80-CBE8-437A-9CAA-EFF2F76C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19</Pages>
  <Words>4588</Words>
  <Characters>26152</Characters>
  <Application>Microsoft Office Word</Application>
  <DocSecurity>8</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mformisano6</cp:lastModifiedBy>
  <cp:revision>2</cp:revision>
  <cp:lastPrinted>2017-07-24T14:47:00Z</cp:lastPrinted>
  <dcterms:created xsi:type="dcterms:W3CDTF">2020-11-20T15:54:00Z</dcterms:created>
  <dcterms:modified xsi:type="dcterms:W3CDTF">2020-11-20T15:54:00Z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