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449BBA92" w:rsidR="00997DA7" w:rsidRPr="00C85C8B" w:rsidRDefault="00F52EBB" w:rsidP="00A402A0">
                <w:pPr>
                  <w:rPr>
                    <w:rFonts w:ascii="Arial" w:hAnsi="Arial" w:cs="Arial"/>
                    <w:color w:val="808080"/>
                    <w:sz w:val="20"/>
                    <w:lang w:eastAsia="de-DE"/>
                  </w:rPr>
                </w:pPr>
                <w:r>
                  <w:rPr>
                    <w:rFonts w:ascii="Arial" w:hAnsi="Arial" w:cs="Arial"/>
                    <w:sz w:val="20"/>
                    <w:lang w:eastAsia="de-DE"/>
                  </w:rPr>
                  <w:t>Alternative Investment Management Association and Managed Funds Association</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D237DF2" w:rsidR="00997DA7" w:rsidRPr="00C85C8B" w:rsidRDefault="00F56FEA"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52EBB">
                  <w:rPr>
                    <w:rFonts w:ascii="Arial" w:hAnsi="Arial" w:cs="Arial"/>
                    <w:sz w:val="20"/>
                    <w:lang w:eastAsia="de-DE"/>
                  </w:rPr>
                  <w:t>Investment Services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297D0135" w:rsidR="00997DA7" w:rsidRPr="00C85C8B" w:rsidRDefault="00F52EBB"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B32FD7C" w:rsidR="00997DA7" w:rsidRPr="00C85C8B" w:rsidRDefault="00F52EBB" w:rsidP="00A402A0">
                <w:pPr>
                  <w:rPr>
                    <w:rFonts w:ascii="Arial" w:hAnsi="Arial" w:cs="Arial"/>
                    <w:sz w:val="20"/>
                    <w:lang w:eastAsia="de-DE"/>
                  </w:rPr>
                </w:pPr>
                <w:r>
                  <w:rPr>
                    <w:rFonts w:ascii="Arial" w:hAnsi="Arial" w:cs="Arial"/>
                    <w:sz w:val="20"/>
                    <w:lang w:eastAsia="de-DE"/>
                  </w:rPr>
                  <w:t>International</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63B69414" w14:textId="77777777" w:rsidR="00554452" w:rsidRDefault="00554452" w:rsidP="00554452">
      <w:pPr>
        <w:spacing w:after="0"/>
        <w:rPr>
          <w:rFonts w:ascii="Open Sans" w:hAnsi="Open Sans" w:cs="Open Sans"/>
          <w:sz w:val="20"/>
        </w:rPr>
      </w:pPr>
      <w:permStart w:id="2008832412" w:edGrp="everyone"/>
      <w:r w:rsidRPr="00AB7676">
        <w:rPr>
          <w:rFonts w:ascii="Open Sans" w:hAnsi="Open Sans" w:cs="Open Sans"/>
          <w:sz w:val="20"/>
        </w:rPr>
        <w:t>The Alternative Investment Management Association</w:t>
      </w:r>
      <w:r w:rsidRPr="00AB7676">
        <w:rPr>
          <w:rStyle w:val="FootnoteReference"/>
          <w:rFonts w:ascii="Open Sans" w:hAnsi="Open Sans" w:cs="Open Sans"/>
          <w:sz w:val="20"/>
        </w:rPr>
        <w:footnoteReference w:id="2"/>
      </w:r>
      <w:r w:rsidRPr="00AB7676">
        <w:rPr>
          <w:rFonts w:ascii="Open Sans" w:hAnsi="Open Sans" w:cs="Open Sans"/>
          <w:sz w:val="20"/>
        </w:rPr>
        <w:t xml:space="preserve"> (“AIMA”) and Managed Funds Association</w:t>
      </w:r>
      <w:r w:rsidRPr="00AB7676">
        <w:rPr>
          <w:rStyle w:val="FootnoteReference"/>
          <w:rFonts w:ascii="Open Sans" w:hAnsi="Open Sans" w:cs="Open Sans"/>
          <w:sz w:val="20"/>
        </w:rPr>
        <w:footnoteReference w:id="3"/>
      </w:r>
      <w:r w:rsidRPr="00AB7676">
        <w:rPr>
          <w:rFonts w:ascii="Open Sans" w:hAnsi="Open Sans" w:cs="Open Sans"/>
          <w:sz w:val="20"/>
        </w:rPr>
        <w:t xml:space="preserve"> (“MFA”) welcome the opportunity to respond</w:t>
      </w:r>
      <w:r>
        <w:rPr>
          <w:rFonts w:ascii="Open Sans" w:hAnsi="Open Sans" w:cs="Open Sans"/>
          <w:sz w:val="20"/>
        </w:rPr>
        <w:t xml:space="preserve"> to</w:t>
      </w:r>
      <w:r w:rsidRPr="00AB7676">
        <w:rPr>
          <w:rFonts w:ascii="Open Sans" w:hAnsi="Open Sans" w:cs="Open Sans"/>
          <w:sz w:val="20"/>
        </w:rPr>
        <w:t xml:space="preserve"> the European Securities and Markets Authority (“ESMA”) regarding its </w:t>
      </w:r>
      <w:r>
        <w:t>Consultation Paper “</w:t>
      </w:r>
      <w:proofErr w:type="spellStart"/>
      <w:r>
        <w:t>MiFIR</w:t>
      </w:r>
      <w:proofErr w:type="spellEnd"/>
      <w:r>
        <w:t xml:space="preserve"> review report on the obligations to report transactions and reference data”</w:t>
      </w:r>
      <w:r w:rsidRPr="005253AF">
        <w:rPr>
          <w:rStyle w:val="FootnoteReference"/>
          <w:rFonts w:ascii="Open Sans" w:hAnsi="Open Sans" w:cs="Open Sans"/>
          <w:sz w:val="20"/>
        </w:rPr>
        <w:footnoteReference w:id="4"/>
      </w:r>
      <w:r w:rsidRPr="005253AF">
        <w:rPr>
          <w:rFonts w:ascii="Open Sans" w:hAnsi="Open Sans" w:cs="Open Sans"/>
          <w:sz w:val="20"/>
        </w:rPr>
        <w:t xml:space="preserve"> (“the CP”). </w:t>
      </w:r>
    </w:p>
    <w:p w14:paraId="6E5BC111" w14:textId="77777777" w:rsidR="00554452" w:rsidRDefault="00554452" w:rsidP="00554452">
      <w:pPr>
        <w:autoSpaceDE w:val="0"/>
        <w:autoSpaceDN w:val="0"/>
        <w:adjustRightInd w:val="0"/>
        <w:spacing w:after="0" w:line="240" w:lineRule="auto"/>
        <w:rPr>
          <w:rFonts w:ascii="Open Sans" w:hAnsi="Open Sans" w:cs="Open Sans"/>
          <w:sz w:val="20"/>
        </w:rPr>
      </w:pPr>
    </w:p>
    <w:p w14:paraId="510AA867" w14:textId="77777777" w:rsidR="00554452" w:rsidRPr="005253AF" w:rsidRDefault="00554452" w:rsidP="00554452">
      <w:pPr>
        <w:autoSpaceDE w:val="0"/>
        <w:autoSpaceDN w:val="0"/>
        <w:adjustRightInd w:val="0"/>
        <w:spacing w:after="0" w:line="240" w:lineRule="auto"/>
        <w:rPr>
          <w:rFonts w:ascii="Open Sans" w:hAnsi="Open Sans" w:cs="Open Sans"/>
          <w:sz w:val="20"/>
        </w:rPr>
      </w:pPr>
      <w:r>
        <w:rPr>
          <w:rFonts w:ascii="Open Sans" w:hAnsi="Open Sans" w:cs="Open Sans"/>
          <w:sz w:val="20"/>
        </w:rPr>
        <w:t>In our detailed responses to the questions raised in the CP, we make the following points:</w:t>
      </w:r>
    </w:p>
    <w:p w14:paraId="20EB61BE" w14:textId="77777777" w:rsidR="00554452" w:rsidRDefault="00554452" w:rsidP="00554452">
      <w:pPr>
        <w:spacing w:after="0" w:line="240" w:lineRule="auto"/>
        <w:rPr>
          <w:rFonts w:ascii="Open Sans" w:hAnsi="Open Sans" w:cs="Open Sans"/>
          <w:sz w:val="20"/>
        </w:rPr>
      </w:pPr>
    </w:p>
    <w:p w14:paraId="01118633" w14:textId="77777777" w:rsidR="00554452" w:rsidRPr="008B1677"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strongly oppose the possible extension of the Article 26 transaction reporting requirement to AIFMs and UCITS Management Companies that are providing MiFID services under Article 6(4) of UCITS Directive and Article 6(6) of AIFMD and do not believe that the costs to industry associated with providing that information are warranted in light of its </w:t>
      </w:r>
      <w:r>
        <w:rPr>
          <w:rFonts w:ascii="Open Sans" w:hAnsi="Open Sans" w:cs="Open Sans"/>
          <w:sz w:val="20"/>
          <w:szCs w:val="20"/>
        </w:rPr>
        <w:t xml:space="preserve">modest </w:t>
      </w:r>
      <w:r w:rsidRPr="008B1677">
        <w:rPr>
          <w:rFonts w:ascii="Open Sans" w:hAnsi="Open Sans" w:cs="Open Sans"/>
          <w:sz w:val="20"/>
          <w:szCs w:val="20"/>
        </w:rPr>
        <w:t>potential supervisory value.</w:t>
      </w:r>
    </w:p>
    <w:p w14:paraId="185613A5" w14:textId="77777777" w:rsidR="00554452" w:rsidRDefault="00554452" w:rsidP="00554452">
      <w:pPr>
        <w:spacing w:after="0"/>
        <w:rPr>
          <w:rFonts w:ascii="Open Sans" w:hAnsi="Open Sans" w:cs="Open Sans"/>
          <w:sz w:val="20"/>
        </w:rPr>
      </w:pPr>
    </w:p>
    <w:p w14:paraId="468169AF" w14:textId="269C09D2" w:rsidR="00554452" w:rsidRPr="00554452"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encourage ESMA to examine issues of scope from a different perspective and consider whether the existing rules could be adapted to lessen the reporting </w:t>
      </w:r>
      <w:r>
        <w:rPr>
          <w:rFonts w:ascii="Open Sans" w:hAnsi="Open Sans" w:cs="Open Sans"/>
          <w:sz w:val="20"/>
          <w:szCs w:val="20"/>
        </w:rPr>
        <w:t xml:space="preserve">burden </w:t>
      </w:r>
      <w:r w:rsidRPr="008B1677">
        <w:rPr>
          <w:rFonts w:ascii="Open Sans" w:hAnsi="Open Sans" w:cs="Open Sans"/>
          <w:sz w:val="20"/>
          <w:szCs w:val="20"/>
        </w:rPr>
        <w:t xml:space="preserve">on buy-side firms operating under a MiFID licence by elaborating a reporting framework </w:t>
      </w:r>
      <w:r>
        <w:rPr>
          <w:rFonts w:ascii="Open Sans" w:hAnsi="Open Sans" w:cs="Open Sans"/>
          <w:sz w:val="20"/>
          <w:szCs w:val="20"/>
        </w:rPr>
        <w:t xml:space="preserve"> that involves brokers, rather than clients, reporting transactions</w:t>
      </w:r>
      <w:r w:rsidRPr="00C367C1">
        <w:rPr>
          <w:rFonts w:ascii="Open Sans" w:hAnsi="Open Sans" w:cs="Open Sans"/>
          <w:sz w:val="20"/>
          <w:szCs w:val="20"/>
        </w:rPr>
        <w:t>.</w:t>
      </w:r>
      <w:r w:rsidRPr="00F2097A">
        <w:rPr>
          <w:rFonts w:ascii="Open Sans" w:hAnsi="Open Sans" w:cs="Open Sans"/>
          <w:sz w:val="20"/>
          <w:szCs w:val="20"/>
        </w:rPr>
        <w:t xml:space="preserve"> </w:t>
      </w:r>
    </w:p>
    <w:p w14:paraId="71B84D7B" w14:textId="77777777" w:rsidR="00554452" w:rsidRPr="00554452" w:rsidRDefault="00554452" w:rsidP="00554452">
      <w:pPr>
        <w:spacing w:after="0"/>
        <w:ind w:left="360"/>
        <w:contextualSpacing/>
        <w:rPr>
          <w:rFonts w:ascii="Open Sans" w:hAnsi="Open Sans" w:cs="Open Sans"/>
          <w:sz w:val="20"/>
        </w:rPr>
      </w:pPr>
    </w:p>
    <w:p w14:paraId="599C5443" w14:textId="77777777" w:rsidR="00554452" w:rsidRPr="008B1677"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very much welcome the fact that ESMA has picked up on the proposals made by AIMA and </w:t>
      </w:r>
      <w:r>
        <w:rPr>
          <w:rFonts w:ascii="Open Sans" w:hAnsi="Open Sans" w:cs="Open Sans"/>
          <w:sz w:val="20"/>
          <w:szCs w:val="20"/>
        </w:rPr>
        <w:t xml:space="preserve">MFA </w:t>
      </w:r>
      <w:r w:rsidRPr="008B1677">
        <w:rPr>
          <w:rFonts w:ascii="Open Sans" w:hAnsi="Open Sans" w:cs="Open Sans"/>
          <w:sz w:val="20"/>
          <w:szCs w:val="20"/>
        </w:rPr>
        <w:t xml:space="preserve">that the concept of TOTV should be replaced for derivatives with a structure that assumes that a transaction involving an investment firm that is a systematic internaliser </w:t>
      </w:r>
      <w:r>
        <w:rPr>
          <w:rFonts w:ascii="Open Sans" w:hAnsi="Open Sans" w:cs="Open Sans"/>
          <w:sz w:val="20"/>
          <w:szCs w:val="20"/>
        </w:rPr>
        <w:t xml:space="preserve">in the relevant sub-asset class </w:t>
      </w:r>
      <w:r w:rsidRPr="008B1677">
        <w:rPr>
          <w:rFonts w:ascii="Open Sans" w:hAnsi="Open Sans" w:cs="Open Sans"/>
          <w:sz w:val="20"/>
          <w:szCs w:val="20"/>
        </w:rPr>
        <w:t xml:space="preserve">would be reported under MiFIR. We believe this would </w:t>
      </w:r>
      <w:r>
        <w:rPr>
          <w:rFonts w:ascii="Open Sans" w:hAnsi="Open Sans" w:cs="Open Sans"/>
          <w:sz w:val="20"/>
          <w:szCs w:val="20"/>
        </w:rPr>
        <w:t>greatly improve</w:t>
      </w:r>
      <w:r w:rsidRPr="008B1677">
        <w:rPr>
          <w:rFonts w:ascii="Open Sans" w:hAnsi="Open Sans" w:cs="Open Sans"/>
          <w:sz w:val="20"/>
          <w:szCs w:val="20"/>
        </w:rPr>
        <w:t xml:space="preserve"> the degree of post-trade transparency available in respect of OTC derivatives, helping support liquidity and price formation to the benefit of all users of the market.</w:t>
      </w:r>
    </w:p>
    <w:p w14:paraId="5D5962B5" w14:textId="77777777" w:rsidR="00554452" w:rsidRDefault="00554452" w:rsidP="00554452">
      <w:pPr>
        <w:spacing w:after="0"/>
        <w:rPr>
          <w:rFonts w:ascii="Open Sans" w:hAnsi="Open Sans" w:cs="Open Sans"/>
          <w:sz w:val="20"/>
        </w:rPr>
      </w:pPr>
    </w:p>
    <w:p w14:paraId="492CA7D3" w14:textId="77777777" w:rsidR="00554452" w:rsidRPr="008B1677"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would suggest that if ESMA has found that the majority of NCAs do not use the Algo ID field, then it evidently provides limited supervisory value and should be removed from the reporting framework to reduce the amount of information that must be reported. </w:t>
      </w:r>
    </w:p>
    <w:p w14:paraId="512F1CF9" w14:textId="77777777" w:rsidR="00554452" w:rsidRPr="007D0533" w:rsidRDefault="00554452" w:rsidP="00554452">
      <w:pPr>
        <w:spacing w:after="0"/>
        <w:rPr>
          <w:rFonts w:ascii="Open Sans" w:hAnsi="Open Sans" w:cs="Open Sans"/>
          <w:sz w:val="20"/>
        </w:rPr>
      </w:pPr>
    </w:p>
    <w:p w14:paraId="177755B3" w14:textId="77777777" w:rsidR="00554452" w:rsidRPr="008B1677"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strongly favour ESMA’s suggestion that the short sale indicator field be removed from the transaction reporting framework, given that the short-selling regulation is the more appropriate regulatory framework for NCAs to obtain information on the net short positions of market participants. </w:t>
      </w:r>
    </w:p>
    <w:p w14:paraId="581F7451" w14:textId="77777777" w:rsidR="00554452" w:rsidRPr="007D0533" w:rsidRDefault="00554452" w:rsidP="00554452">
      <w:pPr>
        <w:spacing w:after="0"/>
        <w:rPr>
          <w:rFonts w:ascii="Open Sans" w:hAnsi="Open Sans" w:cs="Open Sans"/>
          <w:sz w:val="20"/>
        </w:rPr>
      </w:pPr>
    </w:p>
    <w:p w14:paraId="1D2EC977" w14:textId="6E201EA2" w:rsidR="00554452" w:rsidRDefault="00554452" w:rsidP="00554452">
      <w:pPr>
        <w:pStyle w:val="ListParagraph"/>
        <w:numPr>
          <w:ilvl w:val="0"/>
          <w:numId w:val="9"/>
        </w:numPr>
        <w:spacing w:after="0"/>
        <w:contextualSpacing/>
        <w:rPr>
          <w:rFonts w:ascii="Open Sans" w:hAnsi="Open Sans" w:cs="Open Sans"/>
          <w:sz w:val="20"/>
          <w:szCs w:val="20"/>
        </w:rPr>
      </w:pPr>
      <w:r w:rsidRPr="008B1677">
        <w:rPr>
          <w:rFonts w:ascii="Open Sans" w:hAnsi="Open Sans" w:cs="Open Sans"/>
          <w:sz w:val="20"/>
          <w:szCs w:val="20"/>
        </w:rPr>
        <w:t xml:space="preserve">We strongly support the proposal that ESMA should be empowered to determine the start date for transaction reporting to ensure that appropriate technical measures are in place well in advance of reporting obligations going live. </w:t>
      </w:r>
    </w:p>
    <w:p w14:paraId="5D8EDE4A" w14:textId="77777777" w:rsidR="00554452" w:rsidRDefault="00554452" w:rsidP="00554452">
      <w:pPr>
        <w:pStyle w:val="ListParagraph"/>
        <w:numPr>
          <w:ilvl w:val="0"/>
          <w:numId w:val="0"/>
        </w:numPr>
        <w:spacing w:after="0"/>
        <w:ind w:left="720"/>
        <w:contextualSpacing/>
        <w:rPr>
          <w:rFonts w:ascii="Open Sans" w:hAnsi="Open Sans" w:cs="Open Sans"/>
          <w:sz w:val="20"/>
          <w:szCs w:val="20"/>
        </w:rPr>
      </w:pPr>
    </w:p>
    <w:p w14:paraId="26F39BCB" w14:textId="79AF8504" w:rsidR="00554452" w:rsidRPr="008B1677" w:rsidRDefault="00554452" w:rsidP="00554452">
      <w:pPr>
        <w:pStyle w:val="ListParagraph"/>
        <w:numPr>
          <w:ilvl w:val="0"/>
          <w:numId w:val="9"/>
        </w:numPr>
        <w:spacing w:after="0"/>
        <w:contextualSpacing/>
        <w:rPr>
          <w:rFonts w:ascii="Open Sans" w:hAnsi="Open Sans" w:cs="Open Sans"/>
          <w:sz w:val="20"/>
          <w:szCs w:val="20"/>
        </w:rPr>
      </w:pPr>
      <w:r>
        <w:rPr>
          <w:rFonts w:ascii="Open Sans" w:hAnsi="Open Sans" w:cs="Open Sans"/>
          <w:sz w:val="20"/>
          <w:szCs w:val="20"/>
        </w:rPr>
        <w:t xml:space="preserve">Given ESMA’s discussion of the interaction between different pieces of legislation (MIFID, MAR, SSR), we take this opportunity to stress the importance of providing a single source of accurate and up-to-date reference data to enable market participants to assess which rules are relevant in the context of an individual security. We support harmonization of the </w:t>
      </w:r>
      <w:r>
        <w:rPr>
          <w:rFonts w:ascii="Open Sans" w:hAnsi="Open Sans" w:cs="Open Sans"/>
          <w:sz w:val="20"/>
          <w:szCs w:val="20"/>
        </w:rPr>
        <w:lastRenderedPageBreak/>
        <w:t>scope of reference data by merging Article 4 of MAR into Article 27 of MiFIR. ESMA should continue to explore ways in which FIRDS could be expanded and improved to achieve this.</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2E759B98" w14:textId="77777777" w:rsidR="00554452" w:rsidRPr="007D0533" w:rsidRDefault="00554452" w:rsidP="00554452">
      <w:pPr>
        <w:spacing w:after="0"/>
        <w:rPr>
          <w:rFonts w:ascii="Open Sans" w:hAnsi="Open Sans" w:cs="Open Sans"/>
          <w:sz w:val="20"/>
        </w:rPr>
      </w:pPr>
      <w:permStart w:id="1600792670" w:edGrp="everyone"/>
      <w:r w:rsidRPr="007D0533">
        <w:rPr>
          <w:rFonts w:ascii="Open Sans" w:hAnsi="Open Sans" w:cs="Open Sans"/>
          <w:sz w:val="20"/>
        </w:rPr>
        <w:t>AIMA and MFA strongly oppose the possible extension of the Article 26 transaction reporting requirement to AIFMs and UCITS Management Companies that are providing MiFID services under Article 6(4) of UCITS Directive and Article 6(6) of AIFMD.</w:t>
      </w:r>
    </w:p>
    <w:p w14:paraId="70DEECFC" w14:textId="77777777" w:rsidR="00554452" w:rsidRPr="007D0533" w:rsidRDefault="00554452" w:rsidP="00554452">
      <w:pPr>
        <w:spacing w:after="0"/>
        <w:rPr>
          <w:rFonts w:ascii="Open Sans" w:hAnsi="Open Sans" w:cs="Open Sans"/>
          <w:sz w:val="20"/>
        </w:rPr>
      </w:pPr>
    </w:p>
    <w:p w14:paraId="3336666D" w14:textId="77777777" w:rsidR="00554452" w:rsidRPr="00CB3A67" w:rsidRDefault="00554452" w:rsidP="00554452">
      <w:pPr>
        <w:spacing w:after="0"/>
        <w:rPr>
          <w:rFonts w:ascii="Open Sans" w:hAnsi="Open Sans" w:cs="Open Sans"/>
          <w:sz w:val="20"/>
        </w:rPr>
      </w:pPr>
      <w:r w:rsidRPr="007D0533">
        <w:rPr>
          <w:rFonts w:ascii="Open Sans" w:hAnsi="Open Sans" w:cs="Open Sans"/>
          <w:sz w:val="20"/>
        </w:rPr>
        <w:t xml:space="preserve">Buy-side firms that are subject to MiFID II routinely single out transaction reporting as being one of the most significant compliance burdens associated with the regime, noting that it created major one-off systems build costs, whilst also generating significant on-going costs associated with making reports and validating reporting processes.  This reflects the fact that buy-side entities do not have the same operational and reporting capacity as large sell-side institutions, something that we believe should be </w:t>
      </w:r>
      <w:r w:rsidRPr="00CB3A67">
        <w:rPr>
          <w:rFonts w:ascii="Open Sans" w:hAnsi="Open Sans" w:cs="Open Sans"/>
          <w:sz w:val="20"/>
        </w:rPr>
        <w:t xml:space="preserve">considered when designing reporting obligations. </w:t>
      </w:r>
    </w:p>
    <w:p w14:paraId="49042635" w14:textId="77777777" w:rsidR="00554452" w:rsidRPr="00CB3A67" w:rsidRDefault="00554452" w:rsidP="00554452">
      <w:pPr>
        <w:spacing w:after="0"/>
        <w:rPr>
          <w:rFonts w:ascii="Open Sans" w:hAnsi="Open Sans" w:cs="Open Sans"/>
          <w:sz w:val="20"/>
        </w:rPr>
      </w:pPr>
    </w:p>
    <w:p w14:paraId="3F3AAB73" w14:textId="77777777" w:rsidR="00554452" w:rsidRPr="00CB3A67" w:rsidRDefault="00554452" w:rsidP="00554452">
      <w:pPr>
        <w:spacing w:after="0"/>
        <w:rPr>
          <w:rFonts w:ascii="Open Sans" w:hAnsi="Open Sans" w:cs="Open Sans"/>
          <w:sz w:val="20"/>
        </w:rPr>
      </w:pPr>
      <w:r w:rsidRPr="00CB3A67">
        <w:rPr>
          <w:rFonts w:ascii="Open Sans" w:hAnsi="Open Sans" w:cs="Open Sans"/>
          <w:sz w:val="20"/>
        </w:rPr>
        <w:t>While we acknowledge the interest on the part of national competent authorities (“NCAs”) in having a “complete set of information”, it is, in our view, essential to consider whether the costs to industry associated with providing that information are warranted in light of its potential supervisory value.</w:t>
      </w:r>
    </w:p>
    <w:p w14:paraId="48D03FB5" w14:textId="77777777" w:rsidR="00554452" w:rsidRPr="00CB3A67" w:rsidRDefault="00554452" w:rsidP="00554452">
      <w:pPr>
        <w:spacing w:after="0"/>
        <w:rPr>
          <w:rFonts w:ascii="Open Sans" w:hAnsi="Open Sans" w:cs="Open Sans"/>
          <w:sz w:val="20"/>
        </w:rPr>
      </w:pPr>
    </w:p>
    <w:p w14:paraId="7828CFED" w14:textId="77777777" w:rsidR="00554452" w:rsidRPr="007D0533" w:rsidRDefault="00554452" w:rsidP="00554452">
      <w:pPr>
        <w:spacing w:after="0"/>
        <w:rPr>
          <w:rFonts w:ascii="Open Sans" w:hAnsi="Open Sans" w:cs="Open Sans"/>
          <w:sz w:val="20"/>
        </w:rPr>
      </w:pPr>
      <w:r w:rsidRPr="00CB3A67">
        <w:rPr>
          <w:rFonts w:ascii="Open Sans" w:hAnsi="Open Sans" w:cs="Open Sans"/>
          <w:sz w:val="20"/>
        </w:rPr>
        <w:t>In this situation, we do not believe that the costs to firms would be proportionate given that NCAs do already have extensive information from the reports made by trading venues and investment firm counterparties in respect of the activities of AIFMs and UCITS Management Companies. It is not clear that NCAs would derive additional meaningful data about the decision-maker involved in the transaction, as many firms will have a centralized trading desk, likely with t</w:t>
      </w:r>
      <w:r>
        <w:rPr>
          <w:rFonts w:ascii="Open Sans" w:hAnsi="Open Sans" w:cs="Open Sans"/>
          <w:sz w:val="20"/>
        </w:rPr>
        <w:t xml:space="preserve">he Chief Investment Officer as the decision-maker for all reported transactions. </w:t>
      </w:r>
    </w:p>
    <w:p w14:paraId="50BDBABF" w14:textId="77777777" w:rsidR="00554452" w:rsidRPr="007D0533" w:rsidRDefault="00554452" w:rsidP="00554452">
      <w:pPr>
        <w:spacing w:after="0"/>
        <w:rPr>
          <w:rFonts w:ascii="Open Sans" w:hAnsi="Open Sans" w:cs="Open Sans"/>
          <w:sz w:val="20"/>
        </w:rPr>
      </w:pPr>
    </w:p>
    <w:p w14:paraId="19B210C6"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We also note the operational challenges associated with delineating trading activities by regulatory permission, such that it will be difficult for AIFMs and UCITS Management Companies to limit reporting to trading related to individual portfolio management, creating risks of over-reporting. A similar challenge arises in the context of RTS 28 reports for AIFMs with M</w:t>
      </w:r>
      <w:r>
        <w:rPr>
          <w:rFonts w:ascii="Open Sans" w:hAnsi="Open Sans" w:cs="Open Sans"/>
          <w:sz w:val="20"/>
        </w:rPr>
        <w:t>i</w:t>
      </w:r>
      <w:r w:rsidRPr="007D0533">
        <w:rPr>
          <w:rFonts w:ascii="Open Sans" w:hAnsi="Open Sans" w:cs="Open Sans"/>
          <w:sz w:val="20"/>
        </w:rPr>
        <w:t>FID top-up permissions, forcing some firms to compile information that covers both MiFID and non-MiFID services.</w:t>
      </w:r>
    </w:p>
    <w:p w14:paraId="5F3A382C" w14:textId="77777777" w:rsidR="00554452" w:rsidRPr="007D0533" w:rsidRDefault="00554452" w:rsidP="00554452">
      <w:pPr>
        <w:spacing w:after="0"/>
        <w:rPr>
          <w:rFonts w:ascii="Open Sans" w:hAnsi="Open Sans" w:cs="Open Sans"/>
          <w:sz w:val="20"/>
        </w:rPr>
      </w:pPr>
    </w:p>
    <w:p w14:paraId="5789CB52"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lastRenderedPageBreak/>
        <w:t>We would further argue that ESMA should examine issues of scope from a different perspective and consider whether the existing rules could be adapted to lessen the reporting</w:t>
      </w:r>
      <w:r>
        <w:rPr>
          <w:rFonts w:ascii="Open Sans" w:hAnsi="Open Sans" w:cs="Open Sans"/>
          <w:sz w:val="20"/>
        </w:rPr>
        <w:t xml:space="preserve"> burden</w:t>
      </w:r>
      <w:r w:rsidRPr="007D0533">
        <w:rPr>
          <w:rFonts w:ascii="Open Sans" w:hAnsi="Open Sans" w:cs="Open Sans"/>
          <w:sz w:val="20"/>
        </w:rPr>
        <w:t xml:space="preserve"> on buy-side firms operating under a MiFID licence by elaborating a reporting framework </w:t>
      </w:r>
      <w:r>
        <w:rPr>
          <w:rFonts w:ascii="Open Sans" w:hAnsi="Open Sans" w:cs="Open Sans"/>
          <w:sz w:val="20"/>
        </w:rPr>
        <w:t>that involves brokers, rather than clients, reporting</w:t>
      </w:r>
      <w:r w:rsidRPr="007D0533">
        <w:rPr>
          <w:rFonts w:ascii="Open Sans" w:hAnsi="Open Sans" w:cs="Open Sans"/>
          <w:sz w:val="20"/>
        </w:rPr>
        <w:t xml:space="preserve">. </w:t>
      </w:r>
    </w:p>
    <w:p w14:paraId="5C49F2BC" w14:textId="77777777" w:rsidR="00554452" w:rsidRPr="007D0533" w:rsidRDefault="00554452" w:rsidP="00554452">
      <w:pPr>
        <w:spacing w:after="0"/>
        <w:rPr>
          <w:rFonts w:ascii="Open Sans" w:hAnsi="Open Sans" w:cs="Open Sans"/>
          <w:sz w:val="20"/>
        </w:rPr>
      </w:pPr>
    </w:p>
    <w:p w14:paraId="1BF2105C"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This would bring the consistency favoured by ESMA, while ensuring that rules are designed in a way that reflects the differing operational capacity of counterparties to a trade.</w:t>
      </w:r>
      <w:r>
        <w:rPr>
          <w:rFonts w:ascii="Open Sans" w:hAnsi="Open Sans" w:cs="Open Sans"/>
          <w:sz w:val="20"/>
        </w:rPr>
        <w:t xml:space="preserve"> This would also ensure that reporting requirements are not a barrier to entry for smaller investment managers seeking to establish in the EU, something that is likely to be the case if MiFID is amended to require that AIFMs submit transaction reports for MIFID top-up activities. </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39268D54" w14:textId="77777777" w:rsidR="00554452" w:rsidRPr="007D0533" w:rsidRDefault="00554452" w:rsidP="00554452">
      <w:pPr>
        <w:spacing w:after="0"/>
        <w:rPr>
          <w:rFonts w:ascii="Open Sans" w:hAnsi="Open Sans" w:cs="Open Sans"/>
          <w:sz w:val="20"/>
        </w:rPr>
      </w:pPr>
      <w:permStart w:id="1998264754" w:edGrp="everyone"/>
      <w:r w:rsidRPr="007D0533">
        <w:rPr>
          <w:rFonts w:ascii="Open Sans" w:hAnsi="Open Sans" w:cs="Open Sans"/>
          <w:sz w:val="20"/>
        </w:rPr>
        <w:lastRenderedPageBreak/>
        <w:t xml:space="preserve">While we can appreciate the need for information sharing between NCAs, we </w:t>
      </w:r>
      <w:r w:rsidRPr="00CB3A67">
        <w:rPr>
          <w:rFonts w:ascii="Open Sans" w:hAnsi="Open Sans" w:cs="Open Sans"/>
          <w:sz w:val="20"/>
        </w:rPr>
        <w:t>believe it is important</w:t>
      </w:r>
      <w:r w:rsidRPr="007D0533">
        <w:rPr>
          <w:rFonts w:ascii="Open Sans" w:hAnsi="Open Sans" w:cs="Open Sans"/>
          <w:sz w:val="20"/>
        </w:rPr>
        <w:t xml:space="preserve"> that any move to make it easier for NCAs to share data is also accompanied by a clear statement regarding the need to share data in a manner that is subject to robust data security controls.</w:t>
      </w:r>
    </w:p>
    <w:p w14:paraId="17088ED5" w14:textId="77777777" w:rsidR="00554452" w:rsidRPr="007D0533" w:rsidRDefault="00554452" w:rsidP="00554452">
      <w:pPr>
        <w:spacing w:after="0"/>
        <w:rPr>
          <w:rFonts w:ascii="Open Sans" w:hAnsi="Open Sans" w:cs="Open Sans"/>
          <w:sz w:val="20"/>
        </w:rPr>
      </w:pPr>
    </w:p>
    <w:p w14:paraId="3E5C4783"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 xml:space="preserve">Data reported by firms to individual NCAs is of a highly sensitive nature and provides significant information about an individual firm’s commercial activities. It is important that data be subject to robust controls when it comes to the way in which it is handled by NCAs. </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14DB9A23" w14:textId="77777777" w:rsidR="00554452" w:rsidRPr="007D0533" w:rsidRDefault="00554452" w:rsidP="00554452">
      <w:pPr>
        <w:spacing w:after="0"/>
        <w:rPr>
          <w:rFonts w:ascii="Open Sans" w:hAnsi="Open Sans" w:cs="Open Sans"/>
          <w:sz w:val="20"/>
        </w:rPr>
      </w:pPr>
      <w:permStart w:id="1725236856" w:edGrp="everyone"/>
      <w:r w:rsidRPr="00CB3A67">
        <w:rPr>
          <w:rFonts w:ascii="Open Sans" w:hAnsi="Open Sans" w:cs="Open Sans"/>
          <w:sz w:val="20"/>
        </w:rPr>
        <w:t xml:space="preserve">We very much welcome ESMA’s recognition of the proposals made by AIMA and MFA in response to ESMA’s “Consultation Paper: MiFID II/ </w:t>
      </w:r>
      <w:proofErr w:type="spellStart"/>
      <w:r w:rsidRPr="00CB3A67">
        <w:rPr>
          <w:rFonts w:ascii="Open Sans" w:hAnsi="Open Sans" w:cs="Open Sans"/>
          <w:sz w:val="20"/>
        </w:rPr>
        <w:t>MiFIR</w:t>
      </w:r>
      <w:proofErr w:type="spellEnd"/>
      <w:r w:rsidRPr="00CB3A67">
        <w:rPr>
          <w:rFonts w:ascii="Open Sans" w:hAnsi="Open Sans" w:cs="Open Sans"/>
          <w:sz w:val="20"/>
        </w:rPr>
        <w:t xml:space="preserve"> review report on the transparency regime for non-equity instruments and the trading obligation for derivatives”</w:t>
      </w:r>
      <w:r w:rsidRPr="00CB3A67">
        <w:rPr>
          <w:rStyle w:val="FootnoteReference"/>
          <w:rFonts w:ascii="Open Sans" w:hAnsi="Open Sans" w:cs="Open Sans"/>
          <w:sz w:val="20"/>
        </w:rPr>
        <w:footnoteReference w:id="5"/>
      </w:r>
      <w:r w:rsidRPr="00CB3A67">
        <w:rPr>
          <w:rFonts w:ascii="Open Sans" w:hAnsi="Open Sans" w:cs="Open Sans"/>
          <w:sz w:val="20"/>
        </w:rPr>
        <w:t xml:space="preserve"> that the concept of </w:t>
      </w:r>
      <w:proofErr w:type="spellStart"/>
      <w:r w:rsidRPr="00CB3A67">
        <w:rPr>
          <w:rFonts w:ascii="Open Sans" w:hAnsi="Open Sans" w:cs="Open Sans"/>
          <w:sz w:val="20"/>
        </w:rPr>
        <w:t>ToTV</w:t>
      </w:r>
      <w:proofErr w:type="spellEnd"/>
      <w:r w:rsidRPr="00CB3A67">
        <w:rPr>
          <w:rFonts w:ascii="Open Sans" w:hAnsi="Open Sans" w:cs="Open Sans"/>
          <w:sz w:val="20"/>
        </w:rPr>
        <w:t xml:space="preserve"> should be replaced for derivatives with a structure that requires that a transaction involving an investment firm that is a systematic </w:t>
      </w:r>
      <w:proofErr w:type="spellStart"/>
      <w:r w:rsidRPr="00CB3A67">
        <w:rPr>
          <w:rFonts w:ascii="Open Sans" w:hAnsi="Open Sans" w:cs="Open Sans"/>
          <w:sz w:val="20"/>
        </w:rPr>
        <w:t>internaliser</w:t>
      </w:r>
      <w:proofErr w:type="spellEnd"/>
      <w:r w:rsidRPr="00CB3A67">
        <w:rPr>
          <w:rFonts w:ascii="Open Sans" w:hAnsi="Open Sans" w:cs="Open Sans"/>
          <w:sz w:val="20"/>
        </w:rPr>
        <w:t xml:space="preserve"> in the relevant sub-asset class would be reported under </w:t>
      </w:r>
      <w:proofErr w:type="spellStart"/>
      <w:r w:rsidRPr="00CB3A67">
        <w:rPr>
          <w:rFonts w:ascii="Open Sans" w:hAnsi="Open Sans" w:cs="Open Sans"/>
          <w:sz w:val="20"/>
        </w:rPr>
        <w:t>MiFIR</w:t>
      </w:r>
      <w:proofErr w:type="spellEnd"/>
      <w:r w:rsidRPr="00CB3A67">
        <w:rPr>
          <w:rFonts w:ascii="Open Sans" w:hAnsi="Open Sans" w:cs="Open Sans"/>
          <w:sz w:val="20"/>
        </w:rPr>
        <w:t>.</w:t>
      </w:r>
      <w:r w:rsidRPr="007D0533">
        <w:rPr>
          <w:rFonts w:ascii="Open Sans" w:hAnsi="Open Sans" w:cs="Open Sans"/>
          <w:sz w:val="20"/>
        </w:rPr>
        <w:t xml:space="preserve"> </w:t>
      </w:r>
    </w:p>
    <w:p w14:paraId="47B4E1F1" w14:textId="77777777" w:rsidR="00554452" w:rsidRPr="007D0533" w:rsidRDefault="00554452" w:rsidP="00554452">
      <w:pPr>
        <w:spacing w:after="0"/>
        <w:rPr>
          <w:rFonts w:ascii="Open Sans" w:hAnsi="Open Sans" w:cs="Open Sans"/>
          <w:sz w:val="20"/>
        </w:rPr>
      </w:pPr>
    </w:p>
    <w:p w14:paraId="014CC15B"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We believe this would align with the goal of improving the degree of post-trade transparency available in respect of OTC derivatives, helping support liquidity and price formation to the benefit of all users of the market.</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58DD5D4" w14:textId="77777777" w:rsidR="00554452" w:rsidRPr="007D0533" w:rsidRDefault="00554452" w:rsidP="00554452">
      <w:pPr>
        <w:spacing w:after="0"/>
        <w:rPr>
          <w:rFonts w:ascii="Open Sans" w:hAnsi="Open Sans" w:cs="Open Sans"/>
          <w:sz w:val="20"/>
        </w:rPr>
      </w:pPr>
      <w:permStart w:id="1355041525" w:edGrp="everyone"/>
      <w:r w:rsidRPr="007D0533">
        <w:rPr>
          <w:rFonts w:ascii="Open Sans" w:hAnsi="Open Sans" w:cs="Open Sans"/>
          <w:sz w:val="20"/>
        </w:rPr>
        <w:lastRenderedPageBreak/>
        <w:t>We believe this approach should apply regardless of whether a firm is an SI on a voluntary o</w:t>
      </w:r>
      <w:r>
        <w:rPr>
          <w:rFonts w:ascii="Open Sans" w:hAnsi="Open Sans" w:cs="Open Sans"/>
          <w:sz w:val="20"/>
        </w:rPr>
        <w:t>r</w:t>
      </w:r>
      <w:r w:rsidRPr="007D0533">
        <w:rPr>
          <w:rFonts w:ascii="Open Sans" w:hAnsi="Open Sans" w:cs="Open Sans"/>
          <w:sz w:val="20"/>
        </w:rPr>
        <w:t xml:space="preserve"> mandatory basis, as we believe that the extension in reportability of trades would not fundamentally undermine the franchise benefits to brokers of opting into the SI regime.</w:t>
      </w:r>
      <w:r>
        <w:rPr>
          <w:rFonts w:ascii="Open Sans" w:hAnsi="Open Sans" w:cs="Open Sans"/>
          <w:sz w:val="20"/>
        </w:rPr>
        <w:t xml:space="preserve">  </w:t>
      </w:r>
      <w:r w:rsidRPr="008A5BA7">
        <w:rPr>
          <w:rFonts w:ascii="Open Sans" w:hAnsi="Open Sans" w:cs="Open Sans"/>
          <w:sz w:val="20"/>
        </w:rPr>
        <w:t>Opting-into the SI regime means that a firm is agreeing to comply with the requirements associated with being a registered SI, including any transaction reporting and transparency requirements.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C586200" w14:textId="77777777" w:rsidR="00554452" w:rsidRPr="007D0533" w:rsidRDefault="00554452" w:rsidP="00554452">
      <w:pPr>
        <w:spacing w:after="0"/>
        <w:rPr>
          <w:rFonts w:ascii="Open Sans" w:hAnsi="Open Sans" w:cs="Open Sans"/>
          <w:sz w:val="20"/>
        </w:rPr>
      </w:pPr>
      <w:permStart w:id="1583692609" w:edGrp="everyone"/>
      <w:r w:rsidRPr="007D0533">
        <w:rPr>
          <w:rFonts w:ascii="Open Sans" w:hAnsi="Open Sans" w:cs="Open Sans"/>
          <w:sz w:val="20"/>
        </w:rPr>
        <w:t xml:space="preserve">In terms of the specific options outlined by ESMA, we favour Option 1 (whereby an SI would have to report quotes and transactions undertaken in any derivatives belonging to the same sub-asset class of the derivative contracts for which that investment firm qualifies as an SI). This would maximise the degree of post-trade reporting, whilst being operationally the most straightforward to implement. </w:t>
      </w:r>
      <w:r>
        <w:rPr>
          <w:rFonts w:ascii="Open Sans" w:hAnsi="Open Sans" w:cs="Open Sans"/>
          <w:sz w:val="20"/>
        </w:rPr>
        <w:t xml:space="preserve"> Furthermore, </w:t>
      </w:r>
      <w:r w:rsidRPr="008A5BA7">
        <w:rPr>
          <w:rFonts w:ascii="Open Sans" w:hAnsi="Open Sans" w:cs="Open Sans"/>
          <w:sz w:val="20"/>
        </w:rPr>
        <w:t xml:space="preserve">Options 2 and 3 would leave the current status quo largely unchanged, as only </w:t>
      </w:r>
      <w:proofErr w:type="spellStart"/>
      <w:r w:rsidRPr="008A5BA7">
        <w:rPr>
          <w:rFonts w:ascii="Open Sans" w:hAnsi="Open Sans" w:cs="Open Sans"/>
          <w:sz w:val="20"/>
        </w:rPr>
        <w:t>ToTV</w:t>
      </w:r>
      <w:proofErr w:type="spellEnd"/>
      <w:r w:rsidRPr="008A5BA7">
        <w:rPr>
          <w:rFonts w:ascii="Open Sans" w:hAnsi="Open Sans" w:cs="Open Sans"/>
          <w:sz w:val="20"/>
        </w:rPr>
        <w:t xml:space="preserve"> instruments would be covered by transaction reporting and transparency requirements</w:t>
      </w:r>
      <w:r>
        <w:rPr>
          <w:rFonts w:ascii="Open Sans" w:hAnsi="Open Sans" w:cs="Open Sans"/>
          <w:sz w:val="20"/>
        </w:rPr>
        <w:t xml:space="preserve"> since many investment firms are only designated as SIs for derivatives in </w:t>
      </w:r>
      <w:proofErr w:type="spellStart"/>
      <w:r>
        <w:rPr>
          <w:rFonts w:ascii="Open Sans" w:hAnsi="Open Sans" w:cs="Open Sans"/>
          <w:sz w:val="20"/>
        </w:rPr>
        <w:t>ToTV</w:t>
      </w:r>
      <w:proofErr w:type="spellEnd"/>
      <w:r>
        <w:rPr>
          <w:rFonts w:ascii="Open Sans" w:hAnsi="Open Sans" w:cs="Open Sans"/>
          <w:sz w:val="20"/>
        </w:rPr>
        <w:t xml:space="preserve"> instruments.</w:t>
      </w:r>
    </w:p>
    <w:p w14:paraId="15B48A18" w14:textId="77777777" w:rsidR="00554452" w:rsidRPr="007D0533" w:rsidRDefault="00554452" w:rsidP="00554452">
      <w:pPr>
        <w:spacing w:after="0"/>
        <w:rPr>
          <w:rFonts w:ascii="Open Sans" w:hAnsi="Open Sans" w:cs="Open Sans"/>
          <w:sz w:val="20"/>
        </w:rPr>
      </w:pPr>
    </w:p>
    <w:p w14:paraId="4A228A5E"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It is important, however, to ensure the rules are written in such a way that it is always the firm that is the SI that would discharge the post-trade transparency requirement, regardless of whether it is a</w:t>
      </w:r>
      <w:r>
        <w:rPr>
          <w:rFonts w:ascii="Open Sans" w:hAnsi="Open Sans" w:cs="Open Sans"/>
          <w:sz w:val="20"/>
        </w:rPr>
        <w:t xml:space="preserve">n SI for the specific instruments within the sub-asset class in question, rather than following the current hierarchy. </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lastRenderedPageBreak/>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lastRenderedPageBreak/>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lastRenderedPageBreak/>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77777777" w:rsidR="000B0D26" w:rsidRDefault="000B0D26" w:rsidP="000B0D26">
      <w:permStart w:id="609292179" w:edGrp="everyone"/>
      <w:r>
        <w:t>TYPE YOUR TEXT HERE</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77777777" w:rsidR="000B0D26" w:rsidRDefault="000B0D26" w:rsidP="000B0D26">
      <w:permStart w:id="1075606273" w:edGrp="everyone"/>
      <w:r>
        <w:t>TYPE YOUR TEXT HERE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lastRenderedPageBreak/>
        <w:t>&lt;ESMA_QUESTION_TRRF_20&gt;</w:t>
      </w:r>
    </w:p>
    <w:p w14:paraId="535F19B7" w14:textId="77777777" w:rsidR="000B0D26" w:rsidRDefault="000B0D26" w:rsidP="000B0D26">
      <w:permStart w:id="580139045" w:edGrp="everyone"/>
      <w:r>
        <w:t>TYPE YOUR TEXT HERE</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412CA534" w14:textId="77777777" w:rsidR="00554452" w:rsidRPr="007D0533" w:rsidRDefault="00554452" w:rsidP="00554452">
      <w:pPr>
        <w:spacing w:after="0"/>
        <w:rPr>
          <w:rFonts w:ascii="Open Sans" w:hAnsi="Open Sans" w:cs="Open Sans"/>
          <w:sz w:val="20"/>
        </w:rPr>
      </w:pPr>
      <w:permStart w:id="197869488" w:edGrp="everyone"/>
      <w:r w:rsidRPr="007D0533">
        <w:rPr>
          <w:rFonts w:ascii="Open Sans" w:hAnsi="Open Sans" w:cs="Open Sans"/>
          <w:sz w:val="20"/>
        </w:rPr>
        <w:t>We would suggest that if ESMA has found that the majority of NCAs do not use th</w:t>
      </w:r>
      <w:r>
        <w:rPr>
          <w:rFonts w:ascii="Open Sans" w:hAnsi="Open Sans" w:cs="Open Sans"/>
          <w:sz w:val="20"/>
        </w:rPr>
        <w:t>e Algo ID</w:t>
      </w:r>
      <w:r w:rsidRPr="007D0533">
        <w:rPr>
          <w:rFonts w:ascii="Open Sans" w:hAnsi="Open Sans" w:cs="Open Sans"/>
          <w:sz w:val="20"/>
        </w:rPr>
        <w:t xml:space="preserve"> field, then it evidently provides limited supervisory value and should be removed from the reporting framework to reduce the amount of information that must be reported. </w:t>
      </w:r>
    </w:p>
    <w:p w14:paraId="68CAA098" w14:textId="77777777" w:rsidR="00554452" w:rsidRPr="007D0533" w:rsidRDefault="00554452" w:rsidP="00554452">
      <w:pPr>
        <w:spacing w:after="0"/>
        <w:rPr>
          <w:rFonts w:ascii="Open Sans" w:hAnsi="Open Sans" w:cs="Open Sans"/>
          <w:sz w:val="20"/>
        </w:rPr>
      </w:pPr>
    </w:p>
    <w:p w14:paraId="407FC5DA" w14:textId="77777777" w:rsidR="00554452" w:rsidRPr="007D0533" w:rsidRDefault="00554452" w:rsidP="00554452">
      <w:pPr>
        <w:spacing w:after="0"/>
        <w:rPr>
          <w:rFonts w:ascii="Open Sans" w:hAnsi="Open Sans" w:cs="Open Sans"/>
          <w:sz w:val="20"/>
        </w:rPr>
      </w:pPr>
      <w:r w:rsidRPr="007D0533">
        <w:rPr>
          <w:rFonts w:ascii="Open Sans" w:hAnsi="Open Sans" w:cs="Open Sans"/>
          <w:sz w:val="20"/>
        </w:rPr>
        <w:t xml:space="preserve">We strongly favour ESMA’s suggestion that the short sale indicator field be removed from the transaction reporting framework, given the short-selling regulation is the more appropriate regulatory framework for NCAs to obtain information on the net short positions of market participants. </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8E3D80F" w14:textId="77777777" w:rsidR="00554452" w:rsidRPr="007D0533" w:rsidRDefault="00554452" w:rsidP="00554452">
      <w:pPr>
        <w:spacing w:after="0"/>
        <w:rPr>
          <w:rFonts w:ascii="Open Sans" w:hAnsi="Open Sans" w:cs="Open Sans"/>
          <w:sz w:val="20"/>
        </w:rPr>
      </w:pPr>
      <w:permStart w:id="300050786" w:edGrp="everyone"/>
      <w:r w:rsidRPr="007D0533">
        <w:rPr>
          <w:rFonts w:ascii="Open Sans" w:hAnsi="Open Sans" w:cs="Open Sans"/>
          <w:sz w:val="20"/>
        </w:rPr>
        <w:lastRenderedPageBreak/>
        <w:t xml:space="preserve">We would strongly oppose a modified approach to the existing short sale indicator (Option b), as that would imply unhelpful divergence between </w:t>
      </w:r>
      <w:r w:rsidRPr="00CB3A67">
        <w:rPr>
          <w:rFonts w:ascii="Open Sans" w:hAnsi="Open Sans" w:cs="Open Sans"/>
          <w:sz w:val="20"/>
        </w:rPr>
        <w:t>transaction reporting requirements and the approach to calculating net short positions under the SSR. This would create additional operational complexity without solving the existing problem for NCAs, that the information reported under the MiFID framework does not corresp</w:t>
      </w:r>
      <w:r w:rsidRPr="007D0533">
        <w:rPr>
          <w:rFonts w:ascii="Open Sans" w:hAnsi="Open Sans" w:cs="Open Sans"/>
          <w:sz w:val="20"/>
        </w:rPr>
        <w:t xml:space="preserve">ond to information reported under the SSR. </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lastRenderedPageBreak/>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lastRenderedPageBreak/>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1206381E" w14:textId="77777777" w:rsidR="00554452" w:rsidRPr="007D0533" w:rsidRDefault="00554452" w:rsidP="00554452">
      <w:pPr>
        <w:spacing w:after="0"/>
        <w:rPr>
          <w:rFonts w:ascii="Open Sans" w:hAnsi="Open Sans" w:cs="Open Sans"/>
          <w:sz w:val="20"/>
        </w:rPr>
      </w:pPr>
      <w:permStart w:id="1128496454" w:edGrp="everyone"/>
      <w:r w:rsidRPr="007D0533">
        <w:rPr>
          <w:rFonts w:ascii="Open Sans" w:hAnsi="Open Sans" w:cs="Open Sans"/>
          <w:sz w:val="20"/>
        </w:rPr>
        <w:t xml:space="preserve">We strongly support the proposal that ESMA should be empowered to determine the start date for transaction reporting to ensure that appropriate technical measures are in place well in advance of reporting obligations going live. </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E0B9C" w14:textId="77777777" w:rsidR="00F56FEA" w:rsidRDefault="00F56FEA" w:rsidP="007E7997">
      <w:pPr>
        <w:spacing w:line="240" w:lineRule="auto"/>
      </w:pPr>
      <w:r>
        <w:separator/>
      </w:r>
    </w:p>
  </w:endnote>
  <w:endnote w:type="continuationSeparator" w:id="0">
    <w:p w14:paraId="359DED2D" w14:textId="77777777" w:rsidR="00F56FEA" w:rsidRDefault="00F56FEA" w:rsidP="007E7997">
      <w:pPr>
        <w:spacing w:line="240" w:lineRule="auto"/>
      </w:pPr>
      <w:r>
        <w:continuationSeparator/>
      </w:r>
    </w:p>
  </w:endnote>
  <w:endnote w:type="continuationNotice" w:id="1">
    <w:p w14:paraId="5E21CB74" w14:textId="77777777" w:rsidR="00F56FEA" w:rsidRDefault="00F56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0000500000000000000"/>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60EE" w14:textId="77777777" w:rsidR="00F56FEA" w:rsidRDefault="00F56FEA" w:rsidP="007E7997">
      <w:pPr>
        <w:spacing w:line="240" w:lineRule="auto"/>
      </w:pPr>
      <w:r>
        <w:separator/>
      </w:r>
    </w:p>
  </w:footnote>
  <w:footnote w:type="continuationSeparator" w:id="0">
    <w:p w14:paraId="44D85568" w14:textId="77777777" w:rsidR="00F56FEA" w:rsidRDefault="00F56FEA" w:rsidP="007E7997">
      <w:pPr>
        <w:spacing w:line="240" w:lineRule="auto"/>
      </w:pPr>
      <w:r>
        <w:continuationSeparator/>
      </w:r>
    </w:p>
  </w:footnote>
  <w:footnote w:type="continuationNotice" w:id="1">
    <w:p w14:paraId="5E99DDE5" w14:textId="77777777" w:rsidR="00F56FEA" w:rsidRDefault="00F56FEA">
      <w:pPr>
        <w:spacing w:after="0" w:line="240" w:lineRule="auto"/>
      </w:pPr>
    </w:p>
  </w:footnote>
  <w:footnote w:id="2">
    <w:p w14:paraId="6AAC921C" w14:textId="77777777" w:rsidR="00554452" w:rsidRPr="00A55B09" w:rsidRDefault="00554452" w:rsidP="00554452">
      <w:pPr>
        <w:spacing w:after="120" w:line="240" w:lineRule="auto"/>
        <w:ind w:left="426" w:hanging="426"/>
        <w:rPr>
          <w:rFonts w:ascii="Open Sans" w:hAnsi="Open Sans" w:cs="Open Sans"/>
          <w:sz w:val="16"/>
          <w:szCs w:val="16"/>
        </w:rPr>
      </w:pPr>
      <w:r w:rsidRPr="00A55B09">
        <w:rPr>
          <w:rStyle w:val="FootnoteReference"/>
          <w:rFonts w:ascii="Open Sans" w:hAnsi="Open Sans" w:cs="Open Sans"/>
          <w:szCs w:val="16"/>
        </w:rPr>
        <w:footnoteRef/>
      </w:r>
      <w:r w:rsidRPr="00A55B09">
        <w:rPr>
          <w:rFonts w:ascii="Open Sans" w:hAnsi="Open Sans" w:cs="Open Sans"/>
          <w:sz w:val="16"/>
          <w:szCs w:val="16"/>
        </w:rPr>
        <w:t xml:space="preserve"> </w:t>
      </w:r>
      <w:r w:rsidRPr="00A55B09">
        <w:rPr>
          <w:rFonts w:ascii="Open Sans" w:hAnsi="Open Sans" w:cs="Open Sans"/>
          <w:sz w:val="16"/>
          <w:szCs w:val="16"/>
        </w:rPr>
        <w:tab/>
        <w:t xml:space="preserve">AIMA is the global representative of the alternative investment industry, with more than 1,900 corporate members in over 60 countries. AIMA’s fund manager members collectively manage more than $2 trillion in assets. AIMA draws upon the expertise and diversity of its membership to provide leadership in industry initiatives such as advocacy, policy and regulatory engagement, educational </w:t>
      </w:r>
      <w:proofErr w:type="gramStart"/>
      <w:r w:rsidRPr="00A55B09">
        <w:rPr>
          <w:rFonts w:ascii="Open Sans" w:hAnsi="Open Sans" w:cs="Open Sans"/>
          <w:sz w:val="16"/>
          <w:szCs w:val="16"/>
        </w:rPr>
        <w:t>programs</w:t>
      </w:r>
      <w:proofErr w:type="gramEnd"/>
      <w:r w:rsidRPr="00A55B09">
        <w:rPr>
          <w:rFonts w:ascii="Open Sans" w:hAnsi="Open Sans" w:cs="Open Sans"/>
          <w:sz w:val="16"/>
          <w:szCs w:val="16"/>
        </w:rPr>
        <w:t xml:space="preserve"> and sound practice guides. AIMA works to raise media and public awareness of the value of the industry. </w:t>
      </w:r>
    </w:p>
  </w:footnote>
  <w:footnote w:id="3">
    <w:p w14:paraId="796E346E" w14:textId="77777777" w:rsidR="00554452" w:rsidRPr="00A55B09" w:rsidRDefault="00554452" w:rsidP="00554452">
      <w:pPr>
        <w:spacing w:after="120" w:line="240" w:lineRule="auto"/>
        <w:ind w:left="426" w:hanging="426"/>
        <w:rPr>
          <w:rFonts w:ascii="Open Sans" w:hAnsi="Open Sans" w:cs="Open Sans"/>
          <w:sz w:val="16"/>
          <w:szCs w:val="16"/>
        </w:rPr>
      </w:pPr>
      <w:r w:rsidRPr="00A55B09">
        <w:rPr>
          <w:rStyle w:val="FootnoteReference"/>
          <w:rFonts w:ascii="Open Sans" w:hAnsi="Open Sans" w:cs="Open Sans"/>
          <w:szCs w:val="16"/>
        </w:rPr>
        <w:footnoteRef/>
      </w:r>
      <w:r w:rsidRPr="00A55B09">
        <w:rPr>
          <w:rFonts w:ascii="Open Sans" w:hAnsi="Open Sans" w:cs="Open Sans"/>
          <w:sz w:val="16"/>
          <w:szCs w:val="16"/>
        </w:rPr>
        <w:t xml:space="preserve"> </w:t>
      </w:r>
      <w:r w:rsidRPr="00A55B09">
        <w:rPr>
          <w:rFonts w:ascii="Open Sans" w:hAnsi="Open Sans" w:cs="Open Sans"/>
          <w:sz w:val="16"/>
          <w:szCs w:val="16"/>
        </w:rPr>
        <w:tab/>
      </w:r>
      <w:r w:rsidRPr="00CB3A67">
        <w:rPr>
          <w:rFonts w:ascii="Open Sans" w:hAnsi="Open Sans" w:cs="Open Sans"/>
          <w:sz w:val="16"/>
          <w:szCs w:val="16"/>
        </w:rPr>
        <w:t>MFA represents the global alternative investment industry and its investors by advocating for public policies that foster efficient, transparent, fair capital markets, and competitive tax and regulatory structures. MFA supports member business strategy and growth via proprietary access to subject matter experts, peer-to-peer networking, and best practices. MFA’s more than 140 member firms collectively manage nearly $1.6 trillion across a diverse group of investment strategies. Member firms help pension plans, university endowments, charitable foundations, and other institutional investors to diversify their investments, manage risk, and generate attractive returns over time. MFA has a global presence and is active in Washington, London, Brussels, and Asia, supporting a global policy environment that fosters growth in the alternative investment industry.</w:t>
      </w:r>
    </w:p>
  </w:footnote>
  <w:footnote w:id="4">
    <w:p w14:paraId="13DE4E42" w14:textId="77777777" w:rsidR="00554452" w:rsidRPr="00A55B09" w:rsidRDefault="00554452" w:rsidP="00554452">
      <w:pPr>
        <w:spacing w:after="0"/>
        <w:ind w:left="426" w:hanging="426"/>
        <w:rPr>
          <w:rFonts w:ascii="Open Sans" w:hAnsi="Open Sans" w:cs="Open Sans"/>
          <w:sz w:val="16"/>
          <w:szCs w:val="16"/>
        </w:rPr>
      </w:pPr>
      <w:r w:rsidRPr="00A55B09">
        <w:rPr>
          <w:rStyle w:val="FootnoteReference"/>
          <w:rFonts w:ascii="Open Sans" w:hAnsi="Open Sans" w:cs="Open Sans"/>
          <w:szCs w:val="16"/>
        </w:rPr>
        <w:footnoteRef/>
      </w:r>
      <w:r w:rsidRPr="00A55B09">
        <w:rPr>
          <w:rFonts w:ascii="Open Sans" w:hAnsi="Open Sans" w:cs="Open Sans"/>
          <w:sz w:val="16"/>
          <w:szCs w:val="16"/>
        </w:rPr>
        <w:t xml:space="preserve"> </w:t>
      </w:r>
      <w:r>
        <w:rPr>
          <w:rFonts w:ascii="Open Sans" w:hAnsi="Open Sans" w:cs="Open Sans"/>
          <w:sz w:val="16"/>
          <w:szCs w:val="16"/>
        </w:rPr>
        <w:tab/>
      </w:r>
      <w:r w:rsidRPr="00A55B09">
        <w:rPr>
          <w:rFonts w:ascii="Open Sans" w:hAnsi="Open Sans" w:cs="Open Sans"/>
          <w:sz w:val="16"/>
          <w:szCs w:val="16"/>
        </w:rPr>
        <w:t xml:space="preserve">ESMA74-362-773. Online at: </w:t>
      </w:r>
      <w:hyperlink r:id="rId1" w:history="1">
        <w:r w:rsidRPr="00121E09">
          <w:rPr>
            <w:rStyle w:val="Hyperlink"/>
            <w:rFonts w:ascii="Open Sans" w:hAnsi="Open Sans" w:cs="Open Sans"/>
            <w:sz w:val="16"/>
            <w:szCs w:val="16"/>
          </w:rPr>
          <w:t>https://www.esma.europa.eu/file/57227/download?token=NZvJm-4x</w:t>
        </w:r>
      </w:hyperlink>
      <w:r>
        <w:rPr>
          <w:rFonts w:ascii="Open Sans" w:hAnsi="Open Sans" w:cs="Open Sans"/>
          <w:sz w:val="16"/>
          <w:szCs w:val="16"/>
        </w:rPr>
        <w:t xml:space="preserve"> </w:t>
      </w:r>
    </w:p>
    <w:p w14:paraId="526CFBD6" w14:textId="77777777" w:rsidR="00554452" w:rsidRPr="00A55B09" w:rsidRDefault="00554452" w:rsidP="00554452">
      <w:pPr>
        <w:spacing w:after="120" w:line="240" w:lineRule="auto"/>
        <w:ind w:left="426" w:hanging="426"/>
        <w:rPr>
          <w:rFonts w:ascii="Open Sans" w:hAnsi="Open Sans" w:cs="Open Sans"/>
          <w:sz w:val="16"/>
          <w:szCs w:val="16"/>
        </w:rPr>
      </w:pPr>
    </w:p>
  </w:footnote>
  <w:footnote w:id="5">
    <w:p w14:paraId="78A27BA0" w14:textId="77777777" w:rsidR="00554452" w:rsidRPr="00A55B09" w:rsidRDefault="00554452" w:rsidP="00554452">
      <w:pPr>
        <w:pStyle w:val="FootnoteText"/>
        <w:jc w:val="left"/>
        <w:rPr>
          <w:rFonts w:ascii="Open Sans" w:hAnsi="Open Sans" w:cs="Open Sans"/>
          <w:szCs w:val="16"/>
        </w:rPr>
      </w:pPr>
      <w:r w:rsidRPr="00A55B09">
        <w:rPr>
          <w:rStyle w:val="FootnoteReference"/>
          <w:rFonts w:ascii="Open Sans" w:hAnsi="Open Sans" w:cs="Open Sans"/>
          <w:szCs w:val="16"/>
        </w:rPr>
        <w:footnoteRef/>
      </w:r>
      <w:r w:rsidRPr="00A55B09">
        <w:rPr>
          <w:rFonts w:ascii="Open Sans" w:hAnsi="Open Sans" w:cs="Open Sans"/>
          <w:szCs w:val="16"/>
        </w:rPr>
        <w:t xml:space="preserve"> ESMA70-156-2189. Online at: </w:t>
      </w:r>
      <w:hyperlink r:id="rId2" w:history="1">
        <w:r w:rsidRPr="00A55B09">
          <w:rPr>
            <w:rStyle w:val="Hyperlink"/>
            <w:rFonts w:ascii="Open Sans" w:hAnsi="Open Sans" w:cs="Open Sans"/>
            <w:szCs w:val="16"/>
          </w:rPr>
          <w:t>https://www.esma.europa.eu/sites/default/files/library/esma70-156-2189_cp_review_report_transparency_non-equity_tod.pdf</w:t>
        </w:r>
      </w:hyperlink>
      <w:r w:rsidRPr="00A55B09">
        <w:rPr>
          <w:rFonts w:ascii="Open Sans" w:hAnsi="Open Sans" w:cs="Open San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AEA3F04"/>
    <w:multiLevelType w:val="hybridMultilevel"/>
    <w:tmpl w:val="62F4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8"/>
  </w:num>
  <w:num w:numId="3">
    <w:abstractNumId w:val="1"/>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38F4"/>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452"/>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428"/>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0947"/>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EBB"/>
    <w:rsid w:val="00F52F4D"/>
    <w:rsid w:val="00F532A6"/>
    <w:rsid w:val="00F53B62"/>
    <w:rsid w:val="00F54720"/>
    <w:rsid w:val="00F54C12"/>
    <w:rsid w:val="00F54DB9"/>
    <w:rsid w:val="00F55E32"/>
    <w:rsid w:val="00F567FB"/>
    <w:rsid w:val="00F568D1"/>
    <w:rsid w:val="00F56FEA"/>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esma70-156-2189_cp_review_report_transparency_non-equity_tod.pdf" TargetMode="External"/><Relationship Id="rId1" Type="http://schemas.openxmlformats.org/officeDocument/2006/relationships/hyperlink" Target="https://www.esma.europa.eu/file/57227/download?token=NZvJm-4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3.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TotalTime>
  <Pages>17</Pages>
  <Words>3119</Words>
  <Characters>17781</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Adam Jacobs-Dean</cp:lastModifiedBy>
  <cp:revision>5</cp:revision>
  <cp:lastPrinted>2017-07-24T14:47:00Z</cp:lastPrinted>
  <dcterms:created xsi:type="dcterms:W3CDTF">2020-10-19T11:58:00Z</dcterms:created>
  <dcterms:modified xsi:type="dcterms:W3CDTF">2020-11-20T10:31:00Z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