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r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ous-titr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Paragraphedelist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Paragraphedelist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Paragraphedelist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Paragraphedelist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Paragraphedelist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35D2A78F" w:rsidR="00997DA7" w:rsidRPr="00C85C8B" w:rsidRDefault="002C00A5" w:rsidP="002C00A5">
                <w:pPr>
                  <w:rPr>
                    <w:rFonts w:ascii="Arial" w:hAnsi="Arial" w:cs="Arial"/>
                    <w:color w:val="808080"/>
                    <w:sz w:val="20"/>
                    <w:lang w:eastAsia="de-DE"/>
                  </w:rPr>
                </w:pPr>
                <w:r>
                  <w:rPr>
                    <w:rFonts w:ascii="Arial" w:hAnsi="Arial" w:cs="Arial"/>
                    <w:sz w:val="20"/>
                    <w:lang w:eastAsia="de-DE"/>
                  </w:rPr>
                  <w:t>AFTI</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4DE0EC96" w:rsidR="00997DA7" w:rsidRPr="00C85C8B" w:rsidRDefault="00E9376B"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C00A5">
                  <w:rPr>
                    <w:rFonts w:ascii="Arial" w:hAnsi="Arial" w:cs="Arial"/>
                    <w:sz w:val="20"/>
                    <w:lang w:eastAsia="de-DE"/>
                  </w:rPr>
                  <w:t>Banking sector</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4FC880BE" w:rsidR="00997DA7" w:rsidRPr="00C85C8B" w:rsidRDefault="002C00A5"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7229AD48" w:rsidR="00997DA7" w:rsidRPr="00C85C8B" w:rsidRDefault="002C00A5" w:rsidP="00A402A0">
                <w:pPr>
                  <w:rPr>
                    <w:rFonts w:ascii="Arial" w:hAnsi="Arial" w:cs="Arial"/>
                    <w:sz w:val="20"/>
                    <w:lang w:eastAsia="de-DE"/>
                  </w:rPr>
                </w:pPr>
                <w:r>
                  <w:rPr>
                    <w:rFonts w:ascii="Arial" w:hAnsi="Arial" w:cs="Arial"/>
                    <w:sz w:val="20"/>
                    <w:lang w:eastAsia="de-DE"/>
                  </w:rPr>
                  <w:t>France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6655F267" w14:textId="77777777" w:rsidR="008A275A" w:rsidRPr="00546B0E" w:rsidRDefault="008A275A" w:rsidP="008A275A">
      <w:pPr>
        <w:spacing w:after="0"/>
        <w:ind w:left="360"/>
        <w:rPr>
          <w:rFonts w:cs="Arial"/>
          <w:bCs/>
          <w:kern w:val="32"/>
          <w:szCs w:val="22"/>
          <w:lang w:val="en-US"/>
        </w:rPr>
      </w:pPr>
      <w:permStart w:id="2008832412" w:edGrp="everyone"/>
      <w:r w:rsidRPr="00546B0E">
        <w:rPr>
          <w:rFonts w:cs="Arial"/>
          <w:bCs/>
          <w:kern w:val="32"/>
          <w:szCs w:val="22"/>
          <w:lang w:val="en-US"/>
        </w:rPr>
        <w:t xml:space="preserve">AFTI, business association of </w:t>
      </w:r>
      <w:r>
        <w:rPr>
          <w:rFonts w:cs="Arial"/>
          <w:bCs/>
          <w:kern w:val="32"/>
          <w:szCs w:val="22"/>
          <w:lang w:val="en-US"/>
        </w:rPr>
        <w:t xml:space="preserve">French post trade activities operators, has only analyzed questions with a direct impact on post trade activities, questions related to investors protection, in the field of RTO investment service.  </w:t>
      </w:r>
    </w:p>
    <w:p w14:paraId="0A414E3C" w14:textId="77777777" w:rsidR="008A275A" w:rsidRPr="0001383D" w:rsidRDefault="008A275A" w:rsidP="008A275A">
      <w:pPr>
        <w:spacing w:after="0"/>
        <w:ind w:left="360"/>
        <w:rPr>
          <w:rFonts w:cs="Arial"/>
          <w:bCs/>
          <w:kern w:val="32"/>
          <w:szCs w:val="22"/>
          <w:lang w:val="en-US"/>
        </w:rPr>
      </w:pPr>
    </w:p>
    <w:p w14:paraId="06630E18" w14:textId="77777777" w:rsidR="008A275A" w:rsidRDefault="008A275A" w:rsidP="008A275A">
      <w:pPr>
        <w:spacing w:after="0"/>
        <w:ind w:left="360"/>
        <w:rPr>
          <w:rFonts w:cs="Arial"/>
          <w:bCs/>
          <w:kern w:val="32"/>
          <w:szCs w:val="22"/>
          <w:lang w:val="en-US"/>
        </w:rPr>
      </w:pPr>
      <w:r w:rsidRPr="00F20FA4">
        <w:rPr>
          <w:rFonts w:cs="Arial"/>
          <w:bCs/>
          <w:kern w:val="32"/>
          <w:szCs w:val="22"/>
          <w:lang w:val="en-US"/>
        </w:rPr>
        <w:t>AFTI has conducted this r</w:t>
      </w:r>
      <w:r>
        <w:rPr>
          <w:rFonts w:cs="Arial"/>
          <w:bCs/>
          <w:kern w:val="32"/>
          <w:szCs w:val="22"/>
          <w:lang w:val="en-US"/>
        </w:rPr>
        <w:t xml:space="preserve">eview in due collaboration with AMAFI, who will respond to the consultation. </w:t>
      </w:r>
    </w:p>
    <w:p w14:paraId="21206E56" w14:textId="77777777" w:rsidR="008A275A" w:rsidRPr="00DF5B7E" w:rsidRDefault="008A275A" w:rsidP="008A275A">
      <w:pPr>
        <w:spacing w:after="0"/>
        <w:ind w:left="360"/>
        <w:rPr>
          <w:rFonts w:cs="Arial"/>
          <w:bCs/>
          <w:kern w:val="32"/>
          <w:szCs w:val="22"/>
          <w:lang w:val="en-US"/>
        </w:rPr>
      </w:pPr>
      <w:r>
        <w:rPr>
          <w:rFonts w:cs="Arial"/>
          <w:bCs/>
          <w:kern w:val="32"/>
          <w:szCs w:val="22"/>
          <w:lang w:val="en-US"/>
        </w:rPr>
        <w:t xml:space="preserve">AFTI is in solidarity with the responses made by this association on his respective perimeter. </w:t>
      </w:r>
    </w:p>
    <w:p w14:paraId="743594E2" w14:textId="77777777" w:rsidR="008A275A" w:rsidRPr="0001383D" w:rsidRDefault="008A275A" w:rsidP="008A275A">
      <w:pPr>
        <w:spacing w:after="0"/>
        <w:ind w:left="360"/>
        <w:rPr>
          <w:rFonts w:cs="Arial"/>
          <w:bCs/>
          <w:kern w:val="32"/>
          <w:szCs w:val="22"/>
          <w:lang w:val="en-US"/>
        </w:rPr>
      </w:pPr>
    </w:p>
    <w:p w14:paraId="469D926B" w14:textId="77777777" w:rsidR="008A275A" w:rsidRDefault="008A275A" w:rsidP="008A275A">
      <w:pPr>
        <w:ind w:left="360"/>
        <w:rPr>
          <w:bCs/>
        </w:rPr>
      </w:pPr>
      <w:r>
        <w:rPr>
          <w:bCs/>
        </w:rPr>
        <w:t xml:space="preserve"> </w:t>
      </w:r>
    </w:p>
    <w:p w14:paraId="2606F780" w14:textId="77777777" w:rsidR="008A275A" w:rsidRPr="006D298B" w:rsidRDefault="008A275A" w:rsidP="008A275A">
      <w:pPr>
        <w:pStyle w:val="Titre2"/>
        <w:keepLines w:val="0"/>
        <w:numPr>
          <w:ilvl w:val="0"/>
          <w:numId w:val="2"/>
        </w:numPr>
        <w:spacing w:before="240" w:after="60" w:line="240" w:lineRule="auto"/>
        <w:ind w:left="1571" w:hanging="360"/>
        <w:rPr>
          <w:rFonts w:asciiTheme="minorHAnsi" w:hAnsiTheme="minorHAnsi" w:cstheme="minorHAnsi"/>
          <w:bCs/>
          <w:sz w:val="22"/>
          <w:szCs w:val="22"/>
        </w:rPr>
      </w:pPr>
      <w:r w:rsidRPr="006D298B">
        <w:rPr>
          <w:rFonts w:asciiTheme="minorHAnsi" w:hAnsiTheme="minorHAnsi" w:cstheme="minorHAnsi"/>
          <w:sz w:val="22"/>
          <w:szCs w:val="22"/>
        </w:rPr>
        <w:t>The proposals of evolutions contained in the CP are very heavy and structuring.</w:t>
      </w:r>
    </w:p>
    <w:p w14:paraId="7451C12A" w14:textId="77777777" w:rsidR="008A275A" w:rsidRDefault="008A275A" w:rsidP="008A275A">
      <w:pPr>
        <w:rPr>
          <w:color w:val="000000" w:themeColor="text1"/>
        </w:rPr>
      </w:pPr>
    </w:p>
    <w:p w14:paraId="7F6C5606" w14:textId="77777777" w:rsidR="008A275A" w:rsidRPr="006D298B" w:rsidRDefault="008A275A" w:rsidP="008A275A">
      <w:pPr>
        <w:spacing w:after="0"/>
        <w:ind w:left="360"/>
        <w:rPr>
          <w:rFonts w:cs="Arial"/>
          <w:bCs/>
          <w:kern w:val="32"/>
          <w:szCs w:val="22"/>
          <w:lang w:val="en-US"/>
        </w:rPr>
      </w:pPr>
      <w:r w:rsidRPr="006D298B">
        <w:rPr>
          <w:rFonts w:cs="Arial"/>
          <w:bCs/>
          <w:kern w:val="32"/>
          <w:szCs w:val="22"/>
          <w:lang w:val="en-US"/>
        </w:rPr>
        <w:t xml:space="preserve">AFTI, together with </w:t>
      </w:r>
      <w:r>
        <w:rPr>
          <w:rFonts w:cs="Arial"/>
          <w:bCs/>
          <w:kern w:val="32"/>
          <w:szCs w:val="22"/>
          <w:lang w:val="en-US"/>
        </w:rPr>
        <w:t xml:space="preserve">AMAFI </w:t>
      </w:r>
      <w:r w:rsidRPr="006D298B">
        <w:rPr>
          <w:rFonts w:cs="Arial"/>
          <w:bCs/>
          <w:kern w:val="32"/>
          <w:szCs w:val="22"/>
          <w:lang w:val="en-US"/>
        </w:rPr>
        <w:t>note that the proposed changes are far from being marginal and, if retained, would require market participants to make significant investments to comply with the new standards.</w:t>
      </w:r>
    </w:p>
    <w:p w14:paraId="7A2D286D" w14:textId="77777777" w:rsidR="008A275A" w:rsidRPr="006D298B" w:rsidRDefault="008A275A" w:rsidP="008A275A">
      <w:pPr>
        <w:spacing w:after="0"/>
        <w:ind w:left="360"/>
        <w:rPr>
          <w:rFonts w:cs="Arial"/>
          <w:bCs/>
          <w:kern w:val="32"/>
          <w:szCs w:val="22"/>
          <w:lang w:val="en-US"/>
        </w:rPr>
      </w:pPr>
    </w:p>
    <w:p w14:paraId="3174CE5E" w14:textId="77777777" w:rsidR="008A275A" w:rsidRPr="006D298B" w:rsidRDefault="008A275A" w:rsidP="008A275A">
      <w:pPr>
        <w:spacing w:after="0"/>
        <w:ind w:left="360"/>
        <w:rPr>
          <w:rFonts w:cs="Arial"/>
          <w:bCs/>
          <w:kern w:val="32"/>
          <w:szCs w:val="22"/>
          <w:lang w:val="en-US"/>
        </w:rPr>
      </w:pPr>
      <w:r w:rsidRPr="006D298B">
        <w:rPr>
          <w:rFonts w:cs="Arial"/>
          <w:bCs/>
          <w:kern w:val="32"/>
          <w:szCs w:val="22"/>
          <w:lang w:val="en-US"/>
        </w:rPr>
        <w:t xml:space="preserve">While we may understand some of the reasons leading to the proposals contained in this consultation, we would like to point out that financial institutions have invested extensively in the 2017/2018 period to comply with their </w:t>
      </w:r>
      <w:proofErr w:type="spellStart"/>
      <w:r w:rsidRPr="006D298B">
        <w:rPr>
          <w:rFonts w:cs="Arial"/>
          <w:bCs/>
          <w:kern w:val="32"/>
          <w:szCs w:val="22"/>
          <w:lang w:val="en-US"/>
        </w:rPr>
        <w:t>MiFIR</w:t>
      </w:r>
      <w:proofErr w:type="spellEnd"/>
      <w:r w:rsidRPr="006D298B">
        <w:rPr>
          <w:rFonts w:cs="Arial"/>
          <w:bCs/>
          <w:kern w:val="32"/>
          <w:szCs w:val="22"/>
          <w:lang w:val="en-US"/>
        </w:rPr>
        <w:t xml:space="preserve"> reporting obligations and, in the case of systematic </w:t>
      </w:r>
      <w:proofErr w:type="spellStart"/>
      <w:r w:rsidRPr="006D298B">
        <w:rPr>
          <w:rFonts w:cs="Arial"/>
          <w:bCs/>
          <w:kern w:val="32"/>
          <w:szCs w:val="22"/>
          <w:lang w:val="en-US"/>
        </w:rPr>
        <w:t>internalisers</w:t>
      </w:r>
      <w:proofErr w:type="spellEnd"/>
      <w:r w:rsidRPr="006D298B">
        <w:rPr>
          <w:rFonts w:cs="Arial"/>
          <w:bCs/>
          <w:kern w:val="32"/>
          <w:szCs w:val="22"/>
          <w:lang w:val="en-US"/>
        </w:rPr>
        <w:t xml:space="preserve">, with their obligations in terms of market transparency and the provision of reference data. </w:t>
      </w:r>
    </w:p>
    <w:p w14:paraId="691DADDC" w14:textId="77777777" w:rsidR="008A275A" w:rsidRPr="006D298B" w:rsidRDefault="008A275A" w:rsidP="008A275A">
      <w:pPr>
        <w:spacing w:after="0"/>
        <w:ind w:left="360"/>
        <w:rPr>
          <w:rFonts w:cs="Arial"/>
          <w:bCs/>
          <w:kern w:val="32"/>
          <w:szCs w:val="22"/>
          <w:lang w:val="en-US"/>
        </w:rPr>
      </w:pPr>
    </w:p>
    <w:p w14:paraId="32A3B63A" w14:textId="77777777" w:rsidR="008A275A" w:rsidRPr="006D298B" w:rsidRDefault="008A275A" w:rsidP="008A275A">
      <w:pPr>
        <w:spacing w:after="0"/>
        <w:ind w:left="360"/>
        <w:rPr>
          <w:rFonts w:cs="Arial"/>
          <w:bCs/>
          <w:kern w:val="32"/>
          <w:szCs w:val="22"/>
          <w:lang w:val="en-US"/>
        </w:rPr>
      </w:pPr>
      <w:r w:rsidRPr="006D298B">
        <w:rPr>
          <w:rFonts w:cs="Arial"/>
          <w:bCs/>
          <w:kern w:val="32"/>
          <w:szCs w:val="22"/>
          <w:lang w:val="en-US"/>
        </w:rPr>
        <w:t>We also would like to recall that modifying the reporting mechanism is a very long, difficult and costly process. Indeed, reporting a transaction and maintaining the accuracy of the declaration of any event that may affect the original transaction (cancellation, modification, etc.) involves numerous applications (beyond the creation of the file itself) for which a modification must be handled carefully (non-regression, etc.). The simple addition of a data item means its retrieval (it may be available but not in the desired location), its storage (for any control, for a possible correction of the declaration), its transmission in the declaration file.</w:t>
      </w:r>
    </w:p>
    <w:p w14:paraId="4D9298B9" w14:textId="77777777" w:rsidR="008A275A" w:rsidRDefault="008A275A" w:rsidP="008A275A">
      <w:pPr>
        <w:rPr>
          <w:color w:val="000000" w:themeColor="text1"/>
        </w:rPr>
      </w:pPr>
    </w:p>
    <w:p w14:paraId="0BF9E041" w14:textId="77777777" w:rsidR="008A275A" w:rsidRDefault="008A275A" w:rsidP="008A275A">
      <w:pPr>
        <w:rPr>
          <w:color w:val="000000" w:themeColor="text1"/>
        </w:rPr>
      </w:pPr>
    </w:p>
    <w:p w14:paraId="0C1CD86F" w14:textId="77777777" w:rsidR="008A275A" w:rsidRPr="006D298B" w:rsidRDefault="008A275A" w:rsidP="008A275A">
      <w:pPr>
        <w:pStyle w:val="Titre2"/>
        <w:keepLines w:val="0"/>
        <w:numPr>
          <w:ilvl w:val="0"/>
          <w:numId w:val="2"/>
        </w:numPr>
        <w:spacing w:before="240" w:after="60" w:line="240" w:lineRule="auto"/>
        <w:ind w:left="1571" w:hanging="360"/>
        <w:rPr>
          <w:rFonts w:asciiTheme="minorHAnsi" w:hAnsiTheme="minorHAnsi" w:cstheme="minorHAnsi"/>
          <w:sz w:val="22"/>
          <w:szCs w:val="22"/>
        </w:rPr>
      </w:pPr>
      <w:r w:rsidRPr="006D298B">
        <w:rPr>
          <w:rFonts w:asciiTheme="minorHAnsi" w:hAnsiTheme="minorHAnsi" w:cstheme="minorHAnsi"/>
          <w:sz w:val="22"/>
          <w:szCs w:val="22"/>
        </w:rPr>
        <w:t>There is no evidence that there is a need for such evolutions</w:t>
      </w:r>
    </w:p>
    <w:p w14:paraId="49A7E45A" w14:textId="77777777" w:rsidR="008A275A" w:rsidRDefault="008A275A" w:rsidP="008A275A">
      <w:pPr>
        <w:pStyle w:val="Titre2"/>
        <w:numPr>
          <w:ilvl w:val="0"/>
          <w:numId w:val="0"/>
        </w:numPr>
      </w:pPr>
    </w:p>
    <w:p w14:paraId="48F03C38" w14:textId="77777777" w:rsidR="008A275A" w:rsidRPr="006D298B" w:rsidRDefault="008A275A" w:rsidP="008A275A">
      <w:pPr>
        <w:spacing w:after="0"/>
        <w:ind w:left="360"/>
        <w:rPr>
          <w:rFonts w:cs="Arial"/>
          <w:bCs/>
          <w:kern w:val="32"/>
          <w:szCs w:val="22"/>
          <w:lang w:val="en-US"/>
        </w:rPr>
      </w:pPr>
      <w:r w:rsidRPr="006D298B">
        <w:rPr>
          <w:rFonts w:cs="Arial"/>
          <w:bCs/>
          <w:kern w:val="32"/>
          <w:szCs w:val="22"/>
          <w:lang w:val="en-US"/>
        </w:rPr>
        <w:t xml:space="preserve">First of all, we consider that we do not have sufficient hindsight to envisage such structural changes just three years after the entry into force of MiFID II </w:t>
      </w:r>
      <w:proofErr w:type="spellStart"/>
      <w:r w:rsidRPr="006D298B">
        <w:rPr>
          <w:rFonts w:cs="Arial"/>
          <w:bCs/>
          <w:kern w:val="32"/>
          <w:szCs w:val="22"/>
          <w:lang w:val="en-US"/>
        </w:rPr>
        <w:t>MiFIR</w:t>
      </w:r>
      <w:proofErr w:type="spellEnd"/>
      <w:r w:rsidRPr="006D298B">
        <w:rPr>
          <w:rFonts w:cs="Arial"/>
          <w:bCs/>
          <w:kern w:val="32"/>
          <w:szCs w:val="22"/>
          <w:lang w:val="en-US"/>
        </w:rPr>
        <w:t xml:space="preserve">. </w:t>
      </w:r>
    </w:p>
    <w:p w14:paraId="4342FCEC" w14:textId="77777777" w:rsidR="008A275A" w:rsidRPr="006D298B" w:rsidRDefault="008A275A" w:rsidP="008A275A">
      <w:pPr>
        <w:spacing w:after="0"/>
        <w:ind w:left="360"/>
        <w:rPr>
          <w:rFonts w:cs="Arial"/>
          <w:bCs/>
          <w:kern w:val="32"/>
          <w:szCs w:val="22"/>
          <w:lang w:val="en-US"/>
        </w:rPr>
      </w:pPr>
    </w:p>
    <w:p w14:paraId="7BEDB5A2" w14:textId="77777777" w:rsidR="008A275A" w:rsidRPr="006D298B" w:rsidRDefault="008A275A" w:rsidP="008A275A">
      <w:pPr>
        <w:spacing w:after="0"/>
        <w:ind w:left="360"/>
        <w:rPr>
          <w:rFonts w:cs="Arial"/>
          <w:bCs/>
          <w:kern w:val="32"/>
          <w:szCs w:val="22"/>
          <w:lang w:val="en-US"/>
        </w:rPr>
      </w:pPr>
      <w:r w:rsidRPr="006D298B">
        <w:rPr>
          <w:rFonts w:cs="Arial"/>
          <w:bCs/>
          <w:kern w:val="32"/>
          <w:szCs w:val="22"/>
          <w:lang w:val="en-US"/>
        </w:rPr>
        <w:t>More importantly, however, we note that the changes proposed in the CP are not supported by facts or in-depth analysis that would indicate that changes would be beneficial in terms of monitoring market abuse or market transparency. In other words, our initial analysis is that the cost-benefit balance is totally disproportionate.</w:t>
      </w:r>
    </w:p>
    <w:p w14:paraId="695E0820" w14:textId="77777777" w:rsidR="008A275A" w:rsidRDefault="008A275A" w:rsidP="008A275A">
      <w:pPr>
        <w:rPr>
          <w:color w:val="000000" w:themeColor="text1"/>
        </w:rPr>
      </w:pPr>
    </w:p>
    <w:p w14:paraId="576AB2A1" w14:textId="77777777" w:rsidR="008A275A" w:rsidRPr="006D298B" w:rsidRDefault="008A275A" w:rsidP="008A275A">
      <w:pPr>
        <w:pStyle w:val="Titre2"/>
        <w:keepLines w:val="0"/>
        <w:numPr>
          <w:ilvl w:val="0"/>
          <w:numId w:val="2"/>
        </w:numPr>
        <w:spacing w:before="240" w:after="60" w:line="240" w:lineRule="auto"/>
        <w:ind w:left="1571" w:hanging="360"/>
        <w:rPr>
          <w:rFonts w:asciiTheme="minorHAnsi" w:hAnsiTheme="minorHAnsi" w:cstheme="minorHAnsi"/>
          <w:sz w:val="22"/>
          <w:szCs w:val="22"/>
        </w:rPr>
      </w:pPr>
      <w:r w:rsidRPr="006D298B">
        <w:rPr>
          <w:rFonts w:asciiTheme="minorHAnsi" w:hAnsiTheme="minorHAnsi" w:cstheme="minorHAnsi"/>
          <w:sz w:val="22"/>
          <w:szCs w:val="22"/>
        </w:rPr>
        <w:t>The context of Brexit must be considered</w:t>
      </w:r>
    </w:p>
    <w:p w14:paraId="33539FC2" w14:textId="77777777" w:rsidR="008A275A" w:rsidRDefault="008A275A" w:rsidP="008A275A"/>
    <w:p w14:paraId="2A24A414" w14:textId="77777777" w:rsidR="008A275A" w:rsidRPr="006D298B" w:rsidRDefault="008A275A" w:rsidP="008A275A">
      <w:pPr>
        <w:spacing w:after="0"/>
        <w:ind w:left="360"/>
        <w:rPr>
          <w:rFonts w:cs="Arial"/>
          <w:bCs/>
          <w:kern w:val="32"/>
          <w:szCs w:val="22"/>
          <w:lang w:val="en-US"/>
        </w:rPr>
      </w:pPr>
      <w:r w:rsidRPr="006D298B">
        <w:rPr>
          <w:rFonts w:cs="Arial"/>
          <w:bCs/>
          <w:kern w:val="32"/>
          <w:szCs w:val="22"/>
          <w:lang w:val="en-US"/>
        </w:rPr>
        <w:t xml:space="preserve">An in-depth modification of the MiFID II </w:t>
      </w:r>
      <w:proofErr w:type="spellStart"/>
      <w:r w:rsidRPr="006D298B">
        <w:rPr>
          <w:rFonts w:cs="Arial"/>
          <w:bCs/>
          <w:kern w:val="32"/>
          <w:szCs w:val="22"/>
          <w:lang w:val="en-US"/>
        </w:rPr>
        <w:t>MiFIR</w:t>
      </w:r>
      <w:proofErr w:type="spellEnd"/>
      <w:r w:rsidRPr="006D298B">
        <w:rPr>
          <w:rFonts w:cs="Arial"/>
          <w:bCs/>
          <w:kern w:val="32"/>
          <w:szCs w:val="22"/>
          <w:lang w:val="en-US"/>
        </w:rPr>
        <w:t xml:space="preserve"> rules cannot be envisaged without taking into account the developments that will be made in the UK. If the rules diverge too much between the UK and the EEA, then European financial institutions will face a double disadvantage. On the one hand, they will have to make heavy investments that will not be required from entities established in the UK. On the other hand, they will have to maintain two divergent systems in parallel for those which are also established in the UK. This is a strong factor in the deterioration of the competitiveness of the European financial markets.</w:t>
      </w:r>
    </w:p>
    <w:p w14:paraId="5AB75B7F" w14:textId="77777777" w:rsidR="008A275A" w:rsidRDefault="008A275A" w:rsidP="008A275A">
      <w:pPr>
        <w:rPr>
          <w:color w:val="000000" w:themeColor="text1"/>
        </w:rPr>
      </w:pPr>
    </w:p>
    <w:p w14:paraId="473DF4DF" w14:textId="77777777" w:rsidR="008A275A" w:rsidRPr="006D298B" w:rsidRDefault="008A275A" w:rsidP="008A275A">
      <w:pPr>
        <w:pStyle w:val="Titre2"/>
        <w:keepLines w:val="0"/>
        <w:numPr>
          <w:ilvl w:val="0"/>
          <w:numId w:val="2"/>
        </w:numPr>
        <w:spacing w:before="240" w:after="60" w:line="240" w:lineRule="auto"/>
        <w:ind w:left="1571" w:hanging="360"/>
        <w:rPr>
          <w:rFonts w:asciiTheme="minorHAnsi" w:hAnsiTheme="minorHAnsi" w:cstheme="minorHAnsi"/>
          <w:sz w:val="22"/>
          <w:szCs w:val="22"/>
        </w:rPr>
      </w:pPr>
      <w:r w:rsidRPr="006D298B">
        <w:rPr>
          <w:rFonts w:asciiTheme="minorHAnsi" w:hAnsiTheme="minorHAnsi" w:cstheme="minorHAnsi"/>
          <w:sz w:val="22"/>
          <w:szCs w:val="22"/>
        </w:rPr>
        <w:t>There is a need of consistency with the CMU objectives</w:t>
      </w:r>
    </w:p>
    <w:p w14:paraId="2EE7F1C5" w14:textId="77777777" w:rsidR="008A275A" w:rsidRDefault="008A275A" w:rsidP="008A275A"/>
    <w:p w14:paraId="1332D57B" w14:textId="77777777" w:rsidR="008A275A" w:rsidRPr="006D298B" w:rsidRDefault="008A275A" w:rsidP="008A275A">
      <w:pPr>
        <w:spacing w:after="0"/>
        <w:ind w:left="360"/>
        <w:rPr>
          <w:rFonts w:cs="Arial"/>
          <w:bCs/>
          <w:kern w:val="32"/>
          <w:szCs w:val="22"/>
          <w:lang w:val="en-US"/>
        </w:rPr>
      </w:pPr>
      <w:r w:rsidRPr="006D298B">
        <w:rPr>
          <w:rFonts w:cs="Arial"/>
          <w:bCs/>
          <w:kern w:val="32"/>
          <w:szCs w:val="22"/>
          <w:lang w:val="en-US"/>
        </w:rPr>
        <w:t>It is rather paradoxical to increase significantly the constraints on European financial institutions, without the benefits on the functioning of the markets or their supervision being proven at a time when Europe's political objective is to develop its financial market in order to ensure its growth.</w:t>
      </w:r>
    </w:p>
    <w:p w14:paraId="20348B07" w14:textId="77777777" w:rsidR="008A275A" w:rsidRDefault="008A275A" w:rsidP="008A275A"/>
    <w:p w14:paraId="1AC65FFD" w14:textId="77777777" w:rsidR="008A275A" w:rsidRPr="006D298B" w:rsidRDefault="008A275A" w:rsidP="008A275A">
      <w:pPr>
        <w:pStyle w:val="Titre2"/>
        <w:keepLines w:val="0"/>
        <w:numPr>
          <w:ilvl w:val="0"/>
          <w:numId w:val="2"/>
        </w:numPr>
        <w:spacing w:before="240" w:after="60" w:line="240" w:lineRule="auto"/>
        <w:ind w:left="1571" w:hanging="360"/>
        <w:rPr>
          <w:rFonts w:asciiTheme="minorHAnsi" w:hAnsiTheme="minorHAnsi" w:cstheme="minorHAnsi"/>
          <w:sz w:val="22"/>
          <w:szCs w:val="22"/>
        </w:rPr>
      </w:pPr>
      <w:r w:rsidRPr="006D298B">
        <w:rPr>
          <w:rFonts w:asciiTheme="minorHAnsi" w:hAnsiTheme="minorHAnsi" w:cstheme="minorHAnsi"/>
          <w:sz w:val="22"/>
          <w:szCs w:val="22"/>
        </w:rPr>
        <w:t xml:space="preserve">In a nutshell </w:t>
      </w:r>
    </w:p>
    <w:p w14:paraId="475D3B96" w14:textId="77777777" w:rsidR="008A275A" w:rsidRDefault="008A275A" w:rsidP="008A275A"/>
    <w:p w14:paraId="5EC3B8B1" w14:textId="77777777" w:rsidR="008A275A" w:rsidRPr="006D298B" w:rsidRDefault="008A275A" w:rsidP="008A275A">
      <w:pPr>
        <w:spacing w:after="0"/>
        <w:ind w:left="360"/>
        <w:rPr>
          <w:rFonts w:cs="Arial"/>
          <w:bCs/>
          <w:kern w:val="32"/>
          <w:szCs w:val="22"/>
          <w:lang w:val="en-US"/>
        </w:rPr>
      </w:pPr>
      <w:r w:rsidRPr="006D298B">
        <w:rPr>
          <w:rFonts w:cs="Arial"/>
          <w:bCs/>
          <w:kern w:val="32"/>
          <w:szCs w:val="22"/>
          <w:lang w:val="en-US"/>
        </w:rPr>
        <w:t>A</w:t>
      </w:r>
      <w:r>
        <w:rPr>
          <w:rFonts w:cs="Arial"/>
          <w:bCs/>
          <w:kern w:val="32"/>
          <w:szCs w:val="22"/>
          <w:lang w:val="en-US"/>
        </w:rPr>
        <w:t>FT</w:t>
      </w:r>
      <w:r w:rsidRPr="006D298B">
        <w:rPr>
          <w:rFonts w:cs="Arial"/>
          <w:bCs/>
          <w:kern w:val="32"/>
          <w:szCs w:val="22"/>
          <w:lang w:val="en-US"/>
        </w:rPr>
        <w:t xml:space="preserve">I, together with </w:t>
      </w:r>
      <w:r>
        <w:rPr>
          <w:rFonts w:cs="Arial"/>
          <w:bCs/>
          <w:kern w:val="32"/>
          <w:szCs w:val="22"/>
          <w:lang w:val="en-US"/>
        </w:rPr>
        <w:t>AMAFI</w:t>
      </w:r>
      <w:r w:rsidRPr="006D298B">
        <w:rPr>
          <w:rFonts w:cs="Arial"/>
          <w:bCs/>
          <w:kern w:val="32"/>
          <w:szCs w:val="22"/>
          <w:lang w:val="en-US"/>
        </w:rPr>
        <w:t xml:space="preserve"> are very reserved about most of the CP's proposals. Such developments can only be envisaged on the basis of in-depth cost-benefit analyses, shared with the industry, with the aim of developing the European financial market and not constraining it.   </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4F2501FC" w14:textId="77777777" w:rsidR="008A275A" w:rsidRPr="00F711FA" w:rsidRDefault="008A275A" w:rsidP="008A275A">
      <w:pPr>
        <w:spacing w:after="0"/>
        <w:rPr>
          <w:rFonts w:cs="Arial"/>
          <w:bCs/>
          <w:kern w:val="32"/>
          <w:szCs w:val="22"/>
          <w:lang w:val="en-US"/>
        </w:rPr>
      </w:pPr>
      <w:permStart w:id="1600792670" w:edGrp="everyone"/>
      <w:r w:rsidRPr="00F711FA">
        <w:rPr>
          <w:rFonts w:cs="Arial"/>
          <w:bCs/>
          <w:kern w:val="32"/>
          <w:szCs w:val="22"/>
          <w:lang w:val="en-US"/>
        </w:rPr>
        <w:t xml:space="preserve">We understand that </w:t>
      </w:r>
      <w:r>
        <w:rPr>
          <w:rFonts w:cs="Arial"/>
          <w:bCs/>
          <w:kern w:val="32"/>
          <w:szCs w:val="22"/>
          <w:lang w:val="en-US"/>
        </w:rPr>
        <w:t>Asset Managers</w:t>
      </w:r>
      <w:r w:rsidRPr="00F711FA">
        <w:rPr>
          <w:rFonts w:cs="Arial"/>
          <w:bCs/>
          <w:kern w:val="32"/>
          <w:szCs w:val="22"/>
          <w:lang w:val="en-US"/>
        </w:rPr>
        <w:t xml:space="preserve"> a</w:t>
      </w:r>
      <w:r>
        <w:rPr>
          <w:rFonts w:cs="Arial"/>
          <w:bCs/>
          <w:kern w:val="32"/>
          <w:szCs w:val="22"/>
          <w:lang w:val="en-US"/>
        </w:rPr>
        <w:t xml:space="preserve">re opposed to scope widening and we support that position. </w:t>
      </w:r>
    </w:p>
    <w:p w14:paraId="59CA03C0" w14:textId="77777777" w:rsidR="008A275A" w:rsidRPr="0001383D" w:rsidRDefault="008A275A" w:rsidP="008A275A">
      <w:pPr>
        <w:spacing w:after="0"/>
        <w:rPr>
          <w:rFonts w:cs="Arial"/>
          <w:bCs/>
          <w:kern w:val="32"/>
          <w:szCs w:val="22"/>
          <w:lang w:val="en-US"/>
        </w:rPr>
      </w:pPr>
      <w:r w:rsidRPr="0001383D">
        <w:rPr>
          <w:rFonts w:cs="Arial"/>
          <w:bCs/>
          <w:kern w:val="32"/>
          <w:szCs w:val="22"/>
          <w:lang w:val="en-US"/>
        </w:rPr>
        <w:t xml:space="preserve">In this respect, declarative perimeter will have to be precise: </w:t>
      </w:r>
    </w:p>
    <w:p w14:paraId="35FEC979" w14:textId="77777777" w:rsidR="008A275A" w:rsidRPr="0001383D" w:rsidRDefault="008A275A" w:rsidP="008A275A">
      <w:pPr>
        <w:spacing w:after="0"/>
        <w:ind w:left="360"/>
        <w:rPr>
          <w:rFonts w:cs="Arial"/>
          <w:bCs/>
          <w:kern w:val="32"/>
          <w:szCs w:val="22"/>
          <w:lang w:val="en-US"/>
        </w:rPr>
      </w:pPr>
    </w:p>
    <w:p w14:paraId="0A83EFF1" w14:textId="77777777" w:rsidR="008A275A" w:rsidRPr="00504ED8" w:rsidRDefault="008A275A" w:rsidP="008A275A">
      <w:pPr>
        <w:pStyle w:val="Paragraphedeliste"/>
        <w:numPr>
          <w:ilvl w:val="0"/>
          <w:numId w:val="11"/>
        </w:numPr>
        <w:spacing w:after="0" w:line="240" w:lineRule="auto"/>
        <w:rPr>
          <w:rFonts w:asciiTheme="minorHAnsi" w:hAnsiTheme="minorHAnsi" w:cs="Arial"/>
          <w:bCs/>
          <w:kern w:val="32"/>
        </w:rPr>
      </w:pPr>
      <w:r>
        <w:rPr>
          <w:rFonts w:asciiTheme="minorHAnsi" w:hAnsiTheme="minorHAnsi" w:cs="Arial"/>
          <w:bCs/>
          <w:kern w:val="32"/>
        </w:rPr>
        <w:t>Market</w:t>
      </w:r>
      <w:r w:rsidRPr="00504ED8">
        <w:rPr>
          <w:rFonts w:asciiTheme="minorHAnsi" w:hAnsiTheme="minorHAnsi" w:cs="Arial"/>
          <w:bCs/>
          <w:kern w:val="32"/>
        </w:rPr>
        <w:t xml:space="preserve"> Reporting </w:t>
      </w:r>
    </w:p>
    <w:p w14:paraId="0298A0E2" w14:textId="77777777" w:rsidR="008A275A" w:rsidRPr="00F711FA" w:rsidRDefault="008A275A" w:rsidP="008A275A">
      <w:pPr>
        <w:pStyle w:val="Paragraphedeliste"/>
        <w:numPr>
          <w:ilvl w:val="0"/>
          <w:numId w:val="11"/>
        </w:numPr>
        <w:spacing w:after="0" w:line="240" w:lineRule="auto"/>
        <w:rPr>
          <w:rFonts w:asciiTheme="minorHAnsi" w:hAnsiTheme="minorHAnsi" w:cs="Arial"/>
          <w:bCs/>
          <w:kern w:val="32"/>
          <w:lang w:val="en-US"/>
        </w:rPr>
      </w:pPr>
      <w:r w:rsidRPr="00F711FA">
        <w:rPr>
          <w:rFonts w:asciiTheme="minorHAnsi" w:hAnsiTheme="minorHAnsi" w:cs="Arial"/>
          <w:bCs/>
          <w:kern w:val="32"/>
          <w:lang w:val="en-US"/>
        </w:rPr>
        <w:t xml:space="preserve">Transfer Reporting, with data access difficulties  </w:t>
      </w:r>
    </w:p>
    <w:p w14:paraId="3460B7A6" w14:textId="77777777" w:rsidR="008A275A" w:rsidRPr="00F711FA" w:rsidRDefault="008A275A" w:rsidP="008A275A">
      <w:pPr>
        <w:pStyle w:val="Paragraphedeliste"/>
        <w:numPr>
          <w:ilvl w:val="0"/>
          <w:numId w:val="11"/>
        </w:numPr>
        <w:spacing w:after="0" w:line="240" w:lineRule="auto"/>
        <w:rPr>
          <w:rFonts w:asciiTheme="minorHAnsi" w:hAnsiTheme="minorHAnsi" w:cs="Arial"/>
          <w:bCs/>
          <w:kern w:val="32"/>
          <w:lang w:val="en-US"/>
        </w:rPr>
      </w:pPr>
      <w:r w:rsidRPr="00F711FA">
        <w:rPr>
          <w:rFonts w:asciiTheme="minorHAnsi" w:hAnsiTheme="minorHAnsi" w:cs="Arial"/>
          <w:bCs/>
          <w:kern w:val="32"/>
          <w:lang w:val="en-US"/>
        </w:rPr>
        <w:t xml:space="preserve">Securities Reporting, </w:t>
      </w:r>
      <w:r>
        <w:rPr>
          <w:rFonts w:asciiTheme="minorHAnsi" w:hAnsiTheme="minorHAnsi" w:cs="Arial"/>
          <w:bCs/>
          <w:kern w:val="32"/>
          <w:lang w:val="en-US"/>
        </w:rPr>
        <w:t xml:space="preserve">with data access difficulties </w:t>
      </w:r>
    </w:p>
    <w:p w14:paraId="7D7221F6" w14:textId="77777777" w:rsidR="008A275A" w:rsidRDefault="008A275A" w:rsidP="008A275A">
      <w:pPr>
        <w:spacing w:after="0"/>
        <w:rPr>
          <w:rFonts w:cs="Arial"/>
          <w:bCs/>
          <w:kern w:val="32"/>
          <w:szCs w:val="22"/>
          <w:lang w:val="en-US"/>
        </w:rPr>
      </w:pPr>
    </w:p>
    <w:p w14:paraId="1E8DD63A" w14:textId="77777777" w:rsidR="008A275A" w:rsidRPr="0006465B" w:rsidRDefault="008A275A" w:rsidP="008A275A">
      <w:pPr>
        <w:spacing w:after="0"/>
        <w:rPr>
          <w:rFonts w:cs="Arial"/>
          <w:bCs/>
          <w:kern w:val="32"/>
          <w:szCs w:val="22"/>
          <w:lang w:val="en-US"/>
        </w:rPr>
      </w:pPr>
      <w:r>
        <w:rPr>
          <w:rFonts w:cs="Arial"/>
          <w:bCs/>
          <w:kern w:val="32"/>
          <w:szCs w:val="22"/>
          <w:lang w:val="en-US"/>
        </w:rPr>
        <w:t>With regards to market reporting, data to be transmitted by Asset Managers to brokers give rise to numerous problems</w:t>
      </w:r>
    </w:p>
    <w:p w14:paraId="42602C49" w14:textId="77777777" w:rsidR="008A275A" w:rsidRPr="0001383D" w:rsidRDefault="008A275A" w:rsidP="008A275A">
      <w:pPr>
        <w:rPr>
          <w:rFonts w:cstheme="minorHAnsi"/>
          <w:i/>
          <w:iCs/>
          <w:color w:val="000000"/>
          <w:szCs w:val="22"/>
          <w:lang w:val="en-US"/>
        </w:rPr>
      </w:pPr>
      <w:r w:rsidRPr="0001383D">
        <w:rPr>
          <w:rFonts w:cstheme="minorHAnsi"/>
          <w:i/>
          <w:iCs/>
          <w:color w:val="000000"/>
          <w:szCs w:val="22"/>
          <w:lang w:val="en-US"/>
        </w:rPr>
        <w:t>Example:</w:t>
      </w:r>
    </w:p>
    <w:p w14:paraId="7E8FD5B7" w14:textId="77777777" w:rsidR="008A275A" w:rsidRPr="0006465B" w:rsidRDefault="008A275A" w:rsidP="008A275A">
      <w:pPr>
        <w:rPr>
          <w:rFonts w:cstheme="minorHAnsi"/>
          <w:color w:val="000000"/>
          <w:szCs w:val="22"/>
          <w:lang w:val="en-US"/>
        </w:rPr>
      </w:pPr>
      <w:r w:rsidRPr="0006465B">
        <w:rPr>
          <w:rFonts w:cstheme="minorHAnsi"/>
          <w:color w:val="000000"/>
          <w:szCs w:val="22"/>
          <w:lang w:val="en-US"/>
        </w:rPr>
        <w:t>An Asset Man</w:t>
      </w:r>
      <w:r>
        <w:rPr>
          <w:rFonts w:cstheme="minorHAnsi"/>
          <w:color w:val="000000"/>
          <w:szCs w:val="22"/>
          <w:lang w:val="en-US"/>
        </w:rPr>
        <w:t>a</w:t>
      </w:r>
      <w:r w:rsidRPr="0006465B">
        <w:rPr>
          <w:rFonts w:cstheme="minorHAnsi"/>
          <w:color w:val="000000"/>
          <w:szCs w:val="22"/>
          <w:lang w:val="en-US"/>
        </w:rPr>
        <w:t>ger</w:t>
      </w:r>
      <w:r>
        <w:rPr>
          <w:rFonts w:cstheme="minorHAnsi"/>
          <w:color w:val="000000"/>
          <w:szCs w:val="22"/>
          <w:lang w:val="en-US"/>
        </w:rPr>
        <w:t>,</w:t>
      </w:r>
      <w:r w:rsidRPr="0006465B">
        <w:rPr>
          <w:rFonts w:cstheme="minorHAnsi"/>
          <w:color w:val="000000"/>
          <w:szCs w:val="22"/>
          <w:lang w:val="en-US"/>
        </w:rPr>
        <w:t xml:space="preserve"> portfolio manager placing a client order under a man</w:t>
      </w:r>
      <w:r>
        <w:rPr>
          <w:rFonts w:cstheme="minorHAnsi"/>
          <w:color w:val="000000"/>
          <w:szCs w:val="22"/>
          <w:lang w:val="en-US"/>
        </w:rPr>
        <w:t>a</w:t>
      </w:r>
      <w:r w:rsidRPr="0006465B">
        <w:rPr>
          <w:rFonts w:cstheme="minorHAnsi"/>
          <w:color w:val="000000"/>
          <w:szCs w:val="22"/>
          <w:lang w:val="en-US"/>
        </w:rPr>
        <w:t>gement agreement to a broker throughout a CIB:</w:t>
      </w:r>
    </w:p>
    <w:p w14:paraId="6F06CE94" w14:textId="77777777" w:rsidR="008A275A" w:rsidRPr="0006465B" w:rsidRDefault="008A275A" w:rsidP="008A275A">
      <w:pPr>
        <w:pStyle w:val="Paragraphedeliste"/>
        <w:numPr>
          <w:ilvl w:val="0"/>
          <w:numId w:val="11"/>
        </w:numPr>
        <w:spacing w:after="0" w:line="240" w:lineRule="auto"/>
        <w:rPr>
          <w:rFonts w:asciiTheme="minorHAnsi" w:hAnsiTheme="minorHAnsi" w:cs="Arial"/>
          <w:bCs/>
          <w:kern w:val="32"/>
          <w:lang w:val="en-US"/>
        </w:rPr>
      </w:pPr>
      <w:r>
        <w:rPr>
          <w:rFonts w:asciiTheme="minorHAnsi" w:hAnsiTheme="minorHAnsi" w:cs="Arial"/>
          <w:bCs/>
          <w:kern w:val="32"/>
          <w:lang w:val="en-US"/>
        </w:rPr>
        <w:t>Today the Asset Manager is not subject to RTD reporting and the Broker performs RTD reporting specifying that he has executed this transaction on the Asset Manager behalf.</w:t>
      </w:r>
    </w:p>
    <w:p w14:paraId="733002C4" w14:textId="77777777" w:rsidR="008A275A" w:rsidRPr="0006465B" w:rsidRDefault="008A275A" w:rsidP="008A275A">
      <w:pPr>
        <w:pStyle w:val="Paragraphedeliste"/>
        <w:numPr>
          <w:ilvl w:val="0"/>
          <w:numId w:val="11"/>
        </w:numPr>
        <w:spacing w:after="0" w:line="240" w:lineRule="auto"/>
        <w:rPr>
          <w:rFonts w:asciiTheme="minorHAnsi" w:hAnsiTheme="minorHAnsi" w:cs="Arial"/>
          <w:bCs/>
          <w:kern w:val="32"/>
          <w:lang w:val="en-US"/>
        </w:rPr>
      </w:pPr>
      <w:r w:rsidRPr="0006465B">
        <w:rPr>
          <w:rFonts w:asciiTheme="minorHAnsi" w:hAnsiTheme="minorHAnsi" w:cs="Arial"/>
          <w:bCs/>
          <w:kern w:val="32"/>
          <w:lang w:val="en-US"/>
        </w:rPr>
        <w:t>Tomorrow ESMA would like t</w:t>
      </w:r>
      <w:r>
        <w:rPr>
          <w:rFonts w:asciiTheme="minorHAnsi" w:hAnsiTheme="minorHAnsi" w:cs="Arial"/>
          <w:bCs/>
          <w:kern w:val="32"/>
          <w:lang w:val="en-US"/>
        </w:rPr>
        <w:t>o know Asset Manager’s client for which it has placed the order to the Broker. Hence 2 possible use cases:</w:t>
      </w:r>
    </w:p>
    <w:p w14:paraId="13E714EA" w14:textId="77777777" w:rsidR="008A275A" w:rsidRPr="003B4561" w:rsidRDefault="008A275A" w:rsidP="008A275A">
      <w:pPr>
        <w:pStyle w:val="Paragraphedeliste"/>
        <w:numPr>
          <w:ilvl w:val="1"/>
          <w:numId w:val="10"/>
        </w:numPr>
        <w:spacing w:after="0" w:line="240" w:lineRule="auto"/>
        <w:ind w:left="2148"/>
        <w:jc w:val="left"/>
        <w:rPr>
          <w:rFonts w:asciiTheme="minorHAnsi" w:hAnsiTheme="minorHAnsi" w:cstheme="minorHAnsi"/>
          <w:color w:val="000000"/>
          <w:lang w:val="en-US"/>
        </w:rPr>
      </w:pPr>
      <w:r w:rsidRPr="003B4561">
        <w:rPr>
          <w:rFonts w:asciiTheme="minorHAnsi" w:hAnsiTheme="minorHAnsi" w:cstheme="minorHAnsi"/>
          <w:color w:val="000000"/>
          <w:lang w:val="en-US"/>
        </w:rPr>
        <w:t xml:space="preserve">AM produces the additional RTD reporting </w:t>
      </w:r>
    </w:p>
    <w:p w14:paraId="231A044A" w14:textId="77777777" w:rsidR="008A275A" w:rsidRPr="003B4561" w:rsidRDefault="008A275A" w:rsidP="008A275A">
      <w:pPr>
        <w:pStyle w:val="Paragraphedeliste"/>
        <w:numPr>
          <w:ilvl w:val="1"/>
          <w:numId w:val="10"/>
        </w:numPr>
        <w:spacing w:after="0" w:line="240" w:lineRule="auto"/>
        <w:ind w:left="2148"/>
        <w:jc w:val="left"/>
        <w:rPr>
          <w:rFonts w:asciiTheme="minorHAnsi" w:hAnsiTheme="minorHAnsi" w:cstheme="minorHAnsi"/>
          <w:color w:val="000000"/>
          <w:lang w:val="en-US"/>
        </w:rPr>
      </w:pPr>
      <w:r w:rsidRPr="003B4561">
        <w:rPr>
          <w:rFonts w:asciiTheme="minorHAnsi" w:hAnsiTheme="minorHAnsi" w:cstheme="minorHAnsi"/>
          <w:color w:val="000000"/>
          <w:lang w:val="en-US"/>
        </w:rPr>
        <w:t>AM provides the broker with all mandatory information in order for t</w:t>
      </w:r>
      <w:r>
        <w:rPr>
          <w:rFonts w:asciiTheme="minorHAnsi" w:hAnsiTheme="minorHAnsi" w:cstheme="minorHAnsi"/>
          <w:color w:val="000000"/>
          <w:lang w:val="en-US"/>
        </w:rPr>
        <w:t>he broker to produce full RTD reporting</w:t>
      </w:r>
    </w:p>
    <w:p w14:paraId="382355F6" w14:textId="77777777" w:rsidR="008A275A" w:rsidRDefault="008A275A" w:rsidP="008A275A">
      <w:pPr>
        <w:rPr>
          <w:rFonts w:ascii="Arial" w:hAnsi="Arial" w:cs="Arial"/>
          <w:color w:val="000000"/>
          <w:sz w:val="20"/>
          <w:lang w:val="en-US"/>
        </w:rPr>
      </w:pPr>
    </w:p>
    <w:p w14:paraId="3EA5985B" w14:textId="77777777" w:rsidR="008A275A" w:rsidRDefault="008A275A" w:rsidP="008A275A">
      <w:pPr>
        <w:rPr>
          <w:rFonts w:ascii="Arial" w:hAnsi="Arial" w:cs="Arial"/>
          <w:color w:val="000000"/>
          <w:sz w:val="20"/>
          <w:lang w:val="en-US"/>
        </w:rPr>
      </w:pPr>
      <w:r>
        <w:rPr>
          <w:rFonts w:ascii="Arial" w:hAnsi="Arial" w:cs="Arial"/>
          <w:color w:val="000000"/>
          <w:sz w:val="20"/>
          <w:lang w:val="en-US"/>
        </w:rPr>
        <w:t>AFTI’s members have faced similar choice when offering the RTO investment service to clients. Based on their experience they can state that:</w:t>
      </w:r>
    </w:p>
    <w:p w14:paraId="71D2BAAA" w14:textId="77777777" w:rsidR="008A275A" w:rsidRPr="0001383D" w:rsidRDefault="008A275A" w:rsidP="008A275A">
      <w:pPr>
        <w:pStyle w:val="Paragraphedeliste"/>
        <w:numPr>
          <w:ilvl w:val="0"/>
          <w:numId w:val="12"/>
        </w:numPr>
        <w:spacing w:after="120" w:line="240" w:lineRule="auto"/>
        <w:rPr>
          <w:rFonts w:ascii="Arial" w:hAnsi="Arial" w:cs="Arial"/>
          <w:color w:val="000000"/>
          <w:sz w:val="20"/>
          <w:szCs w:val="20"/>
          <w:lang w:val="en-US"/>
        </w:rPr>
      </w:pPr>
      <w:r w:rsidRPr="007A02EC">
        <w:rPr>
          <w:rFonts w:ascii="Arial" w:hAnsi="Arial" w:cs="Arial"/>
          <w:color w:val="000000"/>
          <w:sz w:val="20"/>
          <w:szCs w:val="20"/>
          <w:lang w:val="en-US"/>
        </w:rPr>
        <w:t xml:space="preserve">it led to significant </w:t>
      </w:r>
      <w:r w:rsidRPr="0001383D">
        <w:rPr>
          <w:rFonts w:asciiTheme="minorHAnsi" w:hAnsiTheme="minorHAnsi" w:cs="Arial"/>
          <w:bCs/>
          <w:kern w:val="32"/>
          <w:lang w:val="en-US"/>
        </w:rPr>
        <w:t>investments</w:t>
      </w:r>
    </w:p>
    <w:p w14:paraId="3C500345" w14:textId="77777777" w:rsidR="008A275A" w:rsidRPr="007A02EC" w:rsidRDefault="008A275A" w:rsidP="008A275A">
      <w:pPr>
        <w:pStyle w:val="Paragraphedeliste"/>
        <w:numPr>
          <w:ilvl w:val="0"/>
          <w:numId w:val="12"/>
        </w:numPr>
        <w:spacing w:after="120" w:line="240" w:lineRule="auto"/>
        <w:rPr>
          <w:rFonts w:ascii="Arial" w:hAnsi="Arial" w:cs="Arial"/>
          <w:color w:val="000000"/>
          <w:sz w:val="20"/>
          <w:szCs w:val="20"/>
          <w:lang w:val="en-US"/>
        </w:rPr>
      </w:pPr>
      <w:proofErr w:type="gramStart"/>
      <w:r w:rsidRPr="0001383D">
        <w:rPr>
          <w:rFonts w:asciiTheme="minorHAnsi" w:hAnsiTheme="minorHAnsi" w:cs="Arial"/>
          <w:bCs/>
          <w:kern w:val="32"/>
          <w:lang w:val="en-US"/>
        </w:rPr>
        <w:t>although</w:t>
      </w:r>
      <w:proofErr w:type="gramEnd"/>
      <w:r w:rsidRPr="0001383D">
        <w:rPr>
          <w:rFonts w:asciiTheme="minorHAnsi" w:hAnsiTheme="minorHAnsi" w:cs="Arial"/>
          <w:bCs/>
          <w:kern w:val="32"/>
          <w:lang w:val="en-US"/>
        </w:rPr>
        <w:t xml:space="preserve"> being an official alternative the option to transmit orders in the meaning of article 26(4) of MIFIR is not a valid option. </w:t>
      </w:r>
      <w:r>
        <w:rPr>
          <w:rFonts w:asciiTheme="minorHAnsi" w:hAnsiTheme="minorHAnsi" w:cs="Arial"/>
          <w:bCs/>
          <w:kern w:val="32"/>
          <w:lang w:val="en-US"/>
        </w:rPr>
        <w:t xml:space="preserve">Indeed, this set-up raises several main concerns should it be in terms of confidentiality of the data (identification of the client), responsibility, contractual relationships, operational tasks (handling the </w:t>
      </w:r>
      <w:proofErr w:type="gramStart"/>
      <w:r>
        <w:rPr>
          <w:rFonts w:asciiTheme="minorHAnsi" w:hAnsiTheme="minorHAnsi" w:cs="Arial"/>
          <w:bCs/>
          <w:kern w:val="32"/>
          <w:lang w:val="en-US"/>
        </w:rPr>
        <w:t>rejections, …)</w:t>
      </w:r>
      <w:proofErr w:type="gramEnd"/>
      <w:r>
        <w:rPr>
          <w:rFonts w:asciiTheme="minorHAnsi" w:hAnsiTheme="minorHAnsi" w:cs="Arial"/>
          <w:bCs/>
          <w:kern w:val="32"/>
          <w:lang w:val="en-US"/>
        </w:rPr>
        <w:t xml:space="preserve"> or technical means to provide the expected data. </w:t>
      </w:r>
    </w:p>
    <w:p w14:paraId="649A3D1D" w14:textId="77777777" w:rsidR="008A275A" w:rsidRDefault="008A275A" w:rsidP="008A275A">
      <w:pPr>
        <w:rPr>
          <w:rFonts w:cstheme="minorHAnsi"/>
          <w:color w:val="000000"/>
          <w:szCs w:val="22"/>
          <w:lang w:val="en-US"/>
        </w:rPr>
      </w:pPr>
      <w:r>
        <w:rPr>
          <w:rFonts w:cstheme="minorHAnsi"/>
          <w:color w:val="000000"/>
          <w:szCs w:val="22"/>
          <w:lang w:val="en-US"/>
        </w:rPr>
        <w:t>Same issues were detected on the brokers’ side (for example how to handle an order for which not all the needed data have been received?)</w:t>
      </w:r>
    </w:p>
    <w:p w14:paraId="1EA8C5EF" w14:textId="77777777" w:rsidR="008A275A" w:rsidRPr="00CF4DF7" w:rsidRDefault="008A275A" w:rsidP="008A275A">
      <w:pPr>
        <w:rPr>
          <w:rFonts w:cstheme="minorHAnsi"/>
          <w:color w:val="000000"/>
          <w:szCs w:val="22"/>
          <w:lang w:val="en-US"/>
        </w:rPr>
      </w:pPr>
      <w:r w:rsidRPr="00CF4DF7">
        <w:rPr>
          <w:rFonts w:cstheme="minorHAnsi"/>
          <w:color w:val="000000"/>
          <w:szCs w:val="22"/>
          <w:lang w:val="en-US"/>
        </w:rPr>
        <w:t xml:space="preserve">In absolute terms that Asset </w:t>
      </w:r>
      <w:r>
        <w:rPr>
          <w:rFonts w:cstheme="minorHAnsi"/>
          <w:color w:val="000000"/>
          <w:szCs w:val="22"/>
          <w:lang w:val="en-US"/>
        </w:rPr>
        <w:t>Manager chooses between producing RTD by itself or by transmitting data to Broker this leads to a major costs’ constraint.</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77777777" w:rsidR="000B0D26" w:rsidRDefault="000B0D26" w:rsidP="000B0D26">
      <w:permStart w:id="999892361" w:edGrp="everyone"/>
      <w:r>
        <w:t>TYPE YOUR TEXT HERE</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5F3D5325" w14:textId="77777777" w:rsidR="000B0D26" w:rsidRDefault="000B0D26" w:rsidP="000B0D26">
      <w:permStart w:id="1042289045" w:edGrp="everyone"/>
      <w:r>
        <w:t>TYPE YOUR TEXT HERE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1BADF68" w14:textId="77777777" w:rsidR="000B0D26" w:rsidRDefault="000B0D26" w:rsidP="000B0D26">
      <w:permStart w:id="1998264754" w:edGrp="everyone"/>
      <w:r>
        <w:t>TYPE YOUR TEXT HERE</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BBE6F4F" w14:textId="77777777" w:rsidR="000B0D26" w:rsidRDefault="000B0D26" w:rsidP="000B0D26">
      <w:permStart w:id="1725236856" w:edGrp="everyone"/>
      <w:r>
        <w:t>TYPE YOUR TEXT HERE</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77777777" w:rsidR="000B0D26" w:rsidRDefault="000B0D26" w:rsidP="000B0D26">
      <w:permStart w:id="1355041525" w:edGrp="everyone"/>
      <w:r>
        <w:t>TYPE YOUR TEXT HERE</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6E03F0EF" w14:textId="77777777" w:rsidR="000B0D26" w:rsidRDefault="000B0D26" w:rsidP="000B0D26">
      <w:permStart w:id="1583692609" w:edGrp="everyone"/>
      <w:r>
        <w:t>TYPE YOUR TEXT HERE</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77777777" w:rsidR="000B0D26" w:rsidRDefault="000B0D26" w:rsidP="000B0D26">
      <w:permStart w:id="2001084504" w:edGrp="everyone"/>
      <w:r>
        <w:t>TYPE YOUR TEXT HERE</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7B439C73" w14:textId="77777777" w:rsidR="000B0D26" w:rsidRDefault="000B0D26" w:rsidP="000B0D26">
      <w:permStart w:id="292098219" w:edGrp="everyone"/>
      <w:r>
        <w:t>TYPE YOUR TEXT HERE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77777777" w:rsidR="000B0D26" w:rsidRDefault="000B0D26" w:rsidP="000B0D26">
      <w:permStart w:id="414326142" w:edGrp="everyone"/>
      <w:r>
        <w:t>TYPE YOUR TEXT HERE</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77777777" w:rsidR="000B0D26" w:rsidRDefault="000B0D26" w:rsidP="000B0D26">
      <w:permStart w:id="1847806116" w:edGrp="everyone"/>
      <w:r>
        <w:t>TYPE YOUR TEXT HERE</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592C77A9" w14:textId="77777777" w:rsidR="008A275A" w:rsidRDefault="008A275A" w:rsidP="000B0D26">
      <w:pPr>
        <w:rPr>
          <w:rFonts w:eastAsia="Cambria" w:cstheme="minorHAnsi"/>
          <w:color w:val="000000"/>
          <w:szCs w:val="22"/>
          <w:lang w:val="en-US" w:eastAsia="fr-FR"/>
        </w:rPr>
      </w:pPr>
      <w:permStart w:id="609292179" w:edGrp="everyone"/>
      <w:r w:rsidRPr="00B6188C">
        <w:rPr>
          <w:rFonts w:eastAsia="Cambria" w:cstheme="minorHAnsi"/>
          <w:color w:val="000000"/>
          <w:szCs w:val="22"/>
          <w:lang w:val="en-US" w:eastAsia="fr-FR"/>
        </w:rPr>
        <w:t>Yes (see answer to question 19)</w:t>
      </w:r>
    </w:p>
    <w:permEnd w:id="609292179"/>
    <w:p w14:paraId="059CAB1E" w14:textId="19F76683"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30039C04" w14:textId="77777777" w:rsidR="00E9376B" w:rsidRPr="0001383D" w:rsidRDefault="00E9376B" w:rsidP="00E9376B">
      <w:pPr>
        <w:rPr>
          <w:rFonts w:cstheme="minorHAnsi"/>
          <w:lang w:val="en-US"/>
        </w:rPr>
      </w:pPr>
      <w:permStart w:id="1075606273" w:edGrp="everyone"/>
      <w:r w:rsidRPr="0001383D">
        <w:rPr>
          <w:rFonts w:cstheme="minorHAnsi"/>
          <w:lang w:val="en-US"/>
        </w:rPr>
        <w:t>Yes</w:t>
      </w:r>
    </w:p>
    <w:p w14:paraId="158514E1" w14:textId="77777777" w:rsidR="00E9376B" w:rsidRPr="00B6188C" w:rsidRDefault="00E9376B" w:rsidP="00E9376B">
      <w:pPr>
        <w:rPr>
          <w:rFonts w:cstheme="minorHAnsi"/>
          <w:color w:val="000000"/>
          <w:szCs w:val="22"/>
          <w:lang w:val="en-US"/>
        </w:rPr>
      </w:pPr>
      <w:r w:rsidRPr="00B6188C">
        <w:rPr>
          <w:rFonts w:cstheme="minorHAnsi"/>
          <w:color w:val="000000"/>
          <w:szCs w:val="22"/>
          <w:lang w:val="en-US"/>
        </w:rPr>
        <w:t>We understand that this w</w:t>
      </w:r>
      <w:r>
        <w:rPr>
          <w:rFonts w:cstheme="minorHAnsi"/>
          <w:color w:val="000000"/>
          <w:szCs w:val="22"/>
          <w:lang w:val="en-US"/>
        </w:rPr>
        <w:t>ill allow regulators to instantly and clearly retrieve different reporting related to the same transaction (in the case of additional reporting) or to a homogeneous group (in the case or global orders).</w:t>
      </w:r>
    </w:p>
    <w:p w14:paraId="2D7EC3E5" w14:textId="77777777" w:rsidR="00E9376B" w:rsidRDefault="00E9376B" w:rsidP="00E9376B">
      <w:pPr>
        <w:rPr>
          <w:rFonts w:cstheme="minorHAnsi"/>
          <w:color w:val="000000"/>
          <w:szCs w:val="22"/>
          <w:lang w:val="en-US"/>
        </w:rPr>
      </w:pPr>
      <w:r w:rsidRPr="00155739">
        <w:rPr>
          <w:rFonts w:cstheme="minorHAnsi"/>
          <w:color w:val="000000"/>
          <w:szCs w:val="22"/>
          <w:lang w:val="en-US"/>
        </w:rPr>
        <w:t>ESMA/2014/1570</w:t>
      </w:r>
      <w:r w:rsidRPr="000F549E">
        <w:rPr>
          <w:rFonts w:cstheme="minorHAnsi"/>
          <w:color w:val="000000"/>
          <w:szCs w:val="22"/>
          <w:lang w:val="en-US"/>
        </w:rPr>
        <w:t xml:space="preserve"> Consultation Paper</w:t>
      </w:r>
      <w:r>
        <w:rPr>
          <w:rFonts w:cstheme="minorHAnsi"/>
          <w:color w:val="000000"/>
          <w:szCs w:val="22"/>
          <w:lang w:val="en-US"/>
        </w:rPr>
        <w:t xml:space="preserve"> concluded (§178. Page 596) that </w:t>
      </w:r>
      <w:r w:rsidRPr="006D298B">
        <w:rPr>
          <w:rFonts w:cstheme="minorHAnsi"/>
          <w:color w:val="000000"/>
          <w:szCs w:val="22"/>
          <w:lang w:val="en-US"/>
        </w:rPr>
        <w:t>“</w:t>
      </w:r>
      <w:r w:rsidRPr="006D298B">
        <w:rPr>
          <w:rFonts w:ascii="Calibri" w:hAnsi="Calibri" w:cs="Calibri"/>
          <w:i/>
          <w:iCs/>
          <w:szCs w:val="22"/>
          <w:lang w:val="en-US"/>
        </w:rPr>
        <w:t>although the report matching number would in theory be useful information for competent authorities, there are many practical difficulties for its implementation.”</w:t>
      </w:r>
    </w:p>
    <w:p w14:paraId="732DFEF5" w14:textId="77777777" w:rsidR="00E9376B" w:rsidRPr="00B6188C" w:rsidRDefault="00E9376B" w:rsidP="00E9376B">
      <w:pPr>
        <w:rPr>
          <w:rFonts w:cstheme="minorHAnsi"/>
          <w:color w:val="000000"/>
          <w:szCs w:val="22"/>
          <w:lang w:val="en-US"/>
        </w:rPr>
      </w:pPr>
      <w:r w:rsidRPr="00B6188C">
        <w:rPr>
          <w:rFonts w:cstheme="minorHAnsi"/>
          <w:color w:val="000000"/>
          <w:szCs w:val="22"/>
          <w:lang w:val="en-US"/>
        </w:rPr>
        <w:t>Indeed, to allow a direct and total transactions identification</w:t>
      </w:r>
      <w:r>
        <w:rPr>
          <w:rFonts w:cstheme="minorHAnsi"/>
          <w:color w:val="000000"/>
          <w:szCs w:val="22"/>
          <w:lang w:val="en-US"/>
        </w:rPr>
        <w:t xml:space="preserve">, 2 new references would need to be introduce with substantial impacts within their implementation by non-executing registrants. </w:t>
      </w:r>
      <w:r w:rsidRPr="00B6188C">
        <w:rPr>
          <w:rFonts w:cstheme="minorHAnsi"/>
          <w:color w:val="000000"/>
          <w:szCs w:val="22"/>
          <w:lang w:val="en-US"/>
        </w:rPr>
        <w:t xml:space="preserve">  </w:t>
      </w:r>
    </w:p>
    <w:p w14:paraId="469AE3E1" w14:textId="77777777" w:rsidR="00E9376B" w:rsidRPr="00A6373B" w:rsidRDefault="00E9376B" w:rsidP="00E9376B">
      <w:pPr>
        <w:rPr>
          <w:rFonts w:cstheme="minorHAnsi"/>
          <w:color w:val="000000"/>
          <w:szCs w:val="22"/>
          <w:lang w:val="en-US"/>
        </w:rPr>
      </w:pPr>
      <w:r w:rsidRPr="00A6373B">
        <w:rPr>
          <w:rFonts w:cstheme="minorHAnsi"/>
          <w:color w:val="000000"/>
          <w:szCs w:val="22"/>
          <w:lang w:val="en-US"/>
        </w:rPr>
        <w:t>Practically registrant would have to manage 2 references:</w:t>
      </w:r>
    </w:p>
    <w:p w14:paraId="3F2517B7" w14:textId="77777777" w:rsidR="00E9376B" w:rsidRPr="00A6373B" w:rsidRDefault="00E9376B" w:rsidP="00E9376B">
      <w:pPr>
        <w:rPr>
          <w:rFonts w:cstheme="minorHAnsi"/>
          <w:color w:val="000000" w:themeColor="text1"/>
          <w:szCs w:val="22"/>
          <w:lang w:val="en-US"/>
        </w:rPr>
      </w:pPr>
      <w:r w:rsidRPr="00A6373B">
        <w:rPr>
          <w:rFonts w:cstheme="minorHAnsi"/>
          <w:color w:val="000000" w:themeColor="text1"/>
          <w:szCs w:val="22"/>
          <w:lang w:val="en-US"/>
        </w:rPr>
        <w:t>Example:</w:t>
      </w:r>
    </w:p>
    <w:p w14:paraId="0D0B8D51" w14:textId="77777777" w:rsidR="00E9376B" w:rsidRPr="00A6373B" w:rsidRDefault="00E9376B" w:rsidP="00E9376B">
      <w:pPr>
        <w:rPr>
          <w:rFonts w:cstheme="minorHAnsi"/>
          <w:color w:val="000000" w:themeColor="text1"/>
          <w:szCs w:val="22"/>
          <w:lang w:val="en-US"/>
        </w:rPr>
      </w:pPr>
      <w:r w:rsidRPr="00A6373B">
        <w:rPr>
          <w:rFonts w:cstheme="minorHAnsi"/>
          <w:color w:val="000000" w:themeColor="text1"/>
          <w:szCs w:val="22"/>
          <w:lang w:val="en-US"/>
        </w:rPr>
        <w:t>Client A sells 100 securities</w:t>
      </w:r>
    </w:p>
    <w:p w14:paraId="0F391AFF" w14:textId="77777777" w:rsidR="00E9376B" w:rsidRPr="00A6373B" w:rsidRDefault="00E9376B" w:rsidP="00E9376B">
      <w:pPr>
        <w:rPr>
          <w:rFonts w:cstheme="minorHAnsi"/>
          <w:color w:val="000000" w:themeColor="text1"/>
          <w:szCs w:val="22"/>
          <w:lang w:val="en-US"/>
        </w:rPr>
      </w:pPr>
      <w:r w:rsidRPr="00A6373B">
        <w:rPr>
          <w:rFonts w:cstheme="minorHAnsi"/>
          <w:color w:val="000000" w:themeColor="text1"/>
          <w:szCs w:val="22"/>
          <w:lang w:val="en-US"/>
        </w:rPr>
        <w:t xml:space="preserve">Client B sells 200 securities                 </w:t>
      </w:r>
    </w:p>
    <w:p w14:paraId="1CCD4F74" w14:textId="77777777" w:rsidR="00E9376B" w:rsidRPr="00A6373B" w:rsidRDefault="00E9376B" w:rsidP="00E9376B">
      <w:pPr>
        <w:rPr>
          <w:rFonts w:cstheme="minorHAnsi"/>
          <w:color w:val="000000" w:themeColor="text1"/>
          <w:szCs w:val="22"/>
          <w:lang w:val="en-US"/>
        </w:rPr>
      </w:pPr>
      <w:r w:rsidRPr="00A6373B">
        <w:rPr>
          <w:rFonts w:cstheme="minorHAnsi"/>
          <w:color w:val="000000" w:themeColor="text1"/>
          <w:szCs w:val="22"/>
          <w:lang w:val="en-US"/>
        </w:rPr>
        <w:t>Client C sells 300 securities</w:t>
      </w:r>
    </w:p>
    <w:p w14:paraId="0B6DCC11" w14:textId="77777777" w:rsidR="00E9376B" w:rsidRDefault="00E9376B" w:rsidP="00E9376B">
      <w:pPr>
        <w:rPr>
          <w:rFonts w:cstheme="minorHAnsi"/>
          <w:color w:val="000000" w:themeColor="text1"/>
          <w:szCs w:val="22"/>
          <w:lang w:val="en-US"/>
        </w:rPr>
      </w:pPr>
      <w:r w:rsidRPr="00A6373B">
        <w:rPr>
          <w:rFonts w:cstheme="minorHAnsi"/>
          <w:color w:val="000000" w:themeColor="text1"/>
          <w:szCs w:val="22"/>
          <w:lang w:val="en-US"/>
        </w:rPr>
        <w:t>I</w:t>
      </w:r>
      <w:r>
        <w:rPr>
          <w:rFonts w:cstheme="minorHAnsi"/>
          <w:color w:val="000000" w:themeColor="text1"/>
          <w:szCs w:val="22"/>
          <w:lang w:val="en-US"/>
        </w:rPr>
        <w:t>nvestment Firm places a 600 securities sell order</w:t>
      </w:r>
    </w:p>
    <w:p w14:paraId="0E3A6120" w14:textId="77777777" w:rsidR="00E9376B" w:rsidRPr="00A6373B" w:rsidRDefault="00E9376B" w:rsidP="00E9376B">
      <w:pPr>
        <w:rPr>
          <w:rFonts w:cstheme="minorHAnsi"/>
          <w:color w:val="000000" w:themeColor="text1"/>
          <w:szCs w:val="22"/>
          <w:lang w:val="en-US"/>
        </w:rPr>
      </w:pPr>
      <w:r>
        <w:rPr>
          <w:rFonts w:cstheme="minorHAnsi"/>
          <w:color w:val="000000" w:themeColor="text1"/>
          <w:szCs w:val="22"/>
          <w:lang w:val="en-US"/>
        </w:rPr>
        <w:t xml:space="preserve">Broker sends the order on the market, order is executed in 2 parts: </w:t>
      </w:r>
    </w:p>
    <w:p w14:paraId="70ACBDE5" w14:textId="77777777" w:rsidR="00E9376B" w:rsidRDefault="00E9376B" w:rsidP="00E9376B">
      <w:pPr>
        <w:pStyle w:val="Paragraphedeliste"/>
        <w:numPr>
          <w:ilvl w:val="0"/>
          <w:numId w:val="14"/>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A </w:t>
      </w:r>
      <w:r w:rsidRPr="001B0823">
        <w:rPr>
          <w:rFonts w:asciiTheme="minorHAnsi" w:hAnsiTheme="minorHAnsi" w:cstheme="minorHAnsi"/>
          <w:color w:val="000000" w:themeColor="text1"/>
        </w:rPr>
        <w:t>TVTIC1</w:t>
      </w:r>
      <w:r>
        <w:rPr>
          <w:rFonts w:asciiTheme="minorHAnsi" w:hAnsiTheme="minorHAnsi" w:cstheme="minorHAnsi"/>
          <w:color w:val="000000" w:themeColor="text1"/>
        </w:rPr>
        <w:t xml:space="preserve"> 150 Securities </w:t>
      </w:r>
      <w:proofErr w:type="spellStart"/>
      <w:r>
        <w:rPr>
          <w:rFonts w:asciiTheme="minorHAnsi" w:hAnsiTheme="minorHAnsi" w:cstheme="minorHAnsi"/>
          <w:color w:val="000000" w:themeColor="text1"/>
        </w:rPr>
        <w:t>sell</w:t>
      </w:r>
      <w:proofErr w:type="spellEnd"/>
    </w:p>
    <w:p w14:paraId="2DFE0004" w14:textId="77777777" w:rsidR="00E9376B" w:rsidRPr="00DA7FE8" w:rsidRDefault="00E9376B" w:rsidP="00E9376B">
      <w:pPr>
        <w:pStyle w:val="Paragraphedeliste"/>
        <w:numPr>
          <w:ilvl w:val="0"/>
          <w:numId w:val="14"/>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A TVTIC2 450 Securities </w:t>
      </w:r>
      <w:proofErr w:type="spellStart"/>
      <w:r>
        <w:rPr>
          <w:rFonts w:asciiTheme="minorHAnsi" w:hAnsiTheme="minorHAnsi" w:cstheme="minorHAnsi"/>
          <w:color w:val="000000" w:themeColor="text1"/>
        </w:rPr>
        <w:t>sell</w:t>
      </w:r>
      <w:proofErr w:type="spellEnd"/>
    </w:p>
    <w:p w14:paraId="04535CD1" w14:textId="77777777" w:rsidR="00E9376B" w:rsidRPr="00DA7FE8" w:rsidRDefault="00E9376B" w:rsidP="00E9376B">
      <w:pPr>
        <w:rPr>
          <w:rFonts w:cstheme="minorHAnsi"/>
          <w:color w:val="000000" w:themeColor="text1"/>
          <w:szCs w:val="22"/>
        </w:rPr>
      </w:pPr>
    </w:p>
    <w:p w14:paraId="0D1C7CB8" w14:textId="77777777" w:rsidR="00E9376B" w:rsidRPr="00DA7FE8" w:rsidRDefault="00E9376B" w:rsidP="00E9376B">
      <w:pPr>
        <w:rPr>
          <w:rFonts w:cstheme="minorHAnsi"/>
          <w:color w:val="000000" w:themeColor="text1"/>
          <w:szCs w:val="22"/>
        </w:rPr>
      </w:pPr>
      <w:r>
        <w:rPr>
          <w:rFonts w:cstheme="minorHAnsi"/>
          <w:color w:val="000000" w:themeColor="text1"/>
          <w:szCs w:val="22"/>
        </w:rPr>
        <w:t>Broker will report</w:t>
      </w:r>
      <w:r w:rsidRPr="00DA7FE8">
        <w:rPr>
          <w:rFonts w:cstheme="minorHAnsi"/>
          <w:color w:val="000000" w:themeColor="text1"/>
          <w:szCs w:val="22"/>
        </w:rPr>
        <w:t>:</w:t>
      </w:r>
    </w:p>
    <w:p w14:paraId="18E95A90" w14:textId="77777777" w:rsidR="00E9376B" w:rsidRPr="00A6373B" w:rsidRDefault="00E9376B" w:rsidP="00E9376B">
      <w:pPr>
        <w:pStyle w:val="Paragraphedeliste"/>
        <w:numPr>
          <w:ilvl w:val="0"/>
          <w:numId w:val="13"/>
        </w:numPr>
        <w:spacing w:after="0" w:line="240" w:lineRule="auto"/>
        <w:jc w:val="left"/>
        <w:rPr>
          <w:rFonts w:asciiTheme="minorHAnsi" w:hAnsiTheme="minorHAnsi" w:cstheme="minorHAnsi"/>
          <w:color w:val="000000" w:themeColor="text1"/>
          <w:lang w:val="en-US"/>
        </w:rPr>
      </w:pPr>
      <w:r w:rsidRPr="00A6373B">
        <w:rPr>
          <w:rFonts w:asciiTheme="minorHAnsi" w:hAnsiTheme="minorHAnsi" w:cstheme="minorHAnsi"/>
          <w:color w:val="000000" w:themeColor="text1"/>
          <w:lang w:val="en-US"/>
        </w:rPr>
        <w:t xml:space="preserve">A 150 securities sell on behalf of the </w:t>
      </w:r>
      <w:r>
        <w:rPr>
          <w:rFonts w:asciiTheme="minorHAnsi" w:hAnsiTheme="minorHAnsi" w:cstheme="minorHAnsi"/>
          <w:color w:val="000000" w:themeColor="text1"/>
          <w:lang w:val="en-US"/>
        </w:rPr>
        <w:t>i</w:t>
      </w:r>
      <w:r w:rsidRPr="00A6373B">
        <w:rPr>
          <w:rFonts w:asciiTheme="minorHAnsi" w:hAnsiTheme="minorHAnsi" w:cstheme="minorHAnsi"/>
          <w:color w:val="000000" w:themeColor="text1"/>
          <w:lang w:val="en-US"/>
        </w:rPr>
        <w:t>nvestment company including TVTIC1 reference</w:t>
      </w:r>
    </w:p>
    <w:p w14:paraId="4B44173C" w14:textId="77777777" w:rsidR="00E9376B" w:rsidRPr="00A6373B" w:rsidRDefault="00E9376B" w:rsidP="00E9376B">
      <w:pPr>
        <w:pStyle w:val="Paragraphedeliste"/>
        <w:numPr>
          <w:ilvl w:val="0"/>
          <w:numId w:val="13"/>
        </w:numPr>
        <w:spacing w:after="0" w:line="240" w:lineRule="auto"/>
        <w:jc w:val="left"/>
        <w:rPr>
          <w:rFonts w:asciiTheme="minorHAnsi" w:hAnsiTheme="minorHAnsi" w:cstheme="minorHAnsi"/>
          <w:color w:val="000000" w:themeColor="text1"/>
          <w:lang w:val="en-US"/>
        </w:rPr>
      </w:pPr>
      <w:r w:rsidRPr="00A6373B">
        <w:rPr>
          <w:rFonts w:asciiTheme="minorHAnsi" w:hAnsiTheme="minorHAnsi" w:cstheme="minorHAnsi"/>
          <w:color w:val="000000" w:themeColor="text1"/>
          <w:lang w:val="en-US"/>
        </w:rPr>
        <w:t xml:space="preserve">A </w:t>
      </w:r>
      <w:r>
        <w:rPr>
          <w:rFonts w:asciiTheme="minorHAnsi" w:hAnsiTheme="minorHAnsi" w:cstheme="minorHAnsi"/>
          <w:color w:val="000000" w:themeColor="text1"/>
          <w:lang w:val="en-US"/>
        </w:rPr>
        <w:t>4</w:t>
      </w:r>
      <w:r w:rsidRPr="00A6373B">
        <w:rPr>
          <w:rFonts w:asciiTheme="minorHAnsi" w:hAnsiTheme="minorHAnsi" w:cstheme="minorHAnsi"/>
          <w:color w:val="000000" w:themeColor="text1"/>
          <w:lang w:val="en-US"/>
        </w:rPr>
        <w:t xml:space="preserve">50 securities sell on behalf of the </w:t>
      </w:r>
      <w:r>
        <w:rPr>
          <w:rFonts w:asciiTheme="minorHAnsi" w:hAnsiTheme="minorHAnsi" w:cstheme="minorHAnsi"/>
          <w:color w:val="000000" w:themeColor="text1"/>
          <w:lang w:val="en-US"/>
        </w:rPr>
        <w:t>i</w:t>
      </w:r>
      <w:r w:rsidRPr="00A6373B">
        <w:rPr>
          <w:rFonts w:asciiTheme="minorHAnsi" w:hAnsiTheme="minorHAnsi" w:cstheme="minorHAnsi"/>
          <w:color w:val="000000" w:themeColor="text1"/>
          <w:lang w:val="en-US"/>
        </w:rPr>
        <w:t>nvestment company including TVTIC</w:t>
      </w:r>
      <w:r>
        <w:rPr>
          <w:rFonts w:asciiTheme="minorHAnsi" w:hAnsiTheme="minorHAnsi" w:cstheme="minorHAnsi"/>
          <w:color w:val="000000" w:themeColor="text1"/>
          <w:lang w:val="en-US"/>
        </w:rPr>
        <w:t>2</w:t>
      </w:r>
      <w:r w:rsidRPr="00A6373B">
        <w:rPr>
          <w:rFonts w:asciiTheme="minorHAnsi" w:hAnsiTheme="minorHAnsi" w:cstheme="minorHAnsi"/>
          <w:color w:val="000000" w:themeColor="text1"/>
          <w:lang w:val="en-US"/>
        </w:rPr>
        <w:t xml:space="preserve"> reference</w:t>
      </w:r>
    </w:p>
    <w:p w14:paraId="0E3C393C" w14:textId="77777777" w:rsidR="00E9376B" w:rsidRPr="00A6373B" w:rsidRDefault="00E9376B" w:rsidP="00E9376B">
      <w:pPr>
        <w:rPr>
          <w:rFonts w:cstheme="minorHAnsi"/>
          <w:color w:val="000000" w:themeColor="text1"/>
          <w:szCs w:val="22"/>
          <w:lang w:val="en-US"/>
        </w:rPr>
      </w:pPr>
    </w:p>
    <w:p w14:paraId="376C5D82" w14:textId="77777777" w:rsidR="00E9376B" w:rsidRPr="00A6373B" w:rsidRDefault="00E9376B" w:rsidP="00E9376B">
      <w:pPr>
        <w:rPr>
          <w:rFonts w:cstheme="minorHAnsi"/>
          <w:color w:val="000000" w:themeColor="text1"/>
          <w:szCs w:val="22"/>
          <w:lang w:val="en-US"/>
        </w:rPr>
      </w:pPr>
      <w:r w:rsidRPr="00A6373B">
        <w:rPr>
          <w:rFonts w:cstheme="minorHAnsi"/>
          <w:color w:val="000000" w:themeColor="text1"/>
          <w:szCs w:val="22"/>
          <w:lang w:val="en-US"/>
        </w:rPr>
        <w:t xml:space="preserve">Investment </w:t>
      </w:r>
      <w:r>
        <w:rPr>
          <w:rFonts w:cstheme="minorHAnsi"/>
          <w:color w:val="000000" w:themeColor="text1"/>
          <w:szCs w:val="22"/>
          <w:lang w:val="en-US"/>
        </w:rPr>
        <w:t>Firm</w:t>
      </w:r>
      <w:r w:rsidRPr="00A6373B">
        <w:rPr>
          <w:rFonts w:cstheme="minorHAnsi"/>
          <w:color w:val="000000" w:themeColor="text1"/>
          <w:szCs w:val="22"/>
          <w:lang w:val="en-US"/>
        </w:rPr>
        <w:t xml:space="preserve"> (</w:t>
      </w:r>
      <w:r w:rsidRPr="00A6373B">
        <w:rPr>
          <w:rFonts w:cstheme="minorHAnsi"/>
          <w:b/>
          <w:bCs/>
          <w:color w:val="000000" w:themeColor="text1"/>
          <w:szCs w:val="22"/>
          <w:lang w:val="en-US"/>
        </w:rPr>
        <w:t>in INTC mode</w:t>
      </w:r>
      <w:r w:rsidRPr="00A6373B">
        <w:rPr>
          <w:rFonts w:cstheme="minorHAnsi"/>
          <w:color w:val="000000" w:themeColor="text1"/>
          <w:szCs w:val="22"/>
          <w:lang w:val="en-US"/>
        </w:rPr>
        <w:t>) will report:</w:t>
      </w:r>
    </w:p>
    <w:p w14:paraId="534C0C3B" w14:textId="77777777" w:rsidR="00E9376B" w:rsidRPr="00A6373B" w:rsidRDefault="00E9376B" w:rsidP="00E9376B">
      <w:pPr>
        <w:pStyle w:val="Paragraphedeliste"/>
        <w:numPr>
          <w:ilvl w:val="0"/>
          <w:numId w:val="13"/>
        </w:numPr>
        <w:spacing w:after="0" w:line="240" w:lineRule="auto"/>
        <w:jc w:val="left"/>
        <w:rPr>
          <w:rFonts w:asciiTheme="minorHAnsi" w:hAnsiTheme="minorHAnsi" w:cstheme="minorHAnsi"/>
          <w:color w:val="000000" w:themeColor="text1"/>
          <w:lang w:val="en-US"/>
        </w:rPr>
      </w:pPr>
      <w:r w:rsidRPr="00A6373B">
        <w:rPr>
          <w:rFonts w:asciiTheme="minorHAnsi" w:hAnsiTheme="minorHAnsi" w:cstheme="minorHAnsi"/>
          <w:color w:val="000000" w:themeColor="text1"/>
          <w:lang w:val="en-US"/>
        </w:rPr>
        <w:t>A 150 securities sell facing the Broker th</w:t>
      </w:r>
      <w:r>
        <w:rPr>
          <w:rFonts w:asciiTheme="minorHAnsi" w:hAnsiTheme="minorHAnsi" w:cstheme="minorHAnsi"/>
          <w:color w:val="000000" w:themeColor="text1"/>
          <w:lang w:val="en-US"/>
        </w:rPr>
        <w:t xml:space="preserve">at would have to include </w:t>
      </w:r>
      <w:r w:rsidRPr="00A6373B">
        <w:rPr>
          <w:rFonts w:asciiTheme="minorHAnsi" w:hAnsiTheme="minorHAnsi" w:cstheme="minorHAnsi"/>
          <w:color w:val="000000" w:themeColor="text1"/>
          <w:lang w:val="en-US"/>
        </w:rPr>
        <w:t xml:space="preserve">TVTIC1 </w:t>
      </w:r>
      <w:r>
        <w:rPr>
          <w:rFonts w:asciiTheme="minorHAnsi" w:hAnsiTheme="minorHAnsi" w:cstheme="minorHAnsi"/>
          <w:color w:val="000000" w:themeColor="text1"/>
          <w:lang w:val="en-US"/>
        </w:rPr>
        <w:t>and</w:t>
      </w:r>
      <w:r w:rsidRPr="00A6373B">
        <w:rPr>
          <w:rFonts w:asciiTheme="minorHAnsi" w:hAnsiTheme="minorHAnsi" w:cstheme="minorHAnsi"/>
          <w:color w:val="000000" w:themeColor="text1"/>
          <w:lang w:val="en-US"/>
        </w:rPr>
        <w:t xml:space="preserve"> REF INTC1</w:t>
      </w:r>
    </w:p>
    <w:p w14:paraId="277E22A1" w14:textId="77777777" w:rsidR="00E9376B" w:rsidRPr="00782E67" w:rsidRDefault="00E9376B" w:rsidP="00E9376B">
      <w:pPr>
        <w:pStyle w:val="Paragraphedeliste"/>
        <w:numPr>
          <w:ilvl w:val="0"/>
          <w:numId w:val="13"/>
        </w:numPr>
        <w:spacing w:after="0" w:line="240" w:lineRule="auto"/>
        <w:jc w:val="left"/>
        <w:rPr>
          <w:rFonts w:asciiTheme="minorHAnsi" w:hAnsiTheme="minorHAnsi" w:cstheme="minorHAnsi"/>
          <w:color w:val="000000" w:themeColor="text1"/>
          <w:lang w:val="en-US"/>
        </w:rPr>
      </w:pPr>
      <w:r w:rsidRPr="00782E67">
        <w:rPr>
          <w:rFonts w:asciiTheme="minorHAnsi" w:hAnsiTheme="minorHAnsi" w:cstheme="minorHAnsi"/>
          <w:color w:val="000000" w:themeColor="text1"/>
          <w:lang w:val="en-US"/>
        </w:rPr>
        <w:t xml:space="preserve">A 450 securities sell facing the Broker </w:t>
      </w:r>
      <w:r>
        <w:rPr>
          <w:rFonts w:asciiTheme="minorHAnsi" w:hAnsiTheme="minorHAnsi" w:cstheme="minorHAnsi"/>
          <w:color w:val="000000" w:themeColor="text1"/>
          <w:lang w:val="en-US"/>
        </w:rPr>
        <w:t>that would have to include</w:t>
      </w:r>
      <w:r w:rsidRPr="00782E67">
        <w:rPr>
          <w:rFonts w:asciiTheme="minorHAnsi" w:hAnsiTheme="minorHAnsi" w:cstheme="minorHAnsi"/>
          <w:color w:val="000000" w:themeColor="text1"/>
          <w:lang w:val="en-US"/>
        </w:rPr>
        <w:t xml:space="preserve"> TVTIC2 </w:t>
      </w:r>
      <w:r>
        <w:rPr>
          <w:rFonts w:asciiTheme="minorHAnsi" w:hAnsiTheme="minorHAnsi" w:cstheme="minorHAnsi"/>
          <w:color w:val="000000" w:themeColor="text1"/>
          <w:lang w:val="en-US"/>
        </w:rPr>
        <w:t>and</w:t>
      </w:r>
      <w:r w:rsidRPr="00782E67">
        <w:rPr>
          <w:rFonts w:asciiTheme="minorHAnsi" w:hAnsiTheme="minorHAnsi" w:cstheme="minorHAnsi"/>
          <w:color w:val="000000" w:themeColor="text1"/>
          <w:lang w:val="en-US"/>
        </w:rPr>
        <w:t xml:space="preserve"> REF INTC1</w:t>
      </w:r>
    </w:p>
    <w:p w14:paraId="2D03433F" w14:textId="77777777" w:rsidR="00E9376B" w:rsidRPr="00782E67" w:rsidRDefault="00E9376B" w:rsidP="00E9376B">
      <w:pPr>
        <w:pStyle w:val="Paragraphedeliste"/>
        <w:numPr>
          <w:ilvl w:val="0"/>
          <w:numId w:val="13"/>
        </w:numPr>
        <w:spacing w:after="0" w:line="240" w:lineRule="auto"/>
        <w:jc w:val="left"/>
        <w:rPr>
          <w:rFonts w:asciiTheme="minorHAnsi" w:hAnsiTheme="minorHAnsi" w:cstheme="minorHAnsi"/>
          <w:color w:val="000000" w:themeColor="text1"/>
          <w:lang w:val="en-US"/>
        </w:rPr>
      </w:pPr>
      <w:r w:rsidRPr="00782E67">
        <w:rPr>
          <w:rFonts w:asciiTheme="minorHAnsi" w:hAnsiTheme="minorHAnsi" w:cstheme="minorHAnsi"/>
          <w:color w:val="000000" w:themeColor="text1"/>
          <w:lang w:val="en-US"/>
        </w:rPr>
        <w:t>A 100 securities buy facing client</w:t>
      </w:r>
      <w:r>
        <w:rPr>
          <w:rFonts w:asciiTheme="minorHAnsi" w:hAnsiTheme="minorHAnsi" w:cstheme="minorHAnsi"/>
          <w:color w:val="000000" w:themeColor="text1"/>
          <w:lang w:val="en-US"/>
        </w:rPr>
        <w:t xml:space="preserve"> A</w:t>
      </w:r>
      <w:r w:rsidRPr="00782E67">
        <w:rPr>
          <w:rFonts w:asciiTheme="minorHAnsi" w:hAnsiTheme="minorHAnsi" w:cstheme="minorHAnsi"/>
          <w:color w:val="000000" w:themeColor="text1"/>
          <w:lang w:val="en-US"/>
        </w:rPr>
        <w:t xml:space="preserve"> that would inclu</w:t>
      </w:r>
      <w:r>
        <w:rPr>
          <w:rFonts w:asciiTheme="minorHAnsi" w:hAnsiTheme="minorHAnsi" w:cstheme="minorHAnsi"/>
          <w:color w:val="000000" w:themeColor="text1"/>
          <w:lang w:val="en-US"/>
        </w:rPr>
        <w:t>de</w:t>
      </w:r>
      <w:r w:rsidRPr="00782E67">
        <w:rPr>
          <w:rFonts w:asciiTheme="minorHAnsi" w:hAnsiTheme="minorHAnsi" w:cstheme="minorHAnsi"/>
          <w:color w:val="000000" w:themeColor="text1"/>
          <w:lang w:val="en-US"/>
        </w:rPr>
        <w:t xml:space="preserve"> REF INTC1</w:t>
      </w:r>
    </w:p>
    <w:p w14:paraId="713789AC" w14:textId="77777777" w:rsidR="00E9376B" w:rsidRPr="00782E67" w:rsidRDefault="00E9376B" w:rsidP="00E9376B">
      <w:pPr>
        <w:pStyle w:val="Paragraphedeliste"/>
        <w:numPr>
          <w:ilvl w:val="0"/>
          <w:numId w:val="13"/>
        </w:numPr>
        <w:spacing w:after="0" w:line="240" w:lineRule="auto"/>
        <w:jc w:val="left"/>
        <w:rPr>
          <w:rFonts w:asciiTheme="minorHAnsi" w:hAnsiTheme="minorHAnsi" w:cstheme="minorHAnsi"/>
          <w:color w:val="000000" w:themeColor="text1"/>
          <w:lang w:val="en-US"/>
        </w:rPr>
      </w:pPr>
      <w:r w:rsidRPr="00782E67">
        <w:rPr>
          <w:rFonts w:asciiTheme="minorHAnsi" w:hAnsiTheme="minorHAnsi" w:cstheme="minorHAnsi"/>
          <w:color w:val="000000" w:themeColor="text1"/>
          <w:lang w:val="en-US"/>
        </w:rPr>
        <w:t xml:space="preserve">A </w:t>
      </w:r>
      <w:r>
        <w:rPr>
          <w:rFonts w:asciiTheme="minorHAnsi" w:hAnsiTheme="minorHAnsi" w:cstheme="minorHAnsi"/>
          <w:color w:val="000000" w:themeColor="text1"/>
          <w:lang w:val="en-US"/>
        </w:rPr>
        <w:t>2</w:t>
      </w:r>
      <w:r w:rsidRPr="00782E67">
        <w:rPr>
          <w:rFonts w:asciiTheme="minorHAnsi" w:hAnsiTheme="minorHAnsi" w:cstheme="minorHAnsi"/>
          <w:color w:val="000000" w:themeColor="text1"/>
          <w:lang w:val="en-US"/>
        </w:rPr>
        <w:t>00 securities buy facing client</w:t>
      </w:r>
      <w:r>
        <w:rPr>
          <w:rFonts w:asciiTheme="minorHAnsi" w:hAnsiTheme="minorHAnsi" w:cstheme="minorHAnsi"/>
          <w:color w:val="000000" w:themeColor="text1"/>
          <w:lang w:val="en-US"/>
        </w:rPr>
        <w:t xml:space="preserve"> B</w:t>
      </w:r>
      <w:r w:rsidRPr="00782E67">
        <w:rPr>
          <w:rFonts w:asciiTheme="minorHAnsi" w:hAnsiTheme="minorHAnsi" w:cstheme="minorHAnsi"/>
          <w:color w:val="000000" w:themeColor="text1"/>
          <w:lang w:val="en-US"/>
        </w:rPr>
        <w:t xml:space="preserve"> that would inclu</w:t>
      </w:r>
      <w:r>
        <w:rPr>
          <w:rFonts w:asciiTheme="minorHAnsi" w:hAnsiTheme="minorHAnsi" w:cstheme="minorHAnsi"/>
          <w:color w:val="000000" w:themeColor="text1"/>
          <w:lang w:val="en-US"/>
        </w:rPr>
        <w:t>de</w:t>
      </w:r>
      <w:r w:rsidRPr="00782E67">
        <w:rPr>
          <w:rFonts w:asciiTheme="minorHAnsi" w:hAnsiTheme="minorHAnsi" w:cstheme="minorHAnsi"/>
          <w:color w:val="000000" w:themeColor="text1"/>
          <w:lang w:val="en-US"/>
        </w:rPr>
        <w:t xml:space="preserve"> REF INTC1</w:t>
      </w:r>
    </w:p>
    <w:p w14:paraId="7AA977C1" w14:textId="77777777" w:rsidR="00E9376B" w:rsidRPr="00782E67" w:rsidRDefault="00E9376B" w:rsidP="00E9376B">
      <w:pPr>
        <w:pStyle w:val="Paragraphedeliste"/>
        <w:numPr>
          <w:ilvl w:val="0"/>
          <w:numId w:val="13"/>
        </w:numPr>
        <w:spacing w:after="0" w:line="240" w:lineRule="auto"/>
        <w:jc w:val="left"/>
        <w:rPr>
          <w:rFonts w:asciiTheme="minorHAnsi" w:hAnsiTheme="minorHAnsi" w:cstheme="minorHAnsi"/>
          <w:color w:val="000000" w:themeColor="text1"/>
          <w:lang w:val="en-US"/>
        </w:rPr>
      </w:pPr>
      <w:r w:rsidRPr="00782E67">
        <w:rPr>
          <w:rFonts w:asciiTheme="minorHAnsi" w:hAnsiTheme="minorHAnsi" w:cstheme="minorHAnsi"/>
          <w:color w:val="000000" w:themeColor="text1"/>
          <w:lang w:val="en-US"/>
        </w:rPr>
        <w:t xml:space="preserve">A </w:t>
      </w:r>
      <w:r>
        <w:rPr>
          <w:rFonts w:asciiTheme="minorHAnsi" w:hAnsiTheme="minorHAnsi" w:cstheme="minorHAnsi"/>
          <w:color w:val="000000" w:themeColor="text1"/>
          <w:lang w:val="en-US"/>
        </w:rPr>
        <w:t>3</w:t>
      </w:r>
      <w:r w:rsidRPr="00782E67">
        <w:rPr>
          <w:rFonts w:asciiTheme="minorHAnsi" w:hAnsiTheme="minorHAnsi" w:cstheme="minorHAnsi"/>
          <w:color w:val="000000" w:themeColor="text1"/>
          <w:lang w:val="en-US"/>
        </w:rPr>
        <w:t>00 securities buy facing client</w:t>
      </w:r>
      <w:r>
        <w:rPr>
          <w:rFonts w:asciiTheme="minorHAnsi" w:hAnsiTheme="minorHAnsi" w:cstheme="minorHAnsi"/>
          <w:color w:val="000000" w:themeColor="text1"/>
          <w:lang w:val="en-US"/>
        </w:rPr>
        <w:t xml:space="preserve"> C</w:t>
      </w:r>
      <w:r w:rsidRPr="00782E67">
        <w:rPr>
          <w:rFonts w:asciiTheme="minorHAnsi" w:hAnsiTheme="minorHAnsi" w:cstheme="minorHAnsi"/>
          <w:color w:val="000000" w:themeColor="text1"/>
          <w:lang w:val="en-US"/>
        </w:rPr>
        <w:t xml:space="preserve"> that would inclu</w:t>
      </w:r>
      <w:r>
        <w:rPr>
          <w:rFonts w:asciiTheme="minorHAnsi" w:hAnsiTheme="minorHAnsi" w:cstheme="minorHAnsi"/>
          <w:color w:val="000000" w:themeColor="text1"/>
          <w:lang w:val="en-US"/>
        </w:rPr>
        <w:t>de</w:t>
      </w:r>
      <w:r w:rsidRPr="00782E67">
        <w:rPr>
          <w:rFonts w:asciiTheme="minorHAnsi" w:hAnsiTheme="minorHAnsi" w:cstheme="minorHAnsi"/>
          <w:color w:val="000000" w:themeColor="text1"/>
          <w:lang w:val="en-US"/>
        </w:rPr>
        <w:t xml:space="preserve"> REF INTC1</w:t>
      </w:r>
    </w:p>
    <w:p w14:paraId="42CD5E2F" w14:textId="77777777" w:rsidR="00E9376B" w:rsidRDefault="00E9376B" w:rsidP="00E9376B">
      <w:pPr>
        <w:rPr>
          <w:rFonts w:cstheme="minorHAnsi"/>
          <w:color w:val="000000" w:themeColor="text1"/>
          <w:szCs w:val="22"/>
          <w:lang w:val="en-US"/>
        </w:rPr>
      </w:pPr>
    </w:p>
    <w:p w14:paraId="58661B53" w14:textId="77777777" w:rsidR="00E9376B" w:rsidRPr="00782E67" w:rsidRDefault="00E9376B" w:rsidP="00E9376B">
      <w:pPr>
        <w:rPr>
          <w:rFonts w:cstheme="minorHAnsi"/>
          <w:color w:val="000000" w:themeColor="text1"/>
          <w:szCs w:val="22"/>
          <w:lang w:val="en-US"/>
        </w:rPr>
      </w:pPr>
      <w:r w:rsidRPr="00782E67">
        <w:rPr>
          <w:rFonts w:cstheme="minorHAnsi"/>
          <w:color w:val="000000" w:themeColor="text1"/>
          <w:szCs w:val="22"/>
          <w:lang w:val="en-US"/>
        </w:rPr>
        <w:t>The addition of these 2 references implies:</w:t>
      </w:r>
    </w:p>
    <w:p w14:paraId="60332966" w14:textId="77777777" w:rsidR="00E9376B" w:rsidRPr="00782E67" w:rsidRDefault="00E9376B" w:rsidP="00E9376B">
      <w:pPr>
        <w:pStyle w:val="Paragraphedeliste"/>
        <w:numPr>
          <w:ilvl w:val="0"/>
          <w:numId w:val="15"/>
        </w:numPr>
        <w:spacing w:after="120" w:line="240" w:lineRule="auto"/>
        <w:rPr>
          <w:rFonts w:asciiTheme="minorHAnsi" w:hAnsiTheme="minorHAnsi" w:cstheme="minorHAnsi"/>
          <w:color w:val="000000" w:themeColor="text1"/>
          <w:lang w:val="en-US"/>
        </w:rPr>
      </w:pPr>
      <w:r w:rsidRPr="00782E67">
        <w:rPr>
          <w:rFonts w:asciiTheme="minorHAnsi" w:hAnsiTheme="minorHAnsi" w:cstheme="minorHAnsi"/>
          <w:color w:val="000000" w:themeColor="text1"/>
          <w:lang w:val="en-US"/>
        </w:rPr>
        <w:t>For TVTIC reference: extraction a</w:t>
      </w:r>
      <w:r>
        <w:rPr>
          <w:rFonts w:asciiTheme="minorHAnsi" w:hAnsiTheme="minorHAnsi" w:cstheme="minorHAnsi"/>
          <w:color w:val="000000" w:themeColor="text1"/>
          <w:lang w:val="en-US"/>
        </w:rPr>
        <w:t xml:space="preserve">long all the order transmission chain, </w:t>
      </w:r>
      <w:r w:rsidRPr="00782E67">
        <w:rPr>
          <w:rFonts w:asciiTheme="minorHAnsi" w:hAnsiTheme="minorHAnsi" w:cstheme="minorHAnsi"/>
          <w:color w:val="000000" w:themeColor="text1"/>
          <w:lang w:val="en-US"/>
        </w:rPr>
        <w:t>distribution within the reporting and storage</w:t>
      </w:r>
    </w:p>
    <w:p w14:paraId="25C81DA0" w14:textId="77777777" w:rsidR="00E9376B" w:rsidRPr="00782E67" w:rsidRDefault="00E9376B" w:rsidP="00E9376B">
      <w:pPr>
        <w:pStyle w:val="Paragraphedeliste"/>
        <w:numPr>
          <w:ilvl w:val="0"/>
          <w:numId w:val="15"/>
        </w:numPr>
        <w:spacing w:after="120" w:line="240" w:lineRule="auto"/>
        <w:rPr>
          <w:rFonts w:asciiTheme="minorHAnsi" w:hAnsiTheme="minorHAnsi" w:cstheme="minorHAnsi"/>
          <w:color w:val="000000" w:themeColor="text1"/>
          <w:lang w:val="en-US"/>
        </w:rPr>
      </w:pPr>
      <w:r w:rsidRPr="00782E67">
        <w:rPr>
          <w:rFonts w:asciiTheme="minorHAnsi" w:hAnsiTheme="minorHAnsi" w:cstheme="minorHAnsi"/>
          <w:color w:val="000000" w:themeColor="text1"/>
          <w:lang w:val="en-US"/>
        </w:rPr>
        <w:t>For « INTC »: creation, persistence (</w:t>
      </w:r>
      <w:r>
        <w:rPr>
          <w:rFonts w:asciiTheme="minorHAnsi" w:hAnsiTheme="minorHAnsi" w:cstheme="minorHAnsi"/>
          <w:color w:val="000000" w:themeColor="text1"/>
          <w:lang w:val="en-US"/>
        </w:rPr>
        <w:t xml:space="preserve">especially uniqueness and </w:t>
      </w:r>
      <w:proofErr w:type="spellStart"/>
      <w:r>
        <w:rPr>
          <w:rFonts w:asciiTheme="minorHAnsi" w:hAnsiTheme="minorHAnsi" w:cstheme="minorHAnsi"/>
          <w:color w:val="000000" w:themeColor="text1"/>
          <w:lang w:val="en-US"/>
        </w:rPr>
        <w:t>incrementation</w:t>
      </w:r>
      <w:proofErr w:type="spellEnd"/>
      <w:r>
        <w:rPr>
          <w:rFonts w:asciiTheme="minorHAnsi" w:hAnsiTheme="minorHAnsi" w:cstheme="minorHAnsi"/>
          <w:color w:val="000000" w:themeColor="text1"/>
          <w:lang w:val="en-US"/>
        </w:rPr>
        <w:t xml:space="preserve">), distribution within the reporting and storage. </w:t>
      </w:r>
    </w:p>
    <w:p w14:paraId="0925485D" w14:textId="77777777" w:rsidR="00E9376B" w:rsidRPr="009E77CF" w:rsidRDefault="00E9376B" w:rsidP="00E9376B">
      <w:pPr>
        <w:rPr>
          <w:rFonts w:cstheme="minorHAnsi"/>
          <w:color w:val="000000" w:themeColor="text1"/>
          <w:szCs w:val="22"/>
          <w:lang w:val="en-US"/>
        </w:rPr>
      </w:pPr>
      <w:r w:rsidRPr="009E77CF">
        <w:rPr>
          <w:rFonts w:cstheme="minorHAnsi"/>
          <w:color w:val="000000" w:themeColor="text1"/>
          <w:szCs w:val="22"/>
          <w:lang w:val="en-US"/>
        </w:rPr>
        <w:t>The question of their e</w:t>
      </w:r>
      <w:r>
        <w:rPr>
          <w:rFonts w:cstheme="minorHAnsi"/>
          <w:color w:val="000000" w:themeColor="text1"/>
          <w:szCs w:val="22"/>
          <w:lang w:val="en-US"/>
        </w:rPr>
        <w:t xml:space="preserve">volutions in case of transactions modification is also raised. </w:t>
      </w:r>
      <w:r w:rsidRPr="009E77CF">
        <w:rPr>
          <w:rFonts w:cstheme="minorHAnsi"/>
          <w:color w:val="000000" w:themeColor="text1"/>
          <w:szCs w:val="22"/>
          <w:lang w:val="en-US"/>
        </w:rPr>
        <w:t>In the previous mentioned example, suppose that the 150 a</w:t>
      </w:r>
      <w:r>
        <w:rPr>
          <w:rFonts w:cstheme="minorHAnsi"/>
          <w:color w:val="000000" w:themeColor="text1"/>
          <w:szCs w:val="22"/>
          <w:lang w:val="en-US"/>
        </w:rPr>
        <w:t xml:space="preserve">nd 450 securities sells are cancelled and replaced by 3 100 securities sells: </w:t>
      </w:r>
    </w:p>
    <w:p w14:paraId="7655C4F7" w14:textId="77777777" w:rsidR="00E9376B" w:rsidRPr="009E77CF" w:rsidRDefault="00E9376B" w:rsidP="00E9376B">
      <w:pPr>
        <w:pStyle w:val="Paragraphedeliste"/>
        <w:numPr>
          <w:ilvl w:val="0"/>
          <w:numId w:val="15"/>
        </w:numPr>
        <w:spacing w:after="120" w:line="240" w:lineRule="auto"/>
        <w:rPr>
          <w:rFonts w:asciiTheme="minorHAnsi" w:hAnsiTheme="minorHAnsi" w:cstheme="minorHAnsi"/>
          <w:color w:val="000000" w:themeColor="text1"/>
          <w:lang w:val="en-US"/>
        </w:rPr>
      </w:pPr>
      <w:r w:rsidRPr="009E77CF">
        <w:rPr>
          <w:rFonts w:asciiTheme="minorHAnsi" w:hAnsiTheme="minorHAnsi" w:cstheme="minorHAnsi"/>
          <w:color w:val="000000" w:themeColor="text1"/>
          <w:lang w:val="en-US"/>
        </w:rPr>
        <w:t>We should probably need a</w:t>
      </w:r>
      <w:r>
        <w:rPr>
          <w:rFonts w:asciiTheme="minorHAnsi" w:hAnsiTheme="minorHAnsi" w:cstheme="minorHAnsi"/>
          <w:color w:val="000000" w:themeColor="text1"/>
          <w:lang w:val="en-US"/>
        </w:rPr>
        <w:t xml:space="preserve"> new “INTC” reference</w:t>
      </w:r>
    </w:p>
    <w:p w14:paraId="537225E0" w14:textId="77777777" w:rsidR="00E9376B" w:rsidRPr="009E77CF" w:rsidRDefault="00E9376B" w:rsidP="00E9376B">
      <w:pPr>
        <w:pStyle w:val="Paragraphedeliste"/>
        <w:numPr>
          <w:ilvl w:val="0"/>
          <w:numId w:val="15"/>
        </w:numPr>
        <w:spacing w:after="120" w:line="240" w:lineRule="auto"/>
        <w:rPr>
          <w:rFonts w:asciiTheme="minorHAnsi" w:hAnsiTheme="minorHAnsi" w:cstheme="minorHAnsi"/>
          <w:color w:val="000000" w:themeColor="text1"/>
          <w:lang w:val="en-US"/>
        </w:rPr>
      </w:pPr>
      <w:r w:rsidRPr="009E77CF">
        <w:rPr>
          <w:rFonts w:asciiTheme="minorHAnsi" w:hAnsiTheme="minorHAnsi" w:cstheme="minorHAnsi"/>
          <w:color w:val="000000" w:themeColor="text1"/>
          <w:lang w:val="en-US"/>
        </w:rPr>
        <w:t>And thus modify the 3 r</w:t>
      </w:r>
      <w:r>
        <w:rPr>
          <w:rFonts w:asciiTheme="minorHAnsi" w:hAnsiTheme="minorHAnsi" w:cstheme="minorHAnsi"/>
          <w:color w:val="000000" w:themeColor="text1"/>
          <w:lang w:val="en-US"/>
        </w:rPr>
        <w:t>eporting facing the broker because they are not containing the proper “INTC” reference anymore</w:t>
      </w:r>
    </w:p>
    <w:p w14:paraId="5D23DCD0" w14:textId="77777777" w:rsidR="00E9376B" w:rsidRPr="00DA7D4F" w:rsidRDefault="00E9376B" w:rsidP="00E9376B">
      <w:pPr>
        <w:rPr>
          <w:rFonts w:cstheme="minorHAnsi"/>
          <w:color w:val="000000"/>
          <w:szCs w:val="22"/>
          <w:lang w:val="en-US"/>
        </w:rPr>
      </w:pPr>
      <w:r w:rsidRPr="009E77CF">
        <w:rPr>
          <w:rFonts w:cstheme="minorHAnsi"/>
          <w:color w:val="000000"/>
          <w:szCs w:val="22"/>
          <w:lang w:val="en-US"/>
        </w:rPr>
        <w:t>Enforce such references had b</w:t>
      </w:r>
      <w:r>
        <w:rPr>
          <w:rFonts w:cstheme="minorHAnsi"/>
          <w:color w:val="000000"/>
          <w:szCs w:val="22"/>
          <w:lang w:val="en-US"/>
        </w:rPr>
        <w:t>een found too heavy at the inception; consider their introduction in retrospect does not mitigate any implementation difficulties but does increase cost and risks (it is always very complicated to introduce originally unaddressed features).</w:t>
      </w:r>
    </w:p>
    <w:p w14:paraId="43DAFA9E" w14:textId="77777777" w:rsidR="00E9376B" w:rsidRPr="00DA7D4F" w:rsidRDefault="00E9376B" w:rsidP="00E9376B">
      <w:pPr>
        <w:rPr>
          <w:rFonts w:cstheme="minorHAnsi"/>
          <w:color w:val="000000"/>
          <w:szCs w:val="22"/>
          <w:lang w:val="en-US"/>
        </w:rPr>
      </w:pPr>
      <w:r w:rsidRPr="00DA7D4F">
        <w:rPr>
          <w:rFonts w:cstheme="minorHAnsi"/>
          <w:color w:val="000000"/>
          <w:szCs w:val="22"/>
          <w:lang w:val="en-US"/>
        </w:rPr>
        <w:t>Accordingly, we do not a</w:t>
      </w:r>
      <w:r>
        <w:rPr>
          <w:rFonts w:cstheme="minorHAnsi"/>
          <w:color w:val="000000"/>
          <w:szCs w:val="22"/>
          <w:lang w:val="en-US"/>
        </w:rPr>
        <w:t>pprove of 2 references addition and would like to emphasize the need of sufficient anteriority with the reporting exploitation before any change.</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45A42DE3" w14:textId="77777777" w:rsidR="00E9376B" w:rsidRPr="0001383D" w:rsidRDefault="00E9376B" w:rsidP="00E9376B">
      <w:pPr>
        <w:rPr>
          <w:rFonts w:cstheme="minorHAnsi"/>
          <w:color w:val="000000" w:themeColor="text1"/>
          <w:szCs w:val="22"/>
          <w:lang w:val="en-US"/>
        </w:rPr>
      </w:pPr>
      <w:permStart w:id="580139045" w:edGrp="everyone"/>
      <w:r w:rsidRPr="0001383D">
        <w:rPr>
          <w:rFonts w:cstheme="minorHAnsi"/>
          <w:color w:val="000000" w:themeColor="text1"/>
          <w:szCs w:val="22"/>
          <w:lang w:val="en-US"/>
        </w:rPr>
        <w:t>Yes</w:t>
      </w:r>
    </w:p>
    <w:p w14:paraId="468142D8" w14:textId="77777777" w:rsidR="00E9376B" w:rsidRPr="00DA7D4F" w:rsidRDefault="00E9376B" w:rsidP="00E9376B">
      <w:pPr>
        <w:rPr>
          <w:rFonts w:cstheme="minorHAnsi"/>
          <w:color w:val="000000" w:themeColor="text1"/>
          <w:szCs w:val="22"/>
          <w:lang w:val="en-US"/>
        </w:rPr>
      </w:pPr>
      <w:r w:rsidRPr="00DA7D4F">
        <w:rPr>
          <w:rFonts w:cstheme="minorHAnsi"/>
          <w:color w:val="000000" w:themeColor="text1"/>
          <w:szCs w:val="22"/>
          <w:lang w:val="en-US"/>
        </w:rPr>
        <w:t>This information is irrelevant c</w:t>
      </w:r>
      <w:r>
        <w:rPr>
          <w:rFonts w:cstheme="minorHAnsi"/>
          <w:color w:val="000000" w:themeColor="text1"/>
          <w:szCs w:val="22"/>
          <w:lang w:val="en-US"/>
        </w:rPr>
        <w:t>onsidering market surveillance.</w:t>
      </w:r>
    </w:p>
    <w:p w14:paraId="67EE2917" w14:textId="77777777" w:rsidR="00E9376B" w:rsidRPr="00DA7D4F" w:rsidRDefault="00E9376B" w:rsidP="00E9376B">
      <w:pPr>
        <w:rPr>
          <w:rFonts w:cstheme="minorHAnsi"/>
          <w:color w:val="000000" w:themeColor="text1"/>
          <w:szCs w:val="22"/>
          <w:lang w:val="en-US"/>
        </w:rPr>
      </w:pPr>
      <w:r w:rsidRPr="00DA7D4F">
        <w:rPr>
          <w:rFonts w:cstheme="minorHAnsi"/>
          <w:color w:val="000000" w:themeColor="text1"/>
          <w:szCs w:val="22"/>
          <w:lang w:val="en-US"/>
        </w:rPr>
        <w:t>We understand that this information might be relevant for the re</w:t>
      </w:r>
      <w:r>
        <w:rPr>
          <w:rFonts w:cstheme="minorHAnsi"/>
          <w:color w:val="000000" w:themeColor="text1"/>
          <w:szCs w:val="22"/>
          <w:lang w:val="en-US"/>
        </w:rPr>
        <w:t xml:space="preserve">gulator for other needs such as allowing better knowledge of financial market participants, identifying market </w:t>
      </w:r>
      <w:proofErr w:type="gramStart"/>
      <w:r>
        <w:rPr>
          <w:rFonts w:cstheme="minorHAnsi"/>
          <w:color w:val="000000" w:themeColor="text1"/>
          <w:szCs w:val="22"/>
          <w:lang w:val="en-US"/>
        </w:rPr>
        <w:t>trends, …</w:t>
      </w:r>
      <w:proofErr w:type="gramEnd"/>
      <w:r>
        <w:rPr>
          <w:rFonts w:cstheme="minorHAnsi"/>
          <w:color w:val="000000" w:themeColor="text1"/>
          <w:szCs w:val="22"/>
          <w:lang w:val="en-US"/>
        </w:rPr>
        <w:t xml:space="preserve"> but costs related to this change seems to us disproportionate to the aim pursued</w:t>
      </w:r>
      <w:r w:rsidRPr="00DA7D4F">
        <w:rPr>
          <w:rFonts w:cstheme="minorHAnsi"/>
          <w:color w:val="000000" w:themeColor="text1"/>
          <w:szCs w:val="22"/>
          <w:lang w:val="en-US"/>
        </w:rPr>
        <w:t>.</w:t>
      </w:r>
    </w:p>
    <w:p w14:paraId="36AB4247" w14:textId="77777777" w:rsidR="00E9376B" w:rsidRPr="00F50988" w:rsidRDefault="00E9376B" w:rsidP="00E9376B">
      <w:pPr>
        <w:rPr>
          <w:rFonts w:cstheme="minorHAnsi"/>
          <w:color w:val="000000" w:themeColor="text1"/>
          <w:szCs w:val="22"/>
          <w:lang w:val="en-US"/>
        </w:rPr>
      </w:pPr>
      <w:r w:rsidRPr="00F50988">
        <w:rPr>
          <w:rFonts w:cstheme="minorHAnsi"/>
          <w:color w:val="000000" w:themeColor="text1"/>
          <w:szCs w:val="22"/>
          <w:lang w:val="en-US"/>
        </w:rPr>
        <w:t>Moreover, what are the c</w:t>
      </w:r>
      <w:r>
        <w:rPr>
          <w:rFonts w:cstheme="minorHAnsi"/>
          <w:color w:val="000000" w:themeColor="text1"/>
          <w:szCs w:val="22"/>
          <w:lang w:val="en-US"/>
        </w:rPr>
        <w:t xml:space="preserve">onsequences if the investor has different client classification with several financial institutions? </w:t>
      </w:r>
    </w:p>
    <w:p w14:paraId="0A946635" w14:textId="77777777" w:rsidR="00E9376B" w:rsidRPr="00F50988" w:rsidRDefault="00E9376B" w:rsidP="00E9376B">
      <w:pPr>
        <w:rPr>
          <w:rFonts w:cstheme="minorHAnsi"/>
          <w:color w:val="000000" w:themeColor="text1"/>
          <w:szCs w:val="22"/>
          <w:lang w:val="en-US"/>
        </w:rPr>
      </w:pPr>
      <w:r w:rsidRPr="00F50988">
        <w:rPr>
          <w:rFonts w:cstheme="minorHAnsi"/>
          <w:color w:val="000000" w:themeColor="text1"/>
          <w:szCs w:val="22"/>
          <w:lang w:val="en-US"/>
        </w:rPr>
        <w:t>If this information would have to be communicated impacts would be significant:</w:t>
      </w:r>
    </w:p>
    <w:p w14:paraId="7A21AFCE" w14:textId="77777777" w:rsidR="00E9376B" w:rsidRPr="00F50988" w:rsidRDefault="00E9376B" w:rsidP="00E9376B">
      <w:pPr>
        <w:pStyle w:val="Paragraphedeliste"/>
        <w:numPr>
          <w:ilvl w:val="0"/>
          <w:numId w:val="11"/>
        </w:numPr>
        <w:spacing w:after="0" w:line="240" w:lineRule="auto"/>
        <w:rPr>
          <w:rFonts w:asciiTheme="minorHAnsi" w:hAnsiTheme="minorHAnsi" w:cs="Arial"/>
          <w:bCs/>
          <w:kern w:val="32"/>
          <w:lang w:val="en-US"/>
        </w:rPr>
      </w:pPr>
      <w:r w:rsidRPr="00F50988">
        <w:rPr>
          <w:rFonts w:asciiTheme="minorHAnsi" w:hAnsiTheme="minorHAnsi" w:cs="Arial"/>
          <w:bCs/>
          <w:kern w:val="32"/>
          <w:lang w:val="en-US"/>
        </w:rPr>
        <w:t>Information collection (the registrant i</w:t>
      </w:r>
      <w:r>
        <w:rPr>
          <w:rFonts w:asciiTheme="minorHAnsi" w:hAnsiTheme="minorHAnsi" w:cs="Arial"/>
          <w:bCs/>
          <w:kern w:val="32"/>
          <w:lang w:val="en-US"/>
        </w:rPr>
        <w:t>s not systematically the entity managing client relationship)</w:t>
      </w:r>
    </w:p>
    <w:p w14:paraId="796266A5" w14:textId="77777777" w:rsidR="00E9376B" w:rsidRPr="00E72814" w:rsidRDefault="00E9376B" w:rsidP="00E9376B">
      <w:pPr>
        <w:pStyle w:val="Paragraphedeliste"/>
        <w:numPr>
          <w:ilvl w:val="0"/>
          <w:numId w:val="11"/>
        </w:numPr>
        <w:spacing w:after="0" w:line="240" w:lineRule="auto"/>
        <w:rPr>
          <w:rFonts w:asciiTheme="minorHAnsi" w:hAnsiTheme="minorHAnsi" w:cs="Arial"/>
          <w:bCs/>
          <w:kern w:val="32"/>
          <w:lang w:val="en-US"/>
        </w:rPr>
      </w:pPr>
      <w:r w:rsidRPr="00E72814">
        <w:rPr>
          <w:rFonts w:asciiTheme="minorHAnsi" w:hAnsiTheme="minorHAnsi" w:cs="Arial"/>
          <w:bCs/>
          <w:kern w:val="32"/>
          <w:lang w:val="en-US"/>
        </w:rPr>
        <w:t>Being able to store t</w:t>
      </w:r>
      <w:r>
        <w:rPr>
          <w:rFonts w:asciiTheme="minorHAnsi" w:hAnsiTheme="minorHAnsi" w:cs="Arial"/>
          <w:bCs/>
          <w:kern w:val="32"/>
          <w:lang w:val="en-US"/>
        </w:rPr>
        <w:t xml:space="preserve">he information within used repositories for reporting production </w:t>
      </w:r>
    </w:p>
    <w:p w14:paraId="4F08CF09" w14:textId="77777777" w:rsidR="00E9376B" w:rsidRPr="00E72814" w:rsidRDefault="00E9376B" w:rsidP="00E9376B">
      <w:pPr>
        <w:pStyle w:val="Paragraphedeliste"/>
        <w:numPr>
          <w:ilvl w:val="0"/>
          <w:numId w:val="11"/>
        </w:numPr>
        <w:spacing w:after="0" w:line="240" w:lineRule="auto"/>
        <w:rPr>
          <w:rFonts w:asciiTheme="minorHAnsi" w:hAnsiTheme="minorHAnsi" w:cs="Arial"/>
          <w:bCs/>
          <w:kern w:val="32"/>
          <w:lang w:val="en-US"/>
        </w:rPr>
      </w:pPr>
      <w:r w:rsidRPr="00E72814">
        <w:rPr>
          <w:rFonts w:asciiTheme="minorHAnsi" w:hAnsiTheme="minorHAnsi" w:cs="Arial"/>
          <w:bCs/>
          <w:kern w:val="32"/>
          <w:lang w:val="en-US"/>
        </w:rPr>
        <w:t>Disclose the information taking i</w:t>
      </w:r>
      <w:r>
        <w:rPr>
          <w:rFonts w:asciiTheme="minorHAnsi" w:hAnsiTheme="minorHAnsi" w:cs="Arial"/>
          <w:bCs/>
          <w:kern w:val="32"/>
          <w:lang w:val="en-US"/>
        </w:rPr>
        <w:t xml:space="preserve">nto account a new message template </w:t>
      </w:r>
    </w:p>
    <w:p w14:paraId="1FFB794B" w14:textId="77777777" w:rsidR="00E9376B" w:rsidRPr="00705CE2" w:rsidRDefault="00E9376B" w:rsidP="00E9376B">
      <w:pPr>
        <w:spacing w:after="0"/>
        <w:rPr>
          <w:rFonts w:cs="Arial"/>
          <w:bCs/>
          <w:kern w:val="32"/>
          <w:szCs w:val="22"/>
          <w:lang w:val="en-US"/>
        </w:rPr>
      </w:pPr>
    </w:p>
    <w:p w14:paraId="0D68F0BD" w14:textId="77777777" w:rsidR="00E9376B" w:rsidRPr="006D298B" w:rsidRDefault="00E9376B" w:rsidP="00E9376B">
      <w:pPr>
        <w:rPr>
          <w:rFonts w:cstheme="minorHAnsi"/>
          <w:szCs w:val="22"/>
          <w:lang w:val="en-US"/>
        </w:rPr>
      </w:pPr>
      <w:r w:rsidRPr="006D298B">
        <w:rPr>
          <w:rFonts w:cstheme="minorHAnsi"/>
          <w:szCs w:val="22"/>
          <w:lang w:val="en-US"/>
        </w:rPr>
        <w:t>In the absence of more precisions on information usage by the regulators we are not in a position of suggesting alternative solution.</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77777777" w:rsidR="000B0D26" w:rsidRDefault="000B0D26" w:rsidP="000B0D26">
      <w:permStart w:id="197869488" w:edGrp="everyone"/>
      <w:r>
        <w:t>TYPE YOUR TEXT HERE</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74FF4E04" w14:textId="77777777" w:rsidR="00E9376B" w:rsidRPr="00E72814" w:rsidRDefault="00E9376B" w:rsidP="00E9376B">
      <w:pPr>
        <w:rPr>
          <w:rFonts w:cstheme="minorHAnsi"/>
          <w:color w:val="000000" w:themeColor="text1"/>
          <w:szCs w:val="22"/>
          <w:lang w:val="en-US"/>
        </w:rPr>
      </w:pPr>
      <w:permStart w:id="657135577" w:edGrp="everyone"/>
      <w:r w:rsidRPr="00E72814">
        <w:rPr>
          <w:rFonts w:cstheme="minorHAnsi"/>
          <w:color w:val="000000" w:themeColor="text1"/>
          <w:szCs w:val="22"/>
          <w:lang w:val="en-US"/>
        </w:rPr>
        <w:t>AFTI advises to remove s</w:t>
      </w:r>
      <w:r>
        <w:rPr>
          <w:rFonts w:cstheme="minorHAnsi"/>
          <w:color w:val="000000" w:themeColor="text1"/>
          <w:szCs w:val="22"/>
          <w:lang w:val="en-US"/>
        </w:rPr>
        <w:t xml:space="preserve">hort selling flag, without modifying file format, field might become available for another change. </w:t>
      </w:r>
    </w:p>
    <w:p w14:paraId="0160F4FB" w14:textId="77777777" w:rsidR="00E9376B" w:rsidRPr="00E72814" w:rsidRDefault="00E9376B" w:rsidP="00E9376B">
      <w:pPr>
        <w:rPr>
          <w:rFonts w:cstheme="minorHAnsi"/>
          <w:color w:val="000000" w:themeColor="text1"/>
          <w:szCs w:val="22"/>
          <w:lang w:val="en-US"/>
        </w:rPr>
      </w:pPr>
      <w:r w:rsidRPr="00E72814">
        <w:rPr>
          <w:rFonts w:cstheme="minorHAnsi"/>
          <w:color w:val="000000" w:themeColor="text1"/>
          <w:szCs w:val="22"/>
          <w:lang w:val="en-US"/>
        </w:rPr>
        <w:t xml:space="preserve">In this case, a </w:t>
      </w:r>
      <w:r>
        <w:rPr>
          <w:rFonts w:cstheme="minorHAnsi"/>
          <w:color w:val="000000" w:themeColor="text1"/>
          <w:szCs w:val="22"/>
          <w:lang w:val="en-US"/>
        </w:rPr>
        <w:t xml:space="preserve">field </w:t>
      </w:r>
      <w:r w:rsidRPr="00E72814">
        <w:rPr>
          <w:rFonts w:cstheme="minorHAnsi"/>
          <w:color w:val="000000" w:themeColor="text1"/>
          <w:szCs w:val="22"/>
          <w:lang w:val="en-US"/>
        </w:rPr>
        <w:t>mea</w:t>
      </w:r>
      <w:r>
        <w:rPr>
          <w:rFonts w:cstheme="minorHAnsi"/>
          <w:color w:val="000000" w:themeColor="text1"/>
          <w:szCs w:val="22"/>
          <w:lang w:val="en-US"/>
        </w:rPr>
        <w:t xml:space="preserve">ning change raises the issue of data archiving. </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77777777" w:rsidR="000B0D26" w:rsidRDefault="000B0D26" w:rsidP="000B0D26">
      <w:permStart w:id="300050786" w:edGrp="everyone"/>
      <w:r>
        <w:t>TYPE YOUR TEXT HERE</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7777777" w:rsidR="000B0D26" w:rsidRDefault="000B0D26" w:rsidP="000B0D26">
      <w:permStart w:id="783692263" w:edGrp="everyone"/>
      <w:r>
        <w:t>TYPE YOUR TEXT HERE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55F442D2" w14:textId="77777777" w:rsidR="00E9376B" w:rsidRPr="0001383D" w:rsidRDefault="00E9376B" w:rsidP="00E9376B">
      <w:pPr>
        <w:rPr>
          <w:rFonts w:cstheme="minorHAnsi"/>
          <w:color w:val="000000" w:themeColor="text1"/>
          <w:szCs w:val="22"/>
          <w:lang w:val="en-US"/>
        </w:rPr>
      </w:pPr>
      <w:permStart w:id="1698904276" w:edGrp="everyone"/>
      <w:r w:rsidRPr="0001383D">
        <w:rPr>
          <w:rFonts w:cstheme="minorHAnsi"/>
          <w:color w:val="000000" w:themeColor="text1"/>
          <w:szCs w:val="22"/>
          <w:lang w:val="en-US"/>
        </w:rPr>
        <w:t>No</w:t>
      </w:r>
    </w:p>
    <w:p w14:paraId="16B463A9" w14:textId="77777777" w:rsidR="00E9376B" w:rsidRPr="005C0D78" w:rsidRDefault="00E9376B" w:rsidP="00E9376B">
      <w:pPr>
        <w:rPr>
          <w:rFonts w:cstheme="minorHAnsi"/>
          <w:color w:val="000000" w:themeColor="text1"/>
          <w:szCs w:val="22"/>
          <w:lang w:val="en-US"/>
        </w:rPr>
      </w:pPr>
      <w:r w:rsidRPr="005C0D78">
        <w:rPr>
          <w:rFonts w:cstheme="minorHAnsi"/>
          <w:color w:val="000000" w:themeColor="text1"/>
          <w:szCs w:val="22"/>
          <w:lang w:val="en-US"/>
        </w:rPr>
        <w:t>MIFIR article 26 allows today a</w:t>
      </w:r>
      <w:r>
        <w:rPr>
          <w:rFonts w:cstheme="minorHAnsi"/>
          <w:color w:val="000000" w:themeColor="text1"/>
          <w:szCs w:val="22"/>
          <w:lang w:val="en-US"/>
        </w:rPr>
        <w:t>n Investment Firm that does not execute the transaction to</w:t>
      </w:r>
    </w:p>
    <w:p w14:paraId="215FF70E" w14:textId="77777777" w:rsidR="00E9376B" w:rsidRDefault="00E9376B" w:rsidP="00E9376B">
      <w:pPr>
        <w:pStyle w:val="Paragraphedeliste"/>
        <w:numPr>
          <w:ilvl w:val="0"/>
          <w:numId w:val="16"/>
        </w:numPr>
        <w:spacing w:after="0" w:line="240" w:lineRule="auto"/>
        <w:jc w:val="left"/>
        <w:rPr>
          <w:rFonts w:asciiTheme="minorHAnsi" w:hAnsiTheme="minorHAnsi" w:cstheme="minorHAnsi"/>
          <w:color w:val="000000"/>
          <w:lang w:val="en-US"/>
        </w:rPr>
      </w:pPr>
      <w:r w:rsidRPr="005C0D78">
        <w:rPr>
          <w:rFonts w:asciiTheme="minorHAnsi" w:hAnsiTheme="minorHAnsi" w:cstheme="minorHAnsi"/>
          <w:color w:val="000000"/>
          <w:lang w:val="en-US"/>
        </w:rPr>
        <w:t>Either produc</w:t>
      </w:r>
      <w:r>
        <w:rPr>
          <w:rFonts w:asciiTheme="minorHAnsi" w:hAnsiTheme="minorHAnsi" w:cstheme="minorHAnsi"/>
          <w:color w:val="000000"/>
          <w:lang w:val="en-US"/>
        </w:rPr>
        <w:t>e</w:t>
      </w:r>
      <w:r w:rsidRPr="005C0D78">
        <w:rPr>
          <w:rFonts w:asciiTheme="minorHAnsi" w:hAnsiTheme="minorHAnsi" w:cstheme="minorHAnsi"/>
          <w:color w:val="000000"/>
          <w:lang w:val="en-US"/>
        </w:rPr>
        <w:t xml:space="preserve"> an additional re</w:t>
      </w:r>
      <w:r>
        <w:rPr>
          <w:rFonts w:asciiTheme="minorHAnsi" w:hAnsiTheme="minorHAnsi" w:cstheme="minorHAnsi"/>
          <w:color w:val="000000"/>
          <w:lang w:val="en-US"/>
        </w:rPr>
        <w:t xml:space="preserve">porting to the one of the executing entity </w:t>
      </w:r>
    </w:p>
    <w:p w14:paraId="79959173" w14:textId="77777777" w:rsidR="00E9376B" w:rsidRDefault="00E9376B" w:rsidP="00E9376B">
      <w:pPr>
        <w:pStyle w:val="Paragraphedeliste"/>
        <w:numPr>
          <w:ilvl w:val="0"/>
          <w:numId w:val="16"/>
        </w:numPr>
        <w:spacing w:after="0" w:line="240" w:lineRule="auto"/>
        <w:jc w:val="left"/>
        <w:rPr>
          <w:rFonts w:asciiTheme="minorHAnsi" w:hAnsiTheme="minorHAnsi" w:cstheme="minorHAnsi"/>
          <w:color w:val="000000"/>
          <w:lang w:val="en-US"/>
        </w:rPr>
      </w:pPr>
      <w:r>
        <w:rPr>
          <w:rFonts w:asciiTheme="minorHAnsi" w:hAnsiTheme="minorHAnsi" w:cstheme="minorHAnsi"/>
          <w:color w:val="000000"/>
          <w:lang w:val="en-US"/>
        </w:rPr>
        <w:t>Or disclose to the executing entity all mandatory information in order for it to perform the complete reporting</w:t>
      </w:r>
    </w:p>
    <w:p w14:paraId="79F9DFE9" w14:textId="77777777" w:rsidR="00E9376B" w:rsidRPr="005C0D78" w:rsidRDefault="00E9376B" w:rsidP="00E9376B">
      <w:pPr>
        <w:pStyle w:val="Paragraphedeliste"/>
        <w:spacing w:after="0"/>
        <w:jc w:val="left"/>
        <w:rPr>
          <w:rFonts w:asciiTheme="minorHAnsi" w:hAnsiTheme="minorHAnsi" w:cstheme="minorHAnsi"/>
          <w:color w:val="000000"/>
          <w:lang w:val="en-US"/>
        </w:rPr>
      </w:pPr>
    </w:p>
    <w:p w14:paraId="020FE6A8" w14:textId="77777777" w:rsidR="00E9376B" w:rsidRPr="009870C2" w:rsidRDefault="00E9376B" w:rsidP="00E9376B">
      <w:pPr>
        <w:rPr>
          <w:rFonts w:cstheme="minorHAnsi"/>
          <w:color w:val="000000" w:themeColor="text1"/>
          <w:szCs w:val="22"/>
          <w:lang w:val="en-US"/>
        </w:rPr>
      </w:pPr>
      <w:r w:rsidRPr="002C26FF">
        <w:rPr>
          <w:rFonts w:cstheme="minorHAnsi"/>
          <w:color w:val="000000" w:themeColor="text1"/>
          <w:szCs w:val="22"/>
          <w:lang w:val="en-US"/>
        </w:rPr>
        <w:t xml:space="preserve">The solution </w:t>
      </w:r>
      <w:r>
        <w:rPr>
          <w:rFonts w:cstheme="minorHAnsi"/>
          <w:color w:val="000000" w:themeColor="text1"/>
          <w:szCs w:val="22"/>
          <w:lang w:val="en-US"/>
        </w:rPr>
        <w:t xml:space="preserve">of an entity transmitting orders in the mean of the article 26(4) of MIFIR </w:t>
      </w:r>
      <w:r w:rsidRPr="002C26FF">
        <w:rPr>
          <w:rFonts w:cstheme="minorHAnsi"/>
          <w:color w:val="000000" w:themeColor="text1"/>
          <w:szCs w:val="22"/>
          <w:lang w:val="en-US"/>
        </w:rPr>
        <w:t>has</w:t>
      </w:r>
      <w:r>
        <w:rPr>
          <w:rFonts w:cstheme="minorHAnsi"/>
          <w:color w:val="000000" w:themeColor="text1"/>
          <w:szCs w:val="22"/>
          <w:lang w:val="en-US"/>
        </w:rPr>
        <w:t xml:space="preserve"> been taken in due consideration when the entry into force of the new reporting. </w:t>
      </w:r>
      <w:r w:rsidRPr="002C26FF">
        <w:rPr>
          <w:rFonts w:cstheme="minorHAnsi"/>
          <w:color w:val="000000" w:themeColor="text1"/>
          <w:szCs w:val="22"/>
          <w:lang w:val="en-US"/>
        </w:rPr>
        <w:t xml:space="preserve">The complexity of tis implementation (technical, </w:t>
      </w:r>
      <w:proofErr w:type="gramStart"/>
      <w:r w:rsidRPr="002C26FF">
        <w:rPr>
          <w:rFonts w:cstheme="minorHAnsi"/>
          <w:color w:val="000000" w:themeColor="text1"/>
          <w:szCs w:val="22"/>
          <w:lang w:val="en-US"/>
        </w:rPr>
        <w:t>legal, …)</w:t>
      </w:r>
      <w:proofErr w:type="gramEnd"/>
      <w:r w:rsidRPr="002C26FF">
        <w:rPr>
          <w:rFonts w:cstheme="minorHAnsi"/>
          <w:color w:val="000000" w:themeColor="text1"/>
          <w:szCs w:val="22"/>
          <w:lang w:val="en-US"/>
        </w:rPr>
        <w:t xml:space="preserve"> has been c</w:t>
      </w:r>
      <w:r>
        <w:rPr>
          <w:rFonts w:cstheme="minorHAnsi"/>
          <w:color w:val="000000" w:themeColor="text1"/>
          <w:szCs w:val="22"/>
          <w:lang w:val="en-US"/>
        </w:rPr>
        <w:t xml:space="preserve">onsidered disproportionate and unacceptable. </w:t>
      </w:r>
      <w:r w:rsidRPr="009870C2">
        <w:rPr>
          <w:rFonts w:cstheme="minorHAnsi"/>
          <w:color w:val="000000" w:themeColor="text1"/>
          <w:szCs w:val="22"/>
          <w:lang w:val="en-US"/>
        </w:rPr>
        <w:t xml:space="preserve">Thus, in France </w:t>
      </w:r>
      <w:r>
        <w:rPr>
          <w:rFonts w:cstheme="minorHAnsi"/>
          <w:color w:val="000000" w:themeColor="text1"/>
          <w:szCs w:val="22"/>
          <w:lang w:val="en-US"/>
        </w:rPr>
        <w:t>around 90</w:t>
      </w:r>
      <w:r w:rsidRPr="009870C2">
        <w:rPr>
          <w:rFonts w:cstheme="minorHAnsi"/>
          <w:color w:val="000000" w:themeColor="text1"/>
          <w:szCs w:val="22"/>
          <w:lang w:val="en-US"/>
        </w:rPr>
        <w:t>% of non-executing entities have preferred t</w:t>
      </w:r>
      <w:r>
        <w:rPr>
          <w:rFonts w:cstheme="minorHAnsi"/>
          <w:color w:val="000000" w:themeColor="text1"/>
          <w:szCs w:val="22"/>
          <w:lang w:val="en-US"/>
        </w:rPr>
        <w:t xml:space="preserve">o produce additional reporting. </w:t>
      </w:r>
    </w:p>
    <w:p w14:paraId="37107BFF" w14:textId="77777777" w:rsidR="00E9376B" w:rsidRPr="009870C2" w:rsidRDefault="00E9376B" w:rsidP="00E9376B">
      <w:pPr>
        <w:rPr>
          <w:rFonts w:cstheme="minorHAnsi"/>
          <w:color w:val="000000" w:themeColor="text1"/>
          <w:szCs w:val="22"/>
          <w:lang w:val="en-US"/>
        </w:rPr>
      </w:pPr>
      <w:r w:rsidRPr="009870C2">
        <w:rPr>
          <w:rFonts w:cstheme="minorHAnsi"/>
          <w:color w:val="000000" w:themeColor="text1"/>
          <w:szCs w:val="22"/>
          <w:lang w:val="en-US"/>
        </w:rPr>
        <w:t>We understand the intent b</w:t>
      </w:r>
      <w:r>
        <w:rPr>
          <w:rFonts w:cstheme="minorHAnsi"/>
          <w:color w:val="000000" w:themeColor="text1"/>
          <w:szCs w:val="22"/>
          <w:lang w:val="en-US"/>
        </w:rPr>
        <w:t xml:space="preserve">ehind this proposition but force an entity to declare on behalf of another entity once this has provided it with all mandatory information can in no way </w:t>
      </w:r>
      <w:proofErr w:type="spellStart"/>
      <w:r>
        <w:rPr>
          <w:rFonts w:cstheme="minorHAnsi"/>
          <w:color w:val="000000" w:themeColor="text1"/>
          <w:szCs w:val="22"/>
          <w:lang w:val="en-US"/>
        </w:rPr>
        <w:t>dimmish</w:t>
      </w:r>
      <w:proofErr w:type="spellEnd"/>
      <w:r>
        <w:rPr>
          <w:rFonts w:cstheme="minorHAnsi"/>
          <w:color w:val="000000" w:themeColor="text1"/>
          <w:szCs w:val="22"/>
          <w:lang w:val="en-US"/>
        </w:rPr>
        <w:t xml:space="preserve"> solution complexity and brings no answer to issues raised by that time: </w:t>
      </w:r>
    </w:p>
    <w:p w14:paraId="0E71ABA0" w14:textId="77777777" w:rsidR="00E9376B" w:rsidRPr="009870C2" w:rsidRDefault="00E9376B" w:rsidP="00E9376B">
      <w:pPr>
        <w:pStyle w:val="Paragraphedeliste"/>
        <w:numPr>
          <w:ilvl w:val="0"/>
          <w:numId w:val="16"/>
        </w:numPr>
        <w:spacing w:after="120" w:line="240" w:lineRule="auto"/>
        <w:rPr>
          <w:rFonts w:asciiTheme="minorHAnsi" w:hAnsiTheme="minorHAnsi" w:cstheme="minorHAnsi"/>
          <w:color w:val="000000" w:themeColor="text1"/>
          <w:lang w:val="en-US"/>
        </w:rPr>
      </w:pPr>
      <w:r w:rsidRPr="009870C2">
        <w:rPr>
          <w:rFonts w:asciiTheme="minorHAnsi" w:hAnsiTheme="minorHAnsi" w:cstheme="minorHAnsi"/>
          <w:color w:val="000000" w:themeColor="text1"/>
          <w:lang w:val="en-US"/>
        </w:rPr>
        <w:t>Adjustment of orders transmission c</w:t>
      </w:r>
      <w:r>
        <w:rPr>
          <w:rFonts w:asciiTheme="minorHAnsi" w:hAnsiTheme="minorHAnsi" w:cstheme="minorHAnsi"/>
          <w:color w:val="000000" w:themeColor="text1"/>
          <w:lang w:val="en-US"/>
        </w:rPr>
        <w:t>hains to integrate declaration data (</w:t>
      </w:r>
      <w:proofErr w:type="spellStart"/>
      <w:r>
        <w:rPr>
          <w:rFonts w:asciiTheme="minorHAnsi" w:hAnsiTheme="minorHAnsi" w:cstheme="minorHAnsi"/>
          <w:color w:val="000000" w:themeColor="text1"/>
          <w:lang w:val="en-US"/>
        </w:rPr>
        <w:t>ie</w:t>
      </w:r>
      <w:proofErr w:type="spellEnd"/>
      <w:r>
        <w:rPr>
          <w:rFonts w:asciiTheme="minorHAnsi" w:hAnsiTheme="minorHAnsi" w:cstheme="minorHAnsi"/>
          <w:color w:val="000000" w:themeColor="text1"/>
          <w:lang w:val="en-US"/>
        </w:rPr>
        <w:t>. Voice orders?)</w:t>
      </w:r>
    </w:p>
    <w:p w14:paraId="39D1D644" w14:textId="77777777" w:rsidR="00E9376B" w:rsidRDefault="00E9376B" w:rsidP="00E9376B">
      <w:pPr>
        <w:pStyle w:val="Paragraphedeliste"/>
        <w:numPr>
          <w:ilvl w:val="0"/>
          <w:numId w:val="16"/>
        </w:numPr>
        <w:spacing w:after="120" w:line="240" w:lineRule="auto"/>
        <w:rPr>
          <w:rFonts w:asciiTheme="minorHAnsi" w:hAnsiTheme="minorHAnsi" w:cstheme="minorHAnsi"/>
          <w:color w:val="000000" w:themeColor="text1"/>
          <w:lang w:val="en-US"/>
        </w:rPr>
      </w:pPr>
      <w:r w:rsidRPr="00187330">
        <w:rPr>
          <w:rFonts w:asciiTheme="minorHAnsi" w:hAnsiTheme="minorHAnsi" w:cstheme="minorHAnsi"/>
          <w:color w:val="000000" w:themeColor="text1"/>
          <w:lang w:val="en-US"/>
        </w:rPr>
        <w:t>What executing entity should h</w:t>
      </w:r>
      <w:r>
        <w:rPr>
          <w:rFonts w:asciiTheme="minorHAnsi" w:hAnsiTheme="minorHAnsi" w:cstheme="minorHAnsi"/>
          <w:color w:val="000000" w:themeColor="text1"/>
          <w:lang w:val="en-US"/>
        </w:rPr>
        <w:t>ave to do when waiting for an order “with data” but some are missing or incorrect? Refuse to take the order or execute it? (No Data = No trade?)</w:t>
      </w:r>
    </w:p>
    <w:p w14:paraId="4215D0EF" w14:textId="77777777" w:rsidR="00E9376B" w:rsidRPr="00187330" w:rsidRDefault="00E9376B" w:rsidP="00E9376B">
      <w:pPr>
        <w:pStyle w:val="Paragraphedeliste"/>
        <w:numPr>
          <w:ilvl w:val="0"/>
          <w:numId w:val="16"/>
        </w:numPr>
        <w:spacing w:after="120" w:line="240" w:lineRule="auto"/>
        <w:rPr>
          <w:rFonts w:asciiTheme="minorHAnsi" w:hAnsiTheme="minorHAnsi" w:cstheme="minorHAnsi"/>
          <w:color w:val="000000" w:themeColor="text1"/>
          <w:lang w:val="en-US"/>
        </w:rPr>
      </w:pPr>
      <w:r>
        <w:rPr>
          <w:rFonts w:asciiTheme="minorHAnsi" w:hAnsiTheme="minorHAnsi" w:cstheme="minorHAnsi"/>
          <w:color w:val="000000" w:themeColor="text1"/>
          <w:lang w:val="en-US"/>
        </w:rPr>
        <w:t>Who is responsible of client’s data?</w:t>
      </w:r>
    </w:p>
    <w:p w14:paraId="59FD3FAF" w14:textId="77777777" w:rsidR="00E9376B" w:rsidRPr="00187330" w:rsidRDefault="00E9376B" w:rsidP="00E9376B">
      <w:pPr>
        <w:pStyle w:val="Paragraphedeliste"/>
        <w:numPr>
          <w:ilvl w:val="0"/>
          <w:numId w:val="17"/>
        </w:numPr>
        <w:spacing w:after="120" w:line="240" w:lineRule="auto"/>
        <w:rPr>
          <w:rFonts w:asciiTheme="minorHAnsi" w:hAnsiTheme="minorHAnsi" w:cstheme="minorHAnsi"/>
          <w:color w:val="000000" w:themeColor="text1"/>
          <w:lang w:val="en-US"/>
        </w:rPr>
      </w:pPr>
      <w:r>
        <w:rPr>
          <w:rFonts w:asciiTheme="minorHAnsi" w:hAnsiTheme="minorHAnsi" w:cstheme="minorHAnsi"/>
          <w:color w:val="000000" w:themeColor="text1"/>
          <w:lang w:val="en-US"/>
        </w:rPr>
        <w:t>How to manage reporting rejections? (follow up, amendment, …)</w:t>
      </w:r>
    </w:p>
    <w:p w14:paraId="6380F4C3" w14:textId="77777777" w:rsidR="00E9376B" w:rsidRPr="00187330" w:rsidRDefault="00E9376B" w:rsidP="00E9376B">
      <w:pPr>
        <w:pStyle w:val="Paragraphedeliste"/>
        <w:numPr>
          <w:ilvl w:val="0"/>
          <w:numId w:val="17"/>
        </w:numPr>
        <w:spacing w:after="120" w:line="240" w:lineRule="auto"/>
        <w:rPr>
          <w:rFonts w:asciiTheme="minorHAnsi" w:hAnsiTheme="minorHAnsi" w:cstheme="minorHAnsi"/>
          <w:color w:val="000000" w:themeColor="text1"/>
          <w:lang w:val="en-US"/>
        </w:rPr>
      </w:pPr>
      <w:r w:rsidRPr="00187330">
        <w:rPr>
          <w:rFonts w:asciiTheme="minorHAnsi" w:hAnsiTheme="minorHAnsi" w:cstheme="minorHAnsi"/>
          <w:color w:val="000000" w:themeColor="text1"/>
          <w:lang w:val="en-US"/>
        </w:rPr>
        <w:t>How to translate this r</w:t>
      </w:r>
      <w:r>
        <w:rPr>
          <w:rFonts w:asciiTheme="minorHAnsi" w:hAnsiTheme="minorHAnsi" w:cstheme="minorHAnsi"/>
          <w:color w:val="000000" w:themeColor="text1"/>
          <w:lang w:val="en-US"/>
        </w:rPr>
        <w:t xml:space="preserve">elationship contractually? </w:t>
      </w:r>
    </w:p>
    <w:p w14:paraId="653AD506" w14:textId="77777777" w:rsidR="00E9376B" w:rsidRPr="00187330" w:rsidRDefault="00E9376B" w:rsidP="00E9376B">
      <w:pPr>
        <w:pStyle w:val="Paragraphedeliste"/>
        <w:numPr>
          <w:ilvl w:val="0"/>
          <w:numId w:val="17"/>
        </w:numPr>
        <w:spacing w:after="120" w:line="240" w:lineRule="auto"/>
        <w:rPr>
          <w:rFonts w:asciiTheme="minorHAnsi" w:hAnsiTheme="minorHAnsi" w:cstheme="minorHAnsi"/>
          <w:color w:val="000000" w:themeColor="text1"/>
          <w:lang w:val="en-US"/>
        </w:rPr>
      </w:pPr>
      <w:r w:rsidRPr="00187330">
        <w:rPr>
          <w:rFonts w:asciiTheme="minorHAnsi" w:hAnsiTheme="minorHAnsi" w:cstheme="minorHAnsi"/>
          <w:color w:val="000000" w:themeColor="text1"/>
          <w:lang w:val="en-US"/>
        </w:rPr>
        <w:t>How to manage reported d</w:t>
      </w:r>
      <w:r>
        <w:rPr>
          <w:rFonts w:asciiTheme="minorHAnsi" w:hAnsiTheme="minorHAnsi" w:cstheme="minorHAnsi"/>
          <w:color w:val="000000" w:themeColor="text1"/>
          <w:lang w:val="en-US"/>
        </w:rPr>
        <w:t>ata confidentiality, especially recipient’s total identification?</w:t>
      </w:r>
    </w:p>
    <w:p w14:paraId="15440CA2" w14:textId="77777777" w:rsidR="00E9376B" w:rsidRDefault="00E9376B" w:rsidP="00E9376B">
      <w:pPr>
        <w:rPr>
          <w:rFonts w:cstheme="minorHAnsi"/>
          <w:color w:val="000000" w:themeColor="text1"/>
          <w:szCs w:val="22"/>
          <w:lang w:val="en-US"/>
        </w:rPr>
      </w:pPr>
    </w:p>
    <w:p w14:paraId="419003FA" w14:textId="77777777" w:rsidR="00E9376B" w:rsidRPr="00187330" w:rsidRDefault="00E9376B" w:rsidP="00E9376B">
      <w:pPr>
        <w:rPr>
          <w:rFonts w:cstheme="minorHAnsi"/>
          <w:color w:val="000000" w:themeColor="text1"/>
          <w:szCs w:val="22"/>
          <w:lang w:val="en-US"/>
        </w:rPr>
      </w:pPr>
      <w:r w:rsidRPr="00187330">
        <w:rPr>
          <w:rFonts w:cstheme="minorHAnsi"/>
          <w:color w:val="000000" w:themeColor="text1"/>
          <w:szCs w:val="22"/>
          <w:lang w:val="en-US"/>
        </w:rPr>
        <w:t>Contrariwise this obligation will g</w:t>
      </w:r>
      <w:r>
        <w:rPr>
          <w:rFonts w:cstheme="minorHAnsi"/>
          <w:color w:val="000000" w:themeColor="text1"/>
          <w:szCs w:val="22"/>
          <w:lang w:val="en-US"/>
        </w:rPr>
        <w:t xml:space="preserve">enerate new impacts, even for not affected entities. Since the details shall be </w:t>
      </w:r>
      <w:r w:rsidRPr="000C7967">
        <w:rPr>
          <w:rFonts w:cstheme="minorHAnsi"/>
          <w:color w:val="000000" w:themeColor="text1"/>
          <w:szCs w:val="22"/>
          <w:lang w:val="en-US"/>
        </w:rPr>
        <w:t>include</w:t>
      </w:r>
      <w:r>
        <w:rPr>
          <w:rFonts w:cstheme="minorHAnsi"/>
          <w:color w:val="000000" w:themeColor="text1"/>
          <w:szCs w:val="22"/>
          <w:lang w:val="en-US"/>
        </w:rPr>
        <w:t>d</w:t>
      </w:r>
      <w:r w:rsidRPr="000C7967">
        <w:rPr>
          <w:rFonts w:cstheme="minorHAnsi"/>
          <w:color w:val="000000" w:themeColor="text1"/>
          <w:szCs w:val="22"/>
          <w:lang w:val="en-US"/>
        </w:rPr>
        <w:t xml:space="preserve"> in the transmission of that order</w:t>
      </w:r>
      <w:r>
        <w:rPr>
          <w:rFonts w:cstheme="minorHAnsi"/>
          <w:color w:val="000000" w:themeColor="text1"/>
          <w:szCs w:val="22"/>
          <w:lang w:val="en-US"/>
        </w:rPr>
        <w:t>, we believe it may impact the way orders are currently transmitted and may lead an executing investment firm, should it be required to produce the complete reporting, to::</w:t>
      </w:r>
    </w:p>
    <w:p w14:paraId="7AAB31B0" w14:textId="77777777" w:rsidR="00E9376B" w:rsidRPr="00AE7880" w:rsidRDefault="00E9376B" w:rsidP="00E9376B">
      <w:pPr>
        <w:pStyle w:val="Paragraphedeliste"/>
        <w:numPr>
          <w:ilvl w:val="0"/>
          <w:numId w:val="16"/>
        </w:numPr>
        <w:spacing w:after="120" w:line="240" w:lineRule="auto"/>
        <w:rPr>
          <w:rFonts w:asciiTheme="minorHAnsi" w:hAnsiTheme="minorHAnsi" w:cstheme="minorHAnsi"/>
          <w:color w:val="000000" w:themeColor="text1"/>
          <w:lang w:val="en-US"/>
        </w:rPr>
      </w:pPr>
      <w:r>
        <w:rPr>
          <w:rFonts w:asciiTheme="minorHAnsi" w:hAnsiTheme="minorHAnsi" w:cstheme="minorHAnsi"/>
          <w:color w:val="000000" w:themeColor="text1"/>
          <w:lang w:val="en-US"/>
        </w:rPr>
        <w:t>either maintain</w:t>
      </w:r>
      <w:r w:rsidRPr="00AE7880">
        <w:rPr>
          <w:rFonts w:asciiTheme="minorHAnsi" w:hAnsiTheme="minorHAnsi" w:cstheme="minorHAnsi"/>
          <w:color w:val="000000" w:themeColor="text1"/>
          <w:lang w:val="en-US"/>
        </w:rPr>
        <w:t xml:space="preserve"> 2 types of order</w:t>
      </w:r>
      <w:r>
        <w:rPr>
          <w:rFonts w:asciiTheme="minorHAnsi" w:hAnsiTheme="minorHAnsi" w:cstheme="minorHAnsi"/>
          <w:color w:val="000000" w:themeColor="text1"/>
          <w:lang w:val="en-US"/>
        </w:rPr>
        <w:t>s transmission (with data / without data)</w:t>
      </w:r>
    </w:p>
    <w:p w14:paraId="149E29FF" w14:textId="77777777" w:rsidR="00E9376B" w:rsidRPr="00AE7880" w:rsidRDefault="00E9376B" w:rsidP="00E9376B">
      <w:pPr>
        <w:pStyle w:val="Paragraphedeliste"/>
        <w:numPr>
          <w:ilvl w:val="0"/>
          <w:numId w:val="16"/>
        </w:numPr>
        <w:spacing w:after="120" w:line="240" w:lineRule="auto"/>
        <w:rPr>
          <w:rFonts w:asciiTheme="minorHAnsi" w:hAnsiTheme="minorHAnsi" w:cstheme="minorHAnsi"/>
          <w:color w:val="000000" w:themeColor="text1"/>
          <w:lang w:val="en-US"/>
        </w:rPr>
      </w:pPr>
      <w:r>
        <w:rPr>
          <w:rFonts w:asciiTheme="minorHAnsi" w:hAnsiTheme="minorHAnsi" w:cstheme="minorHAnsi"/>
          <w:color w:val="000000" w:themeColor="text1"/>
          <w:lang w:val="en-US"/>
        </w:rPr>
        <w:t>Or f</w:t>
      </w:r>
      <w:r w:rsidRPr="00AE7880">
        <w:rPr>
          <w:rFonts w:asciiTheme="minorHAnsi" w:hAnsiTheme="minorHAnsi" w:cstheme="minorHAnsi"/>
          <w:color w:val="000000" w:themeColor="text1"/>
          <w:lang w:val="en-US"/>
        </w:rPr>
        <w:t>orce all its other clients to adapt to a</w:t>
      </w:r>
      <w:r>
        <w:rPr>
          <w:rFonts w:asciiTheme="minorHAnsi" w:hAnsiTheme="minorHAnsi" w:cstheme="minorHAnsi"/>
          <w:color w:val="000000" w:themeColor="text1"/>
          <w:lang w:val="en-US"/>
        </w:rPr>
        <w:t>n orders transmission format with data, even if that means to let empty fields</w:t>
      </w:r>
    </w:p>
    <w:p w14:paraId="17AB129B" w14:textId="77777777" w:rsidR="00E9376B" w:rsidRDefault="00E9376B" w:rsidP="00E9376B">
      <w:pPr>
        <w:rPr>
          <w:rFonts w:cstheme="minorHAnsi"/>
          <w:color w:val="000000" w:themeColor="text1"/>
          <w:szCs w:val="22"/>
          <w:lang w:val="en-US"/>
        </w:rPr>
      </w:pPr>
      <w:r>
        <w:rPr>
          <w:rFonts w:cstheme="minorHAnsi"/>
          <w:color w:val="000000" w:themeColor="text1"/>
          <w:szCs w:val="22"/>
          <w:lang w:val="en-US"/>
        </w:rPr>
        <w:t>It is important to note that the issues listed above are the same whatever the size of the non-executing investment firm. Thus, even if the envisaged obligation was limited to a sub-group of Investment Firms (the “small entities” as named in this Consultation Paper) and assuming such classification could be created, the complexity of this way to report will remain intact.</w:t>
      </w:r>
    </w:p>
    <w:p w14:paraId="1D099FCC" w14:textId="77777777" w:rsidR="00E9376B" w:rsidRPr="0001383D" w:rsidRDefault="00E9376B" w:rsidP="00E9376B">
      <w:pPr>
        <w:rPr>
          <w:rFonts w:cstheme="minorHAnsi"/>
          <w:color w:val="000000" w:themeColor="text1"/>
          <w:szCs w:val="22"/>
          <w:lang w:val="en-US"/>
        </w:rPr>
      </w:pPr>
      <w:bookmarkStart w:id="2" w:name="_GoBack"/>
      <w:bookmarkEnd w:id="2"/>
      <w:r>
        <w:rPr>
          <w:rFonts w:cstheme="minorHAnsi"/>
          <w:color w:val="000000" w:themeColor="text1"/>
          <w:szCs w:val="22"/>
          <w:lang w:val="en-US"/>
        </w:rPr>
        <w:t xml:space="preserve">Of course such measure exists within EMIR and SFTR but unlike for OTC derivatives or Securities Financing Transactions, data to be provided to the regulators in compliance with MIFIR are sensitive ones that go far beyond the ones strictly defining (or </w:t>
      </w:r>
      <w:proofErr w:type="spellStart"/>
      <w:r>
        <w:rPr>
          <w:rFonts w:cstheme="minorHAnsi"/>
          <w:color w:val="000000" w:themeColor="text1"/>
          <w:szCs w:val="22"/>
          <w:lang w:val="en-US"/>
        </w:rPr>
        <w:t>precising</w:t>
      </w:r>
      <w:proofErr w:type="spellEnd"/>
      <w:r>
        <w:rPr>
          <w:rFonts w:cstheme="minorHAnsi"/>
          <w:color w:val="000000" w:themeColor="text1"/>
          <w:szCs w:val="22"/>
          <w:lang w:val="en-US"/>
        </w:rPr>
        <w:t>) a transaction; moreover they also relate to natural persons, giving a quite very detailed description of them.</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77777777" w:rsidR="000B0D26" w:rsidRDefault="000B0D26" w:rsidP="000B0D26">
      <w:permStart w:id="869752172" w:edGrp="everyone"/>
      <w:r>
        <w:t>TYPE YOUR TEXT HERE</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77777777" w:rsidR="000B0D26" w:rsidRDefault="000B0D26" w:rsidP="000B0D26">
      <w:permStart w:id="1581188992" w:edGrp="everyone"/>
      <w:r>
        <w:t>TYPE YOUR TEXT HERE</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6E4D713" w14:textId="77777777" w:rsidR="000B0D26" w:rsidRDefault="000B0D26" w:rsidP="000B0D26">
      <w:permStart w:id="1580817176" w:edGrp="everyone"/>
      <w:r>
        <w:t>TYPE YOUR TEXT HERE</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5BB6B" w14:textId="77777777" w:rsidR="007457D1" w:rsidRDefault="007457D1" w:rsidP="007E7997">
      <w:pPr>
        <w:spacing w:line="240" w:lineRule="auto"/>
      </w:pPr>
      <w:r>
        <w:separator/>
      </w:r>
    </w:p>
  </w:endnote>
  <w:endnote w:type="continuationSeparator" w:id="0">
    <w:p w14:paraId="0D95ECE2" w14:textId="77777777" w:rsidR="007457D1" w:rsidRDefault="007457D1" w:rsidP="007E7997">
      <w:pPr>
        <w:spacing w:line="240" w:lineRule="auto"/>
      </w:pPr>
      <w:r>
        <w:continuationSeparator/>
      </w:r>
    </w:p>
  </w:endnote>
  <w:endnote w:type="continuationNotice" w:id="1">
    <w:p w14:paraId="542F654C" w14:textId="77777777" w:rsidR="007457D1" w:rsidRDefault="00745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A7C3" w14:textId="1B9FF0D1" w:rsidR="001B50AB" w:rsidRDefault="001B50AB" w:rsidP="007A160F">
    <w:pPr>
      <w:pStyle w:val="Pieddepage"/>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Pieddepage"/>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Lienhypertexte"/>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Pieddepage"/>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Lienhypertexte"/>
              <w:rFonts w:ascii="Arial" w:hAnsi="Arial" w:cs="Arial"/>
              <w:sz w:val="16"/>
              <w:szCs w:val="16"/>
              <w:lang w:val="fr-FR"/>
            </w:rPr>
            <w:t>www.esma.europa.eu</w:t>
          </w:r>
        </w:hyperlink>
      </w:p>
      <w:p w14:paraId="5EAB6EC7" w14:textId="50DF9FA7" w:rsidR="001B50AB" w:rsidRDefault="001B50AB" w:rsidP="00FB24ED">
        <w:pPr>
          <w:pStyle w:val="Pieddepage"/>
          <w:jc w:val="right"/>
        </w:pPr>
        <w:r>
          <w:fldChar w:fldCharType="begin"/>
        </w:r>
        <w:r>
          <w:instrText xml:space="preserve"> PAGE   \* MERGEFORMAT </w:instrText>
        </w:r>
        <w:r>
          <w:fldChar w:fldCharType="separate"/>
        </w:r>
        <w:r w:rsidR="00E9376B">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2D0F6" w14:textId="77777777" w:rsidR="007457D1" w:rsidRDefault="007457D1" w:rsidP="007E7997">
      <w:pPr>
        <w:spacing w:line="240" w:lineRule="auto"/>
      </w:pPr>
      <w:r>
        <w:separator/>
      </w:r>
    </w:p>
  </w:footnote>
  <w:footnote w:type="continuationSeparator" w:id="0">
    <w:p w14:paraId="6A312A6F" w14:textId="77777777" w:rsidR="007457D1" w:rsidRDefault="007457D1" w:rsidP="007E7997">
      <w:pPr>
        <w:spacing w:line="240" w:lineRule="auto"/>
      </w:pPr>
      <w:r>
        <w:continuationSeparator/>
      </w:r>
    </w:p>
  </w:footnote>
  <w:footnote w:type="continuationNotice" w:id="1">
    <w:p w14:paraId="584E7D1C" w14:textId="77777777" w:rsidR="007457D1" w:rsidRDefault="007457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2" w14:textId="77777777" w:rsidR="001B50AB" w:rsidRDefault="001B50AB">
    <w:pPr>
      <w:pStyle w:val="En-tte"/>
    </w:pPr>
    <w:r>
      <w:rPr>
        <w:noProof/>
        <w:lang w:val="fr-FR" w:eastAsia="fr-FR"/>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E86B2" w14:textId="77777777" w:rsidR="00E862D0" w:rsidRPr="003669AC" w:rsidRDefault="00E862D0" w:rsidP="006C5A3D">
    <w:pPr>
      <w:pStyle w:val="En-tte"/>
      <w:ind w:left="708"/>
      <w:jc w:val="right"/>
    </w:pPr>
  </w:p>
  <w:p w14:paraId="77899FEE" w14:textId="1FBF18B1" w:rsidR="00E862D0" w:rsidRDefault="00E862D0" w:rsidP="00E862D0">
    <w:pPr>
      <w:pStyle w:val="En-tte"/>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En-tte"/>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En-tte"/>
      <w:ind w:left="6663"/>
      <w:rPr>
        <w:color w:val="FF0000"/>
        <w:sz w:val="20"/>
      </w:rPr>
    </w:pPr>
  </w:p>
  <w:p w14:paraId="13818030" w14:textId="77777777" w:rsidR="00E862D0" w:rsidRDefault="00E862D0">
    <w:pPr>
      <w:pStyle w:val="En-tte"/>
    </w:pPr>
    <w:r>
      <w:rPr>
        <w:noProof/>
        <w:lang w:val="fr-FR" w:eastAsia="fr-FR"/>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7253" w14:textId="77777777" w:rsidR="00E862D0" w:rsidRDefault="00E862D0">
    <w:pPr>
      <w:pStyle w:val="En-tte"/>
    </w:pPr>
  </w:p>
  <w:p w14:paraId="2085CF44" w14:textId="77777777" w:rsidR="00E862D0" w:rsidRDefault="00E862D0">
    <w:pPr>
      <w:pStyle w:val="En-tte"/>
    </w:pPr>
  </w:p>
  <w:p w14:paraId="486D39F2" w14:textId="77777777" w:rsidR="00E862D0" w:rsidRDefault="00E862D0">
    <w:pPr>
      <w:pStyle w:val="En-tte"/>
    </w:pPr>
    <w:r>
      <w:rPr>
        <w:noProof/>
        <w:lang w:val="fr-FR" w:eastAsia="fr-FR"/>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77777777" w:rsidR="001B50AB" w:rsidRDefault="001B50AB" w:rsidP="00B50534">
    <w:pPr>
      <w:pStyle w:val="En-tte"/>
      <w:jc w:val="right"/>
      <w:rPr>
        <w:b/>
        <w:color w:val="FF0000"/>
      </w:rPr>
    </w:pPr>
    <w:r w:rsidRPr="008D5F86">
      <w:rPr>
        <w:rFonts w:ascii="Arial" w:hAnsi="Arial" w:cs="Arial"/>
        <w:noProof/>
        <w:lang w:val="fr-FR" w:eastAsia="fr-FR"/>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En-tte"/>
      <w:ind w:left="6663"/>
      <w:jc w:val="right"/>
      <w:rPr>
        <w:rFonts w:asciiTheme="majorHAnsi" w:hAnsiTheme="majorHAnsi" w:cstheme="majorHAnsi"/>
        <w:color w:val="2F5496" w:themeColor="accent5" w:themeShade="BF"/>
        <w:sz w:val="20"/>
      </w:rPr>
    </w:pPr>
    <w:r w:rsidRPr="006D39E0">
      <w:rPr>
        <w:noProof/>
        <w:color w:val="00B050"/>
        <w:sz w:val="20"/>
        <w:lang w:val="fr-FR" w:eastAsia="fr-FR"/>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En-tte"/>
      <w:jc w:val="right"/>
      <w:rPr>
        <w:color w:val="00B050"/>
        <w:sz w:val="20"/>
      </w:rPr>
    </w:pPr>
  </w:p>
  <w:p w14:paraId="08307736" w14:textId="2CB27F20" w:rsidR="00E862D0" w:rsidRPr="006D39E0" w:rsidRDefault="00E862D0" w:rsidP="00B50534">
    <w:pPr>
      <w:pStyle w:val="En-tte"/>
      <w:jc w:val="right"/>
      <w:rPr>
        <w:color w:val="00B050"/>
        <w:sz w:val="20"/>
      </w:rPr>
    </w:pPr>
  </w:p>
  <w:p w14:paraId="5EAB6EC6" w14:textId="77777777" w:rsidR="001B50AB" w:rsidRPr="00B50534" w:rsidRDefault="001B50AB" w:rsidP="00B50534">
    <w:pPr>
      <w:pStyle w:val="En-tt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E84D60"/>
    <w:lvl w:ilvl="0">
      <w:start w:val="1"/>
      <w:numFmt w:val="bullet"/>
      <w:pStyle w:val="point1letter"/>
      <w:lvlText w:val=""/>
      <w:lvlJc w:val="left"/>
      <w:pPr>
        <w:tabs>
          <w:tab w:val="num" w:pos="2880"/>
        </w:tabs>
        <w:ind w:left="2880" w:hanging="360"/>
      </w:pPr>
      <w:rPr>
        <w:rFonts w:ascii="Symbol" w:hAnsi="Symbol" w:hint="default"/>
        <w:color w:val="99CC00"/>
      </w:rPr>
    </w:lvl>
  </w:abstractNum>
  <w:abstractNum w:abstractNumId="1" w15:restartNumberingAfterBreak="0">
    <w:nsid w:val="12DE13D7"/>
    <w:multiLevelType w:val="hybridMultilevel"/>
    <w:tmpl w:val="8F52D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35AE1"/>
    <w:multiLevelType w:val="hybridMultilevel"/>
    <w:tmpl w:val="5D30863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24420D4"/>
    <w:multiLevelType w:val="hybridMultilevel"/>
    <w:tmpl w:val="15CA5BCC"/>
    <w:lvl w:ilvl="0" w:tplc="4F6419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94C2462"/>
    <w:multiLevelType w:val="hybridMultilevel"/>
    <w:tmpl w:val="29AAD7D0"/>
    <w:lvl w:ilvl="0" w:tplc="CFD6CBA6">
      <w:numFmt w:val="bullet"/>
      <w:lvlText w:val="•"/>
      <w:lvlJc w:val="left"/>
      <w:pPr>
        <w:ind w:left="1118" w:hanging="75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184574"/>
    <w:multiLevelType w:val="hybridMultilevel"/>
    <w:tmpl w:val="41D87BCE"/>
    <w:lvl w:ilvl="0" w:tplc="DFDA376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15:restartNumberingAfterBreak="0">
    <w:nsid w:val="5E8557FF"/>
    <w:multiLevelType w:val="hybridMultilevel"/>
    <w:tmpl w:val="3EAA4992"/>
    <w:lvl w:ilvl="0" w:tplc="4F6419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536ECD"/>
    <w:multiLevelType w:val="hybridMultilevel"/>
    <w:tmpl w:val="73FC2AE8"/>
    <w:lvl w:ilvl="0" w:tplc="8B581AB6">
      <w:start w:val="1"/>
      <w:numFmt w:val="decimal"/>
      <w:pStyle w:val="Paragraphedeliste"/>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D1101"/>
    <w:multiLevelType w:val="multilevel"/>
    <w:tmpl w:val="CB1CA814"/>
    <w:lvl w:ilvl="0">
      <w:start w:val="1"/>
      <w:numFmt w:val="decimal"/>
      <w:pStyle w:val="Titre1"/>
      <w:lvlText w:val="%1."/>
      <w:lvlJc w:val="left"/>
      <w:pPr>
        <w:ind w:left="432" w:hanging="432"/>
      </w:pPr>
      <w:rPr>
        <w:color w:val="auto"/>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757E3E61"/>
    <w:multiLevelType w:val="hybridMultilevel"/>
    <w:tmpl w:val="68CE4566"/>
    <w:lvl w:ilvl="0" w:tplc="4F6419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3E03F4"/>
    <w:multiLevelType w:val="hybridMultilevel"/>
    <w:tmpl w:val="735ADC8C"/>
    <w:lvl w:ilvl="0" w:tplc="4F6419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8"/>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9"/>
  </w:num>
  <w:num w:numId="12">
    <w:abstractNumId w:val="1"/>
  </w:num>
  <w:num w:numId="13">
    <w:abstractNumId w:val="16"/>
  </w:num>
  <w:num w:numId="14">
    <w:abstractNumId w:val="10"/>
  </w:num>
  <w:num w:numId="15">
    <w:abstractNumId w:val="15"/>
  </w:num>
  <w:num w:numId="16">
    <w:abstractNumId w:val="6"/>
  </w:num>
  <w:num w:numId="1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0A5"/>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75A"/>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4E20"/>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76B"/>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C8F"/>
    <w:pPr>
      <w:spacing w:after="250" w:line="276" w:lineRule="auto"/>
      <w:jc w:val="both"/>
    </w:pPr>
    <w:rPr>
      <w:sz w:val="22"/>
      <w:lang w:val="en-GB"/>
    </w:rPr>
  </w:style>
  <w:style w:type="paragraph" w:styleId="Titre1">
    <w:name w:val="heading 1"/>
    <w:basedOn w:val="Normal"/>
    <w:next w:val="Normal"/>
    <w:link w:val="Titre1C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lang w:val="en-GB"/>
    </w:rPr>
  </w:style>
  <w:style w:type="character" w:customStyle="1" w:styleId="Titre1Car">
    <w:name w:val="Titre 1 Car"/>
    <w:basedOn w:val="Policepardfaut"/>
    <w:link w:val="Titre1"/>
    <w:uiPriority w:val="9"/>
    <w:rsid w:val="00FE0BD8"/>
    <w:rPr>
      <w:rFonts w:asciiTheme="majorHAnsi" w:eastAsiaTheme="majorEastAsia" w:hAnsiTheme="majorHAnsi" w:cstheme="majorBidi"/>
      <w:b/>
      <w:sz w:val="32"/>
      <w:szCs w:val="32"/>
      <w:lang w:val="en-GB"/>
    </w:rPr>
  </w:style>
  <w:style w:type="character" w:customStyle="1" w:styleId="Titre2Car">
    <w:name w:val="Titre 2 Car"/>
    <w:basedOn w:val="Policepardfaut"/>
    <w:link w:val="Titre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ind w:left="792" w:hanging="432"/>
    </w:pPr>
    <w:rPr>
      <w:b/>
      <w:sz w:val="28"/>
    </w:rPr>
  </w:style>
  <w:style w:type="character" w:customStyle="1" w:styleId="Title1Char">
    <w:name w:val="Title 1 Char"/>
    <w:basedOn w:val="Policepardfaut"/>
    <w:link w:val="Title1"/>
    <w:rsid w:val="003C4EB5"/>
    <w:rPr>
      <w:rFonts w:asciiTheme="majorHAnsi" w:hAnsiTheme="majorHAnsi" w:cstheme="majorBidi"/>
      <w:b/>
      <w:sz w:val="28"/>
      <w:szCs w:val="22"/>
      <w:lang w:val="de-DE"/>
    </w:rPr>
  </w:style>
  <w:style w:type="paragraph" w:styleId="Paragraphedeliste">
    <w:name w:val="List Paragraph"/>
    <w:aliases w:val="Paragraphe EI,Paragraphe de liste1,EC,Normal Nivel 1,List Paragraph Main,List first level,List Paragraph_Sections,Dot pt,Bullet Points,No Spacing1,List Paragraph Char Char Char,Indicator Text,Numbered Para 1,Bullet 1,Task Body"/>
    <w:basedOn w:val="Normal"/>
    <w:link w:val="ParagraphedelisteC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Paragraphedeliste"/>
    <w:link w:val="Title3Char"/>
    <w:autoRedefine/>
    <w:rsid w:val="002574D1"/>
    <w:pPr>
      <w:numPr>
        <w:ilvl w:val="3"/>
        <w:numId w:val="1"/>
      </w:numPr>
    </w:pPr>
  </w:style>
  <w:style w:type="character" w:customStyle="1" w:styleId="Title3Char">
    <w:name w:val="Title 3 Char"/>
    <w:basedOn w:val="Policepardfau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re">
    <w:name w:val="Title"/>
    <w:basedOn w:val="Normal"/>
    <w:next w:val="Normal"/>
    <w:link w:val="TitreC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44546A"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44546A"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spacing w:line="240" w:lineRule="auto"/>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spacing w:line="240" w:lineRule="auto"/>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M1">
    <w:name w:val="toc 1"/>
    <w:basedOn w:val="Normal"/>
    <w:next w:val="Normal"/>
    <w:autoRedefine/>
    <w:uiPriority w:val="39"/>
    <w:unhideWhenUsed/>
    <w:rsid w:val="00AD3DE6"/>
    <w:pPr>
      <w:tabs>
        <w:tab w:val="left" w:pos="440"/>
        <w:tab w:val="right" w:leader="dot" w:pos="9062"/>
      </w:tabs>
      <w:spacing w:after="100"/>
    </w:pPr>
  </w:style>
  <w:style w:type="paragraph" w:styleId="TM2">
    <w:name w:val="toc 2"/>
    <w:basedOn w:val="Normal"/>
    <w:next w:val="Normal"/>
    <w:autoRedefine/>
    <w:uiPriority w:val="39"/>
    <w:unhideWhenUsed/>
    <w:rsid w:val="002607CC"/>
    <w:pPr>
      <w:tabs>
        <w:tab w:val="left" w:pos="880"/>
        <w:tab w:val="right" w:leader="dot" w:pos="9062"/>
      </w:tabs>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Policepardfau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aliases w:val="Footnote Text Char Char,Fußnote,FSR footnote,lábléc,fn,Texto nota pie Car,notefranz,single space,FOOTNOTES,Footnote Text Char Char Char Char Char Char,stile 1,Testo_note,Testo_note1,Testo_note2,Fußnotentext C,f,Char3"/>
    <w:basedOn w:val="Normal"/>
    <w:link w:val="NotedebasdepageCar"/>
    <w:autoRedefine/>
    <w:uiPriority w:val="99"/>
    <w:unhideWhenUsed/>
    <w:qFormat/>
    <w:rsid w:val="00955893"/>
    <w:pPr>
      <w:spacing w:after="0" w:line="240" w:lineRule="auto"/>
    </w:pPr>
    <w:rPr>
      <w:sz w:val="16"/>
    </w:rPr>
  </w:style>
  <w:style w:type="character" w:customStyle="1" w:styleId="NotedebasdepageCar">
    <w:name w:val="Note de bas de page Car"/>
    <w:aliases w:val="Footnote Text Char Char Car,Fußnote Car,FSR footnote Car,lábléc Car,fn Car,Texto nota pie Car Car,notefranz Car,single space Car,FOOTNOTES Car,Footnote Text Char Char Char Char Char Char Car,stile 1 Car,Testo_note Car,f Car"/>
    <w:basedOn w:val="Policepardfaut"/>
    <w:link w:val="Notedebasdepage"/>
    <w:uiPriority w:val="99"/>
    <w:rsid w:val="00955893"/>
    <w:rPr>
      <w:sz w:val="16"/>
      <w:lang w:val="en-GB"/>
    </w:rPr>
  </w:style>
  <w:style w:type="character" w:styleId="Appelnotedebasdep">
    <w:name w:val="footnote reference"/>
    <w:aliases w:val="Footnote Reference Number,Footnote Reference_LVL6,Footnote Reference_LVL61,Footnote Reference_LVL62,Footnote Reference_LVL63,Footnote Reference_LVL64,normal,fr,SUPERS,EN Footnote Reference,number,Footnote symbo"/>
    <w:basedOn w:val="Policepardfaut"/>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Textedebulles">
    <w:name w:val="Balloon Text"/>
    <w:basedOn w:val="Normal"/>
    <w:link w:val="TextedebullesCar"/>
    <w:uiPriority w:val="99"/>
    <w:semiHidden/>
    <w:unhideWhenUsed/>
    <w:rsid w:val="003C16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pPr>
      <w:spacing w:line="240" w:lineRule="auto"/>
    </w:pPr>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Policepardfaut"/>
    <w:rsid w:val="00595F08"/>
  </w:style>
  <w:style w:type="character" w:customStyle="1" w:styleId="UnresolvedMention">
    <w:name w:val="Unresolved Mention"/>
    <w:basedOn w:val="Policepardfau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Policepardfaut"/>
    <w:uiPriority w:val="99"/>
    <w:rsid w:val="00F70AD5"/>
    <w:rPr>
      <w:b/>
      <w:bCs/>
      <w:i/>
      <w:iCs/>
      <w:color w:val="00C000"/>
    </w:rPr>
  </w:style>
  <w:style w:type="character" w:customStyle="1" w:styleId="ParagraphedelisteCar">
    <w:name w:val="Paragraphe de liste Car"/>
    <w:aliases w:val="Paragraphe EI Car,Paragraphe de liste1 Car,EC Car,Normal Nivel 1 Car,List Paragraph Main Car,List first level Car,List Paragraph_Sections Car,Dot pt Car,Bullet Points Car,No Spacing1 Car,List Paragraph Char Char Char Car"/>
    <w:basedOn w:val="Policepardfaut"/>
    <w:link w:val="Paragraphedeliste"/>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 w:type="paragraph" w:customStyle="1" w:styleId="point1letter">
    <w:name w:val="point1letter"/>
    <w:basedOn w:val="Normal"/>
    <w:rsid w:val="008A275A"/>
    <w:pPr>
      <w:numPr>
        <w:numId w:val="9"/>
      </w:numPr>
      <w:spacing w:before="120" w:after="120" w:line="240" w:lineRule="auto"/>
    </w:pPr>
    <w:rPr>
      <w:rFonts w:ascii="Times New Roman" w:eastAsia="Calibr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www.w3.org/XML/1998/namespace"/>
    <ds:schemaRef ds:uri="http://schemas.openxmlformats.org/package/2006/metadata/core-properties"/>
    <ds:schemaRef ds:uri="http://purl.org/dc/dcmitype/"/>
    <ds:schemaRef ds:uri="http://schemas.microsoft.com/office/2006/metadata/properties"/>
    <ds:schemaRef ds:uri="http://schemas.microsoft.com/sharepoint/v4"/>
    <ds:schemaRef ds:uri="http://schemas.microsoft.com/office/2006/documentManagement/types"/>
    <ds:schemaRef ds:uri="http://purl.org/dc/elements/1.1/"/>
    <ds:schemaRef ds:uri="http://schemas.microsoft.com/office/infopath/2007/PartnerControls"/>
    <ds:schemaRef ds:uri="http://purl.org/dc/terms/"/>
    <ds:schemaRef ds:uri="20fbe147-bbda-4e53-b6b1-7e8bbff3fe19"/>
  </ds:schemaRefs>
</ds:datastoreItem>
</file>

<file path=customXml/itemProps5.xml><?xml version="1.0" encoding="utf-8"?>
<ds:datastoreItem xmlns:ds="http://schemas.openxmlformats.org/officeDocument/2006/customXml" ds:itemID="{4E4155E9-17AF-4E49-9C33-F168DA82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10</TotalTime>
  <Pages>19</Pages>
  <Words>3551</Words>
  <Characters>19534</Characters>
  <Application>Microsoft Office Word</Application>
  <DocSecurity>8</DocSecurity>
  <Lines>162</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Saint Pe, Stéphanie</cp:lastModifiedBy>
  <cp:revision>4</cp:revision>
  <cp:lastPrinted>2017-07-24T14:47:00Z</cp:lastPrinted>
  <dcterms:created xsi:type="dcterms:W3CDTF">2020-11-20T08:28:00Z</dcterms:created>
  <dcterms:modified xsi:type="dcterms:W3CDTF">2020-11-20T08:40:00Z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