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65D354D9" w:rsidR="00C2094B" w:rsidRPr="00F10D35" w:rsidRDefault="008C1A51" w:rsidP="00AF38AF">
            <w:pPr>
              <w:pStyle w:val="00bDBInfo"/>
              <w:rPr>
                <w:rFonts w:cs="Arial"/>
              </w:rPr>
            </w:pPr>
            <w:bookmarkStart w:id="0" w:name="_GoBack"/>
            <w:bookmarkEnd w:id="0"/>
            <w:r>
              <w:rPr>
                <w:rFonts w:cs="Arial"/>
              </w:rPr>
              <w:t>23</w:t>
            </w:r>
            <w:r w:rsidR="004E477A">
              <w:rPr>
                <w:rFonts w:cs="Arial"/>
              </w:rPr>
              <w:t xml:space="preserve"> October</w:t>
            </w:r>
            <w:r w:rsidR="002C27F9">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79BF7DE6"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RTS</w:t>
            </w:r>
            <w:r w:rsidRPr="00146A6C">
              <w:rPr>
                <w:rFonts w:cs="Arial"/>
                <w:sz w:val="32"/>
                <w:szCs w:val="32"/>
              </w:rPr>
              <w:t xml:space="preserve"> on conditions under which additional services or activities to which a CCP wishes to extend its business are not covered by the initial authorisation</w:t>
            </w:r>
            <w:r w:rsidRPr="00146A6C">
              <w:rPr>
                <w:sz w:val="32"/>
                <w:szCs w:val="32"/>
              </w:rPr>
              <w:t xml:space="preserve"> and </w:t>
            </w:r>
            <w:r w:rsidRPr="00146A6C">
              <w:rPr>
                <w:rFonts w:cs="Arial"/>
                <w:sz w:val="32"/>
                <w:szCs w:val="32"/>
              </w:rPr>
              <w:t>conditions under which changes to the models and parameters are significant under EMIR</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1BD57DD0" w:rsidR="00620D7C" w:rsidRPr="004E49B0" w:rsidRDefault="00620D7C" w:rsidP="00F10D35">
            <w:pPr>
              <w:pStyle w:val="02Date"/>
              <w:rPr>
                <w:rFonts w:cs="Arial"/>
              </w:rPr>
            </w:pPr>
            <w:r w:rsidRPr="00F10D35">
              <w:rPr>
                <w:rFonts w:cs="Arial"/>
              </w:rPr>
              <w:lastRenderedPageBreak/>
              <w:t xml:space="preserve">Date: </w:t>
            </w:r>
            <w:r w:rsidR="008C1A51">
              <w:rPr>
                <w:rFonts w:cs="Arial"/>
              </w:rPr>
              <w:t>23 October</w:t>
            </w:r>
            <w:r w:rsidR="002C27F9">
              <w:rPr>
                <w:rFonts w:cs="Arial"/>
              </w:rPr>
              <w:t xml:space="preserve"> </w:t>
            </w:r>
            <w:r w:rsidR="005738DE" w:rsidRPr="00F10D35">
              <w:rPr>
                <w:rFonts w:cs="Arial"/>
              </w:rPr>
              <w:t>20</w:t>
            </w:r>
            <w:r w:rsidR="002C27F9">
              <w:rPr>
                <w:rFonts w:cs="Arial"/>
              </w:rPr>
              <w:t>20</w:t>
            </w:r>
          </w:p>
        </w:tc>
      </w:tr>
    </w:tbl>
    <w:p w14:paraId="36802041"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6C62258B" w14:textId="40A9CB1D" w:rsidR="006301E3" w:rsidRPr="009147F5" w:rsidRDefault="009A3017" w:rsidP="006301E3">
      <w:pPr>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9147F5">
        <w:rPr>
          <w:rStyle w:val="SubtleEmphasis"/>
          <w:b w:val="0"/>
          <w:sz w:val="22"/>
        </w:rPr>
        <w:t xml:space="preserve">Consultation Paper </w:t>
      </w:r>
      <w:r w:rsidR="00014A67" w:rsidRPr="009147F5">
        <w:rPr>
          <w:rStyle w:val="SubtleEmphasis"/>
          <w:b w:val="0"/>
          <w:sz w:val="22"/>
        </w:rPr>
        <w:t xml:space="preserve">on </w:t>
      </w:r>
      <w:r w:rsidR="009147F5" w:rsidRPr="009147F5">
        <w:rPr>
          <w:rStyle w:val="SubtleEmphasis"/>
          <w:b w:val="0"/>
          <w:sz w:val="22"/>
        </w:rPr>
        <w:t>RTS on conditions under which additional services or activities to which a CCP wishes to extend its business are not covered by the initial authorisation and conditions under which changes to the models and parameters are significant under EMIR.</w:t>
      </w:r>
    </w:p>
    <w:p w14:paraId="0C472DBA" w14:textId="77777777" w:rsidR="006301E3" w:rsidRDefault="006301E3" w:rsidP="006301E3">
      <w:pPr>
        <w:jc w:val="both"/>
        <w:rPr>
          <w:rStyle w:val="SubtleEmphasis"/>
          <w:b w:val="0"/>
          <w:sz w:val="22"/>
        </w:rPr>
      </w:pPr>
    </w:p>
    <w:p w14:paraId="21B1DF29"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3FCAF047" w14:textId="77777777" w:rsidR="00AF38AF" w:rsidRPr="00E40A5C" w:rsidRDefault="00AF38AF" w:rsidP="00AF38AF">
      <w:pPr>
        <w:rPr>
          <w:rStyle w:val="SubtleEmphasis"/>
          <w:b w:val="0"/>
          <w:sz w:val="22"/>
        </w:rPr>
      </w:pPr>
    </w:p>
    <w:p w14:paraId="67709919"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65AE54F5"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6BFE250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0FDF5836" w14:textId="1743C066"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w:t>
      </w:r>
      <w:r w:rsidR="008C1A51">
        <w:rPr>
          <w:rStyle w:val="SubtleEmphasis"/>
          <w:bCs/>
          <w:sz w:val="22"/>
        </w:rPr>
        <w:t>6</w:t>
      </w:r>
      <w:r w:rsidR="00014A67" w:rsidRPr="00014A67">
        <w:rPr>
          <w:rStyle w:val="SubtleEmphasis"/>
          <w:bCs/>
          <w:sz w:val="22"/>
        </w:rPr>
        <w:t xml:space="preserve"> </w:t>
      </w:r>
      <w:r w:rsidR="009744FD">
        <w:rPr>
          <w:rStyle w:val="SubtleEmphasis"/>
          <w:bCs/>
          <w:sz w:val="22"/>
        </w:rPr>
        <w:t>November</w:t>
      </w:r>
      <w:r w:rsidR="00014A67" w:rsidRPr="00014A67">
        <w:rPr>
          <w:rStyle w:val="SubtleEmphasis"/>
          <w:bCs/>
          <w:sz w:val="22"/>
        </w:rPr>
        <w:t xml:space="preserve"> 2020</w:t>
      </w:r>
      <w:r w:rsidRPr="006301E3">
        <w:rPr>
          <w:rStyle w:val="SubtleEmphasis"/>
          <w:b w:val="0"/>
          <w:sz w:val="22"/>
        </w:rPr>
        <w:t>.</w:t>
      </w:r>
    </w:p>
    <w:p w14:paraId="0647BB01"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08DDCF5D"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068C68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0E94F52C" w14:textId="109C9CE6"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106124">
        <w:rPr>
          <w:rStyle w:val="SubtleEmphasis"/>
          <w:b w:val="0"/>
          <w:sz w:val="22"/>
        </w:rPr>
        <w:t>RTS1549</w:t>
      </w:r>
      <w:r w:rsidRPr="00E40A5C">
        <w:rPr>
          <w:rStyle w:val="SubtleEmphasis"/>
          <w:b w:val="0"/>
          <w:sz w:val="22"/>
        </w:rPr>
        <w:t>_1&gt;. Your response to each question has to be framed by the two tags corresponding to the question.</w:t>
      </w:r>
    </w:p>
    <w:p w14:paraId="038E6172"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083CF855" w14:textId="11838559"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9744FD">
        <w:rPr>
          <w:rStyle w:val="SubtleEmphasis"/>
          <w:b w:val="0"/>
          <w:sz w:val="22"/>
        </w:rPr>
        <w:t>RTS1549</w:t>
      </w:r>
      <w:r w:rsidRPr="00E40A5C">
        <w:rPr>
          <w:rStyle w:val="SubtleEmphasis"/>
          <w:b w:val="0"/>
          <w:sz w:val="22"/>
        </w:rPr>
        <w:t>_nameofrespondent_RESPONSEFORM. For example, for a respondent named ABCD, the response form would be entitled ESMA_</w:t>
      </w:r>
      <w:r w:rsidR="009744FD">
        <w:rPr>
          <w:rStyle w:val="SubtleEmphasis"/>
          <w:b w:val="0"/>
          <w:sz w:val="22"/>
        </w:rPr>
        <w:t>RTS1549</w:t>
      </w:r>
      <w:r w:rsidRPr="00E40A5C">
        <w:rPr>
          <w:rStyle w:val="SubtleEmphasis"/>
          <w:b w:val="0"/>
          <w:sz w:val="22"/>
        </w:rPr>
        <w:t>_ABCD_RESPONSEFORM.</w:t>
      </w:r>
    </w:p>
    <w:p w14:paraId="260F84E9" w14:textId="15E50178" w:rsidR="009A3017" w:rsidRPr="00E40A5C" w:rsidRDefault="009A3017" w:rsidP="006301E3">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p>
    <w:p w14:paraId="3C6AA2AE"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61EFC45A"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t>
      </w:r>
      <w:r w:rsidRPr="00E40A5C">
        <w:rPr>
          <w:rStyle w:val="SubtleEmphasis"/>
          <w:b w:val="0"/>
          <w:sz w:val="22"/>
          <w:lang w:eastAsia="en-GB"/>
        </w:rPr>
        <w:lastRenderedPageBreak/>
        <w:t>We may consult you if we receive such a request. Any decision we make not to disclose the response is reviewable by ESMA’s Board of Appeal and the European Ombudsman.</w:t>
      </w:r>
    </w:p>
    <w:p w14:paraId="464C940D"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02D88B05"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4859FF8E"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3FADC208" w14:textId="5C399265" w:rsidR="00332304" w:rsidRPr="001021EF" w:rsidRDefault="006301E3" w:rsidP="001021EF">
      <w:pPr>
        <w:spacing w:after="240"/>
        <w:jc w:val="both"/>
        <w:rPr>
          <w:b/>
          <w:bCs/>
        </w:rPr>
      </w:pPr>
      <w:r w:rsidRPr="001021EF">
        <w:rPr>
          <w:rStyle w:val="SubtleEmphasis"/>
          <w:b w:val="0"/>
          <w:bCs/>
          <w:sz w:val="22"/>
          <w:lang w:eastAsia="en-GB"/>
        </w:rPr>
        <w:t>All interested stakeholders are invited to respond to this consultation paper. In particular, responses are sought from central counterparties (CCPs) and clearing members.</w:t>
      </w:r>
      <w:r w:rsidRPr="001021EF">
        <w:rPr>
          <w:b/>
          <w:bCs/>
        </w:rPr>
        <w:t xml:space="preserve">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permStart w:id="1776972646"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23C2C921" w14:textId="75E7DF2F" w:rsidR="00B327E9" w:rsidRPr="00AB6D88" w:rsidRDefault="0039402B" w:rsidP="00F136AD">
                <w:pPr>
                  <w:rPr>
                    <w:rStyle w:val="PlaceholderText"/>
                    <w:rFonts w:cs="Arial"/>
                  </w:rPr>
                </w:pPr>
                <w:r>
                  <w:rPr>
                    <w:rStyle w:val="PlaceholderText"/>
                    <w:rFonts w:cs="Arial"/>
                  </w:rPr>
                  <w:t>The London Stock Exchange Group (“LSEG”)</w:t>
                </w:r>
              </w:p>
            </w:tc>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1407811244" w:edGrp="everyone" w:colFirst="1" w:colLast="1"/>
            <w:permEnd w:id="1776972646"/>
            <w:r w:rsidRPr="00E40A5C">
              <w:rPr>
                <w:rFonts w:cs="Arial"/>
                <w:sz w:val="22"/>
              </w:rPr>
              <w:t>Activity</w:t>
            </w:r>
          </w:p>
        </w:tc>
        <w:tc>
          <w:tcPr>
            <w:tcW w:w="5595" w:type="dxa"/>
            <w:shd w:val="clear" w:color="auto" w:fill="auto"/>
          </w:tcPr>
          <w:p w14:paraId="163BBF3B" w14:textId="36B44461" w:rsidR="00B327E9" w:rsidRPr="00AB6D88" w:rsidRDefault="0049484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9402B">
                  <w:rPr>
                    <w:rFonts w:cs="Arial"/>
                  </w:rPr>
                  <w:t>Central Counterparty</w:t>
                </w:r>
              </w:sdtContent>
            </w:sdt>
          </w:p>
        </w:tc>
      </w:tr>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permStart w:id="451107209" w:edGrp="everyone" w:colFirst="1" w:colLast="1"/>
            <w:permEnd w:id="1407811244"/>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permStart w:id="1039544714" w:edGrp="everyone" w:colFirst="1" w:colLast="1"/>
            <w:permEnd w:id="45110720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1F5D6D4" w14:textId="265C99BD" w:rsidR="00B327E9" w:rsidRPr="00AB6D88" w:rsidRDefault="0039402B" w:rsidP="00F136AD">
                <w:pPr>
                  <w:rPr>
                    <w:rFonts w:cs="Arial"/>
                  </w:rPr>
                </w:pPr>
                <w:r>
                  <w:rPr>
                    <w:rFonts w:cs="Arial"/>
                  </w:rPr>
                  <w:t>UK</w:t>
                </w:r>
              </w:p>
            </w:tc>
          </w:sdtContent>
        </w:sdt>
      </w:tr>
      <w:permEnd w:id="1039544714"/>
    </w:tbl>
    <w:p w14:paraId="48174611" w14:textId="77777777" w:rsidR="00B327E9" w:rsidRDefault="00B327E9" w:rsidP="00B327E9">
      <w:pPr>
        <w:spacing w:after="120" w:line="264" w:lineRule="auto"/>
      </w:pPr>
    </w:p>
    <w:p w14:paraId="3FE7D92F" w14:textId="77777777" w:rsidR="00B327E9" w:rsidRDefault="00B327E9" w:rsidP="00B327E9">
      <w:pPr>
        <w:pStyle w:val="Heading1"/>
        <w:numPr>
          <w:ilvl w:val="0"/>
          <w:numId w:val="0"/>
        </w:numPr>
        <w:ind w:left="431" w:hanging="431"/>
      </w:pPr>
      <w:r>
        <w:t>Introduction</w:t>
      </w:r>
    </w:p>
    <w:p w14:paraId="3C83C634"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B327E9"/>
    <w:p w14:paraId="06351DAC" w14:textId="70B8A915" w:rsidR="00B327E9" w:rsidRPr="006F4535" w:rsidRDefault="00B327E9" w:rsidP="00B327E9">
      <w:r w:rsidRPr="006F4535">
        <w:t>&lt;ESMA_COMMENT_</w:t>
      </w:r>
      <w:r w:rsidR="00106124">
        <w:rPr>
          <w:rFonts w:cs="Arial"/>
        </w:rPr>
        <w:t>RTS1549</w:t>
      </w:r>
      <w:r w:rsidRPr="006F4535">
        <w:t>_1&gt;</w:t>
      </w:r>
    </w:p>
    <w:p w14:paraId="41284953" w14:textId="77777777" w:rsidR="009F26D0" w:rsidRPr="009F26D0" w:rsidRDefault="009F26D0" w:rsidP="009F26D0">
      <w:pPr>
        <w:pStyle w:val="Default"/>
        <w:jc w:val="both"/>
        <w:rPr>
          <w:rFonts w:ascii="Arial" w:eastAsiaTheme="minorEastAsia" w:hAnsi="Arial" w:cs="Arial"/>
          <w:b/>
          <w:color w:val="auto"/>
          <w:sz w:val="20"/>
          <w:szCs w:val="20"/>
          <w:u w:val="single"/>
          <w:lang w:val="en-GB" w:eastAsia="zh-CN"/>
        </w:rPr>
      </w:pPr>
      <w:r w:rsidRPr="009F26D0">
        <w:rPr>
          <w:rFonts w:ascii="Arial" w:eastAsiaTheme="minorEastAsia" w:hAnsi="Arial" w:cs="Arial"/>
          <w:b/>
          <w:color w:val="auto"/>
          <w:sz w:val="20"/>
          <w:szCs w:val="20"/>
          <w:u w:val="single"/>
          <w:lang w:val="en-GB" w:eastAsia="zh-CN"/>
        </w:rPr>
        <w:t>Introduction</w:t>
      </w:r>
    </w:p>
    <w:p w14:paraId="4191D7E8" w14:textId="77777777" w:rsidR="009F26D0" w:rsidRPr="009F26D0" w:rsidRDefault="009F26D0" w:rsidP="009F26D0">
      <w:pPr>
        <w:pStyle w:val="Default"/>
        <w:jc w:val="both"/>
        <w:rPr>
          <w:rFonts w:asciiTheme="minorHAnsi" w:hAnsiTheme="minorHAnsi" w:cstheme="minorHAnsi"/>
          <w:color w:val="auto"/>
          <w:sz w:val="20"/>
          <w:szCs w:val="20"/>
          <w:u w:val="single"/>
          <w:lang w:val="en-GB"/>
        </w:rPr>
      </w:pPr>
    </w:p>
    <w:p w14:paraId="1314C88F" w14:textId="77777777" w:rsidR="009F26D0" w:rsidRPr="009F26D0" w:rsidRDefault="009F26D0" w:rsidP="009F26D0">
      <w:pPr>
        <w:pStyle w:val="Default"/>
        <w:jc w:val="both"/>
        <w:rPr>
          <w:rFonts w:ascii="Arial" w:hAnsi="Arial" w:cstheme="minorHAnsi"/>
          <w:color w:val="auto"/>
          <w:sz w:val="20"/>
          <w:szCs w:val="20"/>
          <w:lang w:val="en-GB" w:eastAsia="de-DE"/>
        </w:rPr>
      </w:pPr>
      <w:bookmarkStart w:id="2" w:name="_Hlk15305975"/>
      <w:r w:rsidRPr="009F26D0">
        <w:rPr>
          <w:rFonts w:ascii="Arial" w:hAnsi="Arial" w:cstheme="minorHAnsi"/>
          <w:color w:val="auto"/>
          <w:sz w:val="20"/>
          <w:szCs w:val="20"/>
          <w:lang w:val="en-GB" w:eastAsia="de-DE"/>
        </w:rPr>
        <w:t xml:space="preserve">The London Stock Exchange Group (“LSEG”) is a financial market infrastructure provider, headquartered in London, with significant operations in Europe, North America and Asia.  Its diversified global business focuses on capital formation, intellectual property and risk and balance sheet management. LSEG operates an open access model, offering choice and partnership to customers across all of its businesses. </w:t>
      </w:r>
    </w:p>
    <w:p w14:paraId="1F5ED14B" w14:textId="77777777" w:rsidR="009F26D0" w:rsidRPr="009F26D0" w:rsidRDefault="009F26D0" w:rsidP="009F26D0">
      <w:pPr>
        <w:pStyle w:val="Default"/>
        <w:jc w:val="both"/>
        <w:rPr>
          <w:rFonts w:ascii="Arial" w:hAnsi="Arial" w:cstheme="minorHAnsi"/>
          <w:color w:val="auto"/>
          <w:sz w:val="20"/>
          <w:szCs w:val="20"/>
          <w:lang w:val="en-GB" w:eastAsia="de-DE"/>
        </w:rPr>
      </w:pPr>
    </w:p>
    <w:p w14:paraId="138FFEB1" w14:textId="77777777" w:rsidR="009F26D0" w:rsidRPr="009F26D0" w:rsidRDefault="009F26D0" w:rsidP="009F26D0">
      <w:pPr>
        <w:pStyle w:val="Default"/>
        <w:jc w:val="both"/>
        <w:rPr>
          <w:rFonts w:ascii="Arial" w:hAnsi="Arial" w:cstheme="minorHAnsi"/>
          <w:color w:val="auto"/>
          <w:sz w:val="20"/>
          <w:szCs w:val="20"/>
          <w:lang w:val="en-GB" w:eastAsia="de-DE"/>
        </w:rPr>
      </w:pPr>
      <w:r w:rsidRPr="009F26D0">
        <w:rPr>
          <w:rFonts w:ascii="Arial" w:hAnsi="Arial" w:cstheme="minorHAnsi"/>
          <w:color w:val="auto"/>
          <w:sz w:val="20"/>
          <w:szCs w:val="20"/>
          <w:lang w:val="en-GB" w:eastAsia="de-DE"/>
        </w:rPr>
        <w:t xml:space="preserve">LSEG operates multiple clearing houses. It has majority ownership of the multi-asset global CCP operator, LCH Group (“LCH”). LCH has two licensed CCP subsidiaries – LCH Ltd in the UK and LCH S.A. in France. Both are leading multi-asset class and international clearing houses, serving major international exchanges and platforms as well as a range of OTC markets. They clear a broad range of asset classes, including securities, exchange-traded derivatives, commodities, foreign exchange derivatives, interest rate swaps, credit default swaps and euro, sterling and US dollar denominated bonds and repos. </w:t>
      </w:r>
    </w:p>
    <w:p w14:paraId="162A9AFA" w14:textId="77777777" w:rsidR="009F26D0" w:rsidRPr="009F26D0" w:rsidRDefault="009F26D0" w:rsidP="009F26D0">
      <w:pPr>
        <w:pStyle w:val="Default"/>
        <w:jc w:val="both"/>
        <w:rPr>
          <w:rFonts w:ascii="Arial" w:hAnsi="Arial" w:cstheme="minorHAnsi"/>
          <w:color w:val="auto"/>
          <w:sz w:val="20"/>
          <w:szCs w:val="20"/>
          <w:lang w:val="en-GB" w:eastAsia="de-DE"/>
        </w:rPr>
      </w:pPr>
    </w:p>
    <w:p w14:paraId="7B883804" w14:textId="77777777" w:rsidR="009F26D0" w:rsidRPr="009F26D0" w:rsidRDefault="009F26D0" w:rsidP="009F26D0">
      <w:pPr>
        <w:pStyle w:val="Default"/>
        <w:jc w:val="both"/>
        <w:rPr>
          <w:rFonts w:ascii="Arial" w:hAnsi="Arial" w:cstheme="minorHAnsi"/>
          <w:color w:val="auto"/>
          <w:sz w:val="20"/>
          <w:szCs w:val="20"/>
          <w:lang w:val="en-GB" w:eastAsia="de-DE"/>
        </w:rPr>
      </w:pPr>
      <w:r w:rsidRPr="009F26D0">
        <w:rPr>
          <w:rFonts w:ascii="Arial" w:hAnsi="Arial" w:cstheme="minorHAnsi"/>
          <w:color w:val="auto"/>
          <w:sz w:val="20"/>
          <w:szCs w:val="20"/>
          <w:lang w:val="en-GB" w:eastAsia="de-DE"/>
        </w:rPr>
        <w:t>In addition, LSEG operates Cassa di Compensazione e Garanzia S.p.A. ("CC&amp;G"), the Italian clearing house, providing clearing services for a range of European securities as well as exchange traded equity and commodities derivatives.</w:t>
      </w:r>
    </w:p>
    <w:p w14:paraId="33D9F16F" w14:textId="77777777" w:rsidR="009F26D0" w:rsidRPr="009F26D0" w:rsidRDefault="009F26D0" w:rsidP="009F26D0">
      <w:pPr>
        <w:pStyle w:val="Default"/>
        <w:jc w:val="both"/>
        <w:rPr>
          <w:rFonts w:asciiTheme="minorHAnsi" w:eastAsiaTheme="minorEastAsia" w:hAnsiTheme="minorHAnsi" w:cstheme="minorHAnsi"/>
          <w:color w:val="auto"/>
          <w:sz w:val="20"/>
          <w:szCs w:val="20"/>
          <w:lang w:val="en-GB" w:eastAsia="zh-CN"/>
        </w:rPr>
      </w:pPr>
    </w:p>
    <w:p w14:paraId="4B0FEC17" w14:textId="77777777" w:rsidR="009F26D0" w:rsidRPr="009F26D0" w:rsidRDefault="009F26D0" w:rsidP="009F26D0">
      <w:pPr>
        <w:pStyle w:val="Default"/>
        <w:jc w:val="both"/>
        <w:rPr>
          <w:rFonts w:asciiTheme="minorHAnsi" w:eastAsiaTheme="minorEastAsia" w:hAnsiTheme="minorHAnsi" w:cstheme="minorHAnsi"/>
          <w:b/>
          <w:color w:val="auto"/>
          <w:sz w:val="20"/>
          <w:szCs w:val="20"/>
          <w:u w:val="single"/>
          <w:lang w:val="en-GB" w:eastAsia="zh-CN"/>
        </w:rPr>
      </w:pPr>
    </w:p>
    <w:p w14:paraId="3CE1141C" w14:textId="77777777" w:rsidR="009F26D0" w:rsidRPr="009F26D0" w:rsidRDefault="009F26D0" w:rsidP="009F26D0">
      <w:pPr>
        <w:pStyle w:val="Default"/>
        <w:jc w:val="both"/>
        <w:rPr>
          <w:rFonts w:ascii="Arial" w:eastAsiaTheme="minorEastAsia" w:hAnsi="Arial" w:cs="Arial"/>
          <w:b/>
          <w:color w:val="auto"/>
          <w:sz w:val="20"/>
          <w:szCs w:val="20"/>
          <w:u w:val="single"/>
          <w:lang w:val="en-GB" w:eastAsia="zh-CN"/>
        </w:rPr>
      </w:pPr>
      <w:r w:rsidRPr="009F26D0">
        <w:rPr>
          <w:rFonts w:ascii="Arial" w:eastAsiaTheme="minorEastAsia" w:hAnsi="Arial" w:cs="Arial"/>
          <w:b/>
          <w:color w:val="auto"/>
          <w:sz w:val="20"/>
          <w:szCs w:val="20"/>
          <w:u w:val="single"/>
          <w:lang w:val="en-GB" w:eastAsia="zh-CN"/>
        </w:rPr>
        <w:t>Introductory remarks</w:t>
      </w:r>
    </w:p>
    <w:p w14:paraId="21CD4346" w14:textId="77777777" w:rsidR="009F26D0" w:rsidRPr="00C74F7B" w:rsidRDefault="009F26D0" w:rsidP="009F26D0">
      <w:pPr>
        <w:jc w:val="both"/>
        <w:rPr>
          <w:rFonts w:cstheme="minorHAnsi"/>
          <w:szCs w:val="20"/>
        </w:rPr>
      </w:pPr>
    </w:p>
    <w:p w14:paraId="5A9AAABF" w14:textId="740F49E7" w:rsidR="009F26D0" w:rsidRDefault="009F26D0" w:rsidP="009F26D0">
      <w:pPr>
        <w:jc w:val="both"/>
        <w:rPr>
          <w:rFonts w:cstheme="minorHAnsi"/>
          <w:szCs w:val="20"/>
        </w:rPr>
      </w:pPr>
      <w:r w:rsidRPr="00C74F7B">
        <w:rPr>
          <w:rFonts w:cstheme="minorHAnsi"/>
          <w:szCs w:val="20"/>
        </w:rPr>
        <w:t xml:space="preserve">LSEG welcomes the opportunity to </w:t>
      </w:r>
      <w:r>
        <w:rPr>
          <w:rFonts w:cstheme="minorHAnsi"/>
          <w:szCs w:val="20"/>
        </w:rPr>
        <w:t>comment on ESMA’s Consultation Paper (“CP”)</w:t>
      </w:r>
      <w:r w:rsidRPr="00672E36">
        <w:rPr>
          <w:rFonts w:cstheme="minorHAnsi"/>
          <w:szCs w:val="20"/>
        </w:rPr>
        <w:t xml:space="preserve"> </w:t>
      </w:r>
      <w:r>
        <w:rPr>
          <w:rFonts w:cstheme="minorHAnsi"/>
          <w:szCs w:val="20"/>
        </w:rPr>
        <w:t xml:space="preserve">on the </w:t>
      </w:r>
      <w:r w:rsidRPr="00BF2295">
        <w:rPr>
          <w:rFonts w:cstheme="minorHAnsi"/>
          <w:szCs w:val="20"/>
        </w:rPr>
        <w:t>Regulatory technical standards</w:t>
      </w:r>
      <w:r>
        <w:rPr>
          <w:rFonts w:cstheme="minorHAnsi"/>
          <w:szCs w:val="20"/>
        </w:rPr>
        <w:t xml:space="preserve"> (“RTS”)</w:t>
      </w:r>
      <w:r w:rsidRPr="00BF2295">
        <w:rPr>
          <w:rFonts w:cstheme="minorHAnsi"/>
          <w:szCs w:val="20"/>
        </w:rPr>
        <w:t xml:space="preserve"> on conditions under which additional services or activities to which a CCP wishes to extend its business are not covered by the initial authorisation and conditions under which changes to the models and parameters are significant under EMIR</w:t>
      </w:r>
      <w:r>
        <w:rPr>
          <w:rFonts w:cstheme="minorHAnsi"/>
          <w:szCs w:val="20"/>
        </w:rPr>
        <w:t>. After reviewing the CP, we would like to note the following key comments:</w:t>
      </w:r>
    </w:p>
    <w:p w14:paraId="09930813" w14:textId="77777777" w:rsidR="00AE6013" w:rsidRDefault="00AE6013" w:rsidP="009F26D0">
      <w:pPr>
        <w:jc w:val="both"/>
        <w:rPr>
          <w:rFonts w:cstheme="minorHAnsi"/>
          <w:szCs w:val="20"/>
        </w:rPr>
      </w:pPr>
    </w:p>
    <w:p w14:paraId="7A9544D0" w14:textId="77777777" w:rsidR="009F26D0" w:rsidRDefault="009F26D0" w:rsidP="009F26D0">
      <w:pPr>
        <w:pStyle w:val="ListParagraph"/>
        <w:numPr>
          <w:ilvl w:val="0"/>
          <w:numId w:val="47"/>
        </w:numPr>
        <w:spacing w:after="200"/>
        <w:jc w:val="both"/>
        <w:rPr>
          <w:rFonts w:cstheme="minorHAnsi"/>
          <w:szCs w:val="20"/>
        </w:rPr>
      </w:pPr>
      <w:bookmarkStart w:id="3" w:name="_Hlk14268422"/>
      <w:r>
        <w:rPr>
          <w:rFonts w:cstheme="minorHAnsi"/>
          <w:szCs w:val="20"/>
        </w:rPr>
        <w:t xml:space="preserve">ESMA’s guidelines must ensure that the CCP maintains its </w:t>
      </w:r>
      <w:r w:rsidRPr="004D3491">
        <w:rPr>
          <w:rFonts w:cstheme="minorHAnsi"/>
          <w:szCs w:val="20"/>
        </w:rPr>
        <w:t>ability</w:t>
      </w:r>
      <w:r>
        <w:rPr>
          <w:rFonts w:cstheme="minorHAnsi"/>
          <w:szCs w:val="20"/>
        </w:rPr>
        <w:t xml:space="preserve"> </w:t>
      </w:r>
      <w:r w:rsidRPr="004D3491">
        <w:rPr>
          <w:rFonts w:cstheme="minorHAnsi"/>
          <w:szCs w:val="20"/>
        </w:rPr>
        <w:t>to</w:t>
      </w:r>
      <w:r>
        <w:rPr>
          <w:rFonts w:cstheme="minorHAnsi"/>
          <w:szCs w:val="20"/>
        </w:rPr>
        <w:t xml:space="preserve"> </w:t>
      </w:r>
      <w:r w:rsidRPr="00B77604">
        <w:rPr>
          <w:rFonts w:cstheme="minorHAnsi"/>
          <w:szCs w:val="20"/>
        </w:rPr>
        <w:t>quickly adjust to market conditions promptly tak</w:t>
      </w:r>
      <w:r>
        <w:rPr>
          <w:rFonts w:cstheme="minorHAnsi"/>
          <w:szCs w:val="20"/>
        </w:rPr>
        <w:t>ing</w:t>
      </w:r>
      <w:r w:rsidRPr="00B77604">
        <w:rPr>
          <w:rFonts w:cstheme="minorHAnsi"/>
          <w:szCs w:val="20"/>
        </w:rPr>
        <w:t xml:space="preserve"> into account volatility in the market or consider additional and emerging risks as part of sizing</w:t>
      </w:r>
      <w:r>
        <w:rPr>
          <w:rFonts w:cstheme="minorHAnsi"/>
          <w:szCs w:val="20"/>
        </w:rPr>
        <w:t xml:space="preserve"> of</w:t>
      </w:r>
      <w:r w:rsidRPr="00B77604">
        <w:rPr>
          <w:rFonts w:cstheme="minorHAnsi"/>
          <w:szCs w:val="20"/>
        </w:rPr>
        <w:t xml:space="preserve"> default funds and </w:t>
      </w:r>
      <w:r>
        <w:rPr>
          <w:rFonts w:cstheme="minorHAnsi"/>
          <w:szCs w:val="20"/>
        </w:rPr>
        <w:t>resources</w:t>
      </w:r>
      <w:r w:rsidRPr="00B77604">
        <w:rPr>
          <w:rFonts w:cstheme="minorHAnsi"/>
          <w:szCs w:val="20"/>
        </w:rPr>
        <w:t xml:space="preserve"> </w:t>
      </w:r>
      <w:r>
        <w:rPr>
          <w:rFonts w:cstheme="minorHAnsi"/>
          <w:szCs w:val="20"/>
        </w:rPr>
        <w:t>to address potential systemic risks. T</w:t>
      </w:r>
      <w:r w:rsidRPr="00413877">
        <w:rPr>
          <w:rFonts w:cstheme="minorHAnsi"/>
          <w:szCs w:val="20"/>
        </w:rPr>
        <w:t xml:space="preserve">he need </w:t>
      </w:r>
      <w:r>
        <w:rPr>
          <w:rFonts w:cstheme="minorHAnsi"/>
          <w:szCs w:val="20"/>
        </w:rPr>
        <w:t xml:space="preserve">for prompt adjustments by the CCP </w:t>
      </w:r>
      <w:r w:rsidRPr="00413877">
        <w:rPr>
          <w:rFonts w:cstheme="minorHAnsi"/>
          <w:szCs w:val="20"/>
        </w:rPr>
        <w:t xml:space="preserve">may also be driven by back test results and procyclicality analysis. In both cases, the CCP should retain the </w:t>
      </w:r>
      <w:r>
        <w:rPr>
          <w:rFonts w:cstheme="minorHAnsi"/>
          <w:szCs w:val="20"/>
        </w:rPr>
        <w:t>ability</w:t>
      </w:r>
      <w:r w:rsidRPr="00413877">
        <w:rPr>
          <w:rFonts w:cstheme="minorHAnsi"/>
          <w:szCs w:val="20"/>
        </w:rPr>
        <w:t xml:space="preserve"> to promptly </w:t>
      </w:r>
      <w:r>
        <w:rPr>
          <w:rFonts w:cstheme="minorHAnsi"/>
          <w:szCs w:val="20"/>
        </w:rPr>
        <w:t>adjust the relevant models and parameters</w:t>
      </w:r>
      <w:r w:rsidRPr="00413877">
        <w:rPr>
          <w:rFonts w:cstheme="minorHAnsi"/>
          <w:szCs w:val="20"/>
        </w:rPr>
        <w:t>, at least for risk mitigation and anti-procyclicality reasons</w:t>
      </w:r>
      <w:r>
        <w:rPr>
          <w:rFonts w:cstheme="minorHAnsi"/>
          <w:szCs w:val="20"/>
        </w:rPr>
        <w:t>.</w:t>
      </w:r>
    </w:p>
    <w:p w14:paraId="4B7DE130" w14:textId="77777777" w:rsidR="009F26D0" w:rsidRPr="00530C77" w:rsidRDefault="009F26D0" w:rsidP="009F26D0">
      <w:pPr>
        <w:pStyle w:val="ListParagraph"/>
        <w:numPr>
          <w:ilvl w:val="0"/>
          <w:numId w:val="47"/>
        </w:numPr>
        <w:spacing w:after="200"/>
        <w:jc w:val="both"/>
        <w:rPr>
          <w:rFonts w:cstheme="minorHAnsi"/>
          <w:szCs w:val="20"/>
        </w:rPr>
      </w:pPr>
      <w:r>
        <w:rPr>
          <w:rFonts w:cstheme="minorHAnsi"/>
          <w:szCs w:val="20"/>
        </w:rPr>
        <w:t xml:space="preserve">We believe that guidelines on the conditions under which additional services or activities to which a CCP wishes to extend its business should not lead to an overly cumbersome regulatory approval process for either NCAs or CCPs, which could strongly disincentivise, if not hamper innovation in the clearing industry as well as disincentivise clearing more broadly. </w:t>
      </w:r>
    </w:p>
    <w:p w14:paraId="3734D192" w14:textId="77777777" w:rsidR="009F26D0" w:rsidRPr="00C75F89" w:rsidRDefault="009F26D0" w:rsidP="009F26D0">
      <w:pPr>
        <w:pStyle w:val="ListParagraph"/>
        <w:numPr>
          <w:ilvl w:val="0"/>
          <w:numId w:val="47"/>
        </w:numPr>
        <w:spacing w:after="200"/>
        <w:jc w:val="both"/>
        <w:rPr>
          <w:rFonts w:cstheme="minorHAnsi"/>
          <w:szCs w:val="20"/>
        </w:rPr>
      </w:pPr>
      <w:r w:rsidRPr="00C75F89">
        <w:rPr>
          <w:rFonts w:cstheme="minorHAnsi"/>
          <w:bCs/>
          <w:szCs w:val="20"/>
        </w:rPr>
        <w:t xml:space="preserve">We would urge ESMA to further clarify what should be included in the application assessment and also to specify a </w:t>
      </w:r>
      <w:r>
        <w:rPr>
          <w:rFonts w:cstheme="minorHAnsi"/>
          <w:bCs/>
          <w:szCs w:val="20"/>
        </w:rPr>
        <w:t>precise and</w:t>
      </w:r>
      <w:r w:rsidRPr="00C75F89">
        <w:rPr>
          <w:rFonts w:cstheme="minorHAnsi"/>
          <w:bCs/>
          <w:szCs w:val="20"/>
        </w:rPr>
        <w:t xml:space="preserve"> legally binding timeframe for the procedure for consulting the college by the NCA</w:t>
      </w:r>
      <w:r>
        <w:rPr>
          <w:rFonts w:cstheme="minorHAnsi"/>
          <w:bCs/>
          <w:szCs w:val="20"/>
        </w:rPr>
        <w:t>.</w:t>
      </w:r>
    </w:p>
    <w:p w14:paraId="00588D6F" w14:textId="77777777" w:rsidR="009F26D0" w:rsidRPr="0026012D" w:rsidRDefault="009F26D0" w:rsidP="009F26D0">
      <w:pPr>
        <w:pStyle w:val="ListParagraph"/>
        <w:numPr>
          <w:ilvl w:val="0"/>
          <w:numId w:val="47"/>
        </w:numPr>
        <w:spacing w:after="200"/>
        <w:jc w:val="both"/>
        <w:rPr>
          <w:rFonts w:cstheme="minorHAnsi"/>
          <w:bCs/>
          <w:szCs w:val="20"/>
        </w:rPr>
      </w:pPr>
      <w:r w:rsidRPr="00B77604">
        <w:rPr>
          <w:rFonts w:cstheme="minorHAnsi"/>
          <w:szCs w:val="20"/>
        </w:rPr>
        <w:lastRenderedPageBreak/>
        <w:t xml:space="preserve">Criteria as well as indicators to determine the need for an extension of authorisation should be based on </w:t>
      </w:r>
      <w:r>
        <w:rPr>
          <w:rFonts w:cstheme="minorHAnsi"/>
          <w:szCs w:val="20"/>
        </w:rPr>
        <w:t>fundamental</w:t>
      </w:r>
      <w:r w:rsidRPr="00B77604">
        <w:rPr>
          <w:rFonts w:cstheme="minorHAnsi"/>
          <w:szCs w:val="20"/>
        </w:rPr>
        <w:t xml:space="preserve"> changes in the nature of the service rather than an extension of the existing services provided, where such extensions do not lead in a material change in its risk model</w:t>
      </w:r>
      <w:bookmarkEnd w:id="2"/>
      <w:bookmarkEnd w:id="3"/>
      <w:r>
        <w:rPr>
          <w:rFonts w:cstheme="minorHAnsi"/>
          <w:szCs w:val="20"/>
        </w:rPr>
        <w:t>.</w:t>
      </w:r>
    </w:p>
    <w:p w14:paraId="6036820F" w14:textId="77777777" w:rsidR="009F26D0" w:rsidRPr="00413877" w:rsidRDefault="009F26D0" w:rsidP="009F26D0">
      <w:pPr>
        <w:pStyle w:val="ListParagraph"/>
        <w:numPr>
          <w:ilvl w:val="0"/>
          <w:numId w:val="47"/>
        </w:numPr>
        <w:spacing w:after="200"/>
        <w:jc w:val="both"/>
        <w:rPr>
          <w:rFonts w:cstheme="minorHAnsi"/>
          <w:bCs/>
          <w:szCs w:val="20"/>
        </w:rPr>
      </w:pPr>
      <w:r>
        <w:rPr>
          <w:rFonts w:cstheme="minorHAnsi"/>
          <w:szCs w:val="20"/>
        </w:rPr>
        <w:t>Concerning the thresholds mentioned in the criteria and indicators regarding significant changes to the risk models</w:t>
      </w:r>
      <w:r>
        <w:rPr>
          <w:rFonts w:cstheme="minorHAnsi"/>
          <w:bCs/>
          <w:szCs w:val="20"/>
        </w:rPr>
        <w:t>, we would like to highlight that the m</w:t>
      </w:r>
      <w:r w:rsidRPr="0031099B">
        <w:rPr>
          <w:rFonts w:cstheme="minorHAnsi"/>
          <w:bCs/>
          <w:szCs w:val="20"/>
        </w:rPr>
        <w:t>ateriality of threshold</w:t>
      </w:r>
      <w:r>
        <w:rPr>
          <w:rFonts w:cstheme="minorHAnsi"/>
          <w:bCs/>
          <w:szCs w:val="20"/>
        </w:rPr>
        <w:t>s proposed</w:t>
      </w:r>
      <w:r w:rsidRPr="0031099B">
        <w:rPr>
          <w:rFonts w:cstheme="minorHAnsi"/>
          <w:bCs/>
          <w:szCs w:val="20"/>
        </w:rPr>
        <w:t xml:space="preserve"> is </w:t>
      </w:r>
      <w:r>
        <w:rPr>
          <w:rFonts w:cstheme="minorHAnsi"/>
          <w:bCs/>
          <w:szCs w:val="20"/>
        </w:rPr>
        <w:t xml:space="preserve">generally </w:t>
      </w:r>
      <w:r w:rsidRPr="0031099B">
        <w:rPr>
          <w:rFonts w:cstheme="minorHAnsi"/>
          <w:bCs/>
          <w:szCs w:val="20"/>
        </w:rPr>
        <w:t>very low and could</w:t>
      </w:r>
      <w:r>
        <w:rPr>
          <w:rFonts w:cstheme="minorHAnsi"/>
          <w:bCs/>
          <w:szCs w:val="20"/>
        </w:rPr>
        <w:t xml:space="preserve"> for instance</w:t>
      </w:r>
      <w:r w:rsidRPr="0031099B">
        <w:rPr>
          <w:rFonts w:cstheme="minorHAnsi"/>
          <w:bCs/>
          <w:szCs w:val="20"/>
        </w:rPr>
        <w:t xml:space="preserve"> be triggered during the CCP risk management </w:t>
      </w:r>
      <w:r>
        <w:rPr>
          <w:rFonts w:cstheme="minorHAnsi"/>
          <w:bCs/>
          <w:szCs w:val="20"/>
        </w:rPr>
        <w:t>BAU</w:t>
      </w:r>
      <w:r w:rsidRPr="0031099B">
        <w:rPr>
          <w:rFonts w:cstheme="minorHAnsi"/>
          <w:bCs/>
          <w:szCs w:val="20"/>
        </w:rPr>
        <w:t xml:space="preserve"> activity</w:t>
      </w:r>
      <w:r>
        <w:rPr>
          <w:rFonts w:cstheme="minorHAnsi"/>
          <w:bCs/>
          <w:szCs w:val="20"/>
        </w:rPr>
        <w:t>.</w:t>
      </w:r>
    </w:p>
    <w:p w14:paraId="68F63540" w14:textId="40053940" w:rsidR="00B327E9" w:rsidRPr="00BF28DA" w:rsidRDefault="00B327E9" w:rsidP="00B327E9">
      <w:r w:rsidRPr="00BF28DA">
        <w:t>&lt;ESMA_COMMENT_</w:t>
      </w:r>
      <w:r w:rsidR="00106124">
        <w:rPr>
          <w:rFonts w:cs="Arial"/>
        </w:rPr>
        <w:t>RTS1549</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177C6B">
      <w:pPr>
        <w:pStyle w:val="Questionstyle"/>
      </w:pPr>
      <w:r w:rsidRPr="0075015C">
        <w:br w:type="page"/>
      </w:r>
    </w:p>
    <w:p w14:paraId="3DA34BF6" w14:textId="7C0E32FE" w:rsidR="00106124" w:rsidRDefault="00106124" w:rsidP="00106124">
      <w:pPr>
        <w:pStyle w:val="Questionstyle"/>
        <w:numPr>
          <w:ilvl w:val="0"/>
          <w:numId w:val="45"/>
        </w:numPr>
      </w:pPr>
      <w:r w:rsidRPr="00106124">
        <w:lastRenderedPageBreak/>
        <w:t xml:space="preserve"> Do you agree with ESMA’s proposed approach to divide conditions under which additional services or activities to which a CCP wishes to extend its business are not covered by the initial authorisation (under Article 15 of EMIR) into criteria, which would be subject to a more simplified college consultation procedure, and into  indicators, which would be subject to a more extensive college consultation procedure, or would you propose a different approach? Please provide reasons for your answer.</w:t>
      </w:r>
    </w:p>
    <w:p w14:paraId="441FD53B" w14:textId="77777777" w:rsidR="00106124" w:rsidRPr="00106124" w:rsidRDefault="00106124" w:rsidP="00106124">
      <w:pPr>
        <w:rPr>
          <w:lang w:eastAsia="en-US"/>
        </w:rPr>
      </w:pPr>
    </w:p>
    <w:p w14:paraId="703009F9" w14:textId="6324A8BC" w:rsidR="00CD3899" w:rsidRDefault="00CD3899" w:rsidP="00CD3899">
      <w:pPr>
        <w:rPr>
          <w:lang w:eastAsia="en-US"/>
        </w:rPr>
      </w:pPr>
      <w:r>
        <w:rPr>
          <w:lang w:eastAsia="en-US"/>
        </w:rPr>
        <w:t>&lt;ESMA_QUESTION_</w:t>
      </w:r>
      <w:r w:rsidR="00106124">
        <w:rPr>
          <w:lang w:eastAsia="en-US"/>
        </w:rPr>
        <w:t>RTS1549</w:t>
      </w:r>
      <w:r>
        <w:rPr>
          <w:lang w:eastAsia="en-US"/>
        </w:rPr>
        <w:t>_1&gt;</w:t>
      </w:r>
    </w:p>
    <w:p w14:paraId="709EBA0C" w14:textId="77777777" w:rsidR="006F18AB" w:rsidRDefault="006F18AB" w:rsidP="006F18AB">
      <w:pPr>
        <w:jc w:val="both"/>
        <w:rPr>
          <w:rFonts w:cstheme="minorHAnsi"/>
          <w:bCs/>
          <w:szCs w:val="20"/>
        </w:rPr>
      </w:pPr>
      <w:r>
        <w:rPr>
          <w:rFonts w:cstheme="minorHAnsi"/>
          <w:bCs/>
          <w:szCs w:val="20"/>
        </w:rPr>
        <w:t xml:space="preserve">LSEG agrees with ESMA’s approach to divide conditions under which additional services or activities, to which a CCP wishes to extend its business under, are not covered by the initial authorisation under Article 15 of EMIR in criteria and indicators but also with the proposed college consultation process. Furthermore, we believe it’s important to ensure that </w:t>
      </w:r>
      <w:r w:rsidRPr="00221DFD">
        <w:rPr>
          <w:rFonts w:cstheme="minorHAnsi"/>
          <w:bCs/>
          <w:szCs w:val="20"/>
        </w:rPr>
        <w:t>the final decision (of whether an extension of authorisation is required) remain</w:t>
      </w:r>
      <w:r>
        <w:rPr>
          <w:rFonts w:cstheme="minorHAnsi"/>
          <w:bCs/>
          <w:szCs w:val="20"/>
        </w:rPr>
        <w:t>s</w:t>
      </w:r>
      <w:r w:rsidRPr="00221DFD">
        <w:rPr>
          <w:rFonts w:cstheme="minorHAnsi"/>
          <w:bCs/>
          <w:szCs w:val="20"/>
        </w:rPr>
        <w:t xml:space="preserve"> with the NCA</w:t>
      </w:r>
      <w:r>
        <w:rPr>
          <w:rFonts w:cstheme="minorHAnsi"/>
          <w:bCs/>
          <w:szCs w:val="20"/>
        </w:rPr>
        <w:t xml:space="preserve"> directly supervising the CCP in question.</w:t>
      </w:r>
    </w:p>
    <w:p w14:paraId="072EC222" w14:textId="77777777" w:rsidR="006F18AB" w:rsidRDefault="006F18AB" w:rsidP="006F18AB">
      <w:pPr>
        <w:jc w:val="both"/>
        <w:rPr>
          <w:rFonts w:cstheme="minorHAnsi"/>
          <w:bCs/>
          <w:szCs w:val="20"/>
        </w:rPr>
      </w:pPr>
    </w:p>
    <w:p w14:paraId="13870784" w14:textId="2DBE6035" w:rsidR="006F18AB" w:rsidRDefault="006F18AB" w:rsidP="006F18AB">
      <w:pPr>
        <w:jc w:val="both"/>
        <w:rPr>
          <w:rFonts w:cstheme="minorHAnsi"/>
          <w:bCs/>
          <w:szCs w:val="20"/>
        </w:rPr>
      </w:pPr>
      <w:r>
        <w:rPr>
          <w:rFonts w:cstheme="minorHAnsi"/>
          <w:bCs/>
          <w:szCs w:val="20"/>
        </w:rPr>
        <w:t xml:space="preserve">We would note, however, that the list of both criteria and indicators need to reflect material changes to the nature of the service currently offered by the CCP to justify a request for an extension of its existing authorisation. There are criteria and indicators which in our view are too </w:t>
      </w:r>
      <w:r w:rsidR="0071706B">
        <w:rPr>
          <w:rFonts w:cstheme="minorHAnsi"/>
          <w:bCs/>
          <w:szCs w:val="20"/>
        </w:rPr>
        <w:t>granular</w:t>
      </w:r>
      <w:r>
        <w:rPr>
          <w:rFonts w:cstheme="minorHAnsi"/>
          <w:bCs/>
          <w:szCs w:val="20"/>
        </w:rPr>
        <w:t xml:space="preserve"> and would be triggered even if the change would not necessarily lead to a significant change in the CCP’s existing service offering. This could create an unreasonable amount of work for both NCAs and CCPs ultimately slowing down the authorisation process</w:t>
      </w:r>
      <w:r>
        <w:rPr>
          <w:rFonts w:cstheme="minorHAnsi"/>
          <w:szCs w:val="20"/>
        </w:rPr>
        <w:t xml:space="preserve">. This could also disincentivize (if not hamper) innovation in the clearing industry as well as disincentivise clearing more broadly. </w:t>
      </w:r>
      <w:r>
        <w:rPr>
          <w:rFonts w:cstheme="minorHAnsi"/>
          <w:bCs/>
          <w:szCs w:val="20"/>
        </w:rPr>
        <w:t>We would therefore suggest that assessment of material impacts should concentrate on changes to the nature of services offered, or risk assumed, through the use of guidelines and quantitative thresholds</w:t>
      </w:r>
      <w:r w:rsidR="00AE6013">
        <w:rPr>
          <w:rFonts w:cstheme="minorHAnsi"/>
          <w:bCs/>
          <w:szCs w:val="20"/>
        </w:rPr>
        <w:t>.</w:t>
      </w:r>
    </w:p>
    <w:p w14:paraId="369DF23F" w14:textId="2A477CAF" w:rsidR="00CD3899" w:rsidRPr="00CD3899" w:rsidRDefault="00CD3899" w:rsidP="006F18AB">
      <w:pPr>
        <w:rPr>
          <w:lang w:eastAsia="en-US"/>
        </w:rPr>
      </w:pPr>
      <w:r>
        <w:rPr>
          <w:lang w:eastAsia="en-US"/>
        </w:rPr>
        <w:t>&lt;ESMA_QUESTION_</w:t>
      </w:r>
      <w:r w:rsidR="00106124">
        <w:rPr>
          <w:lang w:eastAsia="en-US"/>
        </w:rPr>
        <w:t>RTS1549</w:t>
      </w:r>
      <w:r>
        <w:rPr>
          <w:lang w:eastAsia="en-US"/>
        </w:rPr>
        <w:t>_1&gt;</w:t>
      </w:r>
    </w:p>
    <w:p w14:paraId="64631B8C" w14:textId="77777777" w:rsidR="00014A67" w:rsidRPr="00014A67" w:rsidRDefault="00014A67" w:rsidP="00014A67">
      <w:pPr>
        <w:rPr>
          <w:lang w:eastAsia="en-US"/>
        </w:rPr>
      </w:pPr>
    </w:p>
    <w:p w14:paraId="54760369" w14:textId="680AB545" w:rsidR="00106124" w:rsidRPr="00106124" w:rsidRDefault="00106124" w:rsidP="00177C6B">
      <w:pPr>
        <w:pStyle w:val="Questionstyle"/>
      </w:pPr>
      <w:bookmarkStart w:id="4" w:name="_Hlk35514199"/>
      <w:r w:rsidRPr="00106124">
        <w:t>Do you agree with ESMA’s proposed list of criteria for an extension of authorisation (under Article 15 of EMIR) or would you propose to change/add/delete any of the criteria or specify certain criteria further? Please provide reasons for your answer.</w:t>
      </w:r>
    </w:p>
    <w:p w14:paraId="220149A7" w14:textId="0876F860" w:rsidR="00CC38E9" w:rsidRDefault="00CC38E9" w:rsidP="00CC38E9">
      <w:r>
        <w:t>&lt;ESMA_</w:t>
      </w:r>
      <w:r w:rsidR="00C93A9C">
        <w:t>QUESTION_</w:t>
      </w:r>
      <w:r w:rsidR="00106124">
        <w:t>RTS1549</w:t>
      </w:r>
      <w:r w:rsidR="00C93A9C">
        <w:t>_</w:t>
      </w:r>
      <w:r w:rsidR="00CD3899">
        <w:t>2</w:t>
      </w:r>
      <w:r>
        <w:t>&gt;</w:t>
      </w:r>
    </w:p>
    <w:p w14:paraId="651DE706" w14:textId="36319FB5" w:rsidR="00EB4AED" w:rsidRDefault="00EB4AED" w:rsidP="00EB4AED">
      <w:pPr>
        <w:jc w:val="both"/>
        <w:rPr>
          <w:rFonts w:cstheme="minorHAnsi"/>
          <w:bCs/>
          <w:szCs w:val="20"/>
        </w:rPr>
      </w:pPr>
      <w:r>
        <w:rPr>
          <w:rFonts w:cstheme="minorHAnsi"/>
          <w:bCs/>
          <w:szCs w:val="20"/>
        </w:rPr>
        <w:t>LSEG understands the intended rationale behind the list of criteria proposed that would require an extension of authorisation under Article 15, we would like to make however the following observations:</w:t>
      </w:r>
    </w:p>
    <w:p w14:paraId="28C8ACA3" w14:textId="77777777" w:rsidR="00EB4AED" w:rsidRDefault="00EB4AED" w:rsidP="00EB4AED">
      <w:pPr>
        <w:jc w:val="both"/>
        <w:rPr>
          <w:rFonts w:cstheme="minorHAnsi"/>
          <w:bCs/>
          <w:szCs w:val="20"/>
        </w:rPr>
      </w:pPr>
    </w:p>
    <w:p w14:paraId="4734BAFA" w14:textId="3593A070" w:rsidR="00EB4AED" w:rsidRDefault="00EB4AED" w:rsidP="00EB4AED">
      <w:pPr>
        <w:jc w:val="both"/>
        <w:rPr>
          <w:rFonts w:cstheme="minorHAnsi"/>
          <w:bCs/>
          <w:szCs w:val="20"/>
        </w:rPr>
      </w:pPr>
      <w:r>
        <w:rPr>
          <w:rFonts w:cstheme="minorHAnsi"/>
          <w:bCs/>
          <w:szCs w:val="20"/>
        </w:rPr>
        <w:t xml:space="preserve">We believe that, in line with ESMA’s suggestion to provide NCAs with flexibility and discretion to determine whether an extension of service would trigger Article 15, the overall process must be proportional to prevent creating an overly cumbersome authorisation process. A new contract to an existing market class or new market data, for example, does not constitute a service change and therefore we believe that it is important to focus on the nature of the service provided rather than to the product itself. </w:t>
      </w:r>
    </w:p>
    <w:p w14:paraId="7B7EBD81" w14:textId="77777777" w:rsidR="00EB4AED" w:rsidRDefault="00EB4AED" w:rsidP="00EB4AED">
      <w:pPr>
        <w:jc w:val="both"/>
        <w:rPr>
          <w:rFonts w:cstheme="minorHAnsi"/>
          <w:bCs/>
          <w:szCs w:val="20"/>
        </w:rPr>
      </w:pPr>
    </w:p>
    <w:p w14:paraId="4CF5F4F1" w14:textId="4838EF61" w:rsidR="00EB4AED" w:rsidRDefault="00EB4AED" w:rsidP="00EB4AED">
      <w:pPr>
        <w:jc w:val="both"/>
        <w:rPr>
          <w:rFonts w:cstheme="minorHAnsi"/>
          <w:bCs/>
          <w:szCs w:val="20"/>
        </w:rPr>
      </w:pPr>
      <w:r>
        <w:rPr>
          <w:rFonts w:cstheme="minorHAnsi"/>
          <w:bCs/>
          <w:szCs w:val="20"/>
        </w:rPr>
        <w:t>Regarding commodities derivatives (Article 2(a)(vii)), we don’t believe that commodity derivatives should be included in the list of instruments that would trigger an Article 15 requirement. Commodities products are very similar in nature (LCH SA currently clears Agricultural and Energy commodities) and additional contracts of the same nature do not constitute a change in the service offered. Furthermore, new contracts do appear quite often which would result in a an overly burdensome and lengthy regulatory approval process to both NCAs and CCPs.</w:t>
      </w:r>
    </w:p>
    <w:p w14:paraId="4B443D45" w14:textId="77777777" w:rsidR="00EB4AED" w:rsidRPr="00BF2295" w:rsidRDefault="00EB4AED" w:rsidP="00EB4AED">
      <w:pPr>
        <w:jc w:val="both"/>
        <w:rPr>
          <w:rFonts w:cstheme="minorHAnsi"/>
          <w:bCs/>
          <w:szCs w:val="20"/>
        </w:rPr>
      </w:pPr>
    </w:p>
    <w:p w14:paraId="61A37C14" w14:textId="57DBFD75" w:rsidR="00EB4AED" w:rsidRDefault="00EB4AED" w:rsidP="00EB4AED">
      <w:pPr>
        <w:jc w:val="both"/>
        <w:rPr>
          <w:rFonts w:cstheme="minorHAnsi"/>
          <w:bCs/>
          <w:szCs w:val="20"/>
        </w:rPr>
      </w:pPr>
      <w:r>
        <w:rPr>
          <w:rFonts w:cstheme="minorHAnsi"/>
          <w:bCs/>
          <w:szCs w:val="20"/>
        </w:rPr>
        <w:t xml:space="preserve">Regarding </w:t>
      </w:r>
      <w:r w:rsidRPr="00DE4C1D">
        <w:rPr>
          <w:rFonts w:cstheme="minorHAnsi"/>
          <w:bCs/>
          <w:szCs w:val="20"/>
        </w:rPr>
        <w:t>a new settlement or delivery mechanism or service which involves establishing link</w:t>
      </w:r>
      <w:r>
        <w:rPr>
          <w:rFonts w:cstheme="minorHAnsi"/>
          <w:bCs/>
          <w:szCs w:val="20"/>
        </w:rPr>
        <w:t>s</w:t>
      </w:r>
      <w:r w:rsidRPr="00DE4C1D">
        <w:rPr>
          <w:rFonts w:cstheme="minorHAnsi"/>
          <w:bCs/>
          <w:szCs w:val="20"/>
        </w:rPr>
        <w:t xml:space="preserve"> with a different securities settlement system</w:t>
      </w:r>
      <w:r>
        <w:rPr>
          <w:rFonts w:cstheme="minorHAnsi"/>
          <w:bCs/>
          <w:szCs w:val="20"/>
        </w:rPr>
        <w:t xml:space="preserve"> </w:t>
      </w:r>
      <w:r w:rsidRPr="00DE4C1D">
        <w:rPr>
          <w:rFonts w:cstheme="minorHAnsi"/>
          <w:bCs/>
          <w:szCs w:val="20"/>
        </w:rPr>
        <w:t>CSD or payment system which the CCP did not previously use</w:t>
      </w:r>
      <w:r>
        <w:rPr>
          <w:rFonts w:cstheme="minorHAnsi"/>
          <w:bCs/>
          <w:szCs w:val="20"/>
        </w:rPr>
        <w:t xml:space="preserve"> (Art 2(c)), we don’t believe that this criterion would require an extension of authorisation. Provision of additional settlement or payment options will not change the service or risk model of a CCP.</w:t>
      </w:r>
    </w:p>
    <w:p w14:paraId="30AE8491" w14:textId="13EF6286" w:rsidR="00CC38E9" w:rsidRDefault="00CC38E9" w:rsidP="00EB4AED">
      <w:r>
        <w:t>&lt;ESMA_</w:t>
      </w:r>
      <w:r w:rsidR="00C93A9C">
        <w:t>QUESTION_</w:t>
      </w:r>
      <w:r w:rsidR="00106124">
        <w:t>RTS1549</w:t>
      </w:r>
      <w:r w:rsidR="00C93A9C">
        <w:t>_</w:t>
      </w:r>
      <w:r w:rsidR="00CD3899">
        <w:t>2</w:t>
      </w:r>
      <w:r>
        <w:t>&gt;</w:t>
      </w:r>
    </w:p>
    <w:bookmarkEnd w:id="4"/>
    <w:p w14:paraId="25C01A84" w14:textId="77777777" w:rsidR="00CC49EE" w:rsidRPr="00170D44" w:rsidRDefault="00CC49EE" w:rsidP="00170D44">
      <w:pPr>
        <w:rPr>
          <w:b/>
        </w:rPr>
      </w:pPr>
    </w:p>
    <w:p w14:paraId="55C5F080" w14:textId="5C4E9A96" w:rsidR="00CC38E9" w:rsidRPr="00014A67" w:rsidRDefault="00106124" w:rsidP="00953A42">
      <w:pPr>
        <w:pStyle w:val="Questionstyle"/>
      </w:pPr>
      <w:r w:rsidRPr="00106124">
        <w:lastRenderedPageBreak/>
        <w:t>Do you agree with ESMA’s proposed list of indicators for an extension of authorisation (under Article 15 of EMIR) or would you propose to change/add/delete any of the indicators or specify certain indicators further? Please provide reasons for your answer.</w:t>
      </w:r>
    </w:p>
    <w:p w14:paraId="25A84155" w14:textId="13396321" w:rsidR="00CC38E9" w:rsidRDefault="00CC38E9" w:rsidP="00CC38E9">
      <w:r>
        <w:t>&lt;ESMA_</w:t>
      </w:r>
      <w:r w:rsidR="00C93A9C">
        <w:t>QUESTION_</w:t>
      </w:r>
      <w:r w:rsidR="00106124">
        <w:t>RTS1549</w:t>
      </w:r>
      <w:r w:rsidR="00C93A9C">
        <w:t>_</w:t>
      </w:r>
      <w:r w:rsidR="00CD3899">
        <w:t>3</w:t>
      </w:r>
      <w:r>
        <w:t>&gt;</w:t>
      </w:r>
    </w:p>
    <w:p w14:paraId="4025BA47" w14:textId="44CF66AC" w:rsidR="00987718" w:rsidRDefault="00987718" w:rsidP="00987718">
      <w:pPr>
        <w:jc w:val="both"/>
        <w:rPr>
          <w:rFonts w:cstheme="minorHAnsi"/>
          <w:bCs/>
          <w:szCs w:val="20"/>
        </w:rPr>
      </w:pPr>
      <w:r>
        <w:rPr>
          <w:rFonts w:cstheme="minorHAnsi"/>
          <w:bCs/>
          <w:szCs w:val="20"/>
        </w:rPr>
        <w:t>LSEG understands the intended rationale behind the list of indicators proposed that would require an extension of authorisation under Article 15, we would like to make however the following observations:</w:t>
      </w:r>
    </w:p>
    <w:p w14:paraId="63A2AB40" w14:textId="77777777" w:rsidR="00987718" w:rsidRDefault="00987718" w:rsidP="00987718">
      <w:pPr>
        <w:jc w:val="both"/>
        <w:rPr>
          <w:rFonts w:cstheme="minorHAnsi"/>
          <w:bCs/>
          <w:szCs w:val="20"/>
        </w:rPr>
      </w:pPr>
    </w:p>
    <w:p w14:paraId="02680EA9" w14:textId="72909D20" w:rsidR="00987718" w:rsidRDefault="00987718" w:rsidP="00987718">
      <w:pPr>
        <w:jc w:val="both"/>
        <w:rPr>
          <w:rFonts w:cstheme="minorHAnsi"/>
          <w:bCs/>
          <w:szCs w:val="20"/>
        </w:rPr>
      </w:pPr>
      <w:r>
        <w:rPr>
          <w:rFonts w:cstheme="minorHAnsi"/>
          <w:bCs/>
          <w:szCs w:val="20"/>
        </w:rPr>
        <w:t xml:space="preserve">Regarding risk factors (Art 3(a)), we don’t believe that adding a new risk factor in itself would constitute a change in the model. In addition to that, we are of the view that changing key parameters of the risk model should fall under an extension of authorisation under Article 49 instead. </w:t>
      </w:r>
    </w:p>
    <w:p w14:paraId="30E8BD87" w14:textId="77777777" w:rsidR="00987718" w:rsidRDefault="00987718" w:rsidP="00987718">
      <w:pPr>
        <w:jc w:val="both"/>
        <w:rPr>
          <w:rFonts w:cstheme="minorHAnsi"/>
          <w:bCs/>
          <w:szCs w:val="20"/>
        </w:rPr>
      </w:pPr>
    </w:p>
    <w:p w14:paraId="6D072D34" w14:textId="6BBBA2E8" w:rsidR="00987718" w:rsidRDefault="00987718" w:rsidP="00987718">
      <w:pPr>
        <w:jc w:val="both"/>
        <w:rPr>
          <w:rFonts w:cstheme="minorHAnsi"/>
          <w:bCs/>
          <w:szCs w:val="20"/>
        </w:rPr>
      </w:pPr>
      <w:r>
        <w:rPr>
          <w:rFonts w:cstheme="minorHAnsi"/>
          <w:bCs/>
          <w:szCs w:val="20"/>
        </w:rPr>
        <w:t xml:space="preserve">Regarding a </w:t>
      </w:r>
      <w:r w:rsidRPr="00357FF5">
        <w:rPr>
          <w:rFonts w:cstheme="minorHAnsi"/>
          <w:bCs/>
          <w:szCs w:val="20"/>
        </w:rPr>
        <w:t xml:space="preserve">CCP’s new activity or service </w:t>
      </w:r>
      <w:r>
        <w:rPr>
          <w:rFonts w:cstheme="minorHAnsi"/>
          <w:bCs/>
          <w:szCs w:val="20"/>
        </w:rPr>
        <w:t>resulting in</w:t>
      </w:r>
      <w:r w:rsidRPr="00357FF5">
        <w:rPr>
          <w:rFonts w:cstheme="minorHAnsi"/>
          <w:bCs/>
          <w:szCs w:val="20"/>
        </w:rPr>
        <w:t xml:space="preserve"> the CCP needing to adapt its operational or organisational structure</w:t>
      </w:r>
      <w:r>
        <w:rPr>
          <w:rFonts w:cstheme="minorHAnsi"/>
          <w:bCs/>
          <w:szCs w:val="20"/>
        </w:rPr>
        <w:t xml:space="preserve"> (Article 3(b)(i)(ii)), neither the extension of existing service to different time zones nor the extension of working hours would fundamentally change the service. Additionally, we would welcome further clarification on the definition of a “material” change with respect to the working hours. </w:t>
      </w:r>
    </w:p>
    <w:p w14:paraId="18658755" w14:textId="77777777" w:rsidR="00987718" w:rsidRDefault="00987718" w:rsidP="00987718">
      <w:pPr>
        <w:jc w:val="both"/>
        <w:rPr>
          <w:rFonts w:cstheme="minorHAnsi"/>
          <w:bCs/>
          <w:szCs w:val="20"/>
        </w:rPr>
      </w:pPr>
    </w:p>
    <w:p w14:paraId="475E0C7E" w14:textId="77777777" w:rsidR="00987718" w:rsidRDefault="00987718" w:rsidP="00987718">
      <w:pPr>
        <w:jc w:val="both"/>
        <w:rPr>
          <w:rFonts w:cstheme="minorHAnsi"/>
          <w:bCs/>
          <w:szCs w:val="20"/>
        </w:rPr>
      </w:pPr>
      <w:r>
        <w:rPr>
          <w:rFonts w:cstheme="minorHAnsi"/>
          <w:bCs/>
          <w:szCs w:val="20"/>
        </w:rPr>
        <w:t xml:space="preserve">Regarding a CCP adopting different methods for obtaining prices (Article 3(d), again we believe that assuming the process for obtaining prices remains the same, this indicator would not constitute material change to a CCP’s risk model. Also, in line with our comments on the risk factors above, we view such change as falling under Article 49 instead. Finally, regarding </w:t>
      </w:r>
      <w:r w:rsidRPr="00797F9D">
        <w:rPr>
          <w:rFonts w:cstheme="minorHAnsi"/>
          <w:bCs/>
          <w:szCs w:val="20"/>
        </w:rPr>
        <w:t>the introduction of new risks, linked to the different characteristics of the assets referenced</w:t>
      </w:r>
      <w:r>
        <w:rPr>
          <w:rFonts w:cstheme="minorHAnsi"/>
          <w:bCs/>
          <w:szCs w:val="20"/>
        </w:rPr>
        <w:t xml:space="preserve"> (Article 3 (f)), we are of the opinion that a micro focused approach in relation to the sub markets referenced is not appropriate and would further complicate the authorisation process with no tangible benefits from a risk management perspective.</w:t>
      </w:r>
    </w:p>
    <w:p w14:paraId="056BA711" w14:textId="63EBBEBA" w:rsidR="00CC38E9" w:rsidRDefault="00CC38E9" w:rsidP="00CC38E9">
      <w:r>
        <w:t>&lt;ESMA_</w:t>
      </w:r>
      <w:r w:rsidR="00C93A9C">
        <w:t>QUESTION_</w:t>
      </w:r>
      <w:r w:rsidR="00106124">
        <w:t>RTS1549</w:t>
      </w:r>
      <w:r w:rsidR="00C93A9C">
        <w:t>_</w:t>
      </w:r>
      <w:r w:rsidR="00CD3899">
        <w:t>3</w:t>
      </w:r>
      <w:r>
        <w:t>&gt;</w:t>
      </w:r>
    </w:p>
    <w:p w14:paraId="0DF4E5A2" w14:textId="77777777" w:rsidR="00CC38E9" w:rsidRDefault="00CC38E9" w:rsidP="00170D44">
      <w:pPr>
        <w:rPr>
          <w:b/>
        </w:rPr>
      </w:pPr>
    </w:p>
    <w:p w14:paraId="071A4302" w14:textId="0D9C3877" w:rsidR="00014A67" w:rsidRDefault="00014A67" w:rsidP="00177C6B">
      <w:pPr>
        <w:pStyle w:val="Questionstyle"/>
      </w:pPr>
      <w:r>
        <w:t xml:space="preserve">: </w:t>
      </w:r>
      <w:r w:rsidR="00953A42" w:rsidRPr="00106124">
        <w:t>Would you change certain criteria into indicators or vice-versa (under Article 15 of EMIR)? Please provide reasons for your answer</w:t>
      </w:r>
    </w:p>
    <w:p w14:paraId="15895E53" w14:textId="1E72F894"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4</w:t>
      </w:r>
      <w:r>
        <w:rPr>
          <w:lang w:eastAsia="en-US"/>
        </w:rPr>
        <w:t>&gt;</w:t>
      </w:r>
    </w:p>
    <w:p w14:paraId="0EB6CA28" w14:textId="77777777" w:rsidR="00987718" w:rsidRDefault="00987718" w:rsidP="00987718">
      <w:pPr>
        <w:jc w:val="both"/>
        <w:rPr>
          <w:rFonts w:cstheme="minorHAnsi"/>
          <w:bCs/>
          <w:szCs w:val="20"/>
        </w:rPr>
      </w:pPr>
    </w:p>
    <w:p w14:paraId="22034152" w14:textId="7B2327B2" w:rsidR="00987718" w:rsidRDefault="00987718" w:rsidP="00987718">
      <w:pPr>
        <w:jc w:val="both"/>
        <w:rPr>
          <w:rFonts w:cstheme="minorHAnsi"/>
          <w:bCs/>
          <w:szCs w:val="20"/>
        </w:rPr>
      </w:pPr>
      <w:r>
        <w:rPr>
          <w:rFonts w:cstheme="minorHAnsi"/>
          <w:bCs/>
          <w:szCs w:val="20"/>
        </w:rPr>
        <w:t>As noted above, we believe that the following criteria/indicators should be deleted from the list:</w:t>
      </w:r>
    </w:p>
    <w:p w14:paraId="71EDAA72" w14:textId="77777777" w:rsidR="00987718" w:rsidRDefault="00987718" w:rsidP="00987718">
      <w:pPr>
        <w:pStyle w:val="ListParagraph"/>
        <w:numPr>
          <w:ilvl w:val="0"/>
          <w:numId w:val="48"/>
        </w:numPr>
        <w:spacing w:after="200" w:line="276" w:lineRule="auto"/>
        <w:jc w:val="both"/>
        <w:rPr>
          <w:rFonts w:cstheme="minorHAnsi"/>
          <w:bCs/>
          <w:szCs w:val="20"/>
        </w:rPr>
      </w:pPr>
      <w:r w:rsidRPr="00920328">
        <w:rPr>
          <w:rFonts w:cstheme="minorHAnsi"/>
          <w:bCs/>
          <w:szCs w:val="20"/>
        </w:rPr>
        <w:t>Article 2(c) – a new settlement or delivery mechanism or service which involves establishing link with a different securities settlement system CSD or payment system which the CCP did not previously use</w:t>
      </w:r>
    </w:p>
    <w:p w14:paraId="1103E9E0" w14:textId="77777777" w:rsidR="00987718" w:rsidRPr="00987718" w:rsidRDefault="00987718" w:rsidP="00151F99">
      <w:pPr>
        <w:pStyle w:val="ListParagraph"/>
        <w:numPr>
          <w:ilvl w:val="0"/>
          <w:numId w:val="48"/>
        </w:numPr>
        <w:spacing w:after="200" w:line="276" w:lineRule="auto"/>
        <w:jc w:val="both"/>
        <w:rPr>
          <w:lang w:eastAsia="en-US"/>
        </w:rPr>
      </w:pPr>
      <w:r w:rsidRPr="00987718">
        <w:rPr>
          <w:rFonts w:cstheme="minorHAnsi"/>
          <w:bCs/>
          <w:szCs w:val="20"/>
        </w:rPr>
        <w:t xml:space="preserve">Article 3(b)(i)(ii) – the extension of existing service or activity to different time zones and the extension of working hours </w:t>
      </w:r>
    </w:p>
    <w:p w14:paraId="23F8B451" w14:textId="4516A6A5" w:rsidR="00014A67" w:rsidRDefault="003331A2" w:rsidP="00987718">
      <w:pPr>
        <w:spacing w:after="200" w:line="276" w:lineRule="auto"/>
        <w:jc w:val="both"/>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4</w:t>
      </w:r>
      <w:r>
        <w:rPr>
          <w:lang w:eastAsia="en-US"/>
        </w:rPr>
        <w:t>&gt;</w:t>
      </w:r>
    </w:p>
    <w:p w14:paraId="172A52E2" w14:textId="77777777" w:rsidR="003331A2" w:rsidRPr="00014A67" w:rsidRDefault="003331A2" w:rsidP="00014A67">
      <w:pPr>
        <w:rPr>
          <w:lang w:eastAsia="en-US"/>
        </w:rPr>
      </w:pPr>
    </w:p>
    <w:p w14:paraId="4DBA5834" w14:textId="593ACB9F" w:rsidR="00014A67" w:rsidRDefault="007431C5" w:rsidP="00177C6B">
      <w:pPr>
        <w:pStyle w:val="Questionstyle"/>
      </w:pPr>
      <w:r w:rsidRPr="007431C5">
        <w:t>Do you agree with ESMA’s proposed procedures for consulting the college (under Article 15 of EMIR) or would you propose different procedures? Please provide reasons for your answer.</w:t>
      </w:r>
    </w:p>
    <w:p w14:paraId="00D6B443" w14:textId="55B71306"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5</w:t>
      </w:r>
      <w:r>
        <w:rPr>
          <w:lang w:eastAsia="en-US"/>
        </w:rPr>
        <w:t>&gt;</w:t>
      </w:r>
    </w:p>
    <w:p w14:paraId="70D18DD4" w14:textId="35837B5A" w:rsidR="00987718" w:rsidRDefault="00987718" w:rsidP="00987718">
      <w:pPr>
        <w:jc w:val="both"/>
        <w:rPr>
          <w:rFonts w:cstheme="minorHAnsi"/>
          <w:szCs w:val="20"/>
        </w:rPr>
      </w:pPr>
      <w:r>
        <w:rPr>
          <w:rFonts w:cstheme="minorHAnsi"/>
          <w:bCs/>
          <w:szCs w:val="20"/>
        </w:rPr>
        <w:t>Although we agree with the two-step approach that is envisaged, we believe that clearly legally binding timeframes for each step of the proposed procedure for consulting the college under Article 15 should be considered to ensure that they do not lead to</w:t>
      </w:r>
      <w:r w:rsidRPr="00183365">
        <w:rPr>
          <w:rFonts w:cstheme="minorHAnsi"/>
          <w:bCs/>
          <w:szCs w:val="20"/>
        </w:rPr>
        <w:t xml:space="preserve"> unreasonabl</w:t>
      </w:r>
      <w:r>
        <w:rPr>
          <w:rFonts w:cstheme="minorHAnsi"/>
          <w:bCs/>
          <w:szCs w:val="20"/>
        </w:rPr>
        <w:t>e</w:t>
      </w:r>
      <w:r w:rsidRPr="00183365">
        <w:rPr>
          <w:rFonts w:cstheme="minorHAnsi"/>
          <w:bCs/>
          <w:szCs w:val="20"/>
        </w:rPr>
        <w:t xml:space="preserve"> delay</w:t>
      </w:r>
      <w:r>
        <w:rPr>
          <w:rFonts w:cstheme="minorHAnsi"/>
          <w:bCs/>
          <w:szCs w:val="20"/>
        </w:rPr>
        <w:t>s.</w:t>
      </w:r>
      <w:r w:rsidRPr="00183365">
        <w:rPr>
          <w:rFonts w:cstheme="minorHAnsi"/>
          <w:bCs/>
          <w:szCs w:val="20"/>
        </w:rPr>
        <w:t xml:space="preserve"> </w:t>
      </w:r>
      <w:r>
        <w:rPr>
          <w:rFonts w:cstheme="minorHAnsi"/>
          <w:bCs/>
          <w:szCs w:val="20"/>
        </w:rPr>
        <w:t>A</w:t>
      </w:r>
      <w:r>
        <w:rPr>
          <w:rFonts w:cstheme="minorHAnsi"/>
          <w:szCs w:val="20"/>
        </w:rPr>
        <w:t>n overly cumbersome regulatory approval process for NCAs or CCPs could strongly disincentivise, if not hamper innovation in the clearing industry as well as disincentivise clearing more broadly.</w:t>
      </w:r>
    </w:p>
    <w:p w14:paraId="101FF1D5" w14:textId="77777777" w:rsidR="00987718" w:rsidRDefault="00987718" w:rsidP="00987718">
      <w:pPr>
        <w:jc w:val="both"/>
        <w:rPr>
          <w:rFonts w:cstheme="minorHAnsi"/>
          <w:bCs/>
          <w:szCs w:val="20"/>
        </w:rPr>
      </w:pPr>
    </w:p>
    <w:p w14:paraId="323AE87D" w14:textId="77777777" w:rsidR="00987718" w:rsidRDefault="00987718" w:rsidP="00987718">
      <w:pPr>
        <w:jc w:val="both"/>
        <w:rPr>
          <w:rFonts w:cstheme="minorHAnsi"/>
          <w:bCs/>
          <w:szCs w:val="20"/>
        </w:rPr>
      </w:pPr>
      <w:r>
        <w:rPr>
          <w:rFonts w:cstheme="minorHAnsi"/>
          <w:bCs/>
          <w:szCs w:val="20"/>
        </w:rPr>
        <w:t xml:space="preserve">We believe that the respective procedures to be followed to evaluate criteria and indicators may appear, from a theoretical point, well thought, however, timeframes dedicated to interactions between College/ESMA </w:t>
      </w:r>
      <w:r>
        <w:rPr>
          <w:rFonts w:cstheme="minorHAnsi"/>
          <w:bCs/>
          <w:szCs w:val="20"/>
        </w:rPr>
        <w:lastRenderedPageBreak/>
        <w:t xml:space="preserve">and the NCAs appear to be missing. We would suggest further clarifying, and in line with already established market practice, that NCAs would need to have completed the assessment within 30 days and the College would have to make its final decision within 15 days. Alternatively, the authorisation process could result in both significant delays and burden for all parties involved. Furthermore, from a CCP perspective, we believe interaction with NCAs during the application assessment can sometimes take up to several months. During this time, there are often several individual requests for additional documents to be submitted or review of information already submitted which leads to significant delays in the application assessment. We would, therefore, urge ESMA to further clarify what should be included in the application assessment in order to improve turnaround time of the entire authorisation process. </w:t>
      </w:r>
    </w:p>
    <w:p w14:paraId="48EE8C5E" w14:textId="1BE40168"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5</w:t>
      </w:r>
      <w:r w:rsidRPr="00106124">
        <w:rPr>
          <w:lang w:val="fr-FR" w:eastAsia="en-US"/>
        </w:rPr>
        <w:t>&gt;</w:t>
      </w:r>
    </w:p>
    <w:p w14:paraId="028BCE64" w14:textId="77777777" w:rsidR="003331A2" w:rsidRPr="00106124" w:rsidRDefault="003331A2" w:rsidP="003331A2">
      <w:pPr>
        <w:rPr>
          <w:lang w:val="fr-FR" w:eastAsia="en-US"/>
        </w:rPr>
      </w:pPr>
    </w:p>
    <w:p w14:paraId="48797672" w14:textId="77777777" w:rsidR="00014A67" w:rsidRPr="00106124" w:rsidRDefault="00014A67" w:rsidP="00014A67">
      <w:pPr>
        <w:rPr>
          <w:lang w:val="fr-FR" w:eastAsia="en-US"/>
        </w:rPr>
      </w:pPr>
    </w:p>
    <w:p w14:paraId="76C1BC05" w14:textId="61E60897" w:rsidR="00014A67" w:rsidRDefault="00177C6B" w:rsidP="00177C6B">
      <w:pPr>
        <w:pStyle w:val="Questionstyle"/>
      </w:pPr>
      <w:r w:rsidRPr="00106124">
        <w:t>Do you agree with ESMA’s proposed approach to divide conditions under which changes to the models and parameters are significant (under Article 49 of EMIR) into criteria, which would be subject to a more simplified college consultation procedure, and indicators, which would be subject to a more extensive college consultation procedure, or would you propose a different approach? Please provide reasons for your answer.</w:t>
      </w:r>
    </w:p>
    <w:p w14:paraId="0156FD0A" w14:textId="08A35231"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6</w:t>
      </w:r>
      <w:r w:rsidRPr="00106124">
        <w:rPr>
          <w:lang w:val="fr-FR" w:eastAsia="en-US"/>
        </w:rPr>
        <w:t>&gt;</w:t>
      </w:r>
    </w:p>
    <w:p w14:paraId="65B5755E" w14:textId="55A34E72" w:rsidR="00987718" w:rsidRDefault="00987718" w:rsidP="00987718">
      <w:pPr>
        <w:jc w:val="both"/>
        <w:rPr>
          <w:rFonts w:cstheme="minorHAnsi"/>
          <w:bCs/>
          <w:szCs w:val="20"/>
        </w:rPr>
      </w:pPr>
      <w:r>
        <w:rPr>
          <w:rFonts w:cstheme="minorHAnsi"/>
          <w:bCs/>
          <w:szCs w:val="20"/>
        </w:rPr>
        <w:t>In line with our response to question 1 above, we agree with the ESMA’s approach to divide conditions under which additional services or activities to which a CCP wishes to extend its business under Art</w:t>
      </w:r>
      <w:r w:rsidR="006F05D1">
        <w:rPr>
          <w:rFonts w:cstheme="minorHAnsi"/>
          <w:bCs/>
          <w:szCs w:val="20"/>
        </w:rPr>
        <w:t>icle</w:t>
      </w:r>
      <w:r>
        <w:rPr>
          <w:rFonts w:cstheme="minorHAnsi"/>
          <w:bCs/>
          <w:szCs w:val="20"/>
        </w:rPr>
        <w:t xml:space="preserve"> 49 of EMIR which are not covered by the initial authorisation in criteria and indicators but also with the proposed college consultation process. Once again, we would like to stress the need for the list of both criteria and indicators to reflect material changes to the risk model currently operated by the CCP to justify a request for an extension of its existing authorisation. </w:t>
      </w:r>
    </w:p>
    <w:p w14:paraId="3337ECBF" w14:textId="77777777" w:rsidR="00987718" w:rsidRDefault="00987718" w:rsidP="00987718">
      <w:pPr>
        <w:jc w:val="both"/>
        <w:rPr>
          <w:rFonts w:cstheme="minorHAnsi"/>
          <w:bCs/>
          <w:szCs w:val="20"/>
        </w:rPr>
      </w:pPr>
    </w:p>
    <w:p w14:paraId="7D6496AC" w14:textId="77777777" w:rsidR="00987718" w:rsidRDefault="00987718" w:rsidP="00987718">
      <w:pPr>
        <w:jc w:val="both"/>
        <w:rPr>
          <w:rFonts w:cstheme="minorHAnsi"/>
          <w:bCs/>
          <w:szCs w:val="20"/>
        </w:rPr>
      </w:pPr>
      <w:r>
        <w:rPr>
          <w:rFonts w:cstheme="minorHAnsi"/>
          <w:bCs/>
          <w:szCs w:val="20"/>
        </w:rPr>
        <w:t>In our view, some criteria and indicators are too descriptive and would not lead to a fundamental change to a CCP’s risk model. We have listed them in our responses below which we believe that if taken on board will provide for a robust authorisation process while at the same time avoiding an increase in the burden to both CCPs and NCAs.</w:t>
      </w:r>
    </w:p>
    <w:p w14:paraId="10C7D38B" w14:textId="76A9C0BC"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6</w:t>
      </w:r>
      <w:r w:rsidRPr="00106124">
        <w:rPr>
          <w:lang w:val="fr-FR" w:eastAsia="en-US"/>
        </w:rPr>
        <w:t>&gt;</w:t>
      </w:r>
    </w:p>
    <w:p w14:paraId="5D0B2C88" w14:textId="77777777" w:rsidR="003331A2" w:rsidRPr="00106124" w:rsidRDefault="003331A2" w:rsidP="003331A2">
      <w:pPr>
        <w:rPr>
          <w:lang w:val="fr-FR" w:eastAsia="en-US"/>
        </w:rPr>
      </w:pPr>
    </w:p>
    <w:p w14:paraId="10B85555" w14:textId="77777777" w:rsidR="00014A67" w:rsidRPr="00106124" w:rsidRDefault="00014A67" w:rsidP="00014A67">
      <w:pPr>
        <w:rPr>
          <w:lang w:val="fr-FR" w:eastAsia="en-US"/>
        </w:rPr>
      </w:pPr>
    </w:p>
    <w:p w14:paraId="0AAE59AD" w14:textId="7FB3B177" w:rsidR="00014A67" w:rsidRDefault="00177C6B" w:rsidP="00177C6B">
      <w:pPr>
        <w:pStyle w:val="Questionstyle"/>
      </w:pPr>
      <w:r w:rsidRPr="00106124">
        <w:t>Do you agree with ESMA’s proposed list of criteria for significant changes to the models and parameters (under Article 49 of EMIR) or would you propose to change/add/delete any of the criteria or specify certain criteria further? Please provide reasons for your answer.</w:t>
      </w:r>
    </w:p>
    <w:p w14:paraId="5DB2F360" w14:textId="53543FDE" w:rsidR="003331A2" w:rsidRPr="00106124" w:rsidRDefault="003331A2" w:rsidP="003331A2">
      <w:pPr>
        <w:rPr>
          <w:lang w:val="fr-FR" w:eastAsia="en-US"/>
        </w:rPr>
      </w:pPr>
      <w:r w:rsidRPr="00106124">
        <w:rPr>
          <w:lang w:val="fr-FR" w:eastAsia="en-US"/>
        </w:rPr>
        <w:t>&lt;ESMA_</w:t>
      </w:r>
      <w:r w:rsidR="00C93A9C" w:rsidRPr="00106124">
        <w:rPr>
          <w:lang w:val="fr-FR" w:eastAsia="en-US"/>
        </w:rPr>
        <w:t>QUESTION_</w:t>
      </w:r>
      <w:r w:rsidR="00106124" w:rsidRPr="00106124">
        <w:rPr>
          <w:lang w:val="fr-FR" w:eastAsia="en-US"/>
        </w:rPr>
        <w:t>RTS1549</w:t>
      </w:r>
      <w:r w:rsidR="00C93A9C" w:rsidRPr="00106124">
        <w:rPr>
          <w:lang w:val="fr-FR" w:eastAsia="en-US"/>
        </w:rPr>
        <w:t>_</w:t>
      </w:r>
      <w:r w:rsidR="00CD3899" w:rsidRPr="00106124">
        <w:rPr>
          <w:lang w:val="fr-FR" w:eastAsia="en-US"/>
        </w:rPr>
        <w:t>7</w:t>
      </w:r>
      <w:r w:rsidRPr="00106124">
        <w:rPr>
          <w:lang w:val="fr-FR" w:eastAsia="en-US"/>
        </w:rPr>
        <w:t>&gt;</w:t>
      </w:r>
    </w:p>
    <w:p w14:paraId="249083E0" w14:textId="56CD2F07" w:rsidR="006F05D1" w:rsidRDefault="006F05D1" w:rsidP="006F05D1">
      <w:pPr>
        <w:jc w:val="both"/>
        <w:rPr>
          <w:rFonts w:cstheme="minorHAnsi"/>
          <w:bCs/>
          <w:szCs w:val="20"/>
        </w:rPr>
      </w:pPr>
      <w:r>
        <w:rPr>
          <w:rFonts w:cstheme="minorHAnsi"/>
          <w:bCs/>
          <w:szCs w:val="20"/>
        </w:rPr>
        <w:t>LSEG understands the intended rationale behind the list of indicators proposed that would require an extension of authorisation under Article 49, we would like to make however the following observations:</w:t>
      </w:r>
    </w:p>
    <w:p w14:paraId="189208F8" w14:textId="77777777" w:rsidR="006F05D1" w:rsidRDefault="006F05D1" w:rsidP="006F05D1">
      <w:pPr>
        <w:jc w:val="both"/>
        <w:rPr>
          <w:rFonts w:cstheme="minorHAnsi"/>
          <w:bCs/>
          <w:szCs w:val="20"/>
        </w:rPr>
      </w:pPr>
    </w:p>
    <w:p w14:paraId="571FEA76" w14:textId="20F5BCAE" w:rsidR="006F05D1" w:rsidRDefault="006F05D1" w:rsidP="006F05D1">
      <w:pPr>
        <w:jc w:val="both"/>
        <w:rPr>
          <w:rFonts w:cstheme="minorHAnsi"/>
          <w:bCs/>
          <w:szCs w:val="20"/>
        </w:rPr>
      </w:pPr>
      <w:r>
        <w:rPr>
          <w:rFonts w:cstheme="minorHAnsi"/>
          <w:bCs/>
          <w:szCs w:val="20"/>
        </w:rPr>
        <w:t>Regarding the criteria concerning changes (Article 7(a)), such as decrease/increase of the total pre-funded resources greater than +/- 10%, we observe that the m</w:t>
      </w:r>
      <w:r w:rsidRPr="00C56D57">
        <w:rPr>
          <w:rFonts w:cstheme="minorHAnsi"/>
          <w:bCs/>
          <w:szCs w:val="20"/>
        </w:rPr>
        <w:t xml:space="preserve">ateriality of the </w:t>
      </w:r>
      <w:r>
        <w:rPr>
          <w:rFonts w:cstheme="minorHAnsi"/>
          <w:bCs/>
          <w:szCs w:val="20"/>
        </w:rPr>
        <w:t xml:space="preserve">proposed </w:t>
      </w:r>
      <w:r w:rsidRPr="00C56D57">
        <w:rPr>
          <w:rFonts w:cstheme="minorHAnsi"/>
          <w:bCs/>
          <w:szCs w:val="20"/>
        </w:rPr>
        <w:t xml:space="preserve">threshold is </w:t>
      </w:r>
      <w:r>
        <w:rPr>
          <w:rFonts w:cstheme="minorHAnsi"/>
          <w:bCs/>
          <w:szCs w:val="20"/>
        </w:rPr>
        <w:t xml:space="preserve">actually </w:t>
      </w:r>
      <w:r w:rsidRPr="00C56D57">
        <w:rPr>
          <w:rFonts w:cstheme="minorHAnsi"/>
          <w:bCs/>
          <w:szCs w:val="20"/>
        </w:rPr>
        <w:t>very low and could be triggered during the CCP risk management activity</w:t>
      </w:r>
      <w:r>
        <w:rPr>
          <w:rFonts w:cstheme="minorHAnsi"/>
          <w:bCs/>
          <w:szCs w:val="20"/>
        </w:rPr>
        <w:t xml:space="preserve">, currently qualified as business as usual. This activity should not, in our opinion </w:t>
      </w:r>
      <w:r w:rsidRPr="00C56D57">
        <w:rPr>
          <w:rFonts w:cstheme="minorHAnsi"/>
          <w:bCs/>
          <w:szCs w:val="20"/>
        </w:rPr>
        <w:t>be considered a significant change to the model</w:t>
      </w:r>
      <w:r>
        <w:rPr>
          <w:rFonts w:cstheme="minorHAnsi"/>
          <w:bCs/>
          <w:szCs w:val="20"/>
        </w:rPr>
        <w:t>, as</w:t>
      </w:r>
      <w:r w:rsidRPr="00C56D57">
        <w:rPr>
          <w:rFonts w:cstheme="minorHAnsi"/>
          <w:bCs/>
          <w:szCs w:val="20"/>
        </w:rPr>
        <w:t xml:space="preserve"> it is already included in the </w:t>
      </w:r>
      <w:r>
        <w:rPr>
          <w:rFonts w:cstheme="minorHAnsi"/>
          <w:bCs/>
          <w:szCs w:val="20"/>
        </w:rPr>
        <w:t>relevant CCP</w:t>
      </w:r>
      <w:r w:rsidRPr="00C56D57">
        <w:rPr>
          <w:rFonts w:cstheme="minorHAnsi"/>
          <w:bCs/>
          <w:szCs w:val="20"/>
        </w:rPr>
        <w:t xml:space="preserve"> governance</w:t>
      </w:r>
      <w:r>
        <w:rPr>
          <w:rFonts w:cstheme="minorHAnsi"/>
          <w:bCs/>
          <w:szCs w:val="20"/>
        </w:rPr>
        <w:t xml:space="preserve"> arrangements</w:t>
      </w:r>
      <w:r w:rsidRPr="00C56D57">
        <w:rPr>
          <w:rFonts w:cstheme="minorHAnsi"/>
          <w:bCs/>
          <w:szCs w:val="20"/>
        </w:rPr>
        <w:t>.</w:t>
      </w:r>
      <w:r>
        <w:rPr>
          <w:rFonts w:cstheme="minorHAnsi"/>
          <w:bCs/>
          <w:szCs w:val="20"/>
        </w:rPr>
        <w:t xml:space="preserve"> Moreover, i</w:t>
      </w:r>
      <w:r w:rsidRPr="00C56D57">
        <w:rPr>
          <w:rFonts w:cstheme="minorHAnsi"/>
          <w:bCs/>
          <w:szCs w:val="20"/>
        </w:rPr>
        <w:t xml:space="preserve">t should be considered that in period of market stress the CCP should </w:t>
      </w:r>
      <w:r>
        <w:rPr>
          <w:rFonts w:cstheme="minorHAnsi"/>
          <w:bCs/>
          <w:szCs w:val="20"/>
        </w:rPr>
        <w:t>retain the ability</w:t>
      </w:r>
      <w:r w:rsidRPr="00C56D57">
        <w:rPr>
          <w:rFonts w:cstheme="minorHAnsi"/>
          <w:bCs/>
          <w:szCs w:val="20"/>
        </w:rPr>
        <w:t xml:space="preserve"> to address the necessary changes to model parameters promptly</w:t>
      </w:r>
      <w:r>
        <w:rPr>
          <w:rFonts w:cstheme="minorHAnsi"/>
          <w:bCs/>
          <w:szCs w:val="20"/>
        </w:rPr>
        <w:t>.</w:t>
      </w:r>
    </w:p>
    <w:p w14:paraId="78E2BE13" w14:textId="77777777" w:rsidR="006F05D1" w:rsidRDefault="006F05D1" w:rsidP="006F05D1">
      <w:pPr>
        <w:jc w:val="both"/>
        <w:rPr>
          <w:rFonts w:cstheme="minorHAnsi"/>
          <w:bCs/>
          <w:szCs w:val="20"/>
        </w:rPr>
      </w:pPr>
    </w:p>
    <w:p w14:paraId="7E7292A5" w14:textId="2DA2D4B1" w:rsidR="006F05D1" w:rsidRDefault="006F05D1" w:rsidP="006F05D1">
      <w:pPr>
        <w:jc w:val="both"/>
        <w:rPr>
          <w:rFonts w:cstheme="minorHAnsi"/>
          <w:bCs/>
          <w:szCs w:val="20"/>
        </w:rPr>
      </w:pPr>
      <w:r>
        <w:rPr>
          <w:rFonts w:cstheme="minorHAnsi"/>
          <w:bCs/>
          <w:szCs w:val="20"/>
        </w:rPr>
        <w:t xml:space="preserve">Regarding </w:t>
      </w:r>
      <w:r w:rsidRPr="008967AF">
        <w:rPr>
          <w:rFonts w:cstheme="minorHAnsi"/>
          <w:bCs/>
          <w:szCs w:val="20"/>
        </w:rPr>
        <w:t>new margin module</w:t>
      </w:r>
      <w:r>
        <w:rPr>
          <w:rFonts w:cstheme="minorHAnsi"/>
          <w:bCs/>
          <w:szCs w:val="20"/>
        </w:rPr>
        <w:t>s</w:t>
      </w:r>
      <w:r w:rsidRPr="008967AF">
        <w:rPr>
          <w:rFonts w:cstheme="minorHAnsi"/>
          <w:bCs/>
          <w:szCs w:val="20"/>
        </w:rPr>
        <w:t xml:space="preserve"> such as an add-on</w:t>
      </w:r>
      <w:r>
        <w:rPr>
          <w:rFonts w:cstheme="minorHAnsi"/>
          <w:bCs/>
          <w:szCs w:val="20"/>
        </w:rPr>
        <w:t xml:space="preserve">s (Article 7(c)), we believe that a potential decrease or increase of margin as a result of an introduction of an add-on should not be considered in respect to the module itself, but rather be looked at the level of class of financial instruments concerned and on its effect on the entire margin requirements. It is not uncommon for CCPs to introduce frequent small changes which </w:t>
      </w:r>
      <w:r>
        <w:rPr>
          <w:rFonts w:cstheme="minorHAnsi"/>
          <w:bCs/>
          <w:szCs w:val="20"/>
        </w:rPr>
        <w:lastRenderedPageBreak/>
        <w:t xml:space="preserve">do not necessarily lead to large increases or decreases of margin requirements. It is therefore understood that ESMA’s guidelines on the authorisation of such practices could prove lengthy at the expense of financial stability. </w:t>
      </w:r>
    </w:p>
    <w:p w14:paraId="5AC65275" w14:textId="77777777" w:rsidR="006F05D1" w:rsidRDefault="006F05D1" w:rsidP="006F05D1">
      <w:pPr>
        <w:jc w:val="both"/>
        <w:rPr>
          <w:rFonts w:cstheme="minorHAnsi"/>
          <w:bCs/>
          <w:szCs w:val="20"/>
        </w:rPr>
      </w:pPr>
    </w:p>
    <w:p w14:paraId="0C70C5B8" w14:textId="05562946" w:rsidR="006F05D1" w:rsidRDefault="006F05D1" w:rsidP="006F05D1">
      <w:pPr>
        <w:jc w:val="both"/>
        <w:rPr>
          <w:rFonts w:cstheme="minorHAnsi"/>
          <w:bCs/>
          <w:szCs w:val="20"/>
        </w:rPr>
      </w:pPr>
      <w:r>
        <w:rPr>
          <w:rFonts w:cstheme="minorHAnsi"/>
          <w:bCs/>
          <w:szCs w:val="20"/>
        </w:rPr>
        <w:t xml:space="preserve">Furthermore, we believe that </w:t>
      </w:r>
      <w:r w:rsidRPr="006E4F6B">
        <w:rPr>
          <w:rFonts w:cstheme="minorHAnsi"/>
          <w:bCs/>
          <w:szCs w:val="20"/>
        </w:rPr>
        <w:t>change</w:t>
      </w:r>
      <w:r>
        <w:rPr>
          <w:rFonts w:cstheme="minorHAnsi"/>
          <w:bCs/>
          <w:szCs w:val="20"/>
        </w:rPr>
        <w:t>s</w:t>
      </w:r>
      <w:r w:rsidRPr="006E4F6B">
        <w:rPr>
          <w:rFonts w:cstheme="minorHAnsi"/>
          <w:bCs/>
          <w:szCs w:val="20"/>
        </w:rPr>
        <w:t xml:space="preserve"> in the calibration of one of the core EMIR margin parameters</w:t>
      </w:r>
      <w:r>
        <w:rPr>
          <w:rFonts w:cstheme="minorHAnsi"/>
          <w:bCs/>
          <w:szCs w:val="20"/>
        </w:rPr>
        <w:t xml:space="preserve"> (Article 7(d)), should also be viewed in relation to their impact on the overall margin modules and should only trigger an Article 49 requirement if they result in an overall increase or decrease of margins above the 10% threshold. It should be noted that when</w:t>
      </w:r>
      <w:r w:rsidRPr="00C56D57">
        <w:rPr>
          <w:rFonts w:cstheme="minorHAnsi"/>
          <w:bCs/>
          <w:szCs w:val="20"/>
        </w:rPr>
        <w:t xml:space="preserve"> change</w:t>
      </w:r>
      <w:r>
        <w:rPr>
          <w:rFonts w:cstheme="minorHAnsi"/>
          <w:bCs/>
          <w:szCs w:val="20"/>
        </w:rPr>
        <w:t>s</w:t>
      </w:r>
      <w:r w:rsidRPr="00C56D57">
        <w:rPr>
          <w:rFonts w:cstheme="minorHAnsi"/>
          <w:bCs/>
          <w:szCs w:val="20"/>
        </w:rPr>
        <w:t xml:space="preserve"> </w:t>
      </w:r>
      <w:r>
        <w:rPr>
          <w:rFonts w:cstheme="minorHAnsi"/>
          <w:bCs/>
          <w:szCs w:val="20"/>
        </w:rPr>
        <w:t xml:space="preserve">to the </w:t>
      </w:r>
      <w:r w:rsidRPr="00C56D57">
        <w:rPr>
          <w:rFonts w:cstheme="minorHAnsi"/>
          <w:bCs/>
          <w:szCs w:val="20"/>
        </w:rPr>
        <w:t xml:space="preserve">core EMIR margin parameters </w:t>
      </w:r>
      <w:r>
        <w:rPr>
          <w:rFonts w:cstheme="minorHAnsi"/>
          <w:bCs/>
          <w:szCs w:val="20"/>
        </w:rPr>
        <w:t>aim to</w:t>
      </w:r>
      <w:r w:rsidRPr="00C56D57">
        <w:rPr>
          <w:rFonts w:cstheme="minorHAnsi"/>
          <w:bCs/>
          <w:szCs w:val="20"/>
        </w:rPr>
        <w:t xml:space="preserve"> increas</w:t>
      </w:r>
      <w:r>
        <w:rPr>
          <w:rFonts w:cstheme="minorHAnsi"/>
          <w:bCs/>
          <w:szCs w:val="20"/>
        </w:rPr>
        <w:t>e the</w:t>
      </w:r>
      <w:r w:rsidRPr="00C56D57">
        <w:rPr>
          <w:rFonts w:cstheme="minorHAnsi"/>
          <w:bCs/>
          <w:szCs w:val="20"/>
        </w:rPr>
        <w:t xml:space="preserve"> robustness of the model</w:t>
      </w:r>
      <w:r>
        <w:rPr>
          <w:rFonts w:cstheme="minorHAnsi"/>
          <w:bCs/>
          <w:szCs w:val="20"/>
        </w:rPr>
        <w:t xml:space="preserve">, </w:t>
      </w:r>
      <w:r w:rsidRPr="00C56D57">
        <w:rPr>
          <w:rFonts w:cstheme="minorHAnsi"/>
          <w:bCs/>
          <w:szCs w:val="20"/>
        </w:rPr>
        <w:t xml:space="preserve">they should not trigger a significant model change validation process. </w:t>
      </w:r>
      <w:r>
        <w:rPr>
          <w:rFonts w:cstheme="minorHAnsi"/>
          <w:bCs/>
          <w:szCs w:val="20"/>
        </w:rPr>
        <w:t>On the other hand</w:t>
      </w:r>
      <w:r w:rsidRPr="00C56D57">
        <w:rPr>
          <w:rFonts w:cstheme="minorHAnsi"/>
          <w:bCs/>
          <w:szCs w:val="20"/>
        </w:rPr>
        <w:t>, the need to promptly change the parameters may also be driven by back</w:t>
      </w:r>
      <w:r>
        <w:rPr>
          <w:rFonts w:cstheme="minorHAnsi"/>
          <w:bCs/>
          <w:szCs w:val="20"/>
        </w:rPr>
        <w:t xml:space="preserve"> </w:t>
      </w:r>
      <w:r w:rsidRPr="00C56D57">
        <w:rPr>
          <w:rFonts w:cstheme="minorHAnsi"/>
          <w:bCs/>
          <w:szCs w:val="20"/>
        </w:rPr>
        <w:t>test results and procyclicality analysi</w:t>
      </w:r>
      <w:r w:rsidRPr="0039079E">
        <w:rPr>
          <w:rFonts w:cstheme="minorHAnsi"/>
          <w:bCs/>
          <w:szCs w:val="20"/>
        </w:rPr>
        <w:t xml:space="preserve">s. In both cases, we deem that the CCP should </w:t>
      </w:r>
      <w:r>
        <w:rPr>
          <w:rFonts w:cstheme="minorHAnsi"/>
          <w:bCs/>
          <w:szCs w:val="20"/>
        </w:rPr>
        <w:t>retain the faculty</w:t>
      </w:r>
      <w:r w:rsidRPr="0039079E">
        <w:rPr>
          <w:rFonts w:cstheme="minorHAnsi"/>
          <w:bCs/>
          <w:szCs w:val="20"/>
        </w:rPr>
        <w:t xml:space="preserve"> to promptly amend risk parameters, at least for risk mitigation and anti-procyclicality reasons.</w:t>
      </w:r>
      <w:r w:rsidRPr="00C56D57">
        <w:rPr>
          <w:rFonts w:cstheme="minorHAnsi"/>
          <w:bCs/>
          <w:szCs w:val="20"/>
        </w:rPr>
        <w:t xml:space="preserve"> </w:t>
      </w:r>
    </w:p>
    <w:p w14:paraId="557A22F1" w14:textId="77777777" w:rsidR="006F05D1" w:rsidRPr="00C56D57" w:rsidRDefault="006F05D1" w:rsidP="006F05D1">
      <w:pPr>
        <w:jc w:val="both"/>
        <w:rPr>
          <w:rFonts w:cstheme="minorHAnsi"/>
          <w:bCs/>
          <w:szCs w:val="20"/>
        </w:rPr>
      </w:pPr>
    </w:p>
    <w:p w14:paraId="5D5DEE65" w14:textId="499B6073" w:rsidR="006F05D1" w:rsidRDefault="006F05D1" w:rsidP="006F05D1">
      <w:pPr>
        <w:jc w:val="both"/>
        <w:rPr>
          <w:rFonts w:cstheme="minorHAnsi"/>
          <w:bCs/>
          <w:szCs w:val="20"/>
        </w:rPr>
      </w:pPr>
      <w:r>
        <w:rPr>
          <w:rFonts w:cstheme="minorHAnsi"/>
          <w:bCs/>
          <w:szCs w:val="20"/>
        </w:rPr>
        <w:t xml:space="preserve">Regarding portfolio </w:t>
      </w:r>
      <w:r w:rsidRPr="006E4F6B">
        <w:rPr>
          <w:rFonts w:cstheme="minorHAnsi"/>
          <w:bCs/>
          <w:szCs w:val="20"/>
        </w:rPr>
        <w:t>offsets between instruments, or removing the 80% cap between different instruments, leading to a decrease or increase of margin requirements for any clearing member greater than 10%</w:t>
      </w:r>
      <w:r>
        <w:rPr>
          <w:rFonts w:cstheme="minorHAnsi"/>
          <w:bCs/>
          <w:szCs w:val="20"/>
        </w:rPr>
        <w:t xml:space="preserve"> (Article 7(e)), our view is that the impact on margin requirements should once again be evaluated on the level of asset class instead of the level of clearing member. We note that a potential change to the offsets between instruments on a clearing member level with a highly directional portfolio would not be reflective of the overall impact on the rest of the membership which is why we believe that the evaluation should be done on an asset class level. </w:t>
      </w:r>
    </w:p>
    <w:p w14:paraId="68D00101" w14:textId="77777777" w:rsidR="006F05D1" w:rsidRDefault="006F05D1" w:rsidP="006F05D1">
      <w:pPr>
        <w:jc w:val="both"/>
        <w:rPr>
          <w:rFonts w:cstheme="minorHAnsi"/>
          <w:bCs/>
          <w:szCs w:val="20"/>
        </w:rPr>
      </w:pPr>
    </w:p>
    <w:p w14:paraId="778F8EA0" w14:textId="6A6EEA7B" w:rsidR="006F05D1" w:rsidRDefault="006F05D1" w:rsidP="006F05D1">
      <w:pPr>
        <w:jc w:val="both"/>
        <w:rPr>
          <w:rFonts w:cstheme="minorHAnsi"/>
          <w:bCs/>
          <w:szCs w:val="20"/>
        </w:rPr>
      </w:pPr>
      <w:r>
        <w:rPr>
          <w:rFonts w:cstheme="minorHAnsi"/>
          <w:bCs/>
          <w:szCs w:val="20"/>
        </w:rPr>
        <w:t xml:space="preserve">Regarding changes to the </w:t>
      </w:r>
      <w:r w:rsidRPr="006E4F6B">
        <w:rPr>
          <w:rFonts w:cstheme="minorHAnsi"/>
          <w:bCs/>
          <w:szCs w:val="20"/>
        </w:rPr>
        <w:t>methodology applied to</w:t>
      </w:r>
      <w:r>
        <w:rPr>
          <w:rFonts w:cstheme="minorHAnsi"/>
          <w:bCs/>
          <w:szCs w:val="20"/>
        </w:rPr>
        <w:t xml:space="preserve"> </w:t>
      </w:r>
      <w:r w:rsidRPr="006E4F6B">
        <w:rPr>
          <w:rFonts w:cstheme="minorHAnsi"/>
          <w:bCs/>
          <w:szCs w:val="20"/>
        </w:rPr>
        <w:t>assess liquidity risk and monitor concentration risk</w:t>
      </w:r>
      <w:r>
        <w:rPr>
          <w:rFonts w:cstheme="minorHAnsi"/>
          <w:bCs/>
          <w:szCs w:val="20"/>
        </w:rPr>
        <w:t xml:space="preserve"> (Article 7(h)), we would suggest that impacts should be assessed on a total liquidity needs only and not at currency levels. Similarly, to our comment concerning Article 7(a) above, we would like to highlight that the m</w:t>
      </w:r>
      <w:r w:rsidRPr="0031099B">
        <w:rPr>
          <w:rFonts w:cstheme="minorHAnsi"/>
          <w:bCs/>
          <w:szCs w:val="20"/>
        </w:rPr>
        <w:t xml:space="preserve">ateriality of the threshold is </w:t>
      </w:r>
      <w:r>
        <w:rPr>
          <w:rFonts w:cstheme="minorHAnsi"/>
          <w:bCs/>
          <w:szCs w:val="20"/>
        </w:rPr>
        <w:t xml:space="preserve">still </w:t>
      </w:r>
      <w:r w:rsidRPr="0031099B">
        <w:rPr>
          <w:rFonts w:cstheme="minorHAnsi"/>
          <w:bCs/>
          <w:szCs w:val="20"/>
        </w:rPr>
        <w:t xml:space="preserve">very low and could be triggered during the CCP risk management </w:t>
      </w:r>
      <w:r>
        <w:rPr>
          <w:rFonts w:cstheme="minorHAnsi"/>
          <w:bCs/>
          <w:szCs w:val="20"/>
        </w:rPr>
        <w:t>BAU</w:t>
      </w:r>
      <w:r w:rsidRPr="0031099B">
        <w:rPr>
          <w:rFonts w:cstheme="minorHAnsi"/>
          <w:bCs/>
          <w:szCs w:val="20"/>
        </w:rPr>
        <w:t xml:space="preserve"> activity</w:t>
      </w:r>
      <w:r>
        <w:rPr>
          <w:rFonts w:cstheme="minorHAnsi"/>
          <w:bCs/>
          <w:szCs w:val="20"/>
        </w:rPr>
        <w:t>.</w:t>
      </w:r>
    </w:p>
    <w:p w14:paraId="3C265371" w14:textId="77777777" w:rsidR="008C3EB5" w:rsidRDefault="008C3EB5" w:rsidP="006F05D1">
      <w:pPr>
        <w:jc w:val="both"/>
        <w:rPr>
          <w:rFonts w:cstheme="minorHAnsi"/>
          <w:bCs/>
          <w:szCs w:val="20"/>
        </w:rPr>
      </w:pPr>
    </w:p>
    <w:p w14:paraId="7A22EB4E" w14:textId="77777777" w:rsidR="006F05D1" w:rsidRDefault="006F05D1" w:rsidP="006F05D1">
      <w:pPr>
        <w:jc w:val="both"/>
        <w:rPr>
          <w:rFonts w:cstheme="minorHAnsi"/>
          <w:bCs/>
          <w:szCs w:val="20"/>
        </w:rPr>
      </w:pPr>
      <w:r>
        <w:rPr>
          <w:rFonts w:cstheme="minorHAnsi"/>
          <w:bCs/>
          <w:szCs w:val="20"/>
        </w:rPr>
        <w:t>Regarding changes to the</w:t>
      </w:r>
      <w:r w:rsidRPr="00F958A1">
        <w:rPr>
          <w:rFonts w:cstheme="minorHAnsi"/>
          <w:bCs/>
          <w:szCs w:val="20"/>
        </w:rPr>
        <w:t xml:space="preserve"> </w:t>
      </w:r>
      <w:r w:rsidRPr="00203E22">
        <w:rPr>
          <w:rFonts w:cstheme="minorHAnsi"/>
          <w:bCs/>
          <w:szCs w:val="20"/>
        </w:rPr>
        <w:t xml:space="preserve">list of eligible collateral </w:t>
      </w:r>
      <w:r>
        <w:rPr>
          <w:rFonts w:cstheme="minorHAnsi"/>
          <w:bCs/>
          <w:szCs w:val="20"/>
        </w:rPr>
        <w:t>to</w:t>
      </w:r>
      <w:r w:rsidRPr="00203E22">
        <w:rPr>
          <w:rFonts w:cstheme="minorHAnsi"/>
          <w:bCs/>
          <w:szCs w:val="20"/>
        </w:rPr>
        <w:t xml:space="preserve"> extend accept</w:t>
      </w:r>
      <w:r>
        <w:rPr>
          <w:rFonts w:cstheme="minorHAnsi"/>
          <w:bCs/>
          <w:szCs w:val="20"/>
        </w:rPr>
        <w:t>able</w:t>
      </w:r>
      <w:r w:rsidRPr="00203E22">
        <w:rPr>
          <w:rFonts w:cstheme="minorHAnsi"/>
          <w:bCs/>
          <w:szCs w:val="20"/>
        </w:rPr>
        <w:t xml:space="preserve"> collateral </w:t>
      </w:r>
      <w:r>
        <w:rPr>
          <w:rFonts w:cstheme="minorHAnsi"/>
          <w:bCs/>
          <w:szCs w:val="20"/>
        </w:rPr>
        <w:t xml:space="preserve">(Article 7(i)), we believe that an Article 49 requirement should only be triggered if the new issuer introduces a different level of credit risk. If the level of credit risk is not changed then we would consider such changes business as usual. Furthermore, in relation to material differences in the liquidity of the market for the new assets (Article 7(i)(iii)), we would highlight that differences </w:t>
      </w:r>
      <w:r w:rsidRPr="0031099B">
        <w:rPr>
          <w:rFonts w:cstheme="minorHAnsi"/>
          <w:bCs/>
          <w:szCs w:val="20"/>
        </w:rPr>
        <w:t xml:space="preserve">in the liquidity </w:t>
      </w:r>
      <w:r>
        <w:rPr>
          <w:rFonts w:cstheme="minorHAnsi"/>
          <w:bCs/>
          <w:szCs w:val="20"/>
        </w:rPr>
        <w:t>of reference markets are</w:t>
      </w:r>
      <w:r w:rsidRPr="0031099B">
        <w:rPr>
          <w:rFonts w:cstheme="minorHAnsi"/>
          <w:bCs/>
          <w:szCs w:val="20"/>
        </w:rPr>
        <w:t xml:space="preserve"> already taken into account in the model</w:t>
      </w:r>
      <w:r>
        <w:rPr>
          <w:rFonts w:cstheme="minorHAnsi"/>
          <w:bCs/>
          <w:szCs w:val="20"/>
        </w:rPr>
        <w:t>s in question (via different haircuts, add-ons). Also, we would</w:t>
      </w:r>
      <w:r w:rsidRPr="0031099B">
        <w:rPr>
          <w:rFonts w:cstheme="minorHAnsi"/>
          <w:bCs/>
          <w:szCs w:val="20"/>
        </w:rPr>
        <w:t xml:space="preserve"> </w:t>
      </w:r>
      <w:r>
        <w:rPr>
          <w:rFonts w:cstheme="minorHAnsi"/>
          <w:bCs/>
          <w:szCs w:val="20"/>
        </w:rPr>
        <w:t xml:space="preserve">caution ESMA to consider unintended consequences to Triparty services. We believe that the assessment of impact should be conducted at the level of CCP established ISIN / family level and not at the issuer level, in line with internal policies. Therefore, we believe that there should be a carve out for triparty services with regards to the impact of </w:t>
      </w:r>
      <w:r w:rsidRPr="00271E5A">
        <w:rPr>
          <w:rFonts w:cstheme="minorHAnsi"/>
          <w:bCs/>
          <w:szCs w:val="20"/>
        </w:rPr>
        <w:t>the liquidity of the market for the new asset</w:t>
      </w:r>
      <w:r>
        <w:rPr>
          <w:rFonts w:cstheme="minorHAnsi"/>
          <w:bCs/>
          <w:szCs w:val="20"/>
        </w:rPr>
        <w:t xml:space="preserve"> class.</w:t>
      </w:r>
    </w:p>
    <w:p w14:paraId="595F8C94" w14:textId="0EC36C6B" w:rsidR="006F05D1" w:rsidRDefault="006F05D1" w:rsidP="006F05D1">
      <w:pPr>
        <w:jc w:val="both"/>
        <w:rPr>
          <w:rFonts w:cstheme="minorHAnsi"/>
          <w:bCs/>
          <w:szCs w:val="20"/>
        </w:rPr>
      </w:pPr>
      <w:r>
        <w:rPr>
          <w:rFonts w:cstheme="minorHAnsi"/>
          <w:bCs/>
          <w:szCs w:val="20"/>
        </w:rPr>
        <w:t xml:space="preserve"> </w:t>
      </w:r>
    </w:p>
    <w:p w14:paraId="202E46C8" w14:textId="77777777" w:rsidR="006F05D1" w:rsidRDefault="006F05D1" w:rsidP="006F05D1">
      <w:pPr>
        <w:rPr>
          <w:rFonts w:cstheme="minorHAnsi"/>
          <w:bCs/>
          <w:szCs w:val="20"/>
        </w:rPr>
      </w:pPr>
      <w:r>
        <w:rPr>
          <w:rFonts w:cstheme="minorHAnsi"/>
          <w:bCs/>
          <w:szCs w:val="20"/>
        </w:rPr>
        <w:t xml:space="preserve">Regarding </w:t>
      </w:r>
      <w:r w:rsidRPr="00203E22">
        <w:rPr>
          <w:rFonts w:cstheme="minorHAnsi"/>
          <w:bCs/>
          <w:szCs w:val="20"/>
        </w:rPr>
        <w:t>the methodology applied to value collateral, calibrate collateral haircut or set concentration limits</w:t>
      </w:r>
      <w:r>
        <w:rPr>
          <w:rFonts w:cstheme="minorHAnsi"/>
          <w:bCs/>
          <w:szCs w:val="20"/>
        </w:rPr>
        <w:t xml:space="preserve"> (Article 6(j)), we note that, such requirements can result in the inability of CCPs to make key decisions relating its risk models thereby limiting their powers. </w:t>
      </w:r>
    </w:p>
    <w:p w14:paraId="7B3BB0E2" w14:textId="28AA1682" w:rsidR="003331A2" w:rsidRDefault="003331A2" w:rsidP="006F05D1">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7</w:t>
      </w:r>
      <w:r>
        <w:rPr>
          <w:lang w:eastAsia="en-US"/>
        </w:rPr>
        <w:t>&gt;</w:t>
      </w:r>
    </w:p>
    <w:p w14:paraId="3BFDB8F3" w14:textId="77777777" w:rsidR="003331A2" w:rsidRPr="003331A2" w:rsidRDefault="003331A2" w:rsidP="003331A2">
      <w:pPr>
        <w:rPr>
          <w:lang w:eastAsia="en-US"/>
        </w:rPr>
      </w:pPr>
    </w:p>
    <w:p w14:paraId="0FAD1D05" w14:textId="77777777" w:rsidR="00014A67" w:rsidRPr="00014A67" w:rsidRDefault="00014A67" w:rsidP="00014A67">
      <w:pPr>
        <w:rPr>
          <w:lang w:eastAsia="en-US"/>
        </w:rPr>
      </w:pPr>
    </w:p>
    <w:p w14:paraId="7F3EFB04" w14:textId="7C3B3013" w:rsidR="00014A67" w:rsidRDefault="00177C6B" w:rsidP="00177C6B">
      <w:pPr>
        <w:pStyle w:val="Questionstyle"/>
      </w:pPr>
      <w:r w:rsidRPr="00106124">
        <w:t>Do you agree with ESMA’s proposed list of indicators for significant changes to the models and parameters (under Article 49 of EMIR) or would you propose to change/add/delete any of the indicators or specify certain indicators further? Please provide reasons for your answer.</w:t>
      </w:r>
    </w:p>
    <w:p w14:paraId="2E30BD1E" w14:textId="692ECA15"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8</w:t>
      </w:r>
      <w:r>
        <w:rPr>
          <w:lang w:eastAsia="en-US"/>
        </w:rPr>
        <w:t>&gt;</w:t>
      </w:r>
    </w:p>
    <w:p w14:paraId="06C59308" w14:textId="3ABA54EB" w:rsidR="008C3EB5" w:rsidRDefault="008C3EB5" w:rsidP="008C3EB5">
      <w:pPr>
        <w:jc w:val="both"/>
        <w:rPr>
          <w:rFonts w:cstheme="minorHAnsi"/>
          <w:bCs/>
          <w:szCs w:val="20"/>
        </w:rPr>
      </w:pPr>
      <w:r>
        <w:rPr>
          <w:rFonts w:cstheme="minorHAnsi"/>
          <w:bCs/>
          <w:szCs w:val="20"/>
        </w:rPr>
        <w:t>LSEG understands the rationale behind the list of indicators for significant changes to the models and parameters under Article 49 of EMIR, however we note the following key concerns.</w:t>
      </w:r>
    </w:p>
    <w:p w14:paraId="1958A0FA" w14:textId="77777777" w:rsidR="008C3EB5" w:rsidRDefault="008C3EB5" w:rsidP="008C3EB5">
      <w:pPr>
        <w:jc w:val="both"/>
        <w:rPr>
          <w:rFonts w:cstheme="minorHAnsi"/>
          <w:bCs/>
          <w:szCs w:val="20"/>
        </w:rPr>
      </w:pPr>
    </w:p>
    <w:p w14:paraId="64A63BD9" w14:textId="782455FB" w:rsidR="008C3EB5" w:rsidRDefault="008C3EB5" w:rsidP="008C3EB5">
      <w:pPr>
        <w:rPr>
          <w:rFonts w:cstheme="minorHAnsi"/>
          <w:bCs/>
          <w:szCs w:val="20"/>
        </w:rPr>
      </w:pPr>
      <w:r>
        <w:rPr>
          <w:rFonts w:cstheme="minorHAnsi"/>
          <w:bCs/>
          <w:szCs w:val="20"/>
        </w:rPr>
        <w:t xml:space="preserve">Concerning </w:t>
      </w:r>
      <w:r w:rsidRPr="001B2336">
        <w:rPr>
          <w:rFonts w:cstheme="minorHAnsi"/>
          <w:bCs/>
          <w:szCs w:val="20"/>
        </w:rPr>
        <w:t>adjustments of the pre-funded financial resources</w:t>
      </w:r>
      <w:r>
        <w:rPr>
          <w:rFonts w:cstheme="minorHAnsi"/>
          <w:bCs/>
          <w:szCs w:val="20"/>
        </w:rPr>
        <w:t xml:space="preserve"> (as detailed in Article 8 (a)), again we highlight that the proposed thresholds are very low and could be triggered even in the context of BAU operations of the CCP. </w:t>
      </w:r>
    </w:p>
    <w:p w14:paraId="2503831C" w14:textId="77777777" w:rsidR="008C3EB5" w:rsidRDefault="008C3EB5" w:rsidP="008C3EB5">
      <w:pPr>
        <w:rPr>
          <w:rFonts w:cstheme="minorHAnsi"/>
          <w:bCs/>
          <w:szCs w:val="20"/>
        </w:rPr>
      </w:pPr>
    </w:p>
    <w:p w14:paraId="5852D889" w14:textId="74B92A90" w:rsidR="008C3EB5" w:rsidRDefault="008C3EB5" w:rsidP="008C3EB5">
      <w:pPr>
        <w:jc w:val="both"/>
        <w:rPr>
          <w:rFonts w:cstheme="minorHAnsi"/>
          <w:bCs/>
          <w:szCs w:val="20"/>
        </w:rPr>
      </w:pPr>
      <w:r>
        <w:rPr>
          <w:rFonts w:cstheme="minorHAnsi"/>
          <w:bCs/>
          <w:szCs w:val="20"/>
        </w:rPr>
        <w:lastRenderedPageBreak/>
        <w:t xml:space="preserve">Regarding changes to risk models that results </w:t>
      </w:r>
      <w:r w:rsidRPr="00302115">
        <w:rPr>
          <w:rFonts w:cstheme="minorHAnsi"/>
          <w:bCs/>
          <w:szCs w:val="20"/>
        </w:rPr>
        <w:t>to a decrease or increase of the estimated liquidity needs in any currency, or of the total liquidity needs, greater than 5%</w:t>
      </w:r>
      <w:r>
        <w:rPr>
          <w:rFonts w:cstheme="minorHAnsi"/>
          <w:bCs/>
          <w:szCs w:val="20"/>
        </w:rPr>
        <w:t xml:space="preserve"> (Article 8 (c)), we believe that such change</w:t>
      </w:r>
      <w:r w:rsidR="00664B21">
        <w:rPr>
          <w:rFonts w:cstheme="minorHAnsi"/>
          <w:bCs/>
          <w:szCs w:val="20"/>
        </w:rPr>
        <w:t>s</w:t>
      </w:r>
      <w:r>
        <w:rPr>
          <w:rFonts w:cstheme="minorHAnsi"/>
          <w:bCs/>
          <w:szCs w:val="20"/>
        </w:rPr>
        <w:t xml:space="preserve"> should be looked at the level of the overall liquidity needs rather than at a currency level. Furthermore, we believe that liquidity thresholds used in both indicators and criteria should be harmonised and be set at 10% of the overall change in liquidity. </w:t>
      </w:r>
    </w:p>
    <w:p w14:paraId="5818AE75" w14:textId="77777777" w:rsidR="008C3EB5" w:rsidRDefault="008C3EB5" w:rsidP="008C3EB5">
      <w:pPr>
        <w:jc w:val="both"/>
        <w:rPr>
          <w:rFonts w:cstheme="minorHAnsi"/>
          <w:bCs/>
          <w:szCs w:val="20"/>
        </w:rPr>
      </w:pPr>
    </w:p>
    <w:p w14:paraId="7D49DE67" w14:textId="45E99C17" w:rsidR="008C3EB5" w:rsidRDefault="008C3EB5" w:rsidP="008C3EB5">
      <w:pPr>
        <w:jc w:val="both"/>
        <w:rPr>
          <w:rFonts w:cstheme="minorHAnsi"/>
          <w:bCs/>
          <w:szCs w:val="20"/>
        </w:rPr>
      </w:pPr>
      <w:r>
        <w:rPr>
          <w:rFonts w:cstheme="minorHAnsi"/>
          <w:bCs/>
          <w:szCs w:val="20"/>
        </w:rPr>
        <w:t>Regarding Article 8 (d), we would consider the consequences that this indicator can have to the rate of adoption of key changes, some of which are perceived business as usual currently, to ensure resiliency of financial markets and enable a CCP to fulfil its role in safeguarding financial stability. Following existing approval processes/timelines with NCAs, small yet fundamental changes to the method used for example to calibrate risk models parameters would require 1-2 months which under extreme market conditions this timeframe is not acceptable. Instead, we would suggest including quantitative thresholds such as the 5% threshold widely used throughout Article 49 upon which NCAs would be able to determine whether an Article 49 would kick in. CCPs must be in a position to move quickly to respond to market events and be able to make autonomous decisions for the benefit of financial stability.</w:t>
      </w:r>
      <w:r w:rsidRPr="006D3EBC">
        <w:rPr>
          <w:rFonts w:cstheme="minorHAnsi"/>
          <w:bCs/>
          <w:szCs w:val="20"/>
        </w:rPr>
        <w:t xml:space="preserve"> </w:t>
      </w:r>
      <w:r>
        <w:rPr>
          <w:rFonts w:cstheme="minorHAnsi"/>
          <w:bCs/>
          <w:szCs w:val="20"/>
        </w:rPr>
        <w:t xml:space="preserve">Furthermore, changes linked to operational or organisational developments would not necessarily have an impact on risk and we don’t believe that these are appropriate in this context therefore we would suggest removing. </w:t>
      </w:r>
    </w:p>
    <w:p w14:paraId="2E15F32D" w14:textId="77777777" w:rsidR="008C3EB5" w:rsidRDefault="008C3EB5" w:rsidP="008C3EB5">
      <w:pPr>
        <w:jc w:val="both"/>
        <w:rPr>
          <w:rFonts w:cstheme="minorHAnsi"/>
          <w:bCs/>
          <w:szCs w:val="20"/>
        </w:rPr>
      </w:pPr>
    </w:p>
    <w:p w14:paraId="15E5FF12" w14:textId="1B1ED081" w:rsidR="008C3EB5" w:rsidRDefault="008C3EB5" w:rsidP="008C3EB5">
      <w:pPr>
        <w:jc w:val="both"/>
        <w:rPr>
          <w:rFonts w:cstheme="minorHAnsi"/>
          <w:bCs/>
          <w:szCs w:val="20"/>
        </w:rPr>
      </w:pPr>
      <w:r>
        <w:rPr>
          <w:rFonts w:cstheme="minorHAnsi"/>
          <w:bCs/>
          <w:szCs w:val="20"/>
        </w:rPr>
        <w:t xml:space="preserve">Also, in respect to </w:t>
      </w:r>
      <w:r w:rsidRPr="0026012D">
        <w:rPr>
          <w:rFonts w:cstheme="minorHAnsi"/>
          <w:bCs/>
          <w:szCs w:val="20"/>
        </w:rPr>
        <w:t>pricing histories or the methodology to address missing or incomplete time series</w:t>
      </w:r>
      <w:r>
        <w:rPr>
          <w:rFonts w:cstheme="minorHAnsi"/>
          <w:bCs/>
          <w:szCs w:val="20"/>
        </w:rPr>
        <w:t xml:space="preserve"> (Article 8 (d)(iii) and</w:t>
      </w:r>
      <w:r w:rsidRPr="0026012D">
        <w:rPr>
          <w:rFonts w:cstheme="minorHAnsi"/>
          <w:bCs/>
          <w:szCs w:val="20"/>
        </w:rPr>
        <w:t xml:space="preserve"> procedures detecting pricing uncertainties or ensuring reliable settlement prices</w:t>
      </w:r>
      <w:r>
        <w:rPr>
          <w:rFonts w:cstheme="minorHAnsi"/>
          <w:bCs/>
          <w:szCs w:val="20"/>
        </w:rPr>
        <w:t xml:space="preserve"> (Article 8 (d)(iv)), and generally in regard to data sets used as inputs for risk models, we would like to observe that input data are rather external elements and not a part of the risk model of the CCP. Consequently, any related modification or change should not be addressed as a change to the risk models or parameters.</w:t>
      </w:r>
    </w:p>
    <w:p w14:paraId="08319F76" w14:textId="77777777" w:rsidR="008C3EB5" w:rsidRDefault="008C3EB5" w:rsidP="008C3EB5">
      <w:pPr>
        <w:jc w:val="both"/>
        <w:rPr>
          <w:rFonts w:cstheme="minorHAnsi"/>
          <w:bCs/>
          <w:szCs w:val="20"/>
        </w:rPr>
      </w:pPr>
    </w:p>
    <w:p w14:paraId="33770D83" w14:textId="77777777" w:rsidR="008C3EB5" w:rsidRPr="00BF2295" w:rsidRDefault="008C3EB5" w:rsidP="008C3EB5">
      <w:pPr>
        <w:jc w:val="both"/>
        <w:rPr>
          <w:rFonts w:cstheme="minorHAnsi"/>
          <w:bCs/>
          <w:szCs w:val="20"/>
        </w:rPr>
      </w:pPr>
      <w:r>
        <w:rPr>
          <w:rFonts w:cstheme="minorHAnsi"/>
          <w:bCs/>
          <w:szCs w:val="20"/>
        </w:rPr>
        <w:t xml:space="preserve">Regarding </w:t>
      </w:r>
      <w:r w:rsidRPr="00892AFF">
        <w:rPr>
          <w:rFonts w:cstheme="minorHAnsi"/>
          <w:bCs/>
          <w:szCs w:val="20"/>
        </w:rPr>
        <w:t>proposed change</w:t>
      </w:r>
      <w:r>
        <w:rPr>
          <w:rFonts w:cstheme="minorHAnsi"/>
          <w:bCs/>
          <w:szCs w:val="20"/>
        </w:rPr>
        <w:t>s leading to</w:t>
      </w:r>
      <w:r w:rsidRPr="00A93F12">
        <w:t xml:space="preserve"> </w:t>
      </w:r>
      <w:r w:rsidRPr="00A93F12">
        <w:rPr>
          <w:rFonts w:cstheme="minorHAnsi"/>
          <w:bCs/>
          <w:szCs w:val="20"/>
        </w:rPr>
        <w:t>the development of new stress scenarios, including either historical or hypothetical scenarios or both, or the modification of the calibration or definition of the existing scenarios, for the purpose of determining default fund exposures, collateral haircut, liquidity risk, credit and counterparty risk or operational risk</w:t>
      </w:r>
      <w:r w:rsidRPr="00892AFF">
        <w:rPr>
          <w:rFonts w:cstheme="minorHAnsi"/>
          <w:bCs/>
          <w:szCs w:val="20"/>
        </w:rPr>
        <w:t xml:space="preserve"> </w:t>
      </w:r>
      <w:r>
        <w:rPr>
          <w:rFonts w:cstheme="minorHAnsi"/>
          <w:bCs/>
          <w:szCs w:val="20"/>
        </w:rPr>
        <w:t xml:space="preserve">(Article 8 (e)), we don’t agree that this type of adjustments should be subject to Article 49. Changes as a result of a CCP’s actions to calibrate default fund </w:t>
      </w:r>
      <w:r w:rsidRPr="00A93F12">
        <w:rPr>
          <w:rFonts w:cstheme="minorHAnsi"/>
          <w:bCs/>
          <w:szCs w:val="20"/>
        </w:rPr>
        <w:t>exposures, collateral haircut, liquidity risk, credit and counterparty risk</w:t>
      </w:r>
      <w:r>
        <w:rPr>
          <w:rFonts w:cstheme="minorHAnsi"/>
          <w:bCs/>
          <w:szCs w:val="20"/>
        </w:rPr>
        <w:t xml:space="preserve"> are important decisions that a CCP must be in a position to make as a response to a broader market event to ensure financial stability in the market and those actions must be taken in a timely manner. We believe that this indicator should be removed at its entirety.  </w:t>
      </w:r>
    </w:p>
    <w:p w14:paraId="45454D7D" w14:textId="29A3A7DE"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8</w:t>
      </w:r>
      <w:r>
        <w:rPr>
          <w:lang w:eastAsia="en-US"/>
        </w:rPr>
        <w:t>&gt;</w:t>
      </w:r>
    </w:p>
    <w:p w14:paraId="0EBA918D" w14:textId="77777777" w:rsidR="00C93A9C" w:rsidRDefault="00C93A9C" w:rsidP="003331A2">
      <w:pPr>
        <w:rPr>
          <w:lang w:eastAsia="en-US"/>
        </w:rPr>
      </w:pPr>
    </w:p>
    <w:p w14:paraId="266E793C" w14:textId="77777777" w:rsidR="003331A2" w:rsidRPr="00014A67" w:rsidRDefault="003331A2" w:rsidP="00014A67">
      <w:pPr>
        <w:rPr>
          <w:lang w:eastAsia="en-US"/>
        </w:rPr>
      </w:pPr>
    </w:p>
    <w:p w14:paraId="772DB04F" w14:textId="1F76BFDC" w:rsidR="00014A67" w:rsidRDefault="00177C6B" w:rsidP="00177C6B">
      <w:pPr>
        <w:pStyle w:val="Questionstyle"/>
      </w:pPr>
      <w:r w:rsidRPr="00106124">
        <w:t>Would you change certain criteria into indicators or vice-versa (under Article 49 of EMIR)? Please provide reasons for your answer.</w:t>
      </w:r>
    </w:p>
    <w:p w14:paraId="2ED1CBC6" w14:textId="3D862B8F"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9</w:t>
      </w:r>
      <w:r>
        <w:rPr>
          <w:lang w:eastAsia="en-US"/>
        </w:rPr>
        <w:t>&gt;</w:t>
      </w:r>
    </w:p>
    <w:p w14:paraId="28A5AD79" w14:textId="77777777" w:rsidR="00D75031" w:rsidRDefault="00D75031" w:rsidP="00D75031">
      <w:pPr>
        <w:jc w:val="both"/>
        <w:rPr>
          <w:rFonts w:cstheme="minorHAnsi"/>
          <w:bCs/>
          <w:szCs w:val="20"/>
        </w:rPr>
      </w:pPr>
      <w:r>
        <w:rPr>
          <w:rFonts w:cstheme="minorHAnsi"/>
          <w:bCs/>
          <w:szCs w:val="20"/>
        </w:rPr>
        <w:t>As noted above, we believe that the following criteria/indicators should be deleted from the list:</w:t>
      </w:r>
    </w:p>
    <w:p w14:paraId="76FCC7D5" w14:textId="77777777" w:rsidR="00D75031" w:rsidRPr="000354A8" w:rsidRDefault="00D75031" w:rsidP="00D75031">
      <w:pPr>
        <w:pStyle w:val="ListParagraph"/>
        <w:numPr>
          <w:ilvl w:val="0"/>
          <w:numId w:val="48"/>
        </w:numPr>
        <w:spacing w:after="200" w:line="276" w:lineRule="auto"/>
        <w:jc w:val="both"/>
        <w:rPr>
          <w:rFonts w:cstheme="minorHAnsi"/>
          <w:bCs/>
          <w:szCs w:val="20"/>
        </w:rPr>
      </w:pPr>
      <w:r w:rsidRPr="00920328">
        <w:rPr>
          <w:rFonts w:cstheme="minorHAnsi"/>
          <w:bCs/>
          <w:szCs w:val="20"/>
        </w:rPr>
        <w:t xml:space="preserve">Article </w:t>
      </w:r>
      <w:r>
        <w:rPr>
          <w:rFonts w:cstheme="minorHAnsi"/>
          <w:bCs/>
          <w:szCs w:val="20"/>
        </w:rPr>
        <w:t>8</w:t>
      </w:r>
      <w:r w:rsidRPr="00920328">
        <w:rPr>
          <w:rFonts w:cstheme="minorHAnsi"/>
          <w:bCs/>
          <w:szCs w:val="20"/>
        </w:rPr>
        <w:t>(</w:t>
      </w:r>
      <w:r>
        <w:rPr>
          <w:rFonts w:cstheme="minorHAnsi"/>
          <w:bCs/>
          <w:szCs w:val="20"/>
        </w:rPr>
        <w:t>d</w:t>
      </w:r>
      <w:r w:rsidRPr="00920328">
        <w:rPr>
          <w:rFonts w:cstheme="minorHAnsi"/>
          <w:bCs/>
          <w:szCs w:val="20"/>
        </w:rPr>
        <w:t>)</w:t>
      </w:r>
      <w:r>
        <w:rPr>
          <w:rFonts w:cstheme="minorHAnsi"/>
          <w:bCs/>
          <w:szCs w:val="20"/>
        </w:rPr>
        <w:t xml:space="preserve"> (iii) – </w:t>
      </w:r>
      <w:r w:rsidRPr="000354A8">
        <w:rPr>
          <w:rFonts w:cstheme="minorHAnsi"/>
          <w:bCs/>
          <w:i/>
          <w:iCs/>
          <w:szCs w:val="20"/>
        </w:rPr>
        <w:t>“pricing histories or the methodology to address missing or incomplete time series”</w:t>
      </w:r>
    </w:p>
    <w:p w14:paraId="5A8B1E27" w14:textId="77777777" w:rsidR="00D75031" w:rsidRPr="000354A8" w:rsidRDefault="00D75031" w:rsidP="00D75031">
      <w:pPr>
        <w:pStyle w:val="ListParagraph"/>
        <w:numPr>
          <w:ilvl w:val="0"/>
          <w:numId w:val="48"/>
        </w:numPr>
        <w:spacing w:after="200" w:line="276" w:lineRule="auto"/>
        <w:jc w:val="both"/>
        <w:rPr>
          <w:rFonts w:cstheme="minorHAnsi"/>
          <w:bCs/>
          <w:i/>
          <w:iCs/>
          <w:szCs w:val="20"/>
        </w:rPr>
      </w:pPr>
      <w:r w:rsidRPr="00920328">
        <w:rPr>
          <w:rFonts w:cstheme="minorHAnsi"/>
          <w:bCs/>
          <w:szCs w:val="20"/>
        </w:rPr>
        <w:t xml:space="preserve">Article </w:t>
      </w:r>
      <w:r>
        <w:rPr>
          <w:rFonts w:cstheme="minorHAnsi"/>
          <w:bCs/>
          <w:szCs w:val="20"/>
        </w:rPr>
        <w:t>8</w:t>
      </w:r>
      <w:r w:rsidRPr="00920328">
        <w:rPr>
          <w:rFonts w:cstheme="minorHAnsi"/>
          <w:bCs/>
          <w:szCs w:val="20"/>
        </w:rPr>
        <w:t>(</w:t>
      </w:r>
      <w:r>
        <w:rPr>
          <w:rFonts w:cstheme="minorHAnsi"/>
          <w:bCs/>
          <w:szCs w:val="20"/>
        </w:rPr>
        <w:t>d</w:t>
      </w:r>
      <w:r w:rsidRPr="00920328">
        <w:rPr>
          <w:rFonts w:cstheme="minorHAnsi"/>
          <w:bCs/>
          <w:szCs w:val="20"/>
        </w:rPr>
        <w:t>)</w:t>
      </w:r>
      <w:r>
        <w:rPr>
          <w:rFonts w:cstheme="minorHAnsi"/>
          <w:bCs/>
          <w:szCs w:val="20"/>
        </w:rPr>
        <w:t xml:space="preserve"> (iv) – </w:t>
      </w:r>
      <w:r w:rsidRPr="000354A8">
        <w:rPr>
          <w:rFonts w:cstheme="minorHAnsi"/>
          <w:bCs/>
          <w:i/>
          <w:iCs/>
          <w:szCs w:val="20"/>
        </w:rPr>
        <w:t>“procedures detecting pricing uncertainties or ensuring reliable settlement prices”</w:t>
      </w:r>
    </w:p>
    <w:p w14:paraId="2610AE0A" w14:textId="77777777" w:rsidR="00D75031" w:rsidRDefault="00D75031" w:rsidP="00D75031">
      <w:pPr>
        <w:pStyle w:val="ListParagraph"/>
        <w:numPr>
          <w:ilvl w:val="0"/>
          <w:numId w:val="48"/>
        </w:numPr>
        <w:spacing w:after="200" w:line="276" w:lineRule="auto"/>
        <w:jc w:val="both"/>
        <w:rPr>
          <w:rFonts w:cstheme="minorHAnsi"/>
          <w:bCs/>
          <w:szCs w:val="20"/>
        </w:rPr>
      </w:pPr>
      <w:r w:rsidRPr="00920328">
        <w:rPr>
          <w:rFonts w:cstheme="minorHAnsi"/>
          <w:bCs/>
          <w:szCs w:val="20"/>
        </w:rPr>
        <w:t xml:space="preserve">Article </w:t>
      </w:r>
      <w:r>
        <w:rPr>
          <w:rFonts w:cstheme="minorHAnsi"/>
          <w:bCs/>
          <w:szCs w:val="20"/>
        </w:rPr>
        <w:t>8</w:t>
      </w:r>
      <w:r w:rsidRPr="00920328">
        <w:rPr>
          <w:rFonts w:cstheme="minorHAnsi"/>
          <w:bCs/>
          <w:szCs w:val="20"/>
        </w:rPr>
        <w:t>(</w:t>
      </w:r>
      <w:r>
        <w:rPr>
          <w:rFonts w:cstheme="minorHAnsi"/>
          <w:bCs/>
          <w:szCs w:val="20"/>
        </w:rPr>
        <w:t>d</w:t>
      </w:r>
      <w:r w:rsidRPr="00920328">
        <w:rPr>
          <w:rFonts w:cstheme="minorHAnsi"/>
          <w:bCs/>
          <w:szCs w:val="20"/>
        </w:rPr>
        <w:t>)</w:t>
      </w:r>
      <w:r>
        <w:rPr>
          <w:rFonts w:cstheme="minorHAnsi"/>
          <w:bCs/>
          <w:szCs w:val="20"/>
        </w:rPr>
        <w:t xml:space="preserve"> (v)</w:t>
      </w:r>
      <w:r w:rsidRPr="00920328">
        <w:rPr>
          <w:rFonts w:cstheme="minorHAnsi"/>
          <w:bCs/>
          <w:szCs w:val="20"/>
        </w:rPr>
        <w:t xml:space="preserve"> – </w:t>
      </w:r>
      <w:r>
        <w:rPr>
          <w:rFonts w:cstheme="minorHAnsi"/>
          <w:bCs/>
          <w:szCs w:val="20"/>
        </w:rPr>
        <w:t>“</w:t>
      </w:r>
      <w:r w:rsidRPr="00A93F12">
        <w:rPr>
          <w:rFonts w:cstheme="minorHAnsi"/>
          <w:bCs/>
          <w:i/>
          <w:iCs/>
          <w:szCs w:val="20"/>
        </w:rPr>
        <w:t>Data used as input to risk models, operational or organizational developments linked to the change</w:t>
      </w:r>
      <w:r>
        <w:rPr>
          <w:rFonts w:cstheme="minorHAnsi"/>
          <w:bCs/>
          <w:i/>
          <w:iCs/>
          <w:szCs w:val="20"/>
        </w:rPr>
        <w:t>”</w:t>
      </w:r>
    </w:p>
    <w:p w14:paraId="68F17060" w14:textId="77777777" w:rsidR="00D75031" w:rsidRDefault="00D75031" w:rsidP="00D75031">
      <w:pPr>
        <w:pStyle w:val="ListParagraph"/>
        <w:numPr>
          <w:ilvl w:val="0"/>
          <w:numId w:val="48"/>
        </w:numPr>
        <w:spacing w:after="200" w:line="276" w:lineRule="auto"/>
        <w:jc w:val="both"/>
        <w:rPr>
          <w:rFonts w:cstheme="minorHAnsi"/>
          <w:bCs/>
          <w:szCs w:val="20"/>
        </w:rPr>
      </w:pPr>
      <w:r>
        <w:rPr>
          <w:rFonts w:cstheme="minorHAnsi"/>
          <w:bCs/>
          <w:szCs w:val="20"/>
        </w:rPr>
        <w:t xml:space="preserve">Article 8(e) – </w:t>
      </w:r>
      <w:r w:rsidRPr="00A93F12">
        <w:rPr>
          <w:rFonts w:cstheme="minorHAnsi"/>
          <w:bCs/>
          <w:i/>
          <w:iCs/>
          <w:szCs w:val="20"/>
        </w:rPr>
        <w:t>“The CCP’s proposed change implies the development of new stress scenarios, including either historical or hypothetical scenarios or both, or the modification of the calibration or definition of the existing scenarios, for the purpose of determining default fund exposures, collateral haircut, liquidity risk, credit and counterparty risk or operational risk”</w:t>
      </w:r>
    </w:p>
    <w:p w14:paraId="619C2623" w14:textId="7B03CA4C"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sidR="00CD3899">
        <w:rPr>
          <w:lang w:eastAsia="en-US"/>
        </w:rPr>
        <w:t>9</w:t>
      </w:r>
      <w:r>
        <w:rPr>
          <w:lang w:eastAsia="en-US"/>
        </w:rPr>
        <w:t>&gt;</w:t>
      </w:r>
    </w:p>
    <w:p w14:paraId="3E6FF34B" w14:textId="77777777" w:rsidR="00C93A9C" w:rsidRDefault="00C93A9C" w:rsidP="003331A2">
      <w:pPr>
        <w:rPr>
          <w:lang w:eastAsia="en-US"/>
        </w:rPr>
      </w:pPr>
    </w:p>
    <w:p w14:paraId="67D55145" w14:textId="77777777" w:rsidR="003331A2" w:rsidRPr="00014A67" w:rsidRDefault="003331A2" w:rsidP="00014A67">
      <w:pPr>
        <w:rPr>
          <w:lang w:eastAsia="en-US"/>
        </w:rPr>
      </w:pPr>
    </w:p>
    <w:p w14:paraId="7D9BB9C6" w14:textId="154C1255" w:rsidR="00014A67" w:rsidRDefault="00177C6B" w:rsidP="00177C6B">
      <w:pPr>
        <w:pStyle w:val="Questionstyle"/>
      </w:pPr>
      <w:r w:rsidRPr="00106124">
        <w:lastRenderedPageBreak/>
        <w:t>Do you agree with ESMA’s proposal to extend the consultation with the college also to Article 49? Do you agree with the proposed procedures for consulting the college or would you propose different procedures? Please provide reasons for your answer.</w:t>
      </w:r>
      <w:r w:rsidR="00014A67" w:rsidRPr="00014A67">
        <w:t>?</w:t>
      </w:r>
    </w:p>
    <w:p w14:paraId="5A32EED8" w14:textId="15621ADA" w:rsidR="003331A2"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Pr>
          <w:lang w:eastAsia="en-US"/>
        </w:rPr>
        <w:t>1</w:t>
      </w:r>
      <w:r w:rsidR="00CD3899">
        <w:rPr>
          <w:lang w:eastAsia="en-US"/>
        </w:rPr>
        <w:t>0</w:t>
      </w:r>
      <w:r>
        <w:rPr>
          <w:lang w:eastAsia="en-US"/>
        </w:rPr>
        <w:t>&gt;</w:t>
      </w:r>
    </w:p>
    <w:p w14:paraId="162F5C8A" w14:textId="102A13A8" w:rsidR="00D75031" w:rsidRDefault="00D75031" w:rsidP="00D75031">
      <w:pPr>
        <w:jc w:val="both"/>
        <w:rPr>
          <w:rFonts w:cstheme="minorHAnsi"/>
          <w:bCs/>
          <w:szCs w:val="20"/>
        </w:rPr>
      </w:pPr>
      <w:r>
        <w:rPr>
          <w:rFonts w:cstheme="minorHAnsi"/>
          <w:bCs/>
          <w:szCs w:val="20"/>
        </w:rPr>
        <w:t xml:space="preserve">LSEG would not object to the proposed procedures for consulting the college under Article 49 of EMIR for both criteria and indicators, </w:t>
      </w:r>
      <w:r w:rsidRPr="00183365">
        <w:rPr>
          <w:rFonts w:cstheme="minorHAnsi"/>
          <w:bCs/>
          <w:szCs w:val="20"/>
        </w:rPr>
        <w:t xml:space="preserve">as long as </w:t>
      </w:r>
      <w:r>
        <w:rPr>
          <w:rFonts w:cstheme="minorHAnsi"/>
          <w:bCs/>
          <w:szCs w:val="20"/>
        </w:rPr>
        <w:t xml:space="preserve">the </w:t>
      </w:r>
      <w:r w:rsidRPr="00183365">
        <w:rPr>
          <w:rFonts w:cstheme="minorHAnsi"/>
          <w:bCs/>
          <w:szCs w:val="20"/>
        </w:rPr>
        <w:t>additional consultation process</w:t>
      </w:r>
      <w:r>
        <w:rPr>
          <w:rFonts w:cstheme="minorHAnsi"/>
          <w:bCs/>
          <w:szCs w:val="20"/>
        </w:rPr>
        <w:t xml:space="preserve"> followed for the list of indicators</w:t>
      </w:r>
      <w:r w:rsidRPr="00183365">
        <w:rPr>
          <w:rFonts w:cstheme="minorHAnsi"/>
          <w:bCs/>
          <w:szCs w:val="20"/>
        </w:rPr>
        <w:t xml:space="preserve"> does not unreasonably delay the current timeline expected/required for NCAs to review and validate any relevant proposed change</w:t>
      </w:r>
      <w:r>
        <w:rPr>
          <w:rFonts w:cstheme="minorHAnsi"/>
          <w:bCs/>
          <w:szCs w:val="20"/>
        </w:rPr>
        <w:t>.</w:t>
      </w:r>
    </w:p>
    <w:p w14:paraId="3940BE4B" w14:textId="77777777" w:rsidR="00D75031" w:rsidRDefault="00D75031" w:rsidP="00D75031">
      <w:pPr>
        <w:jc w:val="both"/>
        <w:rPr>
          <w:rFonts w:cstheme="minorHAnsi"/>
          <w:bCs/>
          <w:szCs w:val="20"/>
        </w:rPr>
      </w:pPr>
    </w:p>
    <w:p w14:paraId="31FDD627" w14:textId="05254B66" w:rsidR="00D75031" w:rsidRDefault="00D75031" w:rsidP="00D75031">
      <w:pPr>
        <w:jc w:val="both"/>
        <w:rPr>
          <w:rFonts w:cstheme="minorHAnsi"/>
          <w:bCs/>
          <w:szCs w:val="20"/>
        </w:rPr>
      </w:pPr>
      <w:r>
        <w:rPr>
          <w:rFonts w:cstheme="minorHAnsi"/>
          <w:bCs/>
          <w:szCs w:val="20"/>
        </w:rPr>
        <w:t xml:space="preserve">In line with our response to question 5, we would urge ESMA to clearly articulate legally binding timeframes in which the entire process (starting with the application assessment) should take to provide further clarity and predictability to the process. Particularly in the context of Article 49, a CCP alongside its NCA must be able to respond to market events in a quick and effective manner to address any stability risks that might arise as was recently illustrated during the Covid crisis.  </w:t>
      </w:r>
      <w:r>
        <w:rPr>
          <w:rFonts w:cstheme="minorHAnsi"/>
          <w:szCs w:val="20"/>
        </w:rPr>
        <w:t>Moreover</w:t>
      </w:r>
      <w:r w:rsidRPr="00413877">
        <w:rPr>
          <w:rFonts w:cstheme="minorHAnsi"/>
          <w:szCs w:val="20"/>
        </w:rPr>
        <w:t xml:space="preserve">, the need </w:t>
      </w:r>
      <w:r>
        <w:rPr>
          <w:rFonts w:cstheme="minorHAnsi"/>
          <w:szCs w:val="20"/>
        </w:rPr>
        <w:t xml:space="preserve">for prompt adjustments by the CCP </w:t>
      </w:r>
      <w:r w:rsidRPr="00413877">
        <w:rPr>
          <w:rFonts w:cstheme="minorHAnsi"/>
          <w:szCs w:val="20"/>
        </w:rPr>
        <w:t xml:space="preserve">may also be driven by back test results and procyclicality analysis. In both cases, we deem that the CCP should retain the faculty to promptly </w:t>
      </w:r>
      <w:r>
        <w:rPr>
          <w:rFonts w:cstheme="minorHAnsi"/>
          <w:szCs w:val="20"/>
        </w:rPr>
        <w:t>adjust the relevant models and parameters.</w:t>
      </w:r>
    </w:p>
    <w:p w14:paraId="720D5C99" w14:textId="77777777" w:rsidR="00D75031" w:rsidRDefault="00D75031" w:rsidP="00D75031">
      <w:pPr>
        <w:jc w:val="both"/>
        <w:rPr>
          <w:rFonts w:cstheme="minorHAnsi"/>
          <w:bCs/>
          <w:szCs w:val="20"/>
        </w:rPr>
      </w:pPr>
    </w:p>
    <w:p w14:paraId="05A64FE6" w14:textId="77777777" w:rsidR="00D75031" w:rsidRPr="00441595" w:rsidRDefault="00D75031" w:rsidP="00D75031">
      <w:pPr>
        <w:jc w:val="both"/>
        <w:rPr>
          <w:rFonts w:cstheme="minorHAnsi"/>
          <w:bCs/>
          <w:szCs w:val="20"/>
        </w:rPr>
      </w:pPr>
      <w:r w:rsidRPr="00441595">
        <w:rPr>
          <w:rFonts w:cstheme="minorHAnsi"/>
          <w:bCs/>
          <w:szCs w:val="20"/>
        </w:rPr>
        <w:t>We hope that you will find LSEG’s input provided in this consultation paper useful and we remain at your disposal for any additional clarifications.</w:t>
      </w:r>
    </w:p>
    <w:p w14:paraId="2EB6DC4E" w14:textId="548EBF7E" w:rsidR="00014A67" w:rsidRDefault="003331A2" w:rsidP="003331A2">
      <w:pPr>
        <w:rPr>
          <w:lang w:eastAsia="en-US"/>
        </w:rPr>
      </w:pPr>
      <w:r>
        <w:rPr>
          <w:lang w:eastAsia="en-US"/>
        </w:rPr>
        <w:t>&lt;ESMA_</w:t>
      </w:r>
      <w:r w:rsidR="00C93A9C">
        <w:rPr>
          <w:lang w:eastAsia="en-US"/>
        </w:rPr>
        <w:t>QUESTION_</w:t>
      </w:r>
      <w:r w:rsidR="00106124">
        <w:rPr>
          <w:lang w:eastAsia="en-US"/>
        </w:rPr>
        <w:t>RTS1549</w:t>
      </w:r>
      <w:r w:rsidR="00C93A9C">
        <w:rPr>
          <w:lang w:eastAsia="en-US"/>
        </w:rPr>
        <w:t>_</w:t>
      </w:r>
      <w:r>
        <w:rPr>
          <w:lang w:eastAsia="en-US"/>
        </w:rPr>
        <w:t>1</w:t>
      </w:r>
      <w:r w:rsidR="00CD3899">
        <w:rPr>
          <w:lang w:eastAsia="en-US"/>
        </w:rPr>
        <w:t>0</w:t>
      </w:r>
      <w:r>
        <w:rPr>
          <w:lang w:eastAsia="en-US"/>
        </w:rPr>
        <w:t>&gt;</w:t>
      </w:r>
    </w:p>
    <w:p w14:paraId="382E5A4D" w14:textId="77777777" w:rsidR="00C93A9C" w:rsidRDefault="00C93A9C" w:rsidP="003331A2">
      <w:pPr>
        <w:rPr>
          <w:lang w:eastAsia="en-US"/>
        </w:rPr>
      </w:pPr>
    </w:p>
    <w:p w14:paraId="654B1E20" w14:textId="77777777" w:rsidR="003331A2" w:rsidRPr="00014A67" w:rsidRDefault="003331A2" w:rsidP="00014A67">
      <w:pPr>
        <w:rPr>
          <w:lang w:eastAsia="en-US"/>
        </w:rPr>
      </w:pPr>
    </w:p>
    <w:p w14:paraId="5B79D316" w14:textId="77777777" w:rsidR="00014A67" w:rsidRPr="00014A67" w:rsidRDefault="00014A67" w:rsidP="00014A67">
      <w:pPr>
        <w:rPr>
          <w:lang w:eastAsia="en-US"/>
        </w:rPr>
      </w:pPr>
    </w:p>
    <w:sectPr w:rsidR="00014A67" w:rsidRPr="00014A6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B5EE" w14:textId="77777777" w:rsidR="00494843" w:rsidRDefault="00494843">
      <w:r>
        <w:separator/>
      </w:r>
    </w:p>
    <w:p w14:paraId="160A2D7A" w14:textId="77777777" w:rsidR="00494843" w:rsidRDefault="00494843"/>
  </w:endnote>
  <w:endnote w:type="continuationSeparator" w:id="0">
    <w:p w14:paraId="730A4619" w14:textId="77777777" w:rsidR="00494843" w:rsidRDefault="00494843">
      <w:r>
        <w:continuationSeparator/>
      </w:r>
    </w:p>
    <w:p w14:paraId="6C301D9F" w14:textId="77777777" w:rsidR="00494843" w:rsidRDefault="00494843"/>
  </w:endnote>
  <w:endnote w:type="continuationNotice" w:id="1">
    <w:p w14:paraId="08174CDD" w14:textId="77777777" w:rsidR="00494843" w:rsidRDefault="00494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AF30" w14:textId="77777777" w:rsidR="00494843" w:rsidRDefault="00494843">
      <w:r>
        <w:separator/>
      </w:r>
    </w:p>
    <w:p w14:paraId="19A2AC37" w14:textId="77777777" w:rsidR="00494843" w:rsidRDefault="00494843"/>
  </w:footnote>
  <w:footnote w:type="continuationSeparator" w:id="0">
    <w:p w14:paraId="1E7F2D49" w14:textId="77777777" w:rsidR="00494843" w:rsidRDefault="00494843">
      <w:r>
        <w:continuationSeparator/>
      </w:r>
    </w:p>
    <w:p w14:paraId="0FF910B4" w14:textId="77777777" w:rsidR="00494843" w:rsidRDefault="00494843"/>
  </w:footnote>
  <w:footnote w:type="continuationNotice" w:id="1">
    <w:p w14:paraId="3AB33D55" w14:textId="77777777" w:rsidR="00494843" w:rsidRDefault="00494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7C8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8721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CCB11D2"/>
    <w:multiLevelType w:val="hybridMultilevel"/>
    <w:tmpl w:val="BD18E71C"/>
    <w:lvl w:ilvl="0" w:tplc="BE6846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261439F6"/>
    <w:lvl w:ilvl="0" w:tplc="DCA8BAC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8E6393"/>
    <w:multiLevelType w:val="hybridMultilevel"/>
    <w:tmpl w:val="ABF42320"/>
    <w:lvl w:ilvl="0" w:tplc="BE6846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4"/>
  </w:num>
  <w:num w:numId="15">
    <w:abstractNumId w:val="8"/>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7"/>
  </w:num>
  <w:num w:numId="24">
    <w:abstractNumId w:val="33"/>
  </w:num>
  <w:num w:numId="25">
    <w:abstractNumId w:val="32"/>
  </w:num>
  <w:num w:numId="26">
    <w:abstractNumId w:val="21"/>
  </w:num>
  <w:num w:numId="27">
    <w:abstractNumId w:val="36"/>
  </w:num>
  <w:num w:numId="28">
    <w:abstractNumId w:val="43"/>
  </w:num>
  <w:num w:numId="29">
    <w:abstractNumId w:val="5"/>
  </w:num>
  <w:num w:numId="30">
    <w:abstractNumId w:val="2"/>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0"/>
  </w:num>
  <w:num w:numId="4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28D"/>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7B4"/>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02B"/>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843"/>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4B21"/>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5D1"/>
    <w:rsid w:val="006F08DC"/>
    <w:rsid w:val="006F18AB"/>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06B"/>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77645"/>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1A51"/>
    <w:rsid w:val="008C2A81"/>
    <w:rsid w:val="008C3863"/>
    <w:rsid w:val="008C3EB5"/>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718"/>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26D0"/>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013"/>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031"/>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171A"/>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4AED"/>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177C6B"/>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177C6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ESMA70-151-3278</_dlc_DocId>
    <_dlc_DocIdUrl xmlns="20fbe147-bbda-4e53-b6b1-7e8bbff3fe19">
      <Url>https://sherpa.esma.europa.eu/sites/MKT/PTR/_layouts/15/DocIdRedir.aspx?ID=ESMA70-151-3278</Url>
      <Description>ESMA70-151-3278</Description>
    </_dlc_DocIdUrl>
    <TaxCatchAll xmlns="20fbe147-bbda-4e53-b6b1-7e8bbff3fe19">
      <Value>279</Value>
      <Value>223</Value>
      <Value>4</Value>
      <Value>25</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MeetingDate xmlns="20fbe147-bbda-4e53-b6b1-7e8bbff3fe19">2020-10-17T22:00:00+00:00</MeetingDate>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ed0a0b2ea6941718a34434e243f3d8f>
    <Year xmlns="20fbe147-bbda-4e53-b6b1-7e8bbff3fe19">2020</Yea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3DDDA52F-C27C-4825-B305-1E1EAD28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CF0C4E36-5D30-40B4-B85E-B8616A2C761B}">
  <ds:schemaRefs>
    <ds:schemaRef ds:uri="http://schemas.openxmlformats.org/officeDocument/2006/bibliography"/>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6.xml><?xml version="1.0" encoding="utf-8"?>
<ds:datastoreItem xmlns:ds="http://schemas.openxmlformats.org/officeDocument/2006/customXml" ds:itemID="{43728717-5AA0-4DF8-896E-5ADB66FB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4135</Words>
  <Characters>23575</Characters>
  <Application>Microsoft Office Word</Application>
  <DocSecurity>0</DocSecurity>
  <Lines>196</Lines>
  <Paragraphs>55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27655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Greta Gabbarini</cp:lastModifiedBy>
  <cp:revision>2</cp:revision>
  <cp:lastPrinted>2015-02-18T11:01:00Z</cp:lastPrinted>
  <dcterms:created xsi:type="dcterms:W3CDTF">2020-11-20T08:50:00Z</dcterms:created>
  <dcterms:modified xsi:type="dcterms:W3CDTF">2020-11-20T08:50:00Z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279;#EMIR 2.2|4df16084-2afe-4fff-a8ff-88ac73e94787</vt:lpwstr>
  </property>
  <property fmtid="{D5CDD505-2E9C-101B-9397-08002B2CF9AE}" pid="6" name="SubTopic">
    <vt:lpwstr/>
  </property>
  <property fmtid="{D5CDD505-2E9C-101B-9397-08002B2CF9AE}" pid="7" name="DocumentType">
    <vt:lpwstr>223;#Questionnaire|a849d609-a31c-415e-a1a8-503bcc16b083</vt:lpwstr>
  </property>
  <property fmtid="{D5CDD505-2E9C-101B-9397-08002B2CF9AE}" pid="8" name="ConfidentialityLevel">
    <vt:lpwstr>25;#Public|a0c619ff-bd46-48f0-b213-6b7c03fe156d</vt:lpwstr>
  </property>
  <property fmtid="{D5CDD505-2E9C-101B-9397-08002B2CF9AE}" pid="9" name="_dlc_DocIdItemGuid">
    <vt:lpwstr>22137881-440c-4f10-9eec-bc3f9f044cb7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_AdHocReviewCycleID">
    <vt:i4>-346593562</vt:i4>
  </property>
  <property fmtid="{D5CDD505-2E9C-101B-9397-08002B2CF9AE}" pid="17" name="_NewReviewCycle">
    <vt:lpwstr/>
  </property>
  <property fmtid="{D5CDD505-2E9C-101B-9397-08002B2CF9AE}" pid="18" name="_EmailSubject">
    <vt:lpwstr>ESMA public consultation on Article 15 and 49 EMIR</vt:lpwstr>
  </property>
  <property fmtid="{D5CDD505-2E9C-101B-9397-08002B2CF9AE}" pid="19" name="_AuthorEmail">
    <vt:lpwstr>Athanasios.Kagiaras@lseg.com</vt:lpwstr>
  </property>
  <property fmtid="{D5CDD505-2E9C-101B-9397-08002B2CF9AE}" pid="20" name="_AuthorEmailDisplayName">
    <vt:lpwstr>Kagiaras, Athanasios</vt:lpwstr>
  </property>
  <property fmtid="{D5CDD505-2E9C-101B-9397-08002B2CF9AE}" pid="21" name="_ReviewingToolsShownOnce">
    <vt:lpwstr/>
  </property>
</Properties>
</file>