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65D354D9" w:rsidR="00C2094B" w:rsidRPr="00F10D35" w:rsidRDefault="008C1A51" w:rsidP="00AF38AF">
            <w:pPr>
              <w:pStyle w:val="00bDBInfo"/>
              <w:rPr>
                <w:rFonts w:cs="Arial"/>
              </w:rPr>
            </w:pPr>
            <w:r>
              <w:rPr>
                <w:rFonts w:cs="Arial"/>
              </w:rPr>
              <w:t>23</w:t>
            </w:r>
            <w:r w:rsidR="004E477A">
              <w:rPr>
                <w:rFonts w:cs="Arial"/>
              </w:rPr>
              <w:t xml:space="preserve"> October</w:t>
            </w:r>
            <w:r w:rsidR="002C27F9">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79BF7DE6"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RTS</w:t>
            </w:r>
            <w:r w:rsidRPr="00146A6C">
              <w:rPr>
                <w:rFonts w:cs="Arial"/>
                <w:sz w:val="32"/>
                <w:szCs w:val="32"/>
              </w:rPr>
              <w:t xml:space="preserve"> on conditions under which additional services or activities to which a CCP wishes to extend its business are not covered by the initial authorisation</w:t>
            </w:r>
            <w:r w:rsidRPr="00146A6C">
              <w:rPr>
                <w:sz w:val="32"/>
                <w:szCs w:val="32"/>
              </w:rPr>
              <w:t xml:space="preserve"> and </w:t>
            </w:r>
            <w:r w:rsidRPr="00146A6C">
              <w:rPr>
                <w:rFonts w:cs="Arial"/>
                <w:sz w:val="32"/>
                <w:szCs w:val="32"/>
              </w:rPr>
              <w:t>conditions under which changes to the models and parameters are significant under EMIR</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1BD57DD0" w:rsidR="00620D7C" w:rsidRPr="004E49B0" w:rsidRDefault="00620D7C" w:rsidP="00F10D35">
            <w:pPr>
              <w:pStyle w:val="02Date"/>
              <w:rPr>
                <w:rFonts w:cs="Arial"/>
              </w:rPr>
            </w:pPr>
            <w:r w:rsidRPr="00F10D35">
              <w:rPr>
                <w:rFonts w:cs="Arial"/>
              </w:rPr>
              <w:lastRenderedPageBreak/>
              <w:t xml:space="preserve">Date: </w:t>
            </w:r>
            <w:r w:rsidR="008C1A51">
              <w:rPr>
                <w:rFonts w:cs="Arial"/>
              </w:rPr>
              <w:t>23 October</w:t>
            </w:r>
            <w:r w:rsidR="002C27F9">
              <w:rPr>
                <w:rFonts w:cs="Arial"/>
              </w:rPr>
              <w:t xml:space="preserve"> </w:t>
            </w:r>
            <w:r w:rsidR="005738DE" w:rsidRPr="00F10D35">
              <w:rPr>
                <w:rFonts w:cs="Arial"/>
              </w:rPr>
              <w:t>20</w:t>
            </w:r>
            <w:r w:rsidR="002C27F9">
              <w:rPr>
                <w:rFonts w:cs="Arial"/>
              </w:rPr>
              <w:t>20</w:t>
            </w:r>
          </w:p>
        </w:tc>
      </w:tr>
    </w:tbl>
    <w:p w14:paraId="3680204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62258B" w14:textId="40A9CB1D" w:rsidR="006301E3" w:rsidRPr="009147F5" w:rsidRDefault="009A3017" w:rsidP="006301E3">
      <w:pPr>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00EF5FB9" w:rsidRPr="009147F5">
        <w:rPr>
          <w:rStyle w:val="SchwacheHervorhebung"/>
          <w:b w:val="0"/>
          <w:sz w:val="22"/>
        </w:rPr>
        <w:t xml:space="preserve">Consultation Paper </w:t>
      </w:r>
      <w:r w:rsidR="00014A67" w:rsidRPr="009147F5">
        <w:rPr>
          <w:rStyle w:val="SchwacheHervorhebung"/>
          <w:b w:val="0"/>
          <w:sz w:val="22"/>
        </w:rPr>
        <w:t xml:space="preserve">on </w:t>
      </w:r>
      <w:r w:rsidR="009147F5" w:rsidRPr="009147F5">
        <w:rPr>
          <w:rStyle w:val="SchwacheHervorhebung"/>
          <w:b w:val="0"/>
          <w:sz w:val="22"/>
        </w:rPr>
        <w:t>RTS on conditions under which additional services or activities to which a CCP wishes to extend its business are not covered by the initial authorisation and conditions under which changes to the models and parameters are significant under EMIR.</w:t>
      </w:r>
    </w:p>
    <w:p w14:paraId="0C472DBA" w14:textId="77777777" w:rsidR="006301E3" w:rsidRDefault="006301E3" w:rsidP="006301E3">
      <w:pPr>
        <w:jc w:val="both"/>
        <w:rPr>
          <w:rStyle w:val="SchwacheHervorhebung"/>
          <w:b w:val="0"/>
          <w:sz w:val="22"/>
        </w:rPr>
      </w:pPr>
    </w:p>
    <w:p w14:paraId="21B1DF29" w14:textId="77777777" w:rsidR="009A3017" w:rsidRDefault="009A3017" w:rsidP="006301E3">
      <w:pPr>
        <w:jc w:val="both"/>
        <w:rPr>
          <w:rStyle w:val="SchwacheHervorhebung"/>
          <w:b w:val="0"/>
          <w:sz w:val="22"/>
        </w:rPr>
      </w:pPr>
      <w:r w:rsidRPr="00E40A5C">
        <w:rPr>
          <w:rStyle w:val="SchwacheHervorhebung"/>
          <w:b w:val="0"/>
          <w:sz w:val="22"/>
        </w:rPr>
        <w:t>Responses are most helpful if they:</w:t>
      </w:r>
    </w:p>
    <w:p w14:paraId="3FCAF047" w14:textId="77777777" w:rsidR="00AF38AF" w:rsidRPr="00E40A5C" w:rsidRDefault="00AF38AF" w:rsidP="00AF38AF">
      <w:pPr>
        <w:rPr>
          <w:rStyle w:val="SchwacheHervorhebung"/>
          <w:b w:val="0"/>
          <w:sz w:val="22"/>
        </w:rPr>
      </w:pPr>
    </w:p>
    <w:p w14:paraId="67709919" w14:textId="77777777"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65AE54F5" w14:textId="77777777"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6BFE2506" w14:textId="77777777"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0FDF5836" w14:textId="1743C066"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w:t>
      </w:r>
      <w:r w:rsidRPr="006301E3">
        <w:rPr>
          <w:rStyle w:val="SchwacheHervorhebung"/>
          <w:b w:val="0"/>
          <w:sz w:val="22"/>
        </w:rPr>
        <w:t xml:space="preserve">by </w:t>
      </w:r>
      <w:r w:rsidR="00014A67" w:rsidRPr="00014A67">
        <w:rPr>
          <w:rStyle w:val="SchwacheHervorhebung"/>
          <w:bCs/>
          <w:sz w:val="22"/>
        </w:rPr>
        <w:t>1</w:t>
      </w:r>
      <w:r w:rsidR="008C1A51">
        <w:rPr>
          <w:rStyle w:val="SchwacheHervorhebung"/>
          <w:bCs/>
          <w:sz w:val="22"/>
        </w:rPr>
        <w:t>6</w:t>
      </w:r>
      <w:r w:rsidR="00014A67" w:rsidRPr="00014A67">
        <w:rPr>
          <w:rStyle w:val="SchwacheHervorhebung"/>
          <w:bCs/>
          <w:sz w:val="22"/>
        </w:rPr>
        <w:t xml:space="preserve"> </w:t>
      </w:r>
      <w:r w:rsidR="009744FD">
        <w:rPr>
          <w:rStyle w:val="SchwacheHervorhebung"/>
          <w:bCs/>
          <w:sz w:val="22"/>
        </w:rPr>
        <w:t>November</w:t>
      </w:r>
      <w:r w:rsidR="00014A67" w:rsidRPr="00014A67">
        <w:rPr>
          <w:rStyle w:val="SchwacheHervorhebung"/>
          <w:bCs/>
          <w:sz w:val="22"/>
        </w:rPr>
        <w:t xml:space="preserve"> 2020</w:t>
      </w:r>
      <w:r w:rsidRPr="006301E3">
        <w:rPr>
          <w:rStyle w:val="SchwacheHervorhebung"/>
          <w:b w:val="0"/>
          <w:sz w:val="22"/>
        </w:rPr>
        <w:t>.</w:t>
      </w:r>
    </w:p>
    <w:p w14:paraId="0647BB01"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08DDCF5D"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4068C687" w14:textId="77777777"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0E94F52C" w14:textId="109C9CE6"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106124">
        <w:rPr>
          <w:rStyle w:val="SchwacheHervorhebung"/>
          <w:b w:val="0"/>
          <w:sz w:val="22"/>
        </w:rPr>
        <w:t>RTS1549</w:t>
      </w:r>
      <w:r w:rsidRPr="00E40A5C">
        <w:rPr>
          <w:rStyle w:val="SchwacheHervorhebung"/>
          <w:b w:val="0"/>
          <w:sz w:val="22"/>
        </w:rPr>
        <w:t xml:space="preserve">_1&gt;. Your response to each question </w:t>
      </w:r>
      <w:proofErr w:type="gramStart"/>
      <w:r w:rsidRPr="00E40A5C">
        <w:rPr>
          <w:rStyle w:val="SchwacheHervorhebung"/>
          <w:b w:val="0"/>
          <w:sz w:val="22"/>
        </w:rPr>
        <w:t>has to</w:t>
      </w:r>
      <w:proofErr w:type="gramEnd"/>
      <w:r w:rsidRPr="00E40A5C">
        <w:rPr>
          <w:rStyle w:val="SchwacheHervorhebung"/>
          <w:b w:val="0"/>
          <w:sz w:val="22"/>
        </w:rPr>
        <w:t xml:space="preserve"> be framed by the two tags corresponding to the question.</w:t>
      </w:r>
    </w:p>
    <w:p w14:paraId="038E6172" w14:textId="77777777"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083CF855" w14:textId="11838559" w:rsidR="009A3017" w:rsidRPr="00E40A5C" w:rsidRDefault="009A3017" w:rsidP="00BD2D8E">
      <w:pPr>
        <w:pStyle w:val="Listenabsatz"/>
        <w:numPr>
          <w:ilvl w:val="0"/>
          <w:numId w:val="36"/>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9744FD">
        <w:rPr>
          <w:rStyle w:val="SchwacheHervorhebung"/>
          <w:b w:val="0"/>
          <w:sz w:val="22"/>
        </w:rPr>
        <w:t>RTS1549</w:t>
      </w:r>
      <w:r w:rsidRPr="00E40A5C">
        <w:rPr>
          <w:rStyle w:val="SchwacheHervorhebung"/>
          <w:b w:val="0"/>
          <w:sz w:val="22"/>
        </w:rPr>
        <w:t>_nameofrespondent_RESPONSEFORM. For example, for a respondent named ABCD, the response form would be entitled ESMA_</w:t>
      </w:r>
      <w:r w:rsidR="009744FD">
        <w:rPr>
          <w:rStyle w:val="SchwacheHervorhebung"/>
          <w:b w:val="0"/>
          <w:sz w:val="22"/>
        </w:rPr>
        <w:t>RTS1549</w:t>
      </w:r>
      <w:r w:rsidRPr="00E40A5C">
        <w:rPr>
          <w:rStyle w:val="SchwacheHervorhebung"/>
          <w:b w:val="0"/>
          <w:sz w:val="22"/>
        </w:rPr>
        <w:t>_ABCD_RESPONSEFORM.</w:t>
      </w:r>
    </w:p>
    <w:p w14:paraId="260F84E9" w14:textId="15E50178" w:rsidR="009A3017" w:rsidRPr="00E40A5C" w:rsidRDefault="009A3017" w:rsidP="00BD2D8E">
      <w:pPr>
        <w:pStyle w:val="Listenabsatz"/>
        <w:numPr>
          <w:ilvl w:val="0"/>
          <w:numId w:val="36"/>
        </w:numPr>
        <w:spacing w:after="240" w:line="276" w:lineRule="auto"/>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p>
    <w:p w14:paraId="3C6AA2AE"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61EFC45A" w14:textId="77777777"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t>
      </w:r>
      <w:r w:rsidRPr="00E40A5C">
        <w:rPr>
          <w:rStyle w:val="SchwacheHervorhebung"/>
          <w:b w:val="0"/>
          <w:sz w:val="22"/>
          <w:lang w:eastAsia="en-GB"/>
        </w:rPr>
        <w:lastRenderedPageBreak/>
        <w:t>We may consult you if we receive such a request. Any decision we make not to disclose the response is reviewable by ESMA’s Board of Appeal and the European Ombudsman.</w:t>
      </w:r>
    </w:p>
    <w:p w14:paraId="464C940D" w14:textId="77777777" w:rsidR="009A3017" w:rsidRPr="00E40A5C" w:rsidRDefault="00315895" w:rsidP="004E6AE4">
      <w:pPr>
        <w:rPr>
          <w:rStyle w:val="SchwacheHervorhebung"/>
          <w:sz w:val="22"/>
          <w:lang w:eastAsia="en-GB"/>
        </w:rPr>
      </w:pPr>
      <w:r>
        <w:rPr>
          <w:rStyle w:val="SchwacheHervorhebung"/>
          <w:sz w:val="22"/>
          <w:lang w:eastAsia="en-GB"/>
        </w:rPr>
        <w:br w:type="page"/>
      </w:r>
      <w:r w:rsidR="009A3017" w:rsidRPr="00E40A5C">
        <w:rPr>
          <w:rStyle w:val="SchwacheHervorhebung"/>
          <w:sz w:val="22"/>
          <w:lang w:eastAsia="en-GB"/>
        </w:rPr>
        <w:lastRenderedPageBreak/>
        <w:t>Data protection</w:t>
      </w:r>
    </w:p>
    <w:p w14:paraId="02D88B05" w14:textId="77777777"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4859FF8E"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w:t>
      </w:r>
      <w:proofErr w:type="gramStart"/>
      <w:r w:rsidRPr="00E40A5C">
        <w:rPr>
          <w:rStyle w:val="SchwacheHervorhebung"/>
          <w:sz w:val="22"/>
          <w:lang w:eastAsia="en-GB"/>
        </w:rPr>
        <w:t>Paper</w:t>
      </w:r>
      <w:proofErr w:type="gramEnd"/>
    </w:p>
    <w:bookmarkEnd w:id="0"/>
    <w:p w14:paraId="3FADC208" w14:textId="5C399265" w:rsidR="00332304" w:rsidRPr="001021EF" w:rsidRDefault="006301E3" w:rsidP="001021EF">
      <w:pPr>
        <w:spacing w:after="240"/>
        <w:jc w:val="both"/>
        <w:rPr>
          <w:b/>
          <w:bCs/>
        </w:rPr>
      </w:pPr>
      <w:r w:rsidRPr="001021EF">
        <w:rPr>
          <w:rStyle w:val="SchwacheHervorhebung"/>
          <w:b w:val="0"/>
          <w:bCs/>
          <w:sz w:val="22"/>
          <w:lang w:eastAsia="en-GB"/>
        </w:rPr>
        <w:t xml:space="preserve">All interested stakeholders are invited to respond to this consultation paper. </w:t>
      </w:r>
      <w:proofErr w:type="gramStart"/>
      <w:r w:rsidRPr="001021EF">
        <w:rPr>
          <w:rStyle w:val="SchwacheHervorhebung"/>
          <w:b w:val="0"/>
          <w:bCs/>
          <w:sz w:val="22"/>
          <w:lang w:eastAsia="en-GB"/>
        </w:rPr>
        <w:t>In particular, responses</w:t>
      </w:r>
      <w:proofErr w:type="gramEnd"/>
      <w:r w:rsidRPr="001021EF">
        <w:rPr>
          <w:rStyle w:val="SchwacheHervorhebung"/>
          <w:b w:val="0"/>
          <w:bCs/>
          <w:sz w:val="22"/>
          <w:lang w:eastAsia="en-GB"/>
        </w:rPr>
        <w:t xml:space="preserve"> are sought from central counterparties (CCPs) and clearing members.</w:t>
      </w:r>
      <w:r w:rsidRPr="001021EF">
        <w:rPr>
          <w:b/>
          <w:bCs/>
        </w:rPr>
        <w:t xml:space="preserve"> </w:t>
      </w:r>
      <w:r w:rsidR="00332304" w:rsidRPr="001021EF">
        <w:rPr>
          <w:b/>
          <w:bCs/>
        </w:rPr>
        <w:br w:type="page"/>
      </w:r>
    </w:p>
    <w:p w14:paraId="07F9766A" w14:textId="77777777" w:rsidR="00B327E9" w:rsidRPr="00AB6D88" w:rsidRDefault="00B327E9" w:rsidP="00B327E9">
      <w:pPr>
        <w:pStyle w:val="berschrift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51510">
        <w:tc>
          <w:tcPr>
            <w:tcW w:w="3929" w:type="dxa"/>
            <w:shd w:val="clear" w:color="auto" w:fill="auto"/>
          </w:tcPr>
          <w:p w14:paraId="2CC52FAD" w14:textId="77777777" w:rsidR="00B327E9" w:rsidRPr="00E40A5C" w:rsidRDefault="00B327E9" w:rsidP="00F51510">
            <w:pPr>
              <w:rPr>
                <w:rFonts w:cs="Arial"/>
                <w:sz w:val="22"/>
              </w:rPr>
            </w:pPr>
            <w:permStart w:id="1776972646"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23C2C921" w14:textId="0D201955" w:rsidR="00B327E9" w:rsidRPr="00AB6D88" w:rsidRDefault="002B5DB2" w:rsidP="00F51510">
                <w:pPr>
                  <w:rPr>
                    <w:rStyle w:val="Platzhaltertext"/>
                    <w:rFonts w:cs="Arial"/>
                  </w:rPr>
                </w:pPr>
                <w:r>
                  <w:rPr>
                    <w:rStyle w:val="Platzhaltertext"/>
                    <w:rFonts w:cs="Arial"/>
                  </w:rPr>
                  <w:t>Eur</w:t>
                </w:r>
                <w:r w:rsidR="006C3903">
                  <w:rPr>
                    <w:rStyle w:val="Platzhaltertext"/>
                    <w:rFonts w:cs="Arial"/>
                  </w:rPr>
                  <w:t xml:space="preserve">opean Commodity </w:t>
                </w:r>
                <w:r>
                  <w:rPr>
                    <w:rStyle w:val="Platzhaltertext"/>
                    <w:rFonts w:cs="Arial"/>
                  </w:rPr>
                  <w:t>Clearing AG</w:t>
                </w:r>
              </w:p>
            </w:tc>
          </w:sdtContent>
        </w:sdt>
      </w:tr>
      <w:tr w:rsidR="00B327E9" w:rsidRPr="00AB6D88" w14:paraId="0D2401D8" w14:textId="77777777" w:rsidTr="00F51510">
        <w:tc>
          <w:tcPr>
            <w:tcW w:w="3929" w:type="dxa"/>
            <w:shd w:val="clear" w:color="auto" w:fill="auto"/>
          </w:tcPr>
          <w:p w14:paraId="6C0EFE39" w14:textId="77777777" w:rsidR="00B327E9" w:rsidRPr="00E40A5C" w:rsidRDefault="00B327E9" w:rsidP="00F51510">
            <w:pPr>
              <w:rPr>
                <w:rFonts w:cs="Arial"/>
                <w:sz w:val="22"/>
              </w:rPr>
            </w:pPr>
            <w:permStart w:id="1407811244" w:edGrp="everyone" w:colFirst="1" w:colLast="1"/>
            <w:permEnd w:id="1776972646"/>
            <w:r w:rsidRPr="00E40A5C">
              <w:rPr>
                <w:rFonts w:cs="Arial"/>
                <w:sz w:val="22"/>
              </w:rPr>
              <w:t>Activity</w:t>
            </w:r>
          </w:p>
        </w:tc>
        <w:tc>
          <w:tcPr>
            <w:tcW w:w="5595" w:type="dxa"/>
            <w:shd w:val="clear" w:color="auto" w:fill="auto"/>
          </w:tcPr>
          <w:p w14:paraId="163BBF3B" w14:textId="6F231A7D" w:rsidR="00B327E9" w:rsidRPr="00AB6D88" w:rsidRDefault="00A36255" w:rsidP="00F5151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B32D0">
                  <w:rPr>
                    <w:rFonts w:cs="Arial"/>
                  </w:rPr>
                  <w:t>Central Counterparty</w:t>
                </w:r>
              </w:sdtContent>
            </w:sdt>
          </w:p>
        </w:tc>
      </w:tr>
      <w:tr w:rsidR="00B327E9" w:rsidRPr="00AB6D88" w14:paraId="1A153F17" w14:textId="77777777" w:rsidTr="00F51510">
        <w:tc>
          <w:tcPr>
            <w:tcW w:w="3929" w:type="dxa"/>
            <w:shd w:val="clear" w:color="auto" w:fill="auto"/>
          </w:tcPr>
          <w:p w14:paraId="396772EB" w14:textId="77777777" w:rsidR="00B327E9" w:rsidRPr="00E40A5C" w:rsidRDefault="00B327E9" w:rsidP="00F51510">
            <w:pPr>
              <w:rPr>
                <w:rFonts w:cs="Arial"/>
                <w:sz w:val="22"/>
              </w:rPr>
            </w:pPr>
            <w:permStart w:id="451107209" w:edGrp="everyone" w:colFirst="1" w:colLast="1"/>
            <w:permEnd w:id="140781124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51510">
                <w:pPr>
                  <w:rPr>
                    <w:rFonts w:cs="Arial"/>
                  </w:rPr>
                </w:pPr>
                <w:r>
                  <w:rPr>
                    <w:rFonts w:ascii="MS Gothic" w:eastAsia="MS Gothic" w:hAnsi="MS Gothic" w:cs="Arial" w:hint="eastAsia"/>
                  </w:rPr>
                  <w:t>☐</w:t>
                </w:r>
              </w:p>
            </w:tc>
          </w:sdtContent>
        </w:sdt>
      </w:tr>
      <w:tr w:rsidR="00B327E9" w:rsidRPr="00AB6D88" w14:paraId="4F3F3D16" w14:textId="77777777" w:rsidTr="00F51510">
        <w:tc>
          <w:tcPr>
            <w:tcW w:w="3929" w:type="dxa"/>
            <w:shd w:val="clear" w:color="auto" w:fill="auto"/>
          </w:tcPr>
          <w:p w14:paraId="3C221113" w14:textId="77777777" w:rsidR="00B327E9" w:rsidRPr="00E40A5C" w:rsidRDefault="00B327E9" w:rsidP="00F51510">
            <w:pPr>
              <w:rPr>
                <w:rFonts w:cs="Arial"/>
                <w:sz w:val="22"/>
              </w:rPr>
            </w:pPr>
            <w:permStart w:id="1039544714" w:edGrp="everyone" w:colFirst="1" w:colLast="1"/>
            <w:permEnd w:id="45110720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1F5D6D4" w14:textId="1733586B" w:rsidR="00B327E9" w:rsidRPr="00AB6D88" w:rsidRDefault="00BB32D0" w:rsidP="00F51510">
                <w:pPr>
                  <w:rPr>
                    <w:rFonts w:cs="Arial"/>
                  </w:rPr>
                </w:pPr>
                <w:r>
                  <w:rPr>
                    <w:rFonts w:cs="Arial"/>
                  </w:rPr>
                  <w:t>Germany</w:t>
                </w:r>
              </w:p>
            </w:tc>
          </w:sdtContent>
        </w:sdt>
      </w:tr>
      <w:permEnd w:id="1039544714"/>
    </w:tbl>
    <w:p w14:paraId="48174611" w14:textId="77777777" w:rsidR="00B327E9" w:rsidRDefault="00B327E9" w:rsidP="00B327E9">
      <w:pPr>
        <w:spacing w:after="120" w:line="264" w:lineRule="auto"/>
      </w:pPr>
    </w:p>
    <w:p w14:paraId="3FE7D92F" w14:textId="77777777" w:rsidR="00B327E9" w:rsidRDefault="00B327E9" w:rsidP="00B327E9">
      <w:pPr>
        <w:pStyle w:val="berschrift1"/>
        <w:numPr>
          <w:ilvl w:val="0"/>
          <w:numId w:val="0"/>
        </w:numPr>
        <w:ind w:left="431" w:hanging="431"/>
      </w:pPr>
      <w:r>
        <w:t>Introduction</w:t>
      </w:r>
    </w:p>
    <w:p w14:paraId="3C83C634"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26578279" w14:textId="77777777" w:rsidR="00B327E9" w:rsidRPr="00BF28DA" w:rsidRDefault="00B327E9" w:rsidP="00B327E9"/>
    <w:p w14:paraId="06351DAC" w14:textId="70B8A915" w:rsidR="00B327E9" w:rsidRPr="006F4535" w:rsidRDefault="00B327E9" w:rsidP="00B327E9">
      <w:r w:rsidRPr="006F4535">
        <w:t>&lt;ESMA_COMMENT_</w:t>
      </w:r>
      <w:r w:rsidR="00106124">
        <w:rPr>
          <w:rFonts w:cs="Arial"/>
        </w:rPr>
        <w:t>RTS1549</w:t>
      </w:r>
      <w:r w:rsidRPr="006F4535">
        <w:t>_1&gt;</w:t>
      </w:r>
    </w:p>
    <w:p w14:paraId="2F302E09" w14:textId="2BBBC4F2" w:rsidR="00B04E6E" w:rsidRDefault="00B04E6E" w:rsidP="00A42951">
      <w:pPr>
        <w:jc w:val="both"/>
      </w:pPr>
      <w:bookmarkStart w:id="1" w:name="_Hlk56146944"/>
      <w:permStart w:id="1102206392" w:edGrp="everyone"/>
      <w:r>
        <w:t>E</w:t>
      </w:r>
      <w:r w:rsidR="00A73BAB">
        <w:t>uropean Commodity</w:t>
      </w:r>
      <w:r>
        <w:t xml:space="preserve"> Clearing </w:t>
      </w:r>
      <w:bookmarkEnd w:id="1"/>
      <w:r>
        <w:t>is a</w:t>
      </w:r>
      <w:r w:rsidR="00A65AAC">
        <w:t>n</w:t>
      </w:r>
      <w:r>
        <w:t xml:space="preserve"> EMIR authorized central counterparty (CCP)</w:t>
      </w:r>
      <w:r w:rsidR="00A65AAC">
        <w:t xml:space="preserve"> and </w:t>
      </w:r>
      <w:r>
        <w:t xml:space="preserve">a subsidiary of Deutsche </w:t>
      </w:r>
      <w:proofErr w:type="spellStart"/>
      <w:r>
        <w:t>Börse</w:t>
      </w:r>
      <w:proofErr w:type="spellEnd"/>
      <w:r>
        <w:t xml:space="preserve"> Group</w:t>
      </w:r>
      <w:r w:rsidR="00A65AAC">
        <w:t>.</w:t>
      </w:r>
      <w:r>
        <w:t xml:space="preserve"> </w:t>
      </w:r>
      <w:r w:rsidR="00A73BAB" w:rsidRPr="00A73BAB">
        <w:t>European Commodity Clearing (ECC) is a central clearing house which specialises in energy and commodity products</w:t>
      </w:r>
      <w:r>
        <w:t xml:space="preserve">. </w:t>
      </w:r>
    </w:p>
    <w:p w14:paraId="6662D314" w14:textId="77777777" w:rsidR="00B04E6E" w:rsidRDefault="00B04E6E" w:rsidP="00A42951">
      <w:pPr>
        <w:jc w:val="both"/>
      </w:pPr>
    </w:p>
    <w:p w14:paraId="46F1E0AC" w14:textId="6C2EB8AF" w:rsidR="00E158FC" w:rsidRDefault="00A73BAB" w:rsidP="00A42951">
      <w:pPr>
        <w:jc w:val="both"/>
      </w:pPr>
      <w:r w:rsidRPr="00A73BAB">
        <w:t xml:space="preserve">European Commodity Clearing </w:t>
      </w:r>
      <w:r w:rsidR="00B04E6E">
        <w:t xml:space="preserve">appreciates the opportunity to provide feedback to ESMA’s consultation </w:t>
      </w:r>
      <w:r w:rsidR="00203BA2" w:rsidRPr="00203BA2">
        <w:t xml:space="preserve">on </w:t>
      </w:r>
      <w:r w:rsidR="00A65AAC">
        <w:t xml:space="preserve">the </w:t>
      </w:r>
      <w:r w:rsidR="00A65AAC" w:rsidRPr="00A65AAC">
        <w:t>conditions which require an extension of authorisation for a CCP</w:t>
      </w:r>
      <w:r w:rsidR="00A65AAC">
        <w:t xml:space="preserve"> and </w:t>
      </w:r>
      <w:r w:rsidR="00A65AAC" w:rsidRPr="00A65AAC">
        <w:t>conditions which require validations of CCP’s changes to models and parameters by the NCA and ESMA</w:t>
      </w:r>
      <w:r w:rsidR="00A65AAC">
        <w:t>.</w:t>
      </w:r>
    </w:p>
    <w:p w14:paraId="7F8B8717" w14:textId="26CA717F" w:rsidR="00203BA2" w:rsidRDefault="00203BA2" w:rsidP="00A42951">
      <w:pPr>
        <w:jc w:val="both"/>
      </w:pPr>
    </w:p>
    <w:p w14:paraId="4A6A4585" w14:textId="729B5F13" w:rsidR="00BC4A92" w:rsidRDefault="00A73BAB" w:rsidP="00A42951">
      <w:pPr>
        <w:jc w:val="both"/>
        <w:rPr>
          <w:lang w:val="en-US"/>
        </w:rPr>
      </w:pPr>
      <w:r w:rsidRPr="00A73BAB">
        <w:t xml:space="preserve">European Commodity Clearing </w:t>
      </w:r>
      <w:proofErr w:type="spellStart"/>
      <w:r w:rsidR="006C3903">
        <w:t>f</w:t>
      </w:r>
      <w:r w:rsidR="00203BA2" w:rsidRPr="00203BA2">
        <w:t>fully</w:t>
      </w:r>
      <w:proofErr w:type="spellEnd"/>
      <w:r w:rsidR="00203BA2" w:rsidRPr="00203BA2">
        <w:t xml:space="preserve"> support</w:t>
      </w:r>
      <w:r w:rsidR="00203BA2">
        <w:t>s</w:t>
      </w:r>
      <w:r w:rsidR="00203BA2" w:rsidRPr="00203BA2">
        <w:t xml:space="preserve"> the overall aim of increasing coherence of supervisory practices</w:t>
      </w:r>
      <w:r w:rsidR="00203BA2">
        <w:t xml:space="preserve">, and we think that Articles 15 and 49 </w:t>
      </w:r>
      <w:proofErr w:type="gramStart"/>
      <w:r w:rsidR="00203BA2">
        <w:t>EMIR</w:t>
      </w:r>
      <w:proofErr w:type="gramEnd"/>
      <w:r w:rsidR="00203BA2">
        <w:t xml:space="preserve"> are important elements in this respect. </w:t>
      </w:r>
      <w:r w:rsidR="00F103BD">
        <w:rPr>
          <w:lang w:val="en-US"/>
        </w:rPr>
        <w:t xml:space="preserve">To support a </w:t>
      </w:r>
      <w:r w:rsidR="00203BA2" w:rsidRPr="00203BA2">
        <w:rPr>
          <w:lang w:val="en-US"/>
        </w:rPr>
        <w:t>co</w:t>
      </w:r>
      <w:r w:rsidR="00F103BD">
        <w:rPr>
          <w:lang w:val="en-US"/>
        </w:rPr>
        <w:t>mmon</w:t>
      </w:r>
      <w:r w:rsidR="00203BA2" w:rsidRPr="00203BA2">
        <w:rPr>
          <w:lang w:val="en-US"/>
        </w:rPr>
        <w:t xml:space="preserve"> understanding of the scope of </w:t>
      </w:r>
      <w:r w:rsidR="00F103BD">
        <w:rPr>
          <w:lang w:val="en-US"/>
        </w:rPr>
        <w:t>Art.</w:t>
      </w:r>
      <w:r w:rsidR="009B13A0">
        <w:rPr>
          <w:lang w:val="en-US"/>
        </w:rPr>
        <w:t xml:space="preserve"> </w:t>
      </w:r>
      <w:r w:rsidR="00F103BD">
        <w:rPr>
          <w:lang w:val="en-US"/>
        </w:rPr>
        <w:t>15 and Art.</w:t>
      </w:r>
      <w:r w:rsidR="009B13A0">
        <w:rPr>
          <w:lang w:val="en-US"/>
        </w:rPr>
        <w:t xml:space="preserve"> </w:t>
      </w:r>
      <w:r w:rsidR="00F103BD">
        <w:rPr>
          <w:lang w:val="en-US"/>
        </w:rPr>
        <w:t xml:space="preserve">19 </w:t>
      </w:r>
      <w:r w:rsidR="007F464C">
        <w:rPr>
          <w:lang w:val="en-US"/>
        </w:rPr>
        <w:t xml:space="preserve">EMIR </w:t>
      </w:r>
      <w:r w:rsidR="00F103BD">
        <w:rPr>
          <w:lang w:val="en-US"/>
        </w:rPr>
        <w:t xml:space="preserve">and related </w:t>
      </w:r>
      <w:r w:rsidR="00203BA2" w:rsidRPr="00203BA2">
        <w:rPr>
          <w:lang w:val="en-US"/>
        </w:rPr>
        <w:t xml:space="preserve">regulatory processes, </w:t>
      </w:r>
      <w:r w:rsidR="00BC4A92">
        <w:rPr>
          <w:lang w:val="en-US"/>
        </w:rPr>
        <w:t>our comments would be threefold.</w:t>
      </w:r>
    </w:p>
    <w:p w14:paraId="311824B0" w14:textId="77777777" w:rsidR="00BC4A92" w:rsidRDefault="00BC4A92" w:rsidP="00A42951">
      <w:pPr>
        <w:jc w:val="both"/>
        <w:rPr>
          <w:lang w:val="en-US"/>
        </w:rPr>
      </w:pPr>
    </w:p>
    <w:p w14:paraId="748A3A00" w14:textId="575E42FE" w:rsidR="00220511" w:rsidRDefault="00BC4A92" w:rsidP="00A42951">
      <w:pPr>
        <w:jc w:val="both"/>
      </w:pPr>
      <w:r>
        <w:rPr>
          <w:lang w:val="en-US"/>
        </w:rPr>
        <w:t xml:space="preserve">First, </w:t>
      </w:r>
      <w:r w:rsidR="00203BA2" w:rsidRPr="00203BA2">
        <w:rPr>
          <w:lang w:val="en-US"/>
        </w:rPr>
        <w:t xml:space="preserve">the scope of </w:t>
      </w:r>
      <w:r>
        <w:rPr>
          <w:lang w:val="en-US"/>
        </w:rPr>
        <w:t xml:space="preserve">the extension </w:t>
      </w:r>
      <w:r w:rsidR="00BF0DD8">
        <w:rPr>
          <w:lang w:val="en-US"/>
        </w:rPr>
        <w:t>procedures</w:t>
      </w:r>
      <w:r>
        <w:rPr>
          <w:lang w:val="en-US"/>
        </w:rPr>
        <w:t xml:space="preserve"> needs to be clear and only cover </w:t>
      </w:r>
      <w:r w:rsidR="00203BA2" w:rsidRPr="00A42951">
        <w:rPr>
          <w:lang w:val="en-US"/>
        </w:rPr>
        <w:t xml:space="preserve">additional services or activities not covered by the </w:t>
      </w:r>
      <w:r w:rsidR="00BF0DD8" w:rsidRPr="00A42951">
        <w:rPr>
          <w:lang w:val="en-US"/>
        </w:rPr>
        <w:t xml:space="preserve">existing </w:t>
      </w:r>
      <w:r w:rsidR="00203BA2" w:rsidRPr="00A42951">
        <w:rPr>
          <w:lang w:val="en-US"/>
        </w:rPr>
        <w:t>authorization</w:t>
      </w:r>
      <w:r w:rsidR="00E01EE7">
        <w:rPr>
          <w:lang w:val="en-US"/>
        </w:rPr>
        <w:t xml:space="preserve"> or validation</w:t>
      </w:r>
      <w:r w:rsidR="00F103BD">
        <w:rPr>
          <w:lang w:val="en-US"/>
        </w:rPr>
        <w:t>.</w:t>
      </w:r>
      <w:r>
        <w:rPr>
          <w:lang w:val="en-US"/>
        </w:rPr>
        <w:t xml:space="preserve"> </w:t>
      </w:r>
      <w:r w:rsidR="00220511">
        <w:t>In th</w:t>
      </w:r>
      <w:r>
        <w:t>e</w:t>
      </w:r>
      <w:r w:rsidR="00220511">
        <w:t xml:space="preserve"> context</w:t>
      </w:r>
      <w:r>
        <w:t xml:space="preserve"> of</w:t>
      </w:r>
      <w:r w:rsidR="00220511" w:rsidRPr="00C277DC">
        <w:t xml:space="preserve"> Art. </w:t>
      </w:r>
      <w:r w:rsidR="00220511">
        <w:t>15</w:t>
      </w:r>
      <w:r w:rsidR="007F464C">
        <w:t xml:space="preserve"> EMIR</w:t>
      </w:r>
      <w:r>
        <w:t>, these</w:t>
      </w:r>
      <w:r w:rsidR="00E72F4F">
        <w:t xml:space="preserve"> </w:t>
      </w:r>
      <w:r w:rsidR="00220511" w:rsidRPr="00C277DC">
        <w:t>procedure</w:t>
      </w:r>
      <w:r w:rsidR="00220511">
        <w:t>s</w:t>
      </w:r>
      <w:r w:rsidR="00220511" w:rsidRPr="00C277DC">
        <w:t xml:space="preserve"> should only appl</w:t>
      </w:r>
      <w:r>
        <w:t>y</w:t>
      </w:r>
      <w:r w:rsidR="00220511">
        <w:t xml:space="preserve"> </w:t>
      </w:r>
      <w:r w:rsidR="00220511" w:rsidRPr="00C277DC">
        <w:t xml:space="preserve">where a CCP intends to offer a service or perform an activity that </w:t>
      </w:r>
      <w:r w:rsidR="00F103BD">
        <w:t xml:space="preserve">is not covered by the existing authorisation </w:t>
      </w:r>
      <w:r w:rsidR="00641A48">
        <w:t xml:space="preserve">and </w:t>
      </w:r>
      <w:r w:rsidR="00220511" w:rsidRPr="00C277DC">
        <w:t>comes with such material risks for the CCP that a formal license extension procedure under Art. 15 is the only suitable option to ensure that the intended service or activity does not diminish the requirement that the CCP is “safe and sound” (cf. recital 49 of EMIR)</w:t>
      </w:r>
      <w:r>
        <w:t>. Similarly, Art.</w:t>
      </w:r>
      <w:r w:rsidR="009B13A0">
        <w:t xml:space="preserve"> </w:t>
      </w:r>
      <w:r>
        <w:t>49</w:t>
      </w:r>
      <w:r w:rsidR="007F464C">
        <w:t xml:space="preserve"> EMIR</w:t>
      </w:r>
      <w:r>
        <w:t xml:space="preserve"> procedures should on</w:t>
      </w:r>
      <w:r w:rsidR="00F103BD">
        <w:t>l</w:t>
      </w:r>
      <w:r>
        <w:t xml:space="preserve">y apply </w:t>
      </w:r>
      <w:r w:rsidR="00220511">
        <w:t xml:space="preserve">in case of </w:t>
      </w:r>
      <w:r w:rsidR="00220511" w:rsidRPr="00C277DC">
        <w:t xml:space="preserve">changes to the CCP’s models and parameters that are so substantial that, </w:t>
      </w:r>
      <w:proofErr w:type="gramStart"/>
      <w:r w:rsidR="00220511" w:rsidRPr="00C277DC">
        <w:t>taking into account</w:t>
      </w:r>
      <w:proofErr w:type="gramEnd"/>
      <w:r w:rsidR="00220511" w:rsidRPr="00C277DC">
        <w:t xml:space="preserve"> these changes, the outcome of the initial authorization procedure could be af</w:t>
      </w:r>
      <w:r w:rsidR="00220511">
        <w:t>f</w:t>
      </w:r>
      <w:r w:rsidR="00220511" w:rsidRPr="00C277DC">
        <w:t>ected</w:t>
      </w:r>
      <w:r w:rsidR="00220511">
        <w:t>.</w:t>
      </w:r>
    </w:p>
    <w:p w14:paraId="6652580F" w14:textId="77777777" w:rsidR="00220511" w:rsidRDefault="00220511" w:rsidP="00A42951">
      <w:pPr>
        <w:jc w:val="both"/>
      </w:pPr>
    </w:p>
    <w:p w14:paraId="38F9C711" w14:textId="1A6D1CC1" w:rsidR="005E2AA1" w:rsidRPr="005E2AA1" w:rsidRDefault="00BC4A92" w:rsidP="00A42951">
      <w:pPr>
        <w:jc w:val="both"/>
        <w:rPr>
          <w:b/>
          <w:bCs/>
        </w:rPr>
      </w:pPr>
      <w:r>
        <w:t xml:space="preserve">Second, </w:t>
      </w:r>
      <w:r w:rsidR="0081095D">
        <w:t xml:space="preserve">we would like to highlight </w:t>
      </w:r>
      <w:r w:rsidR="00744262">
        <w:t xml:space="preserve">the importance to find </w:t>
      </w:r>
      <w:r>
        <w:t xml:space="preserve">the right </w:t>
      </w:r>
      <w:r w:rsidR="00641A48">
        <w:t>split</w:t>
      </w:r>
      <w:r>
        <w:t xml:space="preserve"> between the </w:t>
      </w:r>
      <w:r w:rsidR="00744262">
        <w:t>criteria</w:t>
      </w:r>
      <w:r>
        <w:t xml:space="preserve"> and </w:t>
      </w:r>
      <w:r w:rsidR="00744262">
        <w:t xml:space="preserve">indicators </w:t>
      </w:r>
      <w:r>
        <w:t xml:space="preserve">to </w:t>
      </w:r>
      <w:r w:rsidR="00744262">
        <w:t xml:space="preserve">allow for </w:t>
      </w:r>
      <w:r>
        <w:t xml:space="preserve">an </w:t>
      </w:r>
      <w:r w:rsidR="00744262">
        <w:t xml:space="preserve">efficient operational adaption </w:t>
      </w:r>
      <w:r w:rsidR="00744262" w:rsidDel="00E177E9">
        <w:t xml:space="preserve">of </w:t>
      </w:r>
      <w:r>
        <w:t xml:space="preserve">the </w:t>
      </w:r>
      <w:r w:rsidR="00744262" w:rsidDel="00E177E9">
        <w:t xml:space="preserve">CCP </w:t>
      </w:r>
      <w:r>
        <w:t>and</w:t>
      </w:r>
      <w:r w:rsidR="00744262">
        <w:t xml:space="preserve"> enable </w:t>
      </w:r>
      <w:r>
        <w:t>it</w:t>
      </w:r>
      <w:r w:rsidR="00744262">
        <w:t xml:space="preserve"> to fulfil </w:t>
      </w:r>
      <w:r>
        <w:t>its</w:t>
      </w:r>
      <w:r w:rsidR="00744262">
        <w:t xml:space="preserve"> role as </w:t>
      </w:r>
      <w:r>
        <w:t xml:space="preserve">a </w:t>
      </w:r>
      <w:r w:rsidR="00744262">
        <w:t>neutral risk manager for financial markets. To achieve this, the right balance needs to be struck between ensuring supervisors have an adequate view on the CCPs</w:t>
      </w:r>
      <w:r w:rsidR="00E177E9">
        <w:t>’</w:t>
      </w:r>
      <w:r w:rsidR="00744262">
        <w:t xml:space="preserve"> service offering and</w:t>
      </w:r>
      <w:r w:rsidR="00641A48">
        <w:t>,</w:t>
      </w:r>
      <w:r w:rsidR="00744262">
        <w:t xml:space="preserve"> at the same time</w:t>
      </w:r>
      <w:r w:rsidR="00641A48">
        <w:t>,</w:t>
      </w:r>
      <w:r w:rsidR="00744262">
        <w:t xml:space="preserve"> avoid unnecessar</w:t>
      </w:r>
      <w:r w:rsidR="00641A48">
        <w:t>il</w:t>
      </w:r>
      <w:r w:rsidR="00744262">
        <w:t xml:space="preserve">y </w:t>
      </w:r>
      <w:r w:rsidR="00E177E9">
        <w:t>broad</w:t>
      </w:r>
      <w:r w:rsidR="00744262">
        <w:t xml:space="preserve"> </w:t>
      </w:r>
      <w:r w:rsidR="009F4516">
        <w:t>list of</w:t>
      </w:r>
      <w:r w:rsidR="00641A48">
        <w:t xml:space="preserve"> </w:t>
      </w:r>
      <w:r w:rsidR="00744262">
        <w:t xml:space="preserve">criteria </w:t>
      </w:r>
      <w:r w:rsidR="00641A48">
        <w:t xml:space="preserve">which </w:t>
      </w:r>
      <w:r w:rsidR="00744262">
        <w:t xml:space="preserve">would </w:t>
      </w:r>
      <w:r w:rsidR="00641A48">
        <w:t xml:space="preserve">create cumbersome processes and </w:t>
      </w:r>
      <w:r w:rsidR="00744262">
        <w:t xml:space="preserve">distract the CCP focus from </w:t>
      </w:r>
      <w:r w:rsidR="00641A48">
        <w:t xml:space="preserve">its </w:t>
      </w:r>
      <w:r w:rsidR="00744262">
        <w:t>core mandate</w:t>
      </w:r>
      <w:r w:rsidR="005E2AA1" w:rsidRPr="005E2AA1">
        <w:rPr>
          <w:b/>
          <w:bCs/>
        </w:rPr>
        <w:t>.</w:t>
      </w:r>
    </w:p>
    <w:p w14:paraId="53E3699C" w14:textId="56575625" w:rsidR="00C277DC" w:rsidRDefault="00C277DC" w:rsidP="00A42951">
      <w:pPr>
        <w:jc w:val="both"/>
      </w:pPr>
    </w:p>
    <w:p w14:paraId="6F90A66D" w14:textId="72124F01" w:rsidR="00C277DC" w:rsidRDefault="00BC4A92" w:rsidP="00A42951">
      <w:pPr>
        <w:jc w:val="both"/>
      </w:pPr>
      <w:r>
        <w:t xml:space="preserve">Third, our final comments relate </w:t>
      </w:r>
      <w:r w:rsidR="00C277DC">
        <w:t xml:space="preserve">to the proposed processes for consulting the college under both procedures. </w:t>
      </w:r>
      <w:r w:rsidR="00F103BD">
        <w:t xml:space="preserve">We would recommend </w:t>
      </w:r>
      <w:r w:rsidR="00C277DC">
        <w:t xml:space="preserve">clear </w:t>
      </w:r>
      <w:r w:rsidR="00F670F8">
        <w:t xml:space="preserve">and </w:t>
      </w:r>
      <w:r w:rsidR="00F103BD">
        <w:t>efficient</w:t>
      </w:r>
      <w:r w:rsidR="00F670F8">
        <w:t xml:space="preserve"> </w:t>
      </w:r>
      <w:r w:rsidR="00C277DC">
        <w:t>timeline</w:t>
      </w:r>
      <w:r>
        <w:t>s</w:t>
      </w:r>
      <w:r w:rsidR="00C277DC">
        <w:t xml:space="preserve"> for the process to decide whether an Art. 15 or </w:t>
      </w:r>
      <w:r w:rsidR="00220511">
        <w:t>49</w:t>
      </w:r>
      <w:r w:rsidR="00C277DC">
        <w:t xml:space="preserve"> </w:t>
      </w:r>
      <w:r w:rsidR="007F464C">
        <w:t xml:space="preserve">EMIR </w:t>
      </w:r>
      <w:r w:rsidR="00C277DC">
        <w:t>procedure is triggered</w:t>
      </w:r>
      <w:r w:rsidR="00641A48">
        <w:t>,</w:t>
      </w:r>
      <w:r>
        <w:t xml:space="preserve"> but also for the following procedures </w:t>
      </w:r>
      <w:r w:rsidR="00641A48">
        <w:t xml:space="preserve">under Art. 15 and 49 </w:t>
      </w:r>
      <w:r w:rsidR="007F464C">
        <w:t xml:space="preserve">EMIR </w:t>
      </w:r>
      <w:r>
        <w:t>themselves</w:t>
      </w:r>
      <w:r w:rsidR="00F103BD">
        <w:t>. Limiting the amount of time necessary for launc</w:t>
      </w:r>
      <w:r w:rsidR="00641A48">
        <w:t>h</w:t>
      </w:r>
      <w:r w:rsidR="00F103BD">
        <w:t xml:space="preserve">ing new </w:t>
      </w:r>
      <w:r w:rsidR="00641A48">
        <w:t>services</w:t>
      </w:r>
      <w:r w:rsidR="00F103BD">
        <w:t xml:space="preserve"> is key to spur innovation and competition within the EU, but also on global markets where </w:t>
      </w:r>
      <w:r w:rsidR="00641A48">
        <w:t>EU CCPs</w:t>
      </w:r>
      <w:r w:rsidR="00F103BD">
        <w:t xml:space="preserve"> </w:t>
      </w:r>
      <w:proofErr w:type="gramStart"/>
      <w:r w:rsidR="00F103BD">
        <w:t>enter into</w:t>
      </w:r>
      <w:proofErr w:type="gramEnd"/>
      <w:r w:rsidR="00F103BD">
        <w:t xml:space="preserve"> competition with </w:t>
      </w:r>
      <w:r w:rsidR="00641A48">
        <w:t xml:space="preserve">CCPs from </w:t>
      </w:r>
      <w:r w:rsidR="00F103BD">
        <w:t>other jurisdictions which may benefit from faster processes. We beli</w:t>
      </w:r>
      <w:r w:rsidR="00641A48">
        <w:t>e</w:t>
      </w:r>
      <w:r w:rsidR="00F103BD">
        <w:t>ve this time factor to be even more crucial for the Art.</w:t>
      </w:r>
      <w:r w:rsidR="009B13A0">
        <w:t xml:space="preserve"> </w:t>
      </w:r>
      <w:r w:rsidR="00F103BD">
        <w:t>49</w:t>
      </w:r>
      <w:r w:rsidR="007F464C">
        <w:t xml:space="preserve"> EMIR</w:t>
      </w:r>
      <w:r w:rsidR="00F103BD">
        <w:t xml:space="preserve"> procedure where CCPs need to be able to react quickly to ensure proper risk management</w:t>
      </w:r>
      <w:r w:rsidR="00641A48">
        <w:t>,</w:t>
      </w:r>
      <w:r w:rsidR="00F103BD">
        <w:t xml:space="preserve"> especially in times of crisis. We also </w:t>
      </w:r>
      <w:r w:rsidR="00641A48">
        <w:t xml:space="preserve">recommend </w:t>
      </w:r>
      <w:r w:rsidR="00C277DC">
        <w:t xml:space="preserve">a clarification </w:t>
      </w:r>
      <w:r w:rsidR="00F103BD">
        <w:t xml:space="preserve">of </w:t>
      </w:r>
      <w:r w:rsidR="00C277DC">
        <w:t xml:space="preserve">how NCAs shall consider </w:t>
      </w:r>
      <w:r w:rsidR="00641A48">
        <w:t xml:space="preserve">the </w:t>
      </w:r>
      <w:r w:rsidR="00C277DC">
        <w:t>views express</w:t>
      </w:r>
      <w:r w:rsidR="001D6AF5">
        <w:t>ed</w:t>
      </w:r>
      <w:r w:rsidR="00C277DC">
        <w:t xml:space="preserve"> by the College members</w:t>
      </w:r>
      <w:r w:rsidR="00F103BD">
        <w:t xml:space="preserve">, how the CCP shall notify any changes </w:t>
      </w:r>
      <w:r w:rsidR="001D6AF5">
        <w:t xml:space="preserve">to the NCA </w:t>
      </w:r>
      <w:r w:rsidR="00F103BD">
        <w:t xml:space="preserve">and </w:t>
      </w:r>
      <w:r w:rsidR="00AF0052">
        <w:t xml:space="preserve">that the NCA’s final assessment </w:t>
      </w:r>
      <w:r w:rsidR="00F103BD">
        <w:t>is</w:t>
      </w:r>
      <w:r w:rsidR="00AF0052">
        <w:t xml:space="preserve"> decisive</w:t>
      </w:r>
      <w:r w:rsidR="00F103BD">
        <w:t xml:space="preserve"> be also included the RTS</w:t>
      </w:r>
      <w:r w:rsidR="00AF0052">
        <w:t>.</w:t>
      </w:r>
      <w:r w:rsidR="00220511">
        <w:t xml:space="preserve"> </w:t>
      </w:r>
    </w:p>
    <w:p w14:paraId="31647ED2" w14:textId="77777777" w:rsidR="00203BA2" w:rsidRDefault="00203BA2" w:rsidP="00A42951">
      <w:pPr>
        <w:jc w:val="both"/>
      </w:pPr>
    </w:p>
    <w:p w14:paraId="5AFBDA21" w14:textId="0A043568" w:rsidR="00CC6512" w:rsidRDefault="00B04E6E" w:rsidP="00CC6512">
      <w:pPr>
        <w:jc w:val="both"/>
      </w:pPr>
      <w:r w:rsidRPr="00B04E6E">
        <w:t xml:space="preserve">We trust that our comments </w:t>
      </w:r>
      <w:proofErr w:type="gramStart"/>
      <w:r w:rsidRPr="00B04E6E">
        <w:t>are seen as</w:t>
      </w:r>
      <w:proofErr w:type="gramEnd"/>
      <w:r w:rsidRPr="00B04E6E">
        <w:t xml:space="preserve"> a useful contribution and remain at the disposal of ESMA for any questions and additional feedback</w:t>
      </w:r>
    </w:p>
    <w:permEnd w:id="1102206392"/>
    <w:p w14:paraId="3D4FCD4C" w14:textId="77777777" w:rsidR="00CC6512" w:rsidRDefault="00CC6512">
      <w:r>
        <w:lastRenderedPageBreak/>
        <w:br w:type="page"/>
      </w:r>
    </w:p>
    <w:p w14:paraId="68F63540" w14:textId="170887D6" w:rsidR="00B327E9" w:rsidRPr="00BF28DA" w:rsidRDefault="00B327E9" w:rsidP="00B327E9">
      <w:r w:rsidRPr="00BF28DA">
        <w:lastRenderedPageBreak/>
        <w:t>&lt;ESMA_COMMENT_</w:t>
      </w:r>
      <w:r w:rsidR="00106124">
        <w:rPr>
          <w:rFonts w:cs="Arial"/>
        </w:rPr>
        <w:t>RTS1549</w:t>
      </w:r>
      <w:r w:rsidR="000A58BE">
        <w:t>_</w:t>
      </w:r>
      <w:r w:rsidRPr="00BF28DA">
        <w:t>1&gt;</w:t>
      </w:r>
    </w:p>
    <w:p w14:paraId="7C286AFD" w14:textId="3C019024" w:rsidR="00CC49EE" w:rsidRDefault="00CC49EE" w:rsidP="00C277DC">
      <w:pPr>
        <w:pStyle w:val="Questionstyle"/>
        <w:numPr>
          <w:ilvl w:val="0"/>
          <w:numId w:val="0"/>
        </w:numPr>
      </w:pPr>
    </w:p>
    <w:p w14:paraId="3DA34BF6" w14:textId="7C0E32FE" w:rsidR="00106124" w:rsidRDefault="00106124" w:rsidP="00BD2D8E">
      <w:pPr>
        <w:pStyle w:val="Questionstyle"/>
        <w:numPr>
          <w:ilvl w:val="0"/>
          <w:numId w:val="38"/>
        </w:numPr>
      </w:pPr>
      <w:r w:rsidRPr="00106124">
        <w:t xml:space="preserve"> Do you agree with ESMA’s proposed approach to divide conditions under which additional services or activities to which a CCP wishes to extend its business are not covered by the initial authorisation (under Article 15 of EMIR) into criteria, which would be subject to a more simplified college consultation procedure, and into  indicators, which would be subject to a more extensive college consultation procedure, or would you propose a different approach? Please provide reasons for your answer.</w:t>
      </w:r>
    </w:p>
    <w:p w14:paraId="703009F9" w14:textId="6324A8BC" w:rsidR="00CD3899" w:rsidRDefault="00CD3899" w:rsidP="00CD3899">
      <w:pPr>
        <w:rPr>
          <w:lang w:eastAsia="en-US"/>
        </w:rPr>
      </w:pPr>
      <w:r>
        <w:rPr>
          <w:lang w:eastAsia="en-US"/>
        </w:rPr>
        <w:t>&lt;ESMA_QUESTION_</w:t>
      </w:r>
      <w:r w:rsidR="00106124">
        <w:rPr>
          <w:lang w:eastAsia="en-US"/>
        </w:rPr>
        <w:t>RTS1549</w:t>
      </w:r>
      <w:r>
        <w:rPr>
          <w:lang w:eastAsia="en-US"/>
        </w:rPr>
        <w:t>_1&gt;</w:t>
      </w:r>
    </w:p>
    <w:p w14:paraId="08EACF17" w14:textId="3831CA5F" w:rsidR="00744262" w:rsidRPr="00BD2D8E" w:rsidRDefault="00BD2D8E" w:rsidP="00BD2D8E">
      <w:pPr>
        <w:pStyle w:val="Listenabsatz"/>
        <w:numPr>
          <w:ilvl w:val="0"/>
          <w:numId w:val="39"/>
        </w:numPr>
        <w:rPr>
          <w:lang w:val="en-US"/>
        </w:rPr>
      </w:pPr>
      <w:permStart w:id="345967142" w:edGrp="everyone"/>
      <w:r w:rsidRPr="00BD2D8E">
        <w:rPr>
          <w:lang w:val="en-US"/>
        </w:rPr>
        <w:t xml:space="preserve">We fully support the overall aim of increasing coherence of supervisory practices. The application of Art. 15 </w:t>
      </w:r>
      <w:r w:rsidR="007F464C">
        <w:rPr>
          <w:lang w:val="en-US"/>
        </w:rPr>
        <w:t xml:space="preserve">EMIR </w:t>
      </w:r>
      <w:r w:rsidRPr="00BD2D8E">
        <w:rPr>
          <w:lang w:val="en-US"/>
        </w:rPr>
        <w:t xml:space="preserve">has shown to be an important part of this. Thus, the aim to clarify what should constitute an extension of services and what is not will be </w:t>
      </w:r>
      <w:r w:rsidR="009F4516">
        <w:rPr>
          <w:lang w:val="en-US"/>
        </w:rPr>
        <w:t xml:space="preserve">key to </w:t>
      </w:r>
      <w:r w:rsidRPr="00BD2D8E">
        <w:rPr>
          <w:lang w:val="en-US"/>
        </w:rPr>
        <w:t>achieving this aim. As such</w:t>
      </w:r>
      <w:r w:rsidR="009F4516">
        <w:rPr>
          <w:lang w:val="en-US"/>
        </w:rPr>
        <w:t>,</w:t>
      </w:r>
      <w:r w:rsidRPr="00BD2D8E">
        <w:rPr>
          <w:lang w:val="en-US"/>
        </w:rPr>
        <w:t xml:space="preserve"> we welcome ESMA</w:t>
      </w:r>
      <w:r w:rsidR="008A06C5">
        <w:rPr>
          <w:lang w:val="en-US"/>
        </w:rPr>
        <w:t>’</w:t>
      </w:r>
      <w:r w:rsidRPr="00BD2D8E">
        <w:rPr>
          <w:lang w:val="en-US"/>
        </w:rPr>
        <w:t xml:space="preserve">s efforts in this direction. </w:t>
      </w:r>
    </w:p>
    <w:p w14:paraId="73E72D5F" w14:textId="7C52B74B" w:rsidR="002C7E6F" w:rsidRPr="00F9109C" w:rsidRDefault="00BD2D8E" w:rsidP="00F9109C">
      <w:pPr>
        <w:pStyle w:val="Listenabsatz"/>
        <w:numPr>
          <w:ilvl w:val="0"/>
          <w:numId w:val="39"/>
        </w:numPr>
        <w:rPr>
          <w:lang w:val="en-US"/>
        </w:rPr>
      </w:pPr>
      <w:r w:rsidRPr="00DD01AE">
        <w:rPr>
          <w:lang w:val="en-US"/>
        </w:rPr>
        <w:t xml:space="preserve">Art. 15 </w:t>
      </w:r>
      <w:r w:rsidR="007F464C">
        <w:rPr>
          <w:lang w:val="en-US"/>
        </w:rPr>
        <w:t xml:space="preserve">EMIR </w:t>
      </w:r>
      <w:r w:rsidRPr="00DD01AE">
        <w:rPr>
          <w:lang w:val="en-US"/>
        </w:rPr>
        <w:t xml:space="preserve">addresses the situation where a CCP wishes to extend its business to additional services or activities not covered by the </w:t>
      </w:r>
      <w:r w:rsidRPr="00744262">
        <w:rPr>
          <w:lang w:val="en-US"/>
        </w:rPr>
        <w:t>initial authorization. As a correct understanding of the scope of a CCP’s authorization under EMIR</w:t>
      </w:r>
      <w:r w:rsidR="00744262">
        <w:rPr>
          <w:lang w:val="en-US"/>
        </w:rPr>
        <w:t xml:space="preserve"> </w:t>
      </w:r>
      <w:r w:rsidRPr="00DD01AE">
        <w:rPr>
          <w:lang w:val="en-US"/>
        </w:rPr>
        <w:t xml:space="preserve">is essential to </w:t>
      </w:r>
      <w:r w:rsidR="008A06C5">
        <w:rPr>
          <w:lang w:val="en-US"/>
        </w:rPr>
        <w:t xml:space="preserve">ensure </w:t>
      </w:r>
      <w:r w:rsidRPr="00DD01AE">
        <w:rPr>
          <w:lang w:val="en-US"/>
        </w:rPr>
        <w:t>compliance with EMIR and the described regulatory processes,</w:t>
      </w:r>
      <w:r w:rsidR="00744262">
        <w:rPr>
          <w:lang w:val="en-US"/>
        </w:rPr>
        <w:t xml:space="preserve"> </w:t>
      </w:r>
      <w:r w:rsidRPr="00DD01AE">
        <w:rPr>
          <w:lang w:val="en-US"/>
        </w:rPr>
        <w:t>the scope of such authorization needs to be defin</w:t>
      </w:r>
      <w:r w:rsidR="008A06C5">
        <w:rPr>
          <w:lang w:val="en-US"/>
        </w:rPr>
        <w:t xml:space="preserve">ed </w:t>
      </w:r>
      <w:r w:rsidRPr="00DD01AE">
        <w:rPr>
          <w:lang w:val="en-US"/>
        </w:rPr>
        <w:t>as eas</w:t>
      </w:r>
      <w:r w:rsidR="008A06C5">
        <w:rPr>
          <w:lang w:val="en-US"/>
        </w:rPr>
        <w:t>il</w:t>
      </w:r>
      <w:r w:rsidRPr="00DD01AE">
        <w:rPr>
          <w:lang w:val="en-US"/>
        </w:rPr>
        <w:t>y and clear</w:t>
      </w:r>
      <w:r w:rsidR="008A06C5">
        <w:rPr>
          <w:lang w:val="en-US"/>
        </w:rPr>
        <w:t>ly</w:t>
      </w:r>
      <w:r w:rsidRPr="00DD01AE">
        <w:rPr>
          <w:lang w:val="en-US"/>
        </w:rPr>
        <w:t xml:space="preserve"> as possible. Against th</w:t>
      </w:r>
      <w:r w:rsidR="001A729C">
        <w:rPr>
          <w:lang w:val="en-US"/>
        </w:rPr>
        <w:t>is</w:t>
      </w:r>
      <w:r w:rsidRPr="00DD01AE">
        <w:rPr>
          <w:lang w:val="en-US"/>
        </w:rPr>
        <w:t xml:space="preserve"> background</w:t>
      </w:r>
      <w:r w:rsidR="001A729C">
        <w:rPr>
          <w:lang w:val="en-US"/>
        </w:rPr>
        <w:t>,</w:t>
      </w:r>
      <w:r w:rsidRPr="00DD01AE">
        <w:rPr>
          <w:lang w:val="en-US"/>
        </w:rPr>
        <w:t xml:space="preserve"> it should be ensured that the criteria match the original legal purpose of Art. 15 being “</w:t>
      </w:r>
      <w:r w:rsidRPr="60E8DD6E">
        <w:rPr>
          <w:i/>
          <w:iCs/>
          <w:lang w:val="en-US"/>
        </w:rPr>
        <w:t>additional services or activities not covered by the initial authorization</w:t>
      </w:r>
      <w:r w:rsidRPr="00744262">
        <w:rPr>
          <w:lang w:val="en-US"/>
        </w:rPr>
        <w:t xml:space="preserve">”. From our point of view, </w:t>
      </w:r>
      <w:r w:rsidR="0067675C">
        <w:rPr>
          <w:lang w:val="en-US"/>
        </w:rPr>
        <w:t>it</w:t>
      </w:r>
      <w:r w:rsidRPr="00744262">
        <w:rPr>
          <w:lang w:val="en-US"/>
        </w:rPr>
        <w:t xml:space="preserve"> </w:t>
      </w:r>
      <w:r w:rsidR="0067675C">
        <w:rPr>
          <w:lang w:val="en-US"/>
        </w:rPr>
        <w:t xml:space="preserve">is </w:t>
      </w:r>
      <w:r w:rsidR="009B13A0">
        <w:rPr>
          <w:lang w:val="en-US"/>
        </w:rPr>
        <w:t>important to clarify in the RTS that Art.</w:t>
      </w:r>
      <w:r w:rsidR="00207F7A">
        <w:rPr>
          <w:lang w:val="en-US"/>
        </w:rPr>
        <w:t xml:space="preserve"> </w:t>
      </w:r>
      <w:r w:rsidR="009B13A0">
        <w:rPr>
          <w:lang w:val="en-US"/>
        </w:rPr>
        <w:t xml:space="preserve">15 </w:t>
      </w:r>
      <w:r w:rsidR="007F464C">
        <w:rPr>
          <w:lang w:val="en-US"/>
        </w:rPr>
        <w:t xml:space="preserve">EMIR </w:t>
      </w:r>
      <w:r w:rsidR="009B13A0">
        <w:rPr>
          <w:lang w:val="en-US"/>
        </w:rPr>
        <w:t>can only be launched for a new activity</w:t>
      </w:r>
      <w:r w:rsidR="00517B8A">
        <w:rPr>
          <w:lang w:val="en-US"/>
        </w:rPr>
        <w:t xml:space="preserve"> or </w:t>
      </w:r>
      <w:r w:rsidR="009B13A0">
        <w:rPr>
          <w:lang w:val="en-US"/>
        </w:rPr>
        <w:t>service</w:t>
      </w:r>
      <w:r w:rsidR="00517B8A">
        <w:rPr>
          <w:lang w:val="en-US"/>
        </w:rPr>
        <w:t xml:space="preserve"> not covered </w:t>
      </w:r>
      <w:r w:rsidR="009B13A0">
        <w:rPr>
          <w:lang w:val="en-US"/>
        </w:rPr>
        <w:t>in</w:t>
      </w:r>
      <w:r w:rsidR="00517B8A">
        <w:rPr>
          <w:lang w:val="en-US"/>
        </w:rPr>
        <w:t xml:space="preserve"> the existing </w:t>
      </w:r>
      <w:r w:rsidR="009B13A0">
        <w:rPr>
          <w:lang w:val="en-US"/>
        </w:rPr>
        <w:t>authorization, be it active or not.</w:t>
      </w:r>
    </w:p>
    <w:p w14:paraId="7792FEF9" w14:textId="4C31119E" w:rsidR="002C7E6F" w:rsidRPr="00BD2D8E" w:rsidRDefault="009A53DA" w:rsidP="00BD2D8E">
      <w:pPr>
        <w:pStyle w:val="Listenabsatz"/>
        <w:numPr>
          <w:ilvl w:val="0"/>
          <w:numId w:val="39"/>
        </w:numPr>
        <w:rPr>
          <w:lang w:val="en-US"/>
        </w:rPr>
      </w:pPr>
      <w:r>
        <w:rPr>
          <w:lang w:val="en-US"/>
        </w:rPr>
        <w:t>I</w:t>
      </w:r>
      <w:r w:rsidR="002C7E6F" w:rsidRPr="00BD2D8E">
        <w:rPr>
          <w:lang w:val="en-US"/>
        </w:rPr>
        <w:t>n principle, th</w:t>
      </w:r>
      <w:r>
        <w:rPr>
          <w:lang w:val="en-US"/>
        </w:rPr>
        <w:t>e</w:t>
      </w:r>
      <w:r w:rsidR="002C7E6F" w:rsidRPr="00BD2D8E">
        <w:rPr>
          <w:lang w:val="en-US"/>
        </w:rPr>
        <w:t xml:space="preserve"> </w:t>
      </w:r>
      <w:r w:rsidR="00611058">
        <w:rPr>
          <w:lang w:val="en-US"/>
        </w:rPr>
        <w:t>two-step</w:t>
      </w:r>
      <w:r w:rsidR="001A729C">
        <w:rPr>
          <w:lang w:val="en-US"/>
        </w:rPr>
        <w:t xml:space="preserve"> </w:t>
      </w:r>
      <w:r w:rsidR="002C7E6F" w:rsidRPr="00BD2D8E">
        <w:rPr>
          <w:lang w:val="en-US"/>
        </w:rPr>
        <w:t xml:space="preserve">approach </w:t>
      </w:r>
      <w:r>
        <w:rPr>
          <w:lang w:val="en-US"/>
        </w:rPr>
        <w:t xml:space="preserve">suggested in the consultation paper </w:t>
      </w:r>
      <w:r w:rsidR="002C7E6F" w:rsidRPr="00BD2D8E">
        <w:rPr>
          <w:lang w:val="en-US"/>
        </w:rPr>
        <w:t xml:space="preserve">makes sense. However, since the presence of a criterion automatically triggers a procedure under Art. 15 EMIR without any room for further differentiation based on the materiality of the case at hand, it should be made sure that the list of criteria is rather narrow and only covers criteria where it is evident that their presence gives rise to such risks that make it necessary to address these risks in an Art. 15 EMIR procedure. </w:t>
      </w:r>
      <w:bookmarkStart w:id="2" w:name="_Hlk55320857"/>
      <w:r w:rsidR="00C31A5A" w:rsidRPr="00BD2D8E">
        <w:rPr>
          <w:lang w:val="en-US"/>
        </w:rPr>
        <w:t xml:space="preserve">This is only the case where a CCP intends to offer a service or perform an activity that comes with such material risks for the CCP so that </w:t>
      </w:r>
      <w:r w:rsidR="00A64422" w:rsidRPr="00BD2D8E">
        <w:rPr>
          <w:lang w:val="en-US"/>
        </w:rPr>
        <w:t xml:space="preserve">a formal license extension procedure under Art. 15 EMIR is the </w:t>
      </w:r>
      <w:r w:rsidR="00A64422" w:rsidRPr="0AC6CB7A">
        <w:rPr>
          <w:i/>
          <w:iCs/>
          <w:lang w:val="en-US"/>
        </w:rPr>
        <w:t>only</w:t>
      </w:r>
      <w:r w:rsidR="00A64422" w:rsidRPr="00BD2D8E">
        <w:rPr>
          <w:lang w:val="en-US"/>
        </w:rPr>
        <w:t xml:space="preserve"> suitable option to ensure that the intended service or activity does not diminish the requirement that the CCP is “safe and sound” (cf. recital 49 of EMIR)</w:t>
      </w:r>
      <w:r w:rsidR="00C31A5A" w:rsidRPr="00BD2D8E">
        <w:rPr>
          <w:lang w:val="en-US"/>
        </w:rPr>
        <w:t>.</w:t>
      </w:r>
      <w:bookmarkEnd w:id="2"/>
    </w:p>
    <w:permEnd w:id="345967142"/>
    <w:p w14:paraId="369DF23F" w14:textId="54D76AE5" w:rsidR="00CD3899" w:rsidRPr="002C7E6F" w:rsidRDefault="00CD3899" w:rsidP="00CD3899">
      <w:pPr>
        <w:rPr>
          <w:lang w:val="en-US" w:eastAsia="en-US"/>
        </w:rPr>
      </w:pPr>
      <w:r w:rsidRPr="002C7E6F">
        <w:rPr>
          <w:lang w:val="en-US" w:eastAsia="en-US"/>
        </w:rPr>
        <w:t>&lt;ESMA_QUESTION_</w:t>
      </w:r>
      <w:r w:rsidR="00106124" w:rsidRPr="002C7E6F">
        <w:rPr>
          <w:lang w:val="en-US" w:eastAsia="en-US"/>
        </w:rPr>
        <w:t>RTS1549</w:t>
      </w:r>
      <w:r w:rsidRPr="002C7E6F">
        <w:rPr>
          <w:lang w:val="en-US" w:eastAsia="en-US"/>
        </w:rPr>
        <w:t>_1&gt;</w:t>
      </w:r>
    </w:p>
    <w:p w14:paraId="64631B8C" w14:textId="77777777" w:rsidR="00014A67" w:rsidRPr="002C7E6F" w:rsidRDefault="00014A67" w:rsidP="00014A67">
      <w:pPr>
        <w:rPr>
          <w:lang w:val="en-US" w:eastAsia="en-US"/>
        </w:rPr>
      </w:pPr>
    </w:p>
    <w:p w14:paraId="54760369" w14:textId="680AB545" w:rsidR="00106124" w:rsidRPr="00106124" w:rsidRDefault="00106124" w:rsidP="00177C6B">
      <w:pPr>
        <w:pStyle w:val="Questionstyle"/>
      </w:pPr>
      <w:bookmarkStart w:id="3" w:name="_Hlk35514199"/>
      <w:r w:rsidRPr="00106124">
        <w:t>Do you agree with ESMA’s proposed list of criteria for an extension of authorisation (under Article 15 of EMIR) or would you propose to change/add/delete any of the criteria or specify certain criteria further? Please provide reasons for your answer.</w:t>
      </w:r>
    </w:p>
    <w:p w14:paraId="220149A7" w14:textId="0876F860" w:rsidR="00CC38E9" w:rsidRDefault="00CC38E9" w:rsidP="00CC38E9">
      <w:r>
        <w:t>&lt;ESMA_</w:t>
      </w:r>
      <w:r w:rsidR="00C93A9C">
        <w:t>QUESTION_</w:t>
      </w:r>
      <w:r w:rsidR="00106124">
        <w:t>RTS1549</w:t>
      </w:r>
      <w:r w:rsidR="00C93A9C">
        <w:t>_</w:t>
      </w:r>
      <w:r w:rsidR="00CD3899">
        <w:t>2</w:t>
      </w:r>
      <w:r>
        <w:t>&gt;</w:t>
      </w:r>
    </w:p>
    <w:p w14:paraId="7219D0AA" w14:textId="720AD670" w:rsidR="00207F7A" w:rsidRDefault="00207F7A" w:rsidP="00566394">
      <w:pPr>
        <w:rPr>
          <w:lang w:val="en-US"/>
        </w:rPr>
      </w:pPr>
      <w:permStart w:id="422069272" w:edGrp="everyone"/>
      <w:r>
        <w:rPr>
          <w:lang w:val="en-US"/>
        </w:rPr>
        <w:t>In order the strike the right balance between appropriate supervisory oversight and efficient processes, we would recommend limiting the list of criteria to the new asset classes as outlined by ESMA and to new models of execution (ETD vs. OTC).</w:t>
      </w:r>
    </w:p>
    <w:p w14:paraId="35D772D2" w14:textId="77777777" w:rsidR="00207F7A" w:rsidRDefault="00207F7A" w:rsidP="00566394">
      <w:pPr>
        <w:rPr>
          <w:lang w:val="en-US"/>
        </w:rPr>
      </w:pPr>
    </w:p>
    <w:p w14:paraId="4F0981FE" w14:textId="1B8C9776" w:rsidR="00E16A31" w:rsidRPr="00F9109C" w:rsidRDefault="009A53DA" w:rsidP="00566394">
      <w:pPr>
        <w:rPr>
          <w:color w:val="000000" w:themeColor="text1"/>
          <w:lang w:val="en-US"/>
        </w:rPr>
      </w:pPr>
      <w:r w:rsidRPr="00F9109C">
        <w:rPr>
          <w:lang w:val="en-US"/>
        </w:rPr>
        <w:t xml:space="preserve">Referring to </w:t>
      </w:r>
      <w:r w:rsidRPr="00F9109C">
        <w:rPr>
          <w:color w:val="000000" w:themeColor="text1"/>
          <w:lang w:val="en-US"/>
        </w:rPr>
        <w:t xml:space="preserve">the proposed </w:t>
      </w:r>
      <w:r w:rsidR="00811C0A">
        <w:rPr>
          <w:color w:val="000000" w:themeColor="text1"/>
          <w:lang w:val="en-US"/>
        </w:rPr>
        <w:t>RTS</w:t>
      </w:r>
      <w:r w:rsidR="001A729C">
        <w:rPr>
          <w:color w:val="000000" w:themeColor="text1"/>
          <w:lang w:val="en-US"/>
        </w:rPr>
        <w:t>,</w:t>
      </w:r>
      <w:r w:rsidRPr="00F9109C">
        <w:rPr>
          <w:color w:val="000000" w:themeColor="text1"/>
          <w:lang w:val="en-US"/>
        </w:rPr>
        <w:t xml:space="preserve"> we want to highlight the following points: </w:t>
      </w:r>
    </w:p>
    <w:p w14:paraId="2AA69FCA" w14:textId="59A95870" w:rsidR="00E16A31" w:rsidRPr="00F9109C" w:rsidRDefault="00E16A31" w:rsidP="00F9109C">
      <w:pPr>
        <w:pStyle w:val="Listenabsatz"/>
        <w:numPr>
          <w:ilvl w:val="0"/>
          <w:numId w:val="47"/>
        </w:numPr>
        <w:rPr>
          <w:color w:val="000000" w:themeColor="text1"/>
          <w:lang w:val="en-US"/>
        </w:rPr>
      </w:pPr>
      <w:r w:rsidRPr="00F9109C">
        <w:rPr>
          <w:color w:val="000000" w:themeColor="text1"/>
          <w:lang w:val="en-US"/>
        </w:rPr>
        <w:t>Re</w:t>
      </w:r>
      <w:r w:rsidR="009A53DA" w:rsidRPr="00F9109C">
        <w:rPr>
          <w:color w:val="000000" w:themeColor="text1"/>
          <w:lang w:val="en-US"/>
        </w:rPr>
        <w:t>.</w:t>
      </w:r>
      <w:r w:rsidRPr="00F9109C">
        <w:rPr>
          <w:color w:val="000000" w:themeColor="text1"/>
          <w:lang w:val="en-US"/>
        </w:rPr>
        <w:t xml:space="preserve"> Art. 2 (a) and (b)</w:t>
      </w:r>
      <w:r w:rsidR="1D6FF1C7" w:rsidRPr="00F9109C">
        <w:rPr>
          <w:color w:val="000000" w:themeColor="text1"/>
          <w:lang w:val="en-US"/>
        </w:rPr>
        <w:t xml:space="preserve"> - </w:t>
      </w:r>
      <w:r w:rsidR="07BEF665" w:rsidRPr="00F9109C">
        <w:rPr>
          <w:color w:val="000000" w:themeColor="text1"/>
          <w:lang w:val="en-US"/>
        </w:rPr>
        <w:t>In</w:t>
      </w:r>
      <w:r w:rsidR="0CE83E33" w:rsidRPr="00F9109C">
        <w:rPr>
          <w:color w:val="000000" w:themeColor="text1"/>
          <w:lang w:val="en-US"/>
        </w:rPr>
        <w:t>tention to offer</w:t>
      </w:r>
      <w:r w:rsidR="6613CEFE" w:rsidRPr="00F9109C">
        <w:rPr>
          <w:color w:val="000000" w:themeColor="text1"/>
          <w:lang w:val="en-US"/>
        </w:rPr>
        <w:t xml:space="preserve"> a new category of financial </w:t>
      </w:r>
      <w:r w:rsidR="050988CC" w:rsidRPr="00F9109C">
        <w:rPr>
          <w:color w:val="000000" w:themeColor="text1"/>
          <w:lang w:val="en-US"/>
        </w:rPr>
        <w:t>instruments</w:t>
      </w:r>
      <w:r w:rsidR="00AE1F05">
        <w:rPr>
          <w:color w:val="000000" w:themeColor="text1"/>
          <w:lang w:val="en-US"/>
        </w:rPr>
        <w:t xml:space="preserve"> or a new type of execution</w:t>
      </w:r>
      <w:r w:rsidRPr="00F9109C">
        <w:rPr>
          <w:color w:val="000000" w:themeColor="text1"/>
          <w:lang w:val="en-US"/>
        </w:rPr>
        <w:t>: We agree with the proposal. Both points appear to be in line with established practice of requiring Art. 15 EMIR when extending to new asset classes or model</w:t>
      </w:r>
      <w:r w:rsidR="009E055B">
        <w:rPr>
          <w:color w:val="000000" w:themeColor="text1"/>
          <w:lang w:val="en-US"/>
        </w:rPr>
        <w:t>s</w:t>
      </w:r>
      <w:r w:rsidRPr="00F9109C">
        <w:rPr>
          <w:color w:val="000000" w:themeColor="text1"/>
          <w:lang w:val="en-US"/>
        </w:rPr>
        <w:t xml:space="preserve"> of execution</w:t>
      </w:r>
      <w:r w:rsidR="009C4F22">
        <w:rPr>
          <w:color w:val="000000" w:themeColor="text1"/>
          <w:lang w:val="en-US"/>
        </w:rPr>
        <w:t xml:space="preserve"> (ETD vs. OTC)</w:t>
      </w:r>
      <w:r w:rsidR="00517B8A">
        <w:rPr>
          <w:color w:val="000000" w:themeColor="text1"/>
          <w:lang w:val="en-US"/>
        </w:rPr>
        <w:t xml:space="preserve"> where the CCP is not already licensed to provide these services</w:t>
      </w:r>
      <w:r w:rsidRPr="00F9109C">
        <w:rPr>
          <w:color w:val="000000" w:themeColor="text1"/>
          <w:lang w:val="en-US"/>
        </w:rPr>
        <w:t>.</w:t>
      </w:r>
    </w:p>
    <w:p w14:paraId="0CEFEB41" w14:textId="77777777" w:rsidR="00DD01AE" w:rsidRPr="00F9109C" w:rsidRDefault="00DD01AE" w:rsidP="00F9109C">
      <w:pPr>
        <w:pStyle w:val="Listenabsatz"/>
        <w:rPr>
          <w:color w:val="000000" w:themeColor="text1"/>
        </w:rPr>
      </w:pPr>
    </w:p>
    <w:p w14:paraId="54D95248" w14:textId="2077D0CD" w:rsidR="009A53DA" w:rsidRPr="00F9109C" w:rsidRDefault="009A53DA" w:rsidP="00F9109C">
      <w:pPr>
        <w:pStyle w:val="Listenabsatz"/>
        <w:numPr>
          <w:ilvl w:val="0"/>
          <w:numId w:val="47"/>
        </w:numPr>
        <w:rPr>
          <w:color w:val="000000" w:themeColor="text1"/>
        </w:rPr>
      </w:pPr>
      <w:r w:rsidRPr="00F9109C">
        <w:rPr>
          <w:color w:val="000000" w:themeColor="text1"/>
          <w:lang w:val="en-US"/>
        </w:rPr>
        <w:t>Re. Art. 2 (c) </w:t>
      </w:r>
      <w:r w:rsidR="4172FEE1" w:rsidRPr="00F9109C">
        <w:rPr>
          <w:color w:val="000000" w:themeColor="text1"/>
          <w:lang w:val="en-US"/>
        </w:rPr>
        <w:t xml:space="preserve">- </w:t>
      </w:r>
      <w:r w:rsidR="5CB1B0D6" w:rsidRPr="00F9109C">
        <w:rPr>
          <w:color w:val="000000" w:themeColor="text1"/>
          <w:lang w:val="en-US"/>
        </w:rPr>
        <w:t>Intention to offer new settlement o</w:t>
      </w:r>
      <w:r w:rsidR="721AB665" w:rsidRPr="00F9109C">
        <w:rPr>
          <w:color w:val="000000" w:themeColor="text1"/>
          <w:lang w:val="en-US"/>
        </w:rPr>
        <w:t>r delivery mechanism</w:t>
      </w:r>
      <w:r w:rsidRPr="00F9109C">
        <w:rPr>
          <w:color w:val="000000" w:themeColor="text1"/>
          <w:lang w:val="en-US"/>
        </w:rPr>
        <w:t xml:space="preserve">: </w:t>
      </w:r>
      <w:r w:rsidR="00AE1F05">
        <w:rPr>
          <w:color w:val="000000" w:themeColor="text1"/>
          <w:lang w:val="en-US"/>
        </w:rPr>
        <w:t>T</w:t>
      </w:r>
      <w:r w:rsidRPr="00F9109C">
        <w:rPr>
          <w:color w:val="000000" w:themeColor="text1"/>
          <w:lang w:val="en-US"/>
        </w:rPr>
        <w:t>his point should not be a criterion for the purposes of Art. 15 EMIR as not all new settlement or delivery mechanisms or links to securities settlement systems, CSDs or payment systems expose the CCP to new material risks</w:t>
      </w:r>
      <w:r w:rsidR="00757116">
        <w:rPr>
          <w:color w:val="000000" w:themeColor="text1"/>
          <w:lang w:val="en-US"/>
        </w:rPr>
        <w:t>.</w:t>
      </w:r>
      <w:r w:rsidRPr="00F9109C">
        <w:rPr>
          <w:color w:val="000000" w:themeColor="text1"/>
          <w:lang w:val="en-US"/>
        </w:rPr>
        <w:t xml:space="preserve"> </w:t>
      </w:r>
      <w:r w:rsidR="00757116">
        <w:rPr>
          <w:color w:val="000000" w:themeColor="text1"/>
          <w:lang w:val="en-US"/>
        </w:rPr>
        <w:t>Given the CCPs authorization is not limited with regards to changes in</w:t>
      </w:r>
      <w:r w:rsidR="00AE1F05">
        <w:rPr>
          <w:color w:val="000000" w:themeColor="text1"/>
          <w:lang w:val="en-US"/>
        </w:rPr>
        <w:t xml:space="preserve"> such</w:t>
      </w:r>
      <w:r w:rsidR="00757116">
        <w:rPr>
          <w:color w:val="000000" w:themeColor="text1"/>
          <w:lang w:val="en-US"/>
        </w:rPr>
        <w:t xml:space="preserve"> processes</w:t>
      </w:r>
      <w:r w:rsidR="00AE1F05">
        <w:rPr>
          <w:color w:val="000000" w:themeColor="text1"/>
          <w:lang w:val="en-US"/>
        </w:rPr>
        <w:t xml:space="preserve">, this </w:t>
      </w:r>
      <w:r w:rsidR="00757116">
        <w:rPr>
          <w:color w:val="000000" w:themeColor="text1"/>
          <w:lang w:val="en-US"/>
        </w:rPr>
        <w:lastRenderedPageBreak/>
        <w:t>should as such not be subject Art. 15 EMIR</w:t>
      </w:r>
      <w:r w:rsidR="00AE1F05">
        <w:rPr>
          <w:color w:val="000000" w:themeColor="text1"/>
          <w:lang w:val="en-US"/>
        </w:rPr>
        <w:t>.</w:t>
      </w:r>
      <w:r w:rsidR="00757116">
        <w:rPr>
          <w:color w:val="000000" w:themeColor="text1"/>
          <w:lang w:val="en-US"/>
        </w:rPr>
        <w:t xml:space="preserve"> </w:t>
      </w:r>
      <w:r w:rsidR="00AE1F05">
        <w:rPr>
          <w:color w:val="000000" w:themeColor="text1"/>
          <w:lang w:val="en-US"/>
        </w:rPr>
        <w:t>R</w:t>
      </w:r>
      <w:r w:rsidR="00757116">
        <w:rPr>
          <w:color w:val="000000" w:themeColor="text1"/>
          <w:lang w:val="en-US"/>
        </w:rPr>
        <w:t xml:space="preserve">elevant changes in this context </w:t>
      </w:r>
      <w:r w:rsidR="00517B8A">
        <w:t>should rather be captured by the Art</w:t>
      </w:r>
      <w:r w:rsidR="00757116">
        <w:t>.</w:t>
      </w:r>
      <w:r w:rsidR="00517B8A">
        <w:t xml:space="preserve"> 49 </w:t>
      </w:r>
      <w:r w:rsidR="00757116">
        <w:t xml:space="preserve">EMIR </w:t>
      </w:r>
      <w:r w:rsidR="00517B8A">
        <w:t>process.</w:t>
      </w:r>
    </w:p>
    <w:p w14:paraId="635205BE" w14:textId="77777777" w:rsidR="00DD01AE" w:rsidRPr="00A42951" w:rsidRDefault="00DD01AE" w:rsidP="00F9109C">
      <w:pPr>
        <w:pStyle w:val="Listenabsatz"/>
        <w:rPr>
          <w:color w:val="000000" w:themeColor="text1"/>
        </w:rPr>
      </w:pPr>
    </w:p>
    <w:p w14:paraId="0CFCC79A" w14:textId="77777777" w:rsidR="00AE1F05" w:rsidRPr="00AE1F05" w:rsidRDefault="00E16A31" w:rsidP="00F9109C">
      <w:pPr>
        <w:pStyle w:val="Listenabsatz"/>
        <w:numPr>
          <w:ilvl w:val="0"/>
          <w:numId w:val="47"/>
        </w:numPr>
        <w:rPr>
          <w:lang w:val="en-US"/>
        </w:rPr>
      </w:pPr>
      <w:r w:rsidRPr="00F9109C">
        <w:rPr>
          <w:color w:val="000000" w:themeColor="text1"/>
          <w:lang w:val="en-US"/>
        </w:rPr>
        <w:t>Re. Art. 2 (d)</w:t>
      </w:r>
      <w:r w:rsidR="76FC964C" w:rsidRPr="00F9109C">
        <w:rPr>
          <w:color w:val="000000" w:themeColor="text1"/>
          <w:lang w:val="en-US"/>
        </w:rPr>
        <w:t xml:space="preserve"> - Service or </w:t>
      </w:r>
      <w:r w:rsidR="00A36F65">
        <w:rPr>
          <w:color w:val="000000" w:themeColor="text1"/>
          <w:lang w:val="en-US"/>
        </w:rPr>
        <w:t>a</w:t>
      </w:r>
      <w:r w:rsidR="76FC964C" w:rsidRPr="00F9109C">
        <w:rPr>
          <w:color w:val="000000" w:themeColor="text1"/>
          <w:lang w:val="en-US"/>
        </w:rPr>
        <w:t>ctivity</w:t>
      </w:r>
      <w:r w:rsidR="7EFF88D5" w:rsidRPr="00F9109C">
        <w:rPr>
          <w:color w:val="000000" w:themeColor="text1"/>
          <w:lang w:val="en-US"/>
        </w:rPr>
        <w:t xml:space="preserve"> referencing a new currency</w:t>
      </w:r>
      <w:r w:rsidRPr="00F9109C">
        <w:rPr>
          <w:color w:val="000000" w:themeColor="text1"/>
          <w:lang w:val="en-US"/>
        </w:rPr>
        <w:t xml:space="preserve">: </w:t>
      </w:r>
    </w:p>
    <w:p w14:paraId="6B4637F6" w14:textId="7A3AC845" w:rsidR="00AE1F05" w:rsidRDefault="00AE1F05" w:rsidP="00AE1F05">
      <w:pPr>
        <w:pStyle w:val="Listenabsatz"/>
        <w:numPr>
          <w:ilvl w:val="1"/>
          <w:numId w:val="47"/>
        </w:numPr>
        <w:rPr>
          <w:lang w:val="en-US"/>
        </w:rPr>
      </w:pPr>
      <w:r>
        <w:rPr>
          <w:color w:val="000000" w:themeColor="text1"/>
          <w:lang w:val="en-US"/>
        </w:rPr>
        <w:t>F</w:t>
      </w:r>
      <w:r w:rsidR="0045421A" w:rsidRPr="00F9109C">
        <w:rPr>
          <w:color w:val="000000" w:themeColor="text1"/>
          <w:lang w:val="en-US"/>
        </w:rPr>
        <w:t>or</w:t>
      </w:r>
      <w:r w:rsidR="00FC7E44" w:rsidRPr="00F9109C">
        <w:rPr>
          <w:color w:val="000000" w:themeColor="text1"/>
          <w:lang w:val="en-US"/>
        </w:rPr>
        <w:t xml:space="preserve"> ‘contracts referencing a new currency’:</w:t>
      </w:r>
      <w:r w:rsidR="0045421A" w:rsidRPr="00F9109C">
        <w:rPr>
          <w:color w:val="000000" w:themeColor="text1"/>
          <w:lang w:val="en-US"/>
        </w:rPr>
        <w:t xml:space="preserve"> </w:t>
      </w:r>
      <w:r w:rsidR="00AB3C75" w:rsidRPr="00F9109C">
        <w:rPr>
          <w:color w:val="000000" w:themeColor="text1"/>
          <w:lang w:val="en-US"/>
        </w:rPr>
        <w:t xml:space="preserve">The provision appears broad and </w:t>
      </w:r>
      <w:r w:rsidR="003F61E5" w:rsidRPr="00F9109C">
        <w:rPr>
          <w:color w:val="000000" w:themeColor="text1"/>
          <w:lang w:val="en-US"/>
        </w:rPr>
        <w:t>unnecessarily</w:t>
      </w:r>
      <w:r w:rsidR="00AB3C75" w:rsidRPr="00F9109C">
        <w:rPr>
          <w:color w:val="000000" w:themeColor="text1"/>
          <w:lang w:val="en-US"/>
        </w:rPr>
        <w:t xml:space="preserve"> restrictive to us</w:t>
      </w:r>
      <w:r>
        <w:rPr>
          <w:color w:val="000000" w:themeColor="text1"/>
          <w:lang w:val="en-US"/>
        </w:rPr>
        <w:t>.</w:t>
      </w:r>
      <w:r w:rsidR="00AB3C75" w:rsidRPr="00F9109C">
        <w:rPr>
          <w:color w:val="000000" w:themeColor="text1"/>
          <w:lang w:val="en-US"/>
        </w:rPr>
        <w:t xml:space="preserve"> The proposal implies that a CCP currently clear</w:t>
      </w:r>
      <w:r w:rsidR="00E4306C" w:rsidRPr="00F9109C">
        <w:rPr>
          <w:color w:val="000000" w:themeColor="text1"/>
          <w:lang w:val="en-US"/>
        </w:rPr>
        <w:t>ing</w:t>
      </w:r>
      <w:r w:rsidR="00AB3C75" w:rsidRPr="00F9109C">
        <w:rPr>
          <w:color w:val="000000" w:themeColor="text1"/>
          <w:lang w:val="en-US"/>
        </w:rPr>
        <w:t xml:space="preserve"> FX Futures on a large number of currencies would </w:t>
      </w:r>
      <w:r w:rsidR="00AB3C75" w:rsidRPr="009A53DA">
        <w:rPr>
          <w:lang w:val="en-US"/>
        </w:rPr>
        <w:t xml:space="preserve">have to go through an Art. 15 </w:t>
      </w:r>
      <w:r w:rsidR="007F464C">
        <w:rPr>
          <w:lang w:val="en-US"/>
        </w:rPr>
        <w:t xml:space="preserve">EMIR </w:t>
      </w:r>
      <w:r w:rsidR="00AB3C75" w:rsidRPr="009A53DA">
        <w:rPr>
          <w:lang w:val="en-US"/>
        </w:rPr>
        <w:t>process for every additional currency it wants to extend its offering with</w:t>
      </w:r>
      <w:r w:rsidR="009F0852">
        <w:rPr>
          <w:lang w:val="en-US"/>
        </w:rPr>
        <w:t>,</w:t>
      </w:r>
      <w:r w:rsidR="00E4306C" w:rsidRPr="009A53DA">
        <w:rPr>
          <w:lang w:val="en-US"/>
        </w:rPr>
        <w:t xml:space="preserve"> regardless of whether or not the extension </w:t>
      </w:r>
      <w:r w:rsidR="00AB3C75" w:rsidRPr="009A53DA">
        <w:rPr>
          <w:lang w:val="en-US"/>
        </w:rPr>
        <w:t>add</w:t>
      </w:r>
      <w:r w:rsidR="00E4306C" w:rsidRPr="009A53DA">
        <w:rPr>
          <w:lang w:val="en-US"/>
        </w:rPr>
        <w:t>s</w:t>
      </w:r>
      <w:r w:rsidR="00AB3C75" w:rsidRPr="009A53DA">
        <w:rPr>
          <w:lang w:val="en-US"/>
        </w:rPr>
        <w:t xml:space="preserve"> new or novel risk characteristics to the CCP</w:t>
      </w:r>
      <w:r w:rsidR="00AB3C75" w:rsidRPr="00DD01AE">
        <w:rPr>
          <w:lang w:val="en-US"/>
        </w:rPr>
        <w:t xml:space="preserve">. </w:t>
      </w:r>
      <w:r w:rsidR="00E16A31" w:rsidRPr="00DD01AE">
        <w:rPr>
          <w:lang w:val="en-US"/>
        </w:rPr>
        <w:t xml:space="preserve">We propose to </w:t>
      </w:r>
      <w:r w:rsidR="00AB3C75" w:rsidRPr="009A53DA">
        <w:rPr>
          <w:lang w:val="en-US"/>
        </w:rPr>
        <w:t xml:space="preserve">remove ‘contracts referencing a new currency’ </w:t>
      </w:r>
      <w:r w:rsidR="009E055B">
        <w:rPr>
          <w:lang w:val="en-US"/>
        </w:rPr>
        <w:t xml:space="preserve">from the criteria and </w:t>
      </w:r>
      <w:r w:rsidR="00AB3C75" w:rsidRPr="009A53DA">
        <w:rPr>
          <w:lang w:val="en-US"/>
        </w:rPr>
        <w:t xml:space="preserve">to move </w:t>
      </w:r>
      <w:r w:rsidR="009E055B">
        <w:rPr>
          <w:lang w:val="en-US"/>
        </w:rPr>
        <w:t xml:space="preserve">it to the list of </w:t>
      </w:r>
      <w:r w:rsidR="00AB3C75" w:rsidRPr="009A53DA">
        <w:rPr>
          <w:lang w:val="en-US"/>
        </w:rPr>
        <w:t>indicator</w:t>
      </w:r>
      <w:r w:rsidR="009E055B">
        <w:rPr>
          <w:lang w:val="en-US"/>
        </w:rPr>
        <w:t xml:space="preserve">s in order </w:t>
      </w:r>
      <w:r w:rsidR="00AB3C75" w:rsidRPr="009A53DA">
        <w:rPr>
          <w:lang w:val="en-US"/>
        </w:rPr>
        <w:t xml:space="preserve">that a more nuanced assessment is possible. </w:t>
      </w:r>
    </w:p>
    <w:p w14:paraId="13CDA58D" w14:textId="0EC9B58A" w:rsidR="002C7E6F" w:rsidRPr="00F9109C" w:rsidRDefault="00FC7E44" w:rsidP="00AE1F05">
      <w:pPr>
        <w:pStyle w:val="Listenabsatz"/>
        <w:numPr>
          <w:ilvl w:val="1"/>
          <w:numId w:val="47"/>
        </w:numPr>
        <w:rPr>
          <w:lang w:val="en-US"/>
        </w:rPr>
      </w:pPr>
      <w:r w:rsidRPr="009A53DA">
        <w:rPr>
          <w:lang w:val="en-US"/>
        </w:rPr>
        <w:t>For ‘new payment currencies’: From a risk perspectiv</w:t>
      </w:r>
      <w:r w:rsidRPr="00DD01AE">
        <w:rPr>
          <w:lang w:val="en-US"/>
        </w:rPr>
        <w:t xml:space="preserve">e, similar concerns </w:t>
      </w:r>
      <w:r w:rsidR="009A53DA">
        <w:rPr>
          <w:lang w:val="en-US"/>
        </w:rPr>
        <w:t>a</w:t>
      </w:r>
      <w:r w:rsidRPr="00DD01AE">
        <w:rPr>
          <w:lang w:val="en-US"/>
        </w:rPr>
        <w:t>pply</w:t>
      </w:r>
      <w:r w:rsidR="009A53DA">
        <w:rPr>
          <w:lang w:val="en-US"/>
        </w:rPr>
        <w:t xml:space="preserve"> as </w:t>
      </w:r>
      <w:r w:rsidRPr="00DD01AE">
        <w:rPr>
          <w:lang w:val="en-US"/>
        </w:rPr>
        <w:t>some currency extensions are very minor in nature.</w:t>
      </w:r>
    </w:p>
    <w:permEnd w:id="422069272"/>
    <w:p w14:paraId="0297D608" w14:textId="77777777" w:rsidR="00AE1F05" w:rsidRDefault="00AE1F05" w:rsidP="00CC38E9">
      <w:pPr>
        <w:rPr>
          <w:lang w:val="en-US"/>
        </w:rPr>
      </w:pPr>
    </w:p>
    <w:p w14:paraId="30AE8491" w14:textId="72AD6F68" w:rsidR="00CC38E9" w:rsidRPr="002C7E6F" w:rsidRDefault="00CC38E9" w:rsidP="00CC38E9">
      <w:pPr>
        <w:rPr>
          <w:lang w:val="en-US"/>
        </w:rPr>
      </w:pPr>
      <w:r w:rsidRPr="002C7E6F">
        <w:rPr>
          <w:lang w:val="en-US"/>
        </w:rPr>
        <w:t>&lt;ESMA_</w:t>
      </w:r>
      <w:r w:rsidR="00C93A9C" w:rsidRPr="002C7E6F">
        <w:rPr>
          <w:lang w:val="en-US"/>
        </w:rPr>
        <w:t>QUESTION_</w:t>
      </w:r>
      <w:r w:rsidR="00106124" w:rsidRPr="002C7E6F">
        <w:rPr>
          <w:lang w:val="en-US"/>
        </w:rPr>
        <w:t>RTS1549</w:t>
      </w:r>
      <w:r w:rsidR="00C93A9C" w:rsidRPr="002C7E6F">
        <w:rPr>
          <w:lang w:val="en-US"/>
        </w:rPr>
        <w:t>_</w:t>
      </w:r>
      <w:r w:rsidR="00CD3899" w:rsidRPr="002C7E6F">
        <w:rPr>
          <w:lang w:val="en-US"/>
        </w:rPr>
        <w:t>2</w:t>
      </w:r>
      <w:r w:rsidRPr="002C7E6F">
        <w:rPr>
          <w:lang w:val="en-US"/>
        </w:rPr>
        <w:t>&gt;</w:t>
      </w:r>
    </w:p>
    <w:bookmarkEnd w:id="3"/>
    <w:p w14:paraId="25C01A84" w14:textId="77777777" w:rsidR="00CC49EE" w:rsidRPr="002C7E6F" w:rsidRDefault="00CC49EE" w:rsidP="00170D44">
      <w:pPr>
        <w:rPr>
          <w:b/>
          <w:lang w:val="en-US"/>
        </w:rPr>
      </w:pPr>
    </w:p>
    <w:p w14:paraId="55C5F080" w14:textId="5C4E9A96" w:rsidR="00CC38E9" w:rsidRPr="00014A67" w:rsidRDefault="00106124" w:rsidP="00953A42">
      <w:pPr>
        <w:pStyle w:val="Questionstyle"/>
      </w:pPr>
      <w:r w:rsidRPr="00106124">
        <w:t>Do you agree with ESMA’s proposed list of indicators for an extension of authorisation (under Article 15 of EMIR) or would you propose to change/add/delete any of the indicators or specify certain indicators further? Please provide reasons for your answer.</w:t>
      </w:r>
    </w:p>
    <w:p w14:paraId="25A84155" w14:textId="13396321" w:rsidR="00CC38E9" w:rsidRDefault="00CC38E9" w:rsidP="00CC38E9">
      <w:r>
        <w:t>&lt;ESMA_</w:t>
      </w:r>
      <w:r w:rsidR="00C93A9C">
        <w:t>QUESTION_</w:t>
      </w:r>
      <w:r w:rsidR="00106124">
        <w:t>RTS1549</w:t>
      </w:r>
      <w:r w:rsidR="00C93A9C">
        <w:t>_</w:t>
      </w:r>
      <w:r w:rsidR="00CD3899">
        <w:t>3</w:t>
      </w:r>
      <w:r>
        <w:t>&gt;</w:t>
      </w:r>
    </w:p>
    <w:p w14:paraId="562CC62B" w14:textId="35ED0DE2" w:rsidR="009A53DA" w:rsidRPr="00F9109C" w:rsidRDefault="009A53DA" w:rsidP="009A53DA">
      <w:pPr>
        <w:rPr>
          <w:lang w:val="en-US"/>
        </w:rPr>
      </w:pPr>
      <w:permStart w:id="552622156" w:edGrp="everyone"/>
      <w:r w:rsidRPr="00FE0E2E">
        <w:rPr>
          <w:lang w:val="en-US"/>
        </w:rPr>
        <w:t xml:space="preserve">Referring to the proposed </w:t>
      </w:r>
      <w:r w:rsidR="00811C0A">
        <w:rPr>
          <w:lang w:val="en-US"/>
        </w:rPr>
        <w:t>RTS,</w:t>
      </w:r>
      <w:r>
        <w:rPr>
          <w:lang w:val="en-US"/>
        </w:rPr>
        <w:t xml:space="preserve"> we want to highlight the following points</w:t>
      </w:r>
      <w:r w:rsidR="00ED4723">
        <w:rPr>
          <w:lang w:val="en-US"/>
        </w:rPr>
        <w:t>:</w:t>
      </w:r>
      <w:r w:rsidRPr="00F9109C" w:rsidDel="009A53DA">
        <w:rPr>
          <w:lang w:val="en-US"/>
        </w:rPr>
        <w:t xml:space="preserve"> </w:t>
      </w:r>
    </w:p>
    <w:p w14:paraId="5ABE3834" w14:textId="6220874A" w:rsidR="009A53DA" w:rsidRPr="00F9109C" w:rsidRDefault="00E158FC" w:rsidP="009A53DA">
      <w:pPr>
        <w:pStyle w:val="Listenabsatz"/>
        <w:numPr>
          <w:ilvl w:val="0"/>
          <w:numId w:val="51"/>
        </w:numPr>
        <w:rPr>
          <w:color w:val="000000" w:themeColor="text1"/>
          <w:lang w:val="en-US"/>
        </w:rPr>
      </w:pPr>
      <w:r>
        <w:rPr>
          <w:lang w:val="en-US"/>
        </w:rPr>
        <w:t>Re Art. 3 (a)</w:t>
      </w:r>
      <w:r w:rsidR="7A2E89B6">
        <w:rPr>
          <w:lang w:val="en-US"/>
        </w:rPr>
        <w:t xml:space="preserve"> </w:t>
      </w:r>
      <w:r w:rsidR="7A2E89B6" w:rsidRPr="00F9109C">
        <w:rPr>
          <w:color w:val="000000" w:themeColor="text1"/>
          <w:lang w:val="en-US"/>
        </w:rPr>
        <w:t xml:space="preserve">- </w:t>
      </w:r>
      <w:r w:rsidR="62B62232" w:rsidRPr="00F9109C">
        <w:rPr>
          <w:color w:val="000000" w:themeColor="text1"/>
          <w:lang w:val="en-US"/>
        </w:rPr>
        <w:t xml:space="preserve">Adapting </w:t>
      </w:r>
      <w:r w:rsidR="00D92475">
        <w:rPr>
          <w:color w:val="000000" w:themeColor="text1"/>
          <w:lang w:val="en-US"/>
        </w:rPr>
        <w:t xml:space="preserve">a </w:t>
      </w:r>
      <w:r w:rsidR="62B62232" w:rsidRPr="00F9109C">
        <w:rPr>
          <w:color w:val="000000" w:themeColor="text1"/>
          <w:lang w:val="en-US"/>
        </w:rPr>
        <w:t>CCP</w:t>
      </w:r>
      <w:r w:rsidR="00D92475">
        <w:rPr>
          <w:color w:val="000000" w:themeColor="text1"/>
          <w:lang w:val="en-US"/>
        </w:rPr>
        <w:t>’</w:t>
      </w:r>
      <w:r w:rsidR="62B62232" w:rsidRPr="00F9109C">
        <w:rPr>
          <w:color w:val="000000" w:themeColor="text1"/>
          <w:lang w:val="en-US"/>
        </w:rPr>
        <w:t xml:space="preserve">s </w:t>
      </w:r>
      <w:r w:rsidR="00D92475">
        <w:rPr>
          <w:color w:val="000000" w:themeColor="text1"/>
          <w:lang w:val="en-US"/>
        </w:rPr>
        <w:t>r</w:t>
      </w:r>
      <w:r w:rsidR="62B62232" w:rsidRPr="00F9109C">
        <w:rPr>
          <w:color w:val="000000" w:themeColor="text1"/>
          <w:lang w:val="en-US"/>
        </w:rPr>
        <w:t xml:space="preserve">isk management framework </w:t>
      </w:r>
      <w:proofErr w:type="gramStart"/>
      <w:r w:rsidR="60C02D88" w:rsidRPr="00F9109C">
        <w:rPr>
          <w:color w:val="000000" w:themeColor="text1"/>
          <w:lang w:val="en-US"/>
        </w:rPr>
        <w:t>taking into account</w:t>
      </w:r>
      <w:proofErr w:type="gramEnd"/>
      <w:r w:rsidR="60C02D88" w:rsidRPr="00F9109C">
        <w:rPr>
          <w:color w:val="000000" w:themeColor="text1"/>
          <w:lang w:val="en-US"/>
        </w:rPr>
        <w:t xml:space="preserve"> specific features of the contract</w:t>
      </w:r>
      <w:r w:rsidRPr="00F9109C">
        <w:rPr>
          <w:color w:val="000000" w:themeColor="text1"/>
          <w:lang w:val="en-US"/>
        </w:rPr>
        <w:t xml:space="preserve">: This indicator </w:t>
      </w:r>
      <w:r w:rsidR="00DD5968">
        <w:rPr>
          <w:color w:val="000000" w:themeColor="text1"/>
          <w:lang w:val="en-US"/>
        </w:rPr>
        <w:t xml:space="preserve">could introduce moral hazard and </w:t>
      </w:r>
      <w:r w:rsidR="0073511E">
        <w:rPr>
          <w:color w:val="000000" w:themeColor="text1"/>
          <w:lang w:val="en-US"/>
        </w:rPr>
        <w:t xml:space="preserve">create </w:t>
      </w:r>
      <w:r w:rsidR="001A0712" w:rsidRPr="00F9109C">
        <w:rPr>
          <w:color w:val="000000" w:themeColor="text1"/>
          <w:lang w:val="en-US"/>
        </w:rPr>
        <w:t>a</w:t>
      </w:r>
      <w:r w:rsidRPr="00F9109C">
        <w:rPr>
          <w:color w:val="000000" w:themeColor="text1"/>
          <w:lang w:val="en-US"/>
        </w:rPr>
        <w:t xml:space="preserve"> </w:t>
      </w:r>
      <w:r w:rsidR="00DD5968">
        <w:rPr>
          <w:color w:val="000000" w:themeColor="text1"/>
          <w:lang w:val="en-US"/>
        </w:rPr>
        <w:t>negative</w:t>
      </w:r>
      <w:r w:rsidRPr="00F9109C">
        <w:rPr>
          <w:color w:val="000000" w:themeColor="text1"/>
          <w:lang w:val="en-US"/>
        </w:rPr>
        <w:t xml:space="preserve"> incentive </w:t>
      </w:r>
      <w:r w:rsidR="00DD5968">
        <w:rPr>
          <w:color w:val="000000" w:themeColor="text1"/>
          <w:lang w:val="en-US"/>
        </w:rPr>
        <w:t>on</w:t>
      </w:r>
      <w:r w:rsidR="00DD5968" w:rsidRPr="00F9109C">
        <w:rPr>
          <w:color w:val="000000" w:themeColor="text1"/>
          <w:lang w:val="en-US"/>
        </w:rPr>
        <w:t xml:space="preserve"> </w:t>
      </w:r>
      <w:r w:rsidR="00C3613F" w:rsidRPr="00F9109C">
        <w:rPr>
          <w:color w:val="000000" w:themeColor="text1"/>
          <w:lang w:val="en-US"/>
        </w:rPr>
        <w:t xml:space="preserve">the CCP to avoid adapting its risk framework in order not </w:t>
      </w:r>
      <w:r w:rsidR="00DD5968">
        <w:rPr>
          <w:color w:val="000000" w:themeColor="text1"/>
          <w:lang w:val="en-US"/>
        </w:rPr>
        <w:t xml:space="preserve">to </w:t>
      </w:r>
      <w:r w:rsidR="00C3613F" w:rsidRPr="00F9109C">
        <w:rPr>
          <w:color w:val="000000" w:themeColor="text1"/>
          <w:lang w:val="en-US"/>
        </w:rPr>
        <w:t>trigger this indicator. The incentive should be on the CCP to adapt the risk framework as best as possible to reflect addition of new products or services</w:t>
      </w:r>
      <w:r w:rsidR="00DD5968">
        <w:rPr>
          <w:color w:val="000000" w:themeColor="text1"/>
          <w:lang w:val="en-US"/>
        </w:rPr>
        <w:t xml:space="preserve">. In this context, we would recommend removing this indicator altogether or, as a fallback, considering it in the list of indicators for Art. 49. </w:t>
      </w:r>
    </w:p>
    <w:p w14:paraId="33B00DB0" w14:textId="77777777" w:rsidR="00DD01AE" w:rsidRPr="00F9109C" w:rsidRDefault="00DD01AE" w:rsidP="00F9109C">
      <w:pPr>
        <w:pStyle w:val="Listenabsatz"/>
        <w:rPr>
          <w:color w:val="000000" w:themeColor="text1"/>
          <w:lang w:val="en-US"/>
        </w:rPr>
      </w:pPr>
    </w:p>
    <w:p w14:paraId="0C3349A2" w14:textId="2F1FDF86" w:rsidR="00AE1F05" w:rsidRPr="00F9109C" w:rsidRDefault="009A53DA" w:rsidP="00AE1F05">
      <w:pPr>
        <w:pStyle w:val="Listenabsatz"/>
        <w:rPr>
          <w:color w:val="000000" w:themeColor="text1"/>
          <w:lang w:val="en-US"/>
        </w:rPr>
      </w:pPr>
      <w:r w:rsidRPr="00F9109C">
        <w:rPr>
          <w:color w:val="000000" w:themeColor="text1"/>
          <w:lang w:val="en-US"/>
        </w:rPr>
        <w:t>Re. Art. 3 (b) (</w:t>
      </w:r>
      <w:proofErr w:type="spellStart"/>
      <w:r w:rsidRPr="00F9109C">
        <w:rPr>
          <w:color w:val="000000" w:themeColor="text1"/>
          <w:lang w:val="en-US"/>
        </w:rPr>
        <w:t>i</w:t>
      </w:r>
      <w:proofErr w:type="spellEnd"/>
      <w:r w:rsidRPr="00F9109C">
        <w:rPr>
          <w:color w:val="000000" w:themeColor="text1"/>
          <w:lang w:val="en-US"/>
        </w:rPr>
        <w:t>) and (ii)</w:t>
      </w:r>
      <w:r w:rsidR="256015E2" w:rsidRPr="00F9109C">
        <w:rPr>
          <w:color w:val="000000" w:themeColor="text1"/>
          <w:lang w:val="en-US"/>
        </w:rPr>
        <w:t xml:space="preserve"> - </w:t>
      </w:r>
      <w:r w:rsidR="320D08ED" w:rsidRPr="00F9109C">
        <w:rPr>
          <w:color w:val="000000" w:themeColor="text1"/>
          <w:lang w:val="en-US"/>
        </w:rPr>
        <w:t>Adapt</w:t>
      </w:r>
      <w:r w:rsidR="29640AC0" w:rsidRPr="00F9109C">
        <w:rPr>
          <w:color w:val="000000" w:themeColor="text1"/>
          <w:lang w:val="en-US"/>
        </w:rPr>
        <w:t>ing</w:t>
      </w:r>
      <w:r w:rsidR="320D08ED" w:rsidRPr="00F9109C">
        <w:rPr>
          <w:color w:val="000000" w:themeColor="text1"/>
          <w:lang w:val="en-US"/>
        </w:rPr>
        <w:t xml:space="preserve"> </w:t>
      </w:r>
      <w:r w:rsidR="00D92475">
        <w:rPr>
          <w:color w:val="000000" w:themeColor="text1"/>
          <w:lang w:val="en-US"/>
        </w:rPr>
        <w:t xml:space="preserve">a </w:t>
      </w:r>
      <w:r w:rsidR="320D08ED" w:rsidRPr="00F9109C">
        <w:rPr>
          <w:color w:val="000000" w:themeColor="text1"/>
          <w:lang w:val="en-US"/>
        </w:rPr>
        <w:t>CCP</w:t>
      </w:r>
      <w:r w:rsidR="00D92475">
        <w:rPr>
          <w:color w:val="000000" w:themeColor="text1"/>
          <w:lang w:val="en-US"/>
        </w:rPr>
        <w:t>’</w:t>
      </w:r>
      <w:r w:rsidR="320D08ED" w:rsidRPr="00F9109C">
        <w:rPr>
          <w:color w:val="000000" w:themeColor="text1"/>
          <w:lang w:val="en-US"/>
        </w:rPr>
        <w:t xml:space="preserve">s operational or </w:t>
      </w:r>
      <w:r w:rsidR="00AE1F05" w:rsidRPr="00F9109C">
        <w:rPr>
          <w:color w:val="000000" w:themeColor="text1"/>
          <w:lang w:val="en-US"/>
        </w:rPr>
        <w:t>organizational</w:t>
      </w:r>
      <w:r w:rsidR="320D08ED" w:rsidRPr="00F9109C">
        <w:rPr>
          <w:color w:val="000000" w:themeColor="text1"/>
          <w:lang w:val="en-US"/>
        </w:rPr>
        <w:t xml:space="preserve"> </w:t>
      </w:r>
      <w:r w:rsidR="29640AC0" w:rsidRPr="00F9109C">
        <w:rPr>
          <w:color w:val="000000" w:themeColor="text1"/>
          <w:lang w:val="en-US"/>
        </w:rPr>
        <w:t>structure</w:t>
      </w:r>
      <w:r w:rsidR="6B951017" w:rsidRPr="00F9109C">
        <w:rPr>
          <w:color w:val="000000" w:themeColor="text1"/>
          <w:lang w:val="en-US"/>
        </w:rPr>
        <w:t xml:space="preserve"> in regard of different time </w:t>
      </w:r>
      <w:r w:rsidR="45E5F3D3" w:rsidRPr="00F9109C">
        <w:rPr>
          <w:color w:val="000000" w:themeColor="text1"/>
          <w:lang w:val="en-US"/>
        </w:rPr>
        <w:t>zones and working hours</w:t>
      </w:r>
      <w:r w:rsidRPr="00F9109C">
        <w:rPr>
          <w:color w:val="000000" w:themeColor="text1"/>
          <w:lang w:val="en-US"/>
        </w:rPr>
        <w:t xml:space="preserve">: </w:t>
      </w:r>
      <w:r w:rsidR="00AE1F05">
        <w:rPr>
          <w:color w:val="000000" w:themeColor="text1"/>
          <w:lang w:val="en-US"/>
        </w:rPr>
        <w:t>T</w:t>
      </w:r>
      <w:r w:rsidRPr="00F9109C">
        <w:rPr>
          <w:color w:val="000000" w:themeColor="text1"/>
          <w:lang w:val="en-US"/>
        </w:rPr>
        <w:t>hese two points should not be indicators for the purposes of Art. 15 EMIR because they do not give rise to any additional risks for the CCP that go beyond ensuring that sufficiently qualified staff is available to conduct the CCP’s activities during the envisaged extended working hours (which is not materially different from the obligation to ensure sufficient staffing during the current CCP working hours).</w:t>
      </w:r>
      <w:r w:rsidR="0073511E">
        <w:rPr>
          <w:color w:val="000000" w:themeColor="text1"/>
          <w:lang w:val="en-US"/>
        </w:rPr>
        <w:t xml:space="preserve"> </w:t>
      </w:r>
    </w:p>
    <w:p w14:paraId="7D5C620E" w14:textId="66F106F3" w:rsidR="00AE1F05" w:rsidRPr="00AE1F05" w:rsidRDefault="00AE1F05" w:rsidP="00AE1F05">
      <w:pPr>
        <w:pStyle w:val="Listenabsatz"/>
        <w:rPr>
          <w:color w:val="000000" w:themeColor="text1"/>
          <w:lang w:val="en-US"/>
        </w:rPr>
      </w:pPr>
    </w:p>
    <w:p w14:paraId="48B6DAA6" w14:textId="7C2D5608" w:rsidR="00C3613F" w:rsidRPr="00F9109C" w:rsidRDefault="009A53DA" w:rsidP="00F9109C">
      <w:pPr>
        <w:pStyle w:val="Listenabsatz"/>
        <w:numPr>
          <w:ilvl w:val="0"/>
          <w:numId w:val="51"/>
        </w:numPr>
        <w:rPr>
          <w:color w:val="000000" w:themeColor="text1"/>
          <w:lang w:val="en-US"/>
        </w:rPr>
      </w:pPr>
      <w:r w:rsidRPr="00F9109C">
        <w:rPr>
          <w:color w:val="000000" w:themeColor="text1"/>
          <w:lang w:val="en-US"/>
        </w:rPr>
        <w:t>Re. Art. 3 (b) (iii)</w:t>
      </w:r>
      <w:r w:rsidR="15B5BF6B" w:rsidRPr="00F9109C">
        <w:rPr>
          <w:color w:val="000000" w:themeColor="text1"/>
          <w:lang w:val="en-US"/>
        </w:rPr>
        <w:t xml:space="preserve"> - </w:t>
      </w:r>
      <w:r w:rsidR="13A65D76" w:rsidRPr="00F9109C">
        <w:rPr>
          <w:color w:val="000000" w:themeColor="text1"/>
          <w:lang w:val="en-US"/>
        </w:rPr>
        <w:t>Implementing of a new s</w:t>
      </w:r>
      <w:r w:rsidR="5D100C90" w:rsidRPr="00F9109C">
        <w:rPr>
          <w:color w:val="000000" w:themeColor="text1"/>
          <w:lang w:val="en-US"/>
        </w:rPr>
        <w:t>tructure of margin accounts</w:t>
      </w:r>
      <w:r w:rsidRPr="00F9109C">
        <w:rPr>
          <w:color w:val="000000" w:themeColor="text1"/>
          <w:lang w:val="en-US"/>
        </w:rPr>
        <w:t xml:space="preserve">: </w:t>
      </w:r>
      <w:r w:rsidR="00AE1F05">
        <w:rPr>
          <w:color w:val="000000" w:themeColor="text1"/>
          <w:lang w:val="en-US"/>
        </w:rPr>
        <w:t>T</w:t>
      </w:r>
      <w:r w:rsidRPr="00F9109C">
        <w:rPr>
          <w:color w:val="000000" w:themeColor="text1"/>
          <w:lang w:val="en-US"/>
        </w:rPr>
        <w:t xml:space="preserve">he indicator </w:t>
      </w:r>
      <w:r w:rsidR="00D92475">
        <w:rPr>
          <w:color w:val="000000" w:themeColor="text1"/>
          <w:lang w:val="en-US"/>
        </w:rPr>
        <w:t>‘</w:t>
      </w:r>
      <w:r w:rsidRPr="00F9109C">
        <w:rPr>
          <w:color w:val="000000" w:themeColor="text1"/>
          <w:lang w:val="en-US"/>
        </w:rPr>
        <w:t xml:space="preserve">implementation of a new structure of margin </w:t>
      </w:r>
      <w:proofErr w:type="gramStart"/>
      <w:r w:rsidRPr="00F9109C">
        <w:rPr>
          <w:color w:val="000000" w:themeColor="text1"/>
          <w:lang w:val="en-US"/>
        </w:rPr>
        <w:t>accounts</w:t>
      </w:r>
      <w:r w:rsidR="00D92475">
        <w:rPr>
          <w:color w:val="000000" w:themeColor="text1"/>
          <w:lang w:val="en-US"/>
        </w:rPr>
        <w:t>‘</w:t>
      </w:r>
      <w:r w:rsidR="00D92475" w:rsidRPr="00F9109C">
        <w:rPr>
          <w:color w:val="000000" w:themeColor="text1"/>
          <w:lang w:val="en-US"/>
        </w:rPr>
        <w:t xml:space="preserve"> </w:t>
      </w:r>
      <w:r w:rsidRPr="00F9109C">
        <w:rPr>
          <w:color w:val="000000" w:themeColor="text1"/>
          <w:lang w:val="en-US"/>
        </w:rPr>
        <w:t>is</w:t>
      </w:r>
      <w:proofErr w:type="gramEnd"/>
      <w:r w:rsidRPr="00F9109C">
        <w:rPr>
          <w:color w:val="000000" w:themeColor="text1"/>
          <w:lang w:val="en-US"/>
        </w:rPr>
        <w:t xml:space="preserve"> formulated too vaguely to help concretizing Art. 15 EMIR. This will lead to considerable uncertainty when applying this indicator in practice, for</w:t>
      </w:r>
      <w:r w:rsidR="00E57773">
        <w:rPr>
          <w:color w:val="000000" w:themeColor="text1"/>
          <w:lang w:val="en-US"/>
        </w:rPr>
        <w:t xml:space="preserve"> both</w:t>
      </w:r>
      <w:r w:rsidRPr="00F9109C">
        <w:rPr>
          <w:color w:val="000000" w:themeColor="text1"/>
          <w:lang w:val="en-US"/>
        </w:rPr>
        <w:t xml:space="preserve"> the NCAs and the CCPs.</w:t>
      </w:r>
    </w:p>
    <w:p w14:paraId="06CDC9A3" w14:textId="77777777" w:rsidR="003E5A17" w:rsidRPr="00F9109C" w:rsidRDefault="003E5A17" w:rsidP="00F9109C">
      <w:pPr>
        <w:pStyle w:val="Listenabsatz"/>
        <w:rPr>
          <w:color w:val="000000" w:themeColor="text1"/>
        </w:rPr>
      </w:pPr>
    </w:p>
    <w:p w14:paraId="7F28C7A1" w14:textId="4F606681" w:rsidR="00C3613F" w:rsidRPr="00F9109C" w:rsidRDefault="00C3613F" w:rsidP="00F9109C">
      <w:pPr>
        <w:pStyle w:val="Listenabsatz"/>
        <w:numPr>
          <w:ilvl w:val="0"/>
          <w:numId w:val="48"/>
        </w:numPr>
        <w:rPr>
          <w:color w:val="000000" w:themeColor="text1"/>
        </w:rPr>
      </w:pPr>
      <w:r w:rsidRPr="00F9109C">
        <w:rPr>
          <w:color w:val="000000" w:themeColor="text1"/>
          <w:lang w:val="en-US"/>
        </w:rPr>
        <w:t xml:space="preserve">Re Art. 3 </w:t>
      </w:r>
      <w:r w:rsidR="001B188C">
        <w:rPr>
          <w:color w:val="000000" w:themeColor="text1"/>
          <w:lang w:val="en-US"/>
        </w:rPr>
        <w:t>(</w:t>
      </w:r>
      <w:r w:rsidR="67BBBACA" w:rsidRPr="00F9109C">
        <w:rPr>
          <w:color w:val="000000" w:themeColor="text1"/>
          <w:lang w:val="en-US"/>
        </w:rPr>
        <w:t xml:space="preserve">c) - </w:t>
      </w:r>
      <w:r w:rsidR="5ACD2AE0" w:rsidRPr="00F9109C">
        <w:rPr>
          <w:color w:val="000000" w:themeColor="text1"/>
          <w:lang w:val="en-US"/>
        </w:rPr>
        <w:t>Offering contracts which can</w:t>
      </w:r>
      <w:r w:rsidR="006D079C" w:rsidRPr="00F9109C">
        <w:rPr>
          <w:color w:val="000000" w:themeColor="text1"/>
          <w:lang w:val="en-US"/>
        </w:rPr>
        <w:t>n</w:t>
      </w:r>
      <w:r w:rsidR="5ACD2AE0" w:rsidRPr="00F9109C">
        <w:rPr>
          <w:color w:val="000000" w:themeColor="text1"/>
          <w:lang w:val="en-US"/>
        </w:rPr>
        <w:t xml:space="preserve">ot be </w:t>
      </w:r>
      <w:r w:rsidR="170446B0" w:rsidRPr="00F9109C">
        <w:rPr>
          <w:color w:val="000000" w:themeColor="text1"/>
          <w:lang w:val="en-US"/>
        </w:rPr>
        <w:t>liquidated</w:t>
      </w:r>
      <w:r w:rsidRPr="00F9109C">
        <w:rPr>
          <w:color w:val="000000" w:themeColor="text1"/>
          <w:lang w:val="en-US"/>
        </w:rPr>
        <w:t xml:space="preserve"> </w:t>
      </w:r>
      <w:r w:rsidR="00A36F65">
        <w:rPr>
          <w:color w:val="000000" w:themeColor="text1"/>
          <w:lang w:val="en-US"/>
        </w:rPr>
        <w:t>in the same manner or together with existing contracts</w:t>
      </w:r>
      <w:r w:rsidRPr="00F9109C">
        <w:rPr>
          <w:color w:val="000000" w:themeColor="text1"/>
          <w:lang w:val="en-US"/>
        </w:rPr>
        <w:t xml:space="preserve">: </w:t>
      </w:r>
      <w:r w:rsidRPr="00F9109C">
        <w:rPr>
          <w:color w:val="000000" w:themeColor="text1"/>
        </w:rPr>
        <w:t>Similar to Art. 3</w:t>
      </w:r>
      <w:r w:rsidR="0038302A">
        <w:rPr>
          <w:color w:val="000000" w:themeColor="text1"/>
        </w:rPr>
        <w:t xml:space="preserve"> </w:t>
      </w:r>
      <w:r w:rsidRPr="00F9109C">
        <w:rPr>
          <w:color w:val="000000" w:themeColor="text1"/>
        </w:rPr>
        <w:t xml:space="preserve">(a), this indicator </w:t>
      </w:r>
      <w:r w:rsidR="001A0712" w:rsidRPr="00F9109C">
        <w:rPr>
          <w:color w:val="000000" w:themeColor="text1"/>
        </w:rPr>
        <w:t>may create a</w:t>
      </w:r>
      <w:r w:rsidR="001B188C">
        <w:rPr>
          <w:color w:val="000000" w:themeColor="text1"/>
        </w:rPr>
        <w:t>n</w:t>
      </w:r>
      <w:r w:rsidR="001A0712" w:rsidRPr="00F9109C">
        <w:rPr>
          <w:color w:val="000000" w:themeColor="text1"/>
        </w:rPr>
        <w:t xml:space="preserve"> </w:t>
      </w:r>
      <w:r w:rsidRPr="00F9109C">
        <w:rPr>
          <w:color w:val="000000" w:themeColor="text1"/>
        </w:rPr>
        <w:t xml:space="preserve">incentive </w:t>
      </w:r>
      <w:r w:rsidR="001A0712" w:rsidRPr="00F9109C">
        <w:rPr>
          <w:color w:val="000000" w:themeColor="text1"/>
        </w:rPr>
        <w:t xml:space="preserve">for </w:t>
      </w:r>
      <w:r w:rsidRPr="00F9109C">
        <w:rPr>
          <w:color w:val="000000" w:themeColor="text1"/>
        </w:rPr>
        <w:t>the CCPs to determine that contracts can be liquidated in the same manner or together with other existing contracts.</w:t>
      </w:r>
      <w:r w:rsidR="001A0712" w:rsidRPr="00F9109C">
        <w:rPr>
          <w:color w:val="000000" w:themeColor="text1"/>
        </w:rPr>
        <w:t xml:space="preserve"> We would welcome a clarification of this indicator avoiding this false incentivisation. </w:t>
      </w:r>
    </w:p>
    <w:p w14:paraId="1B2EECCF" w14:textId="77777777" w:rsidR="003E5A17" w:rsidRPr="00F9109C" w:rsidRDefault="003E5A17" w:rsidP="00F9109C">
      <w:pPr>
        <w:pStyle w:val="Kommentartext"/>
        <w:ind w:left="720"/>
        <w:rPr>
          <w:color w:val="000000" w:themeColor="text1"/>
        </w:rPr>
      </w:pPr>
    </w:p>
    <w:p w14:paraId="049D10F3" w14:textId="000A663F" w:rsidR="00C3613F" w:rsidRPr="00E57773" w:rsidRDefault="00C3613F" w:rsidP="00E57773">
      <w:pPr>
        <w:pStyle w:val="Kommentartext"/>
        <w:numPr>
          <w:ilvl w:val="0"/>
          <w:numId w:val="48"/>
        </w:numPr>
        <w:rPr>
          <w:color w:val="000000" w:themeColor="text1"/>
        </w:rPr>
      </w:pPr>
      <w:r w:rsidRPr="00F9109C">
        <w:rPr>
          <w:color w:val="000000" w:themeColor="text1"/>
          <w:lang w:val="en-US"/>
        </w:rPr>
        <w:t>Re Art. 3 (d)</w:t>
      </w:r>
      <w:r w:rsidR="006D079C" w:rsidRPr="00F9109C">
        <w:rPr>
          <w:color w:val="000000" w:themeColor="text1"/>
          <w:lang w:val="en-US"/>
        </w:rPr>
        <w:t xml:space="preserve"> </w:t>
      </w:r>
      <w:r w:rsidR="170446B0" w:rsidRPr="00F9109C">
        <w:rPr>
          <w:color w:val="000000" w:themeColor="text1"/>
          <w:lang w:val="en-US"/>
        </w:rPr>
        <w:t xml:space="preserve">- </w:t>
      </w:r>
      <w:r w:rsidR="28EDDDE3" w:rsidRPr="00F9109C">
        <w:rPr>
          <w:color w:val="000000" w:themeColor="text1"/>
          <w:lang w:val="en-US"/>
        </w:rPr>
        <w:t xml:space="preserve">Adopting new </w:t>
      </w:r>
      <w:r w:rsidR="6323B4E1" w:rsidRPr="00F9109C">
        <w:rPr>
          <w:color w:val="000000" w:themeColor="text1"/>
          <w:lang w:val="en-US"/>
        </w:rPr>
        <w:t>or different methods for obtaining prices</w:t>
      </w:r>
      <w:r w:rsidRPr="00F9109C">
        <w:rPr>
          <w:color w:val="000000" w:themeColor="text1"/>
          <w:lang w:val="en-US"/>
        </w:rPr>
        <w:t xml:space="preserve">: </w:t>
      </w:r>
      <w:r w:rsidRPr="00F9109C">
        <w:rPr>
          <w:color w:val="000000" w:themeColor="text1"/>
        </w:rPr>
        <w:t>It is unclear what is meant by ‘methods for obtaining prices’</w:t>
      </w:r>
      <w:r w:rsidR="00E57773">
        <w:rPr>
          <w:color w:val="000000" w:themeColor="text1"/>
        </w:rPr>
        <w:t>, i.e. whether this</w:t>
      </w:r>
      <w:r w:rsidRPr="00F9109C">
        <w:rPr>
          <w:color w:val="000000" w:themeColor="text1"/>
        </w:rPr>
        <w:t xml:space="preserve"> </w:t>
      </w:r>
      <w:r w:rsidR="00E57773">
        <w:rPr>
          <w:color w:val="000000" w:themeColor="text1"/>
        </w:rPr>
        <w:t>d</w:t>
      </w:r>
      <w:r w:rsidRPr="00F9109C">
        <w:rPr>
          <w:color w:val="000000" w:themeColor="text1"/>
        </w:rPr>
        <w:t xml:space="preserve">oes refer to methodology only </w:t>
      </w:r>
      <w:proofErr w:type="gramStart"/>
      <w:r w:rsidRPr="00F9109C">
        <w:rPr>
          <w:color w:val="000000" w:themeColor="text1"/>
        </w:rPr>
        <w:t xml:space="preserve">or </w:t>
      </w:r>
      <w:r w:rsidR="00E57773">
        <w:rPr>
          <w:color w:val="000000" w:themeColor="text1"/>
        </w:rPr>
        <w:t xml:space="preserve"> </w:t>
      </w:r>
      <w:r w:rsidRPr="00F9109C">
        <w:rPr>
          <w:color w:val="000000" w:themeColor="text1"/>
        </w:rPr>
        <w:t>also</w:t>
      </w:r>
      <w:proofErr w:type="gramEnd"/>
      <w:r w:rsidRPr="00F9109C">
        <w:rPr>
          <w:color w:val="000000" w:themeColor="text1"/>
        </w:rPr>
        <w:t xml:space="preserve"> entail</w:t>
      </w:r>
      <w:r w:rsidR="00E57773">
        <w:rPr>
          <w:color w:val="000000" w:themeColor="text1"/>
        </w:rPr>
        <w:t>s</w:t>
      </w:r>
      <w:r w:rsidRPr="00F9109C">
        <w:rPr>
          <w:color w:val="000000" w:themeColor="text1"/>
        </w:rPr>
        <w:t xml:space="preserve"> change of data source (for instance switch of data vendor)</w:t>
      </w:r>
      <w:r w:rsidR="00E57773">
        <w:rPr>
          <w:color w:val="000000" w:themeColor="text1"/>
        </w:rPr>
        <w:t xml:space="preserve">. </w:t>
      </w:r>
      <w:r w:rsidRPr="00E57773">
        <w:rPr>
          <w:color w:val="000000" w:themeColor="text1"/>
        </w:rPr>
        <w:t xml:space="preserve">If switching data vendor for one or more instruments ultimately used </w:t>
      </w:r>
      <w:r>
        <w:t>for settlement or margining required full analysis for submission to NCA and potentially lead to Art.</w:t>
      </w:r>
      <w:r w:rsidR="00E57773">
        <w:t xml:space="preserve"> </w:t>
      </w:r>
      <w:r>
        <w:t>15 processes, it would be counterintuitive for at least these two reasons:</w:t>
      </w:r>
    </w:p>
    <w:p w14:paraId="189FEB48" w14:textId="2A012E3E" w:rsidR="00C3613F" w:rsidRDefault="00C3613F" w:rsidP="00F9109C">
      <w:pPr>
        <w:pStyle w:val="Kommentartext"/>
        <w:numPr>
          <w:ilvl w:val="1"/>
          <w:numId w:val="48"/>
        </w:numPr>
      </w:pPr>
      <w:r>
        <w:t xml:space="preserve">Firstly, no new products or services are being introduced when CCP decides to use new or different methods for obtaining prices so if </w:t>
      </w:r>
      <w:proofErr w:type="gramStart"/>
      <w:r>
        <w:t>anything</w:t>
      </w:r>
      <w:proofErr w:type="gramEnd"/>
      <w:r>
        <w:t xml:space="preserve"> this change would rather fit Art.</w:t>
      </w:r>
      <w:r w:rsidR="00E57773">
        <w:t xml:space="preserve"> </w:t>
      </w:r>
      <w:r>
        <w:t>49 process than Art.</w:t>
      </w:r>
      <w:r w:rsidR="00E57773">
        <w:t xml:space="preserve"> </w:t>
      </w:r>
      <w:r>
        <w:t xml:space="preserve">15 process. </w:t>
      </w:r>
    </w:p>
    <w:p w14:paraId="590E9A61" w14:textId="77777777" w:rsidR="00E57773" w:rsidRDefault="00C3613F" w:rsidP="00E57773">
      <w:pPr>
        <w:pStyle w:val="Kommentartext"/>
        <w:numPr>
          <w:ilvl w:val="1"/>
          <w:numId w:val="48"/>
        </w:numPr>
      </w:pPr>
      <w:r>
        <w:lastRenderedPageBreak/>
        <w:t>Secondly, this indicator may result in imped</w:t>
      </w:r>
      <w:r w:rsidR="00891562">
        <w:t>ing</w:t>
      </w:r>
      <w:r>
        <w:t xml:space="preserve"> the CCP operational management where the CCP may have to respond to changing market environment and vary the ways in which it obtains prices used either for margining or settlement purposes. It appears excessive to involve NCA, not to mention ESMA and E</w:t>
      </w:r>
      <w:r w:rsidR="006F2D13">
        <w:t xml:space="preserve">MIR </w:t>
      </w:r>
      <w:r>
        <w:t>college. It is important to mention that even relatively small CCPs typically use tens of data sources and methods for obtaining prices, depending on risk factors, instruments, model purpose, etc.</w:t>
      </w:r>
    </w:p>
    <w:p w14:paraId="78364AFE" w14:textId="20455B39" w:rsidR="00C3613F" w:rsidRDefault="00C3613F" w:rsidP="00E57773">
      <w:pPr>
        <w:pStyle w:val="Kommentartext"/>
        <w:ind w:left="720"/>
      </w:pPr>
      <w:r>
        <w:t>Alternatively, it might make sense to specify materiality threshold</w:t>
      </w:r>
      <w:r w:rsidR="00E57773">
        <w:t>s</w:t>
      </w:r>
      <w:r>
        <w:t>, for example extension affecting products covering more than 50% of Open Interest.</w:t>
      </w:r>
    </w:p>
    <w:p w14:paraId="5F3601AD" w14:textId="77777777" w:rsidR="003E5A17" w:rsidRPr="00F9109C" w:rsidRDefault="003E5A17" w:rsidP="00F9109C">
      <w:pPr>
        <w:pStyle w:val="Kommentartext"/>
        <w:ind w:left="720"/>
        <w:rPr>
          <w:szCs w:val="24"/>
        </w:rPr>
      </w:pPr>
    </w:p>
    <w:p w14:paraId="11C7874A" w14:textId="36CBE04F" w:rsidR="005C37B6" w:rsidRDefault="00C3613F" w:rsidP="007605E6">
      <w:pPr>
        <w:pStyle w:val="Kommentartext"/>
        <w:numPr>
          <w:ilvl w:val="0"/>
          <w:numId w:val="48"/>
        </w:numPr>
      </w:pPr>
      <w:r w:rsidRPr="00E57773">
        <w:rPr>
          <w:lang w:val="en-US"/>
        </w:rPr>
        <w:t>Re Art. 3 (e</w:t>
      </w:r>
      <w:r w:rsidRPr="00E57773">
        <w:rPr>
          <w:color w:val="000000" w:themeColor="text1"/>
          <w:lang w:val="en-US"/>
        </w:rPr>
        <w:t>)</w:t>
      </w:r>
      <w:r w:rsidR="005C37B6" w:rsidRPr="00E57773">
        <w:rPr>
          <w:color w:val="000000" w:themeColor="text1"/>
          <w:lang w:val="en-US"/>
        </w:rPr>
        <w:t xml:space="preserve"> (</w:t>
      </w:r>
      <w:proofErr w:type="spellStart"/>
      <w:r w:rsidR="005C37B6" w:rsidRPr="00E57773">
        <w:rPr>
          <w:color w:val="000000" w:themeColor="text1"/>
          <w:lang w:val="en-US"/>
        </w:rPr>
        <w:t>i</w:t>
      </w:r>
      <w:proofErr w:type="spellEnd"/>
      <w:r w:rsidR="005C37B6" w:rsidRPr="00E57773">
        <w:rPr>
          <w:color w:val="000000" w:themeColor="text1"/>
          <w:lang w:val="en-US"/>
        </w:rPr>
        <w:t>)</w:t>
      </w:r>
      <w:r w:rsidR="0F4C01FA" w:rsidRPr="00E57773">
        <w:rPr>
          <w:color w:val="000000" w:themeColor="text1"/>
          <w:lang w:val="en-US"/>
        </w:rPr>
        <w:t xml:space="preserve"> </w:t>
      </w:r>
      <w:r w:rsidR="66DABCB9" w:rsidRPr="00E57773">
        <w:rPr>
          <w:color w:val="000000" w:themeColor="text1"/>
          <w:lang w:val="en-US"/>
        </w:rPr>
        <w:t>-</w:t>
      </w:r>
      <w:r w:rsidR="0F4C01FA" w:rsidRPr="00E57773">
        <w:rPr>
          <w:color w:val="000000" w:themeColor="text1"/>
          <w:lang w:val="en-US"/>
        </w:rPr>
        <w:t xml:space="preserve"> </w:t>
      </w:r>
      <w:proofErr w:type="gramStart"/>
      <w:r w:rsidR="0F4C01FA" w:rsidRPr="00E57773">
        <w:rPr>
          <w:color w:val="000000" w:themeColor="text1"/>
          <w:lang w:val="en-US"/>
        </w:rPr>
        <w:t>Taking into account</w:t>
      </w:r>
      <w:proofErr w:type="gramEnd"/>
      <w:r w:rsidR="0F4C01FA" w:rsidRPr="00E57773">
        <w:rPr>
          <w:color w:val="000000" w:themeColor="text1"/>
          <w:lang w:val="en-US"/>
        </w:rPr>
        <w:t xml:space="preserve"> </w:t>
      </w:r>
      <w:r w:rsidR="6074A03C" w:rsidRPr="00E57773">
        <w:rPr>
          <w:color w:val="000000" w:themeColor="text1"/>
          <w:lang w:val="en-US"/>
        </w:rPr>
        <w:t>extension of the range of maturities</w:t>
      </w:r>
      <w:r w:rsidRPr="00E57773">
        <w:rPr>
          <w:color w:val="000000" w:themeColor="text1"/>
          <w:lang w:val="en-US"/>
        </w:rPr>
        <w:t>:</w:t>
      </w:r>
      <w:r w:rsidR="005C37B6" w:rsidRPr="00E57773">
        <w:rPr>
          <w:color w:val="000000" w:themeColor="text1"/>
          <w:lang w:val="en-US"/>
        </w:rPr>
        <w:t xml:space="preserve"> </w:t>
      </w:r>
      <w:r w:rsidR="005C37B6" w:rsidRPr="00E57773">
        <w:rPr>
          <w:color w:val="000000" w:themeColor="text1"/>
        </w:rPr>
        <w:t xml:space="preserve">One could question setting the exact value or whether a relative threshold would suffice. However, the key question is </w:t>
      </w:r>
      <w:proofErr w:type="gramStart"/>
      <w:r w:rsidR="005C37B6" w:rsidRPr="00E57773">
        <w:rPr>
          <w:color w:val="000000" w:themeColor="text1"/>
        </w:rPr>
        <w:t>actually whether</w:t>
      </w:r>
      <w:proofErr w:type="gramEnd"/>
      <w:r w:rsidR="005C37B6" w:rsidRPr="00E57773">
        <w:rPr>
          <w:color w:val="000000" w:themeColor="text1"/>
        </w:rPr>
        <w:t xml:space="preserve"> </w:t>
      </w:r>
      <w:r w:rsidR="0038302A" w:rsidRPr="00E57773">
        <w:rPr>
          <w:color w:val="000000" w:themeColor="text1"/>
        </w:rPr>
        <w:t xml:space="preserve">a </w:t>
      </w:r>
      <w:r w:rsidR="005C37B6" w:rsidRPr="00E57773">
        <w:rPr>
          <w:color w:val="000000" w:themeColor="text1"/>
        </w:rPr>
        <w:t>CCP extending the maximum maturity of its single stock future</w:t>
      </w:r>
      <w:r w:rsidR="0038302A" w:rsidRPr="00E57773">
        <w:rPr>
          <w:color w:val="000000" w:themeColor="text1"/>
        </w:rPr>
        <w:t>, for example,</w:t>
      </w:r>
      <w:r w:rsidR="005C37B6" w:rsidRPr="00E57773">
        <w:rPr>
          <w:color w:val="000000" w:themeColor="text1"/>
        </w:rPr>
        <w:t xml:space="preserve"> from 1 y</w:t>
      </w:r>
      <w:r w:rsidR="00B003C7" w:rsidRPr="00E57773">
        <w:rPr>
          <w:color w:val="000000" w:themeColor="text1"/>
        </w:rPr>
        <w:t>ear</w:t>
      </w:r>
      <w:r w:rsidR="005C37B6" w:rsidRPr="00E57773">
        <w:rPr>
          <w:color w:val="000000" w:themeColor="text1"/>
        </w:rPr>
        <w:t xml:space="preserve"> to 3</w:t>
      </w:r>
      <w:r w:rsidR="00B003C7" w:rsidRPr="00E57773">
        <w:rPr>
          <w:color w:val="000000" w:themeColor="text1"/>
        </w:rPr>
        <w:t xml:space="preserve"> years</w:t>
      </w:r>
      <w:r w:rsidR="005C37B6" w:rsidRPr="00E57773">
        <w:rPr>
          <w:color w:val="000000" w:themeColor="text1"/>
        </w:rPr>
        <w:t xml:space="preserve"> is something that both </w:t>
      </w:r>
      <w:r w:rsidR="00A94574" w:rsidRPr="00E57773">
        <w:rPr>
          <w:color w:val="000000" w:themeColor="text1"/>
        </w:rPr>
        <w:t>NCA</w:t>
      </w:r>
      <w:r w:rsidR="005C37B6" w:rsidRPr="00E57773">
        <w:rPr>
          <w:color w:val="000000" w:themeColor="text1"/>
        </w:rPr>
        <w:t xml:space="preserve"> and the </w:t>
      </w:r>
      <w:r w:rsidR="00E57773" w:rsidRPr="00E57773">
        <w:rPr>
          <w:color w:val="000000" w:themeColor="text1"/>
        </w:rPr>
        <w:t xml:space="preserve">EMIR </w:t>
      </w:r>
      <w:r w:rsidR="005C37B6" w:rsidRPr="00E57773">
        <w:rPr>
          <w:color w:val="000000" w:themeColor="text1"/>
        </w:rPr>
        <w:t>college should analys</w:t>
      </w:r>
      <w:r w:rsidR="00E57773" w:rsidRPr="00E57773">
        <w:rPr>
          <w:color w:val="000000" w:themeColor="text1"/>
        </w:rPr>
        <w:t>e</w:t>
      </w:r>
      <w:r w:rsidR="005C37B6" w:rsidRPr="00E57773">
        <w:rPr>
          <w:color w:val="000000" w:themeColor="text1"/>
        </w:rPr>
        <w:t>.</w:t>
      </w:r>
      <w:r w:rsidR="00E57773">
        <w:rPr>
          <w:color w:val="000000" w:themeColor="text1"/>
        </w:rPr>
        <w:t xml:space="preserve"> </w:t>
      </w:r>
      <w:r w:rsidR="005C37B6" w:rsidRPr="00E57773">
        <w:rPr>
          <w:color w:val="000000" w:themeColor="text1"/>
        </w:rPr>
        <w:t xml:space="preserve">If ESMA has a specific concern with a </w:t>
      </w:r>
      <w:proofErr w:type="gramStart"/>
      <w:r w:rsidR="005C37B6" w:rsidRPr="00E57773">
        <w:rPr>
          <w:color w:val="000000" w:themeColor="text1"/>
        </w:rPr>
        <w:t>particular type of maturity</w:t>
      </w:r>
      <w:proofErr w:type="gramEnd"/>
      <w:r w:rsidR="005C37B6" w:rsidRPr="00E57773">
        <w:rPr>
          <w:color w:val="000000" w:themeColor="text1"/>
        </w:rPr>
        <w:t xml:space="preserve"> </w:t>
      </w:r>
      <w:r w:rsidR="005C37B6" w:rsidRPr="005C37B6">
        <w:t>extensions, we would recommend addressing those more specific concerns</w:t>
      </w:r>
      <w:r w:rsidR="00B003C7">
        <w:t xml:space="preserve"> in order to avoid a situation where</w:t>
      </w:r>
      <w:r w:rsidR="00E57773">
        <w:t xml:space="preserve"> </w:t>
      </w:r>
      <w:r w:rsidR="005C37B6" w:rsidRPr="005C37B6">
        <w:t>this point alone wi</w:t>
      </w:r>
      <w:r w:rsidR="00B003C7">
        <w:t>ll</w:t>
      </w:r>
      <w:r w:rsidR="005C37B6" w:rsidRPr="005C37B6">
        <w:t xml:space="preserve"> generate several requests every quarter</w:t>
      </w:r>
      <w:r w:rsidR="005C37B6">
        <w:t>.</w:t>
      </w:r>
    </w:p>
    <w:p w14:paraId="3E71A5C8" w14:textId="77777777" w:rsidR="003E5A17" w:rsidRPr="00F9109C" w:rsidRDefault="003E5A17" w:rsidP="00F9109C">
      <w:pPr>
        <w:pStyle w:val="Listenabsatz"/>
        <w:rPr>
          <w:color w:val="000000" w:themeColor="text1"/>
        </w:rPr>
      </w:pPr>
    </w:p>
    <w:p w14:paraId="34C43238" w14:textId="33B28DB2" w:rsidR="00B003C7" w:rsidRDefault="005C37B6" w:rsidP="60E8DD6E">
      <w:pPr>
        <w:pStyle w:val="Listenabsatz"/>
        <w:numPr>
          <w:ilvl w:val="0"/>
          <w:numId w:val="48"/>
        </w:numPr>
      </w:pPr>
      <w:r w:rsidRPr="00F9109C">
        <w:rPr>
          <w:color w:val="000000" w:themeColor="text1"/>
          <w:lang w:val="en-US"/>
        </w:rPr>
        <w:t>Re Art. 3 (e) (ii</w:t>
      </w:r>
      <w:r w:rsidR="66DABCB9" w:rsidRPr="00F9109C">
        <w:rPr>
          <w:color w:val="000000" w:themeColor="text1"/>
          <w:lang w:val="en-US"/>
        </w:rPr>
        <w:t xml:space="preserve">) </w:t>
      </w:r>
      <w:r w:rsidR="2E3B62D3" w:rsidRPr="00F9109C">
        <w:rPr>
          <w:color w:val="000000" w:themeColor="text1"/>
          <w:lang w:val="en-US"/>
        </w:rPr>
        <w:t xml:space="preserve">- </w:t>
      </w:r>
      <w:proofErr w:type="gramStart"/>
      <w:r w:rsidR="2E3B62D3" w:rsidRPr="00F9109C">
        <w:rPr>
          <w:color w:val="000000" w:themeColor="text1"/>
          <w:lang w:val="en-US"/>
        </w:rPr>
        <w:t>Taking into account</w:t>
      </w:r>
      <w:proofErr w:type="gramEnd"/>
      <w:r w:rsidR="2E3B62D3" w:rsidRPr="00F9109C">
        <w:rPr>
          <w:color w:val="000000" w:themeColor="text1"/>
          <w:lang w:val="en-US"/>
        </w:rPr>
        <w:t xml:space="preserve"> the introduction of new </w:t>
      </w:r>
      <w:r w:rsidR="3364AAA1" w:rsidRPr="00F9109C">
        <w:rPr>
          <w:color w:val="000000" w:themeColor="text1"/>
          <w:lang w:val="en-US"/>
        </w:rPr>
        <w:t xml:space="preserve">option </w:t>
      </w:r>
      <w:r w:rsidR="2E3B62D3" w:rsidRPr="00F9109C">
        <w:rPr>
          <w:color w:val="000000" w:themeColor="text1"/>
          <w:lang w:val="en-US"/>
        </w:rPr>
        <w:t>exercise styles</w:t>
      </w:r>
      <w:r w:rsidRPr="00F9109C">
        <w:rPr>
          <w:color w:val="000000" w:themeColor="text1"/>
          <w:lang w:val="en-US"/>
        </w:rPr>
        <w:t xml:space="preserve">: </w:t>
      </w:r>
      <w:r w:rsidRPr="00F9109C">
        <w:rPr>
          <w:color w:val="000000" w:themeColor="text1"/>
        </w:rPr>
        <w:t xml:space="preserve">We understand that this point would refer to the first introduction of a new option exercise style to the CCP and not to subsequent introduction of certain option exercise styles for other products. For example, CCP might list 300 products with American Exercise Style and 200 products with European exercise style. We would </w:t>
      </w:r>
      <w:r>
        <w:t xml:space="preserve">understand that listing another product with either of those exercise style would not be a trigger for </w:t>
      </w:r>
      <w:r w:rsidR="0038302A">
        <w:t>Art. 3 (e) (ii)</w:t>
      </w:r>
      <w:r>
        <w:t xml:space="preserve">. </w:t>
      </w:r>
      <w:r w:rsidR="00E57773">
        <w:t>A respective clarification by E</w:t>
      </w:r>
      <w:r>
        <w:t xml:space="preserve">SMA </w:t>
      </w:r>
      <w:r w:rsidR="00E57773">
        <w:t>would be highly appreciated.</w:t>
      </w:r>
    </w:p>
    <w:p w14:paraId="0E8CF349" w14:textId="77777777" w:rsidR="003E5A17" w:rsidRDefault="003E5A17" w:rsidP="00F9109C">
      <w:pPr>
        <w:pStyle w:val="Listenabsatz"/>
      </w:pPr>
    </w:p>
    <w:p w14:paraId="71D97111" w14:textId="46691675" w:rsidR="003E5A17" w:rsidRDefault="00B003C7" w:rsidP="00DD01AE">
      <w:pPr>
        <w:pStyle w:val="Listenabsatz"/>
        <w:numPr>
          <w:ilvl w:val="0"/>
          <w:numId w:val="48"/>
        </w:numPr>
      </w:pPr>
      <w:r>
        <w:t>Re Art. 3</w:t>
      </w:r>
      <w:r w:rsidR="0038302A">
        <w:t xml:space="preserve"> </w:t>
      </w:r>
      <w:r>
        <w:t>(f</w:t>
      </w:r>
      <w:r w:rsidRPr="00F9109C">
        <w:rPr>
          <w:color w:val="000000" w:themeColor="text1"/>
        </w:rPr>
        <w:t>)</w:t>
      </w:r>
      <w:r w:rsidR="0038302A">
        <w:rPr>
          <w:color w:val="000000" w:themeColor="text1"/>
        </w:rPr>
        <w:t xml:space="preserve"> </w:t>
      </w:r>
      <w:r w:rsidRPr="00F9109C">
        <w:rPr>
          <w:color w:val="000000" w:themeColor="text1"/>
        </w:rPr>
        <w:t>(</w:t>
      </w:r>
      <w:proofErr w:type="spellStart"/>
      <w:r w:rsidRPr="00F9109C">
        <w:rPr>
          <w:color w:val="000000" w:themeColor="text1"/>
        </w:rPr>
        <w:t>i</w:t>
      </w:r>
      <w:proofErr w:type="spellEnd"/>
      <w:r w:rsidRPr="00F9109C">
        <w:rPr>
          <w:color w:val="000000" w:themeColor="text1"/>
        </w:rPr>
        <w:t>)</w:t>
      </w:r>
      <w:r w:rsidR="7DDA3F60" w:rsidRPr="00F9109C">
        <w:rPr>
          <w:color w:val="000000" w:themeColor="text1"/>
        </w:rPr>
        <w:t xml:space="preserve"> - Introduction of new derivates</w:t>
      </w:r>
      <w:r w:rsidR="527EAB0B" w:rsidRPr="00F9109C">
        <w:rPr>
          <w:color w:val="000000" w:themeColor="text1"/>
        </w:rPr>
        <w:t xml:space="preserve"> of similar </w:t>
      </w:r>
      <w:r w:rsidR="5CBE2650" w:rsidRPr="00F9109C">
        <w:rPr>
          <w:color w:val="000000" w:themeColor="text1"/>
        </w:rPr>
        <w:t>profile but referencing new index/benchmark</w:t>
      </w:r>
      <w:r w:rsidRPr="00F9109C">
        <w:rPr>
          <w:color w:val="000000" w:themeColor="text1"/>
        </w:rPr>
        <w:t xml:space="preserve">: </w:t>
      </w:r>
      <w:r w:rsidR="0025355D">
        <w:rPr>
          <w:color w:val="000000" w:themeColor="text1"/>
        </w:rPr>
        <w:t>W</w:t>
      </w:r>
      <w:r w:rsidRPr="00F9109C">
        <w:rPr>
          <w:color w:val="000000" w:themeColor="text1"/>
        </w:rPr>
        <w:t xml:space="preserve">e would welcome a clarification </w:t>
      </w:r>
      <w:r>
        <w:t>that this indicator would not be triggered when contracts are modified to refer to similar benchmarks or fallback rates as part of the IBOR reform. Otherwise, all EU CCPs would be deemed requiring an extension of authorisation for complying with the Benchmarks Regulation.</w:t>
      </w:r>
    </w:p>
    <w:p w14:paraId="488F6596" w14:textId="77777777" w:rsidR="00E57773" w:rsidRDefault="00E57773" w:rsidP="00E57773">
      <w:pPr>
        <w:ind w:left="709"/>
      </w:pPr>
    </w:p>
    <w:p w14:paraId="37562D1D" w14:textId="1B4E118B" w:rsidR="00B003C7" w:rsidRDefault="001C5C61" w:rsidP="00F9109C">
      <w:pPr>
        <w:pStyle w:val="Listenabsatz"/>
        <w:numPr>
          <w:ilvl w:val="0"/>
          <w:numId w:val="48"/>
        </w:numPr>
        <w:rPr>
          <w:color w:val="000000" w:themeColor="text1"/>
        </w:rPr>
      </w:pPr>
      <w:r w:rsidRPr="00F9109C">
        <w:t xml:space="preserve">Re Art. 3 (f) (ii) </w:t>
      </w:r>
      <w:r w:rsidR="1242389D" w:rsidRPr="00F9109C">
        <w:rPr>
          <w:color w:val="000000" w:themeColor="text1"/>
        </w:rPr>
        <w:t>- C</w:t>
      </w:r>
      <w:r w:rsidRPr="00F9109C">
        <w:rPr>
          <w:color w:val="000000" w:themeColor="text1"/>
        </w:rPr>
        <w:t xml:space="preserve">urrencies with different levels of transferability or different pegging regimes: We notice that this point stands in contradiction to </w:t>
      </w:r>
      <w:r w:rsidR="006F2D13">
        <w:rPr>
          <w:color w:val="000000" w:themeColor="text1"/>
        </w:rPr>
        <w:t xml:space="preserve">the </w:t>
      </w:r>
      <w:r w:rsidRPr="00F9109C">
        <w:rPr>
          <w:color w:val="000000" w:themeColor="text1"/>
        </w:rPr>
        <w:t>criterion in Art. 2(d) which would result in automatic Art.15 procedure for any ‘contracts referencing a new currency (…)’. Art. 2</w:t>
      </w:r>
      <w:r w:rsidR="001B1873">
        <w:rPr>
          <w:color w:val="000000" w:themeColor="text1"/>
        </w:rPr>
        <w:t xml:space="preserve"> </w:t>
      </w:r>
      <w:r w:rsidRPr="00F9109C">
        <w:rPr>
          <w:color w:val="000000" w:themeColor="text1"/>
        </w:rPr>
        <w:t xml:space="preserve">(d), when applied to contracts referencing new currencies, is both wider and stricter than indicator Art 3 f (ii) and thus the specific part of ‘currencies with different levels of transferability or different pegging regimes’ appears redundant. Having said that and in line with our comment regarding 2 (d), we see indicator </w:t>
      </w:r>
      <w:r w:rsidR="005E01B8">
        <w:rPr>
          <w:color w:val="000000" w:themeColor="text1"/>
        </w:rPr>
        <w:t xml:space="preserve">outlined in Art. </w:t>
      </w:r>
      <w:r w:rsidRPr="00F9109C">
        <w:rPr>
          <w:color w:val="000000" w:themeColor="text1"/>
        </w:rPr>
        <w:t>3 (f) as more appropriate formulation and would recommend removing criterion 2 (d).</w:t>
      </w:r>
    </w:p>
    <w:p w14:paraId="265AE48D" w14:textId="77777777" w:rsidR="001B1873" w:rsidRPr="001B1873" w:rsidRDefault="001B1873" w:rsidP="001B1873">
      <w:pPr>
        <w:ind w:left="709"/>
        <w:rPr>
          <w:color w:val="000000" w:themeColor="text1"/>
        </w:rPr>
      </w:pPr>
    </w:p>
    <w:p w14:paraId="09CA4131" w14:textId="2D2329C6" w:rsidR="00AF6F18" w:rsidRPr="00F9109C" w:rsidRDefault="001B1873" w:rsidP="00F9109C">
      <w:pPr>
        <w:pStyle w:val="Listenabsatz"/>
        <w:numPr>
          <w:ilvl w:val="0"/>
          <w:numId w:val="48"/>
        </w:numPr>
      </w:pPr>
      <w:r w:rsidRPr="00F9109C">
        <w:t>Re Art. 3 (f) (ii)</w:t>
      </w:r>
      <w:r>
        <w:t xml:space="preserve">, (iii), (iv) - </w:t>
      </w:r>
      <w:r w:rsidR="00B003C7" w:rsidRPr="00F9109C">
        <w:rPr>
          <w:color w:val="000000" w:themeColor="text1"/>
        </w:rPr>
        <w:t xml:space="preserve">Additionally some parts </w:t>
      </w:r>
      <w:r w:rsidR="005E4A4B" w:rsidRPr="00F9109C">
        <w:rPr>
          <w:color w:val="000000" w:themeColor="text1"/>
        </w:rPr>
        <w:t>of Art.</w:t>
      </w:r>
      <w:r w:rsidR="005E01B8">
        <w:rPr>
          <w:color w:val="000000" w:themeColor="text1"/>
        </w:rPr>
        <w:t xml:space="preserve"> </w:t>
      </w:r>
      <w:r w:rsidR="005E4A4B" w:rsidRPr="00F9109C">
        <w:rPr>
          <w:color w:val="000000" w:themeColor="text1"/>
        </w:rPr>
        <w:t>3</w:t>
      </w:r>
      <w:r w:rsidR="005E01B8">
        <w:rPr>
          <w:color w:val="000000" w:themeColor="text1"/>
        </w:rPr>
        <w:t xml:space="preserve"> </w:t>
      </w:r>
      <w:r w:rsidR="005E4A4B" w:rsidRPr="00F9109C">
        <w:rPr>
          <w:color w:val="000000" w:themeColor="text1"/>
        </w:rPr>
        <w:t>(f) e.g. “</w:t>
      </w:r>
      <w:r w:rsidR="005E4A4B">
        <w:t xml:space="preserve">different credit worthiness” or “securities with different seniority” appears extremely granular without bringing material help in assessing whether the CCP is exposed to more risk. We believe </w:t>
      </w:r>
      <w:proofErr w:type="gramStart"/>
      <w:r w:rsidR="005E4A4B">
        <w:t>this risks</w:t>
      </w:r>
      <w:proofErr w:type="gramEnd"/>
      <w:r w:rsidR="005E4A4B">
        <w:t xml:space="preserve"> creating extremely long processes for validation without material benefit.</w:t>
      </w:r>
    </w:p>
    <w:permEnd w:id="552622156"/>
    <w:p w14:paraId="426F44F3" w14:textId="77777777" w:rsidR="001B1873" w:rsidRDefault="001B1873" w:rsidP="00CC38E9">
      <w:pPr>
        <w:rPr>
          <w:lang w:val="en-US"/>
        </w:rPr>
      </w:pPr>
    </w:p>
    <w:p w14:paraId="056BA711" w14:textId="39065172" w:rsidR="00CC38E9" w:rsidRPr="00843A3F" w:rsidRDefault="00CC38E9" w:rsidP="00CC38E9">
      <w:pPr>
        <w:rPr>
          <w:lang w:val="en-US"/>
        </w:rPr>
      </w:pPr>
      <w:r w:rsidRPr="00843A3F">
        <w:rPr>
          <w:lang w:val="en-US"/>
        </w:rPr>
        <w:t>&lt;ESMA_</w:t>
      </w:r>
      <w:r w:rsidR="00C93A9C" w:rsidRPr="00843A3F">
        <w:rPr>
          <w:lang w:val="en-US"/>
        </w:rPr>
        <w:t>QUESTION_</w:t>
      </w:r>
      <w:r w:rsidR="00106124" w:rsidRPr="00843A3F">
        <w:rPr>
          <w:lang w:val="en-US"/>
        </w:rPr>
        <w:t>RTS1549</w:t>
      </w:r>
      <w:r w:rsidR="00C93A9C" w:rsidRPr="00843A3F">
        <w:rPr>
          <w:lang w:val="en-US"/>
        </w:rPr>
        <w:t>_</w:t>
      </w:r>
      <w:r w:rsidR="00CD3899" w:rsidRPr="00843A3F">
        <w:rPr>
          <w:lang w:val="en-US"/>
        </w:rPr>
        <w:t>3</w:t>
      </w:r>
      <w:r w:rsidRPr="00843A3F">
        <w:rPr>
          <w:lang w:val="en-US"/>
        </w:rPr>
        <w:t>&gt;</w:t>
      </w:r>
    </w:p>
    <w:p w14:paraId="0DF4E5A2" w14:textId="77777777" w:rsidR="00CC38E9" w:rsidRPr="00843A3F" w:rsidRDefault="00CC38E9" w:rsidP="00170D44">
      <w:pPr>
        <w:rPr>
          <w:b/>
          <w:lang w:val="en-US"/>
        </w:rPr>
      </w:pPr>
    </w:p>
    <w:p w14:paraId="071A4302" w14:textId="0D9C3877" w:rsidR="00014A67" w:rsidRDefault="00014A67" w:rsidP="00177C6B">
      <w:pPr>
        <w:pStyle w:val="Questionstyle"/>
      </w:pPr>
      <w:r>
        <w:t xml:space="preserve">: </w:t>
      </w:r>
      <w:r w:rsidR="00953A42" w:rsidRPr="00106124">
        <w:t>Would you change certain criteria into indicators or vice-versa (under Article 15 of EMIR)? Please provide reasons for your answer</w:t>
      </w:r>
    </w:p>
    <w:p w14:paraId="15895E53" w14:textId="1E72F894"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4</w:t>
      </w:r>
      <w:r>
        <w:rPr>
          <w:lang w:eastAsia="en-US"/>
        </w:rPr>
        <w:t>&gt;</w:t>
      </w:r>
    </w:p>
    <w:p w14:paraId="26F12097" w14:textId="63573630" w:rsidR="00FB283E" w:rsidRPr="00F9109C" w:rsidRDefault="00FB283E" w:rsidP="00AF6F18">
      <w:pPr>
        <w:rPr>
          <w:lang w:val="en-US"/>
        </w:rPr>
      </w:pPr>
      <w:permStart w:id="21781189" w:edGrp="everyone"/>
      <w:r w:rsidRPr="00F9109C">
        <w:rPr>
          <w:lang w:val="en-US"/>
        </w:rPr>
        <w:t xml:space="preserve">In consideration of </w:t>
      </w:r>
      <w:r>
        <w:rPr>
          <w:lang w:val="en-US"/>
        </w:rPr>
        <w:t xml:space="preserve">our answers to the questions above, we would welcome a recategorization as follows: </w:t>
      </w:r>
    </w:p>
    <w:p w14:paraId="3253CC42" w14:textId="03FFBAA8" w:rsidR="00FB283E" w:rsidRDefault="0025355D" w:rsidP="00F9109C">
      <w:pPr>
        <w:pStyle w:val="Listenabsatz"/>
        <w:numPr>
          <w:ilvl w:val="0"/>
          <w:numId w:val="48"/>
        </w:numPr>
        <w:rPr>
          <w:color w:val="000000" w:themeColor="text1"/>
        </w:rPr>
      </w:pPr>
      <w:r>
        <w:t xml:space="preserve">Re </w:t>
      </w:r>
      <w:r w:rsidR="00FB283E" w:rsidRPr="00F9109C">
        <w:t xml:space="preserve">Art. 2 </w:t>
      </w:r>
      <w:r w:rsidR="00FB283E" w:rsidRPr="00F9109C">
        <w:rPr>
          <w:color w:val="000000" w:themeColor="text1"/>
        </w:rPr>
        <w:t xml:space="preserve">(c) </w:t>
      </w:r>
      <w:r w:rsidR="1C6AB694" w:rsidRPr="00F9109C">
        <w:rPr>
          <w:color w:val="000000" w:themeColor="text1"/>
        </w:rPr>
        <w:t>- Int</w:t>
      </w:r>
      <w:r w:rsidR="26DB20E3" w:rsidRPr="00F9109C">
        <w:rPr>
          <w:color w:val="000000" w:themeColor="text1"/>
        </w:rPr>
        <w:t>ention to offer a new settlement or delivery mechanism</w:t>
      </w:r>
      <w:r w:rsidR="7A0CC826" w:rsidRPr="00F9109C">
        <w:rPr>
          <w:color w:val="000000" w:themeColor="text1"/>
        </w:rPr>
        <w:t xml:space="preserve"> or service: </w:t>
      </w:r>
      <w:r w:rsidR="00EC0623" w:rsidRPr="00F9109C">
        <w:rPr>
          <w:color w:val="000000" w:themeColor="text1"/>
        </w:rPr>
        <w:t xml:space="preserve">We would welcome </w:t>
      </w:r>
      <w:proofErr w:type="gramStart"/>
      <w:r w:rsidR="00EC0623" w:rsidRPr="00F9109C">
        <w:rPr>
          <w:color w:val="000000" w:themeColor="text1"/>
        </w:rPr>
        <w:t>this criteria</w:t>
      </w:r>
      <w:proofErr w:type="gramEnd"/>
      <w:r w:rsidR="00EC0623" w:rsidRPr="00F9109C">
        <w:rPr>
          <w:color w:val="000000" w:themeColor="text1"/>
        </w:rPr>
        <w:t xml:space="preserve"> to be</w:t>
      </w:r>
      <w:r w:rsidR="00FB283E" w:rsidRPr="00F9109C">
        <w:rPr>
          <w:color w:val="000000" w:themeColor="text1"/>
        </w:rPr>
        <w:t xml:space="preserve"> downgraded to indicators. In </w:t>
      </w:r>
      <w:proofErr w:type="gramStart"/>
      <w:r w:rsidR="00FB283E" w:rsidRPr="00F9109C">
        <w:rPr>
          <w:color w:val="000000" w:themeColor="text1"/>
        </w:rPr>
        <w:t>all of</w:t>
      </w:r>
      <w:proofErr w:type="gramEnd"/>
      <w:r w:rsidR="00FB283E" w:rsidRPr="00F9109C">
        <w:rPr>
          <w:color w:val="000000" w:themeColor="text1"/>
        </w:rPr>
        <w:t xml:space="preserve"> these cases, it is not evident that the </w:t>
      </w:r>
      <w:r w:rsidR="00FB283E" w:rsidRPr="00F9109C">
        <w:rPr>
          <w:color w:val="000000" w:themeColor="text1"/>
        </w:rPr>
        <w:lastRenderedPageBreak/>
        <w:t xml:space="preserve">sole presence of any of these points automatically leads to material risks for the CCP that may only </w:t>
      </w:r>
      <w:r w:rsidR="008E01A3">
        <w:rPr>
          <w:color w:val="000000" w:themeColor="text1"/>
        </w:rPr>
        <w:t xml:space="preserve">be </w:t>
      </w:r>
      <w:r w:rsidR="00FB283E" w:rsidRPr="00F9109C">
        <w:rPr>
          <w:color w:val="000000" w:themeColor="text1"/>
        </w:rPr>
        <w:t>addressed in Art. 15 EMIR procedure.</w:t>
      </w:r>
    </w:p>
    <w:p w14:paraId="04A8762F" w14:textId="77777777" w:rsidR="001B1873" w:rsidRPr="00F9109C" w:rsidRDefault="001B1873" w:rsidP="001B1873">
      <w:pPr>
        <w:pStyle w:val="Listenabsatz"/>
        <w:rPr>
          <w:color w:val="000000" w:themeColor="text1"/>
        </w:rPr>
      </w:pPr>
    </w:p>
    <w:p w14:paraId="68BACAAF" w14:textId="39F551FD" w:rsidR="00AF6F18" w:rsidRPr="00F9109C" w:rsidRDefault="0025355D" w:rsidP="00F9109C">
      <w:pPr>
        <w:pStyle w:val="Listenabsatz"/>
        <w:numPr>
          <w:ilvl w:val="0"/>
          <w:numId w:val="48"/>
        </w:numPr>
        <w:rPr>
          <w:lang w:val="en-US"/>
        </w:rPr>
      </w:pPr>
      <w:r>
        <w:rPr>
          <w:color w:val="000000" w:themeColor="text1"/>
        </w:rPr>
        <w:t>Re</w:t>
      </w:r>
      <w:r w:rsidR="00FB283E" w:rsidRPr="00F9109C">
        <w:rPr>
          <w:color w:val="000000" w:themeColor="text1"/>
        </w:rPr>
        <w:t xml:space="preserve"> </w:t>
      </w:r>
      <w:r w:rsidR="001C5C61" w:rsidRPr="00F9109C">
        <w:rPr>
          <w:color w:val="000000" w:themeColor="text1"/>
        </w:rPr>
        <w:t>Art 2</w:t>
      </w:r>
      <w:r w:rsidR="005E01B8">
        <w:rPr>
          <w:color w:val="000000" w:themeColor="text1"/>
        </w:rPr>
        <w:t xml:space="preserve"> </w:t>
      </w:r>
      <w:r w:rsidR="001C5C61" w:rsidRPr="00F9109C">
        <w:rPr>
          <w:color w:val="000000" w:themeColor="text1"/>
        </w:rPr>
        <w:t xml:space="preserve">(d) </w:t>
      </w:r>
      <w:r>
        <w:rPr>
          <w:color w:val="000000" w:themeColor="text1"/>
        </w:rPr>
        <w:t xml:space="preserve">- </w:t>
      </w:r>
      <w:r w:rsidR="64DC3985" w:rsidRPr="00F9109C">
        <w:rPr>
          <w:color w:val="000000" w:themeColor="text1"/>
        </w:rPr>
        <w:t>Intention to offer a service</w:t>
      </w:r>
      <w:r w:rsidR="5A96654C" w:rsidRPr="00F9109C">
        <w:rPr>
          <w:color w:val="000000" w:themeColor="text1"/>
        </w:rPr>
        <w:t>/perform</w:t>
      </w:r>
      <w:r w:rsidR="18655FF5" w:rsidRPr="00F9109C">
        <w:rPr>
          <w:color w:val="000000" w:themeColor="text1"/>
        </w:rPr>
        <w:t xml:space="preserve"> </w:t>
      </w:r>
      <w:r w:rsidR="5A96654C" w:rsidRPr="00F9109C">
        <w:rPr>
          <w:color w:val="000000" w:themeColor="text1"/>
        </w:rPr>
        <w:t>activity referencing new currency</w:t>
      </w:r>
      <w:r>
        <w:rPr>
          <w:color w:val="000000" w:themeColor="text1"/>
        </w:rPr>
        <w:t>:</w:t>
      </w:r>
      <w:r w:rsidR="18655FF5" w:rsidRPr="00F9109C">
        <w:rPr>
          <w:color w:val="000000" w:themeColor="text1"/>
        </w:rPr>
        <w:t xml:space="preserve"> </w:t>
      </w:r>
      <w:r w:rsidRPr="00002FDA">
        <w:rPr>
          <w:color w:val="000000" w:themeColor="text1"/>
        </w:rPr>
        <w:t xml:space="preserve">We would appreciate a review </w:t>
      </w:r>
      <w:r w:rsidR="001C5C61" w:rsidRPr="00F9109C">
        <w:rPr>
          <w:color w:val="000000" w:themeColor="text1"/>
        </w:rPr>
        <w:t>for the reasons mentioned above</w:t>
      </w:r>
      <w:r w:rsidR="00FB283E" w:rsidRPr="00F9109C">
        <w:rPr>
          <w:color w:val="000000" w:themeColor="text1"/>
        </w:rPr>
        <w:t xml:space="preserve"> as </w:t>
      </w:r>
      <w:r w:rsidR="000B23AC" w:rsidRPr="00F9109C">
        <w:rPr>
          <w:color w:val="000000" w:themeColor="text1"/>
        </w:rPr>
        <w:t>it appears unnecessarily restrictive</w:t>
      </w:r>
      <w:r w:rsidR="001C5C61" w:rsidRPr="00F9109C">
        <w:rPr>
          <w:color w:val="000000" w:themeColor="text1"/>
        </w:rPr>
        <w:t>.</w:t>
      </w:r>
      <w:r w:rsidR="000B23AC" w:rsidRPr="00F9109C">
        <w:rPr>
          <w:color w:val="000000" w:themeColor="text1"/>
        </w:rPr>
        <w:t xml:space="preserve"> Furthermore,</w:t>
      </w:r>
      <w:r w:rsidR="001C5C61" w:rsidRPr="00F9109C">
        <w:rPr>
          <w:color w:val="000000" w:themeColor="text1"/>
        </w:rPr>
        <w:t xml:space="preserve"> </w:t>
      </w:r>
      <w:r w:rsidR="000B23AC" w:rsidRPr="00F9109C">
        <w:rPr>
          <w:color w:val="000000" w:themeColor="text1"/>
        </w:rPr>
        <w:t>w</w:t>
      </w:r>
      <w:r w:rsidR="001C5C61" w:rsidRPr="00F9109C">
        <w:rPr>
          <w:color w:val="000000" w:themeColor="text1"/>
        </w:rPr>
        <w:t xml:space="preserve">e </w:t>
      </w:r>
      <w:r w:rsidR="000B23AC" w:rsidRPr="00F9109C">
        <w:rPr>
          <w:color w:val="000000" w:themeColor="text1"/>
        </w:rPr>
        <w:t>believe there is overlap to Art</w:t>
      </w:r>
      <w:r w:rsidR="009E2535">
        <w:rPr>
          <w:color w:val="000000" w:themeColor="text1"/>
        </w:rPr>
        <w:t>.</w:t>
      </w:r>
      <w:r w:rsidR="000B23AC" w:rsidRPr="00F9109C">
        <w:rPr>
          <w:color w:val="000000" w:themeColor="text1"/>
        </w:rPr>
        <w:t xml:space="preserve"> </w:t>
      </w:r>
      <w:r w:rsidR="000B23AC" w:rsidRPr="00F9109C">
        <w:t>3 f (ii). I</w:t>
      </w:r>
      <w:r w:rsidR="000B23AC" w:rsidRPr="00DD01AE">
        <w:t xml:space="preserve">n line with our comment regarding 2 (d), we see indicator 3 (f) as more appropriate formulation and would recommend removing criterion 2 (d) </w:t>
      </w:r>
      <w:r w:rsidR="000B23AC" w:rsidRPr="00F9109C">
        <w:t>or to move this to an indicator such that a more nuanced assessment is possible.</w:t>
      </w:r>
    </w:p>
    <w:permEnd w:id="21781189"/>
    <w:p w14:paraId="10190867" w14:textId="77777777" w:rsidR="001B1873" w:rsidRPr="00A73BAB" w:rsidRDefault="001B1873" w:rsidP="003331A2">
      <w:pPr>
        <w:rPr>
          <w:lang w:val="en-US" w:eastAsia="en-US"/>
        </w:rPr>
      </w:pPr>
    </w:p>
    <w:p w14:paraId="23F8B451" w14:textId="13571DA5" w:rsidR="00014A67" w:rsidRPr="00C31A5A" w:rsidRDefault="003331A2" w:rsidP="003331A2">
      <w:pPr>
        <w:rPr>
          <w:lang w:val="fr-FR" w:eastAsia="en-US"/>
        </w:rPr>
      </w:pPr>
      <w:r w:rsidRPr="00C31A5A">
        <w:rPr>
          <w:lang w:val="fr-FR" w:eastAsia="en-US"/>
        </w:rPr>
        <w:t>&lt;ESMA_</w:t>
      </w:r>
      <w:r w:rsidR="00C93A9C" w:rsidRPr="00C31A5A">
        <w:rPr>
          <w:lang w:val="fr-FR" w:eastAsia="en-US"/>
        </w:rPr>
        <w:t>QUESTION_</w:t>
      </w:r>
      <w:r w:rsidR="00106124" w:rsidRPr="00C31A5A">
        <w:rPr>
          <w:lang w:val="fr-FR" w:eastAsia="en-US"/>
        </w:rPr>
        <w:t>RTS1549</w:t>
      </w:r>
      <w:r w:rsidR="00C93A9C" w:rsidRPr="00C31A5A">
        <w:rPr>
          <w:lang w:val="fr-FR" w:eastAsia="en-US"/>
        </w:rPr>
        <w:t>_</w:t>
      </w:r>
      <w:r w:rsidR="00CD3899" w:rsidRPr="00C31A5A">
        <w:rPr>
          <w:lang w:val="fr-FR" w:eastAsia="en-US"/>
        </w:rPr>
        <w:t>4</w:t>
      </w:r>
      <w:r w:rsidRPr="00C31A5A">
        <w:rPr>
          <w:lang w:val="fr-FR" w:eastAsia="en-US"/>
        </w:rPr>
        <w:t>&gt;</w:t>
      </w:r>
    </w:p>
    <w:p w14:paraId="172A52E2" w14:textId="77777777" w:rsidR="003331A2" w:rsidRPr="00C31A5A" w:rsidRDefault="003331A2" w:rsidP="00014A67">
      <w:pPr>
        <w:rPr>
          <w:lang w:val="fr-FR" w:eastAsia="en-US"/>
        </w:rPr>
      </w:pPr>
    </w:p>
    <w:p w14:paraId="4DBA5834" w14:textId="593ACB9F" w:rsidR="00014A67" w:rsidRDefault="007431C5" w:rsidP="00177C6B">
      <w:pPr>
        <w:pStyle w:val="Questionstyle"/>
      </w:pPr>
      <w:r w:rsidRPr="007431C5">
        <w:t>Do you agree with ESMA’s proposed procedures for consulting the college (under Article 15 of EMIR) or would you propose different procedures? Please provide reasons for your answer.</w:t>
      </w:r>
    </w:p>
    <w:p w14:paraId="00D6B443" w14:textId="55B71306"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5</w:t>
      </w:r>
      <w:r>
        <w:rPr>
          <w:lang w:eastAsia="en-US"/>
        </w:rPr>
        <w:t>&gt;</w:t>
      </w:r>
    </w:p>
    <w:p w14:paraId="4194E3FF" w14:textId="77777777" w:rsidR="001B1873" w:rsidRDefault="00BD2D8E" w:rsidP="001B1873">
      <w:pPr>
        <w:pStyle w:val="Listenabsatz"/>
        <w:numPr>
          <w:ilvl w:val="0"/>
          <w:numId w:val="60"/>
        </w:numPr>
        <w:rPr>
          <w:lang w:val="en-US"/>
        </w:rPr>
      </w:pPr>
      <w:permStart w:id="1302163995" w:edGrp="everyone"/>
      <w:r w:rsidRPr="00D04FA7">
        <w:rPr>
          <w:lang w:val="en-US"/>
        </w:rPr>
        <w:t>We generally agree with the procedures described in the consultation paper</w:t>
      </w:r>
      <w:r w:rsidRPr="0038302A">
        <w:rPr>
          <w:lang w:val="en-US"/>
        </w:rPr>
        <w:t>, which should allow for profound and efficient decision making.</w:t>
      </w:r>
      <w:r w:rsidR="00FB283E" w:rsidRPr="0038302A">
        <w:rPr>
          <w:lang w:val="en-US"/>
        </w:rPr>
        <w:t xml:space="preserve"> Against this background</w:t>
      </w:r>
      <w:r w:rsidR="006F2D13" w:rsidRPr="0038302A">
        <w:rPr>
          <w:lang w:val="en-US"/>
        </w:rPr>
        <w:t>,</w:t>
      </w:r>
      <w:r w:rsidR="00FB283E" w:rsidRPr="0038302A">
        <w:rPr>
          <w:lang w:val="en-US"/>
        </w:rPr>
        <w:t xml:space="preserve"> we would like to highlight </w:t>
      </w:r>
      <w:r w:rsidR="00BB3305" w:rsidRPr="0038302A">
        <w:rPr>
          <w:lang w:val="en-US"/>
        </w:rPr>
        <w:t>one</w:t>
      </w:r>
      <w:r w:rsidR="00FB283E" w:rsidRPr="0038302A">
        <w:rPr>
          <w:lang w:val="en-US"/>
        </w:rPr>
        <w:t xml:space="preserve"> point regarding the suggested </w:t>
      </w:r>
      <w:proofErr w:type="gramStart"/>
      <w:r w:rsidR="00FB283E" w:rsidRPr="0038302A">
        <w:rPr>
          <w:lang w:val="en-US"/>
        </w:rPr>
        <w:t>decision making</w:t>
      </w:r>
      <w:proofErr w:type="gramEnd"/>
      <w:r w:rsidR="00FB283E" w:rsidRPr="0038302A">
        <w:rPr>
          <w:lang w:val="en-US"/>
        </w:rPr>
        <w:t xml:space="preserve"> process: </w:t>
      </w:r>
    </w:p>
    <w:p w14:paraId="3020310C" w14:textId="77777777" w:rsidR="001B1873" w:rsidRPr="001B1873" w:rsidRDefault="00FB283E" w:rsidP="001B1873">
      <w:pPr>
        <w:pStyle w:val="Listenabsatz"/>
        <w:numPr>
          <w:ilvl w:val="1"/>
          <w:numId w:val="60"/>
        </w:numPr>
        <w:rPr>
          <w:lang w:val="en-US"/>
        </w:rPr>
      </w:pPr>
      <w:r>
        <w:t xml:space="preserve">The timelines of the process of determining whether </w:t>
      </w:r>
      <w:r w:rsidR="00ED3CB5">
        <w:t>an</w:t>
      </w:r>
      <w:r>
        <w:t xml:space="preserve"> Art.</w:t>
      </w:r>
      <w:r w:rsidR="009E2535">
        <w:t xml:space="preserve"> </w:t>
      </w:r>
      <w:r>
        <w:t xml:space="preserve">15 </w:t>
      </w:r>
      <w:r w:rsidR="008E01A3">
        <w:t xml:space="preserve">EMIR </w:t>
      </w:r>
      <w:r w:rsidR="00ED3CB5">
        <w:t xml:space="preserve">procedure </w:t>
      </w:r>
      <w:r>
        <w:t>(resp. Art.</w:t>
      </w:r>
      <w:r w:rsidR="009E2535">
        <w:t xml:space="preserve"> </w:t>
      </w:r>
      <w:r>
        <w:t>49</w:t>
      </w:r>
      <w:r w:rsidR="00ED3CB5">
        <w:t xml:space="preserve"> </w:t>
      </w:r>
      <w:r w:rsidR="00A32F04">
        <w:t xml:space="preserve">EMIR </w:t>
      </w:r>
      <w:r w:rsidR="00ED3CB5">
        <w:t>procedure</w:t>
      </w:r>
      <w:r>
        <w:t xml:space="preserve">) </w:t>
      </w:r>
      <w:r w:rsidR="00ED3CB5">
        <w:t xml:space="preserve">is triggered </w:t>
      </w:r>
      <w:r>
        <w:t>are not specified</w:t>
      </w:r>
      <w:r w:rsidR="00ED3CB5">
        <w:t xml:space="preserve"> in the proposed </w:t>
      </w:r>
      <w:r w:rsidR="00A32F04">
        <w:t>RTS</w:t>
      </w:r>
      <w:r w:rsidR="00ED3CB5">
        <w:t xml:space="preserve"> (which is a deviation from ESMA’s current opinion on Art. 15 / 49 EMIR that contains clear time frames in para. 16 et seq. of the opinion)</w:t>
      </w:r>
      <w:r>
        <w:t xml:space="preserve">. Given that the set of indicators is very wide, it is expected that far more operational changes will fall under the process of determining relevance and thus CCPs should have clarity on the timelines. For example, if </w:t>
      </w:r>
      <w:r w:rsidR="008E01A3">
        <w:t xml:space="preserve">a </w:t>
      </w:r>
      <w:r>
        <w:t xml:space="preserve">CCP performs quarterly recalibration of haircuts and as a result of recalibration one of the quantitative indicators is triggered, the CCP should have clarity whether to put its operational process on hold and if </w:t>
      </w:r>
      <w:proofErr w:type="gramStart"/>
      <w:r>
        <w:t>so</w:t>
      </w:r>
      <w:proofErr w:type="gramEnd"/>
      <w:r>
        <w:t xml:space="preserve"> what is the likely timeline that risk management procedures are suspended.</w:t>
      </w:r>
      <w:r w:rsidR="000218D6">
        <w:t xml:space="preserve"> </w:t>
      </w:r>
    </w:p>
    <w:p w14:paraId="7080282F" w14:textId="6C2E98B5" w:rsidR="001B1873" w:rsidRPr="001B1873" w:rsidRDefault="000218D6" w:rsidP="001B1873">
      <w:pPr>
        <w:pStyle w:val="Listenabsatz"/>
        <w:numPr>
          <w:ilvl w:val="1"/>
          <w:numId w:val="60"/>
        </w:numPr>
        <w:rPr>
          <w:lang w:val="en-US"/>
        </w:rPr>
      </w:pPr>
      <w:r>
        <w:t>As the identification of whether Art.15</w:t>
      </w:r>
      <w:r w:rsidR="0073511E">
        <w:t xml:space="preserve"> EMIR</w:t>
      </w:r>
      <w:r>
        <w:t xml:space="preserve"> should be triggered or not is only the beginning of a potentially much lengthier process, we would welcome if ESMA could shorten this procedure to the shortest extent possible, whilst ensuring quality review for the NCA and the </w:t>
      </w:r>
      <w:r w:rsidR="001B1873">
        <w:t xml:space="preserve">EMIR </w:t>
      </w:r>
      <w:r>
        <w:t xml:space="preserve">college. </w:t>
      </w:r>
      <w:r w:rsidR="007B722F">
        <w:t>For example,</w:t>
      </w:r>
      <w:r w:rsidR="00B12753">
        <w:t xml:space="preserve"> it is not clear to us why the </w:t>
      </w:r>
      <w:r w:rsidR="001B1873">
        <w:t xml:space="preserve">EMIR </w:t>
      </w:r>
      <w:r w:rsidR="00B12753">
        <w:t>college needs to be consulted if the NCA finds that the criteria are met. The criteria are straight forward and the NCA should have the power to trigger directly Art.</w:t>
      </w:r>
      <w:r w:rsidR="009E2535">
        <w:t xml:space="preserve"> </w:t>
      </w:r>
      <w:r w:rsidR="00B12753">
        <w:t>15</w:t>
      </w:r>
      <w:r w:rsidR="0073511E">
        <w:t xml:space="preserve"> EMIR</w:t>
      </w:r>
      <w:r w:rsidR="00B12753">
        <w:t>.</w:t>
      </w:r>
    </w:p>
    <w:p w14:paraId="5603DDE3" w14:textId="68D93982" w:rsidR="00F73B29" w:rsidRPr="001B1873" w:rsidRDefault="006F2D13" w:rsidP="001B1873">
      <w:pPr>
        <w:pStyle w:val="Listenabsatz"/>
        <w:numPr>
          <w:ilvl w:val="1"/>
          <w:numId w:val="60"/>
        </w:numPr>
        <w:rPr>
          <w:lang w:val="en-US"/>
        </w:rPr>
      </w:pPr>
      <w:r>
        <w:t xml:space="preserve">More generally, we would </w:t>
      </w:r>
      <w:r w:rsidR="000218D6">
        <w:t xml:space="preserve">also </w:t>
      </w:r>
      <w:r>
        <w:t xml:space="preserve">welcome </w:t>
      </w:r>
      <w:r w:rsidR="00F73B29">
        <w:t>shorter</w:t>
      </w:r>
      <w:r>
        <w:t xml:space="preserve"> time</w:t>
      </w:r>
      <w:r w:rsidR="00F73B29">
        <w:t>lines for the assessment of the extension of services itself. Launching new products and clearing services has a key competitive dimension for CCPs. Limiting the amount of time necessary for their launch is key to spur innovation and competition within the EU</w:t>
      </w:r>
      <w:r w:rsidR="00B12753">
        <w:t>,</w:t>
      </w:r>
      <w:r w:rsidR="00F73B29">
        <w:t xml:space="preserve"> but also on global markets where they </w:t>
      </w:r>
      <w:proofErr w:type="gramStart"/>
      <w:r w:rsidR="00F73B29">
        <w:t>enter into</w:t>
      </w:r>
      <w:proofErr w:type="gramEnd"/>
      <w:r w:rsidR="00F73B29">
        <w:t xml:space="preserve"> competition with other jurisdictions which may benefit from faster processes. </w:t>
      </w:r>
    </w:p>
    <w:p w14:paraId="4A8ABA46" w14:textId="35FA67DE" w:rsidR="00BB3305" w:rsidRDefault="00FB283E" w:rsidP="00FB283E">
      <w:pPr>
        <w:pStyle w:val="Listenabsatz"/>
        <w:numPr>
          <w:ilvl w:val="0"/>
          <w:numId w:val="39"/>
        </w:numPr>
        <w:rPr>
          <w:lang w:val="en-US"/>
        </w:rPr>
      </w:pPr>
      <w:r>
        <w:rPr>
          <w:lang w:val="en-US"/>
        </w:rPr>
        <w:t xml:space="preserve">Further, we believe a clarification </w:t>
      </w:r>
      <w:r w:rsidR="008E01A3">
        <w:rPr>
          <w:lang w:val="en-US"/>
        </w:rPr>
        <w:t xml:space="preserve">regarding the following points </w:t>
      </w:r>
      <w:r>
        <w:rPr>
          <w:lang w:val="en-US"/>
        </w:rPr>
        <w:t>would</w:t>
      </w:r>
      <w:r w:rsidR="00BB3305">
        <w:rPr>
          <w:lang w:val="en-US"/>
        </w:rPr>
        <w:t xml:space="preserve"> improve the suggested</w:t>
      </w:r>
      <w:r>
        <w:rPr>
          <w:lang w:val="en-US"/>
        </w:rPr>
        <w:t xml:space="preserve"> process</w:t>
      </w:r>
      <w:r w:rsidR="00BB3305">
        <w:rPr>
          <w:lang w:val="en-US"/>
        </w:rPr>
        <w:t>:</w:t>
      </w:r>
    </w:p>
    <w:p w14:paraId="6DF32F40" w14:textId="05F54D9B" w:rsidR="00BB3305" w:rsidRPr="00F9109C" w:rsidRDefault="00BB3305" w:rsidP="001B1873">
      <w:pPr>
        <w:pStyle w:val="Listenabsatz"/>
        <w:numPr>
          <w:ilvl w:val="1"/>
          <w:numId w:val="60"/>
        </w:numPr>
      </w:pPr>
      <w:bookmarkStart w:id="4" w:name="_Hlk55461791"/>
      <w:r w:rsidRPr="00F9109C">
        <w:t xml:space="preserve">It is not spelled out in the consulted standards what should be the process for NCA to be notified about the changes by the CCPs and </w:t>
      </w:r>
      <w:r w:rsidR="00DF68FF">
        <w:t xml:space="preserve">what information the NCA needs to assess whether a criteria or indicator is triggered. A clarification in this regard would contribute transparency of the process. </w:t>
      </w:r>
    </w:p>
    <w:bookmarkEnd w:id="4"/>
    <w:p w14:paraId="17328FAA" w14:textId="543D3184" w:rsidR="00A64422" w:rsidRPr="001B1873" w:rsidRDefault="00BB3305" w:rsidP="00C93A9C">
      <w:pPr>
        <w:pStyle w:val="Listenabsatz"/>
        <w:numPr>
          <w:ilvl w:val="1"/>
          <w:numId w:val="60"/>
        </w:numPr>
      </w:pPr>
      <w:r w:rsidRPr="00F9109C">
        <w:t xml:space="preserve">The consultation paper clarifies that while the views expressed by the members of the college </w:t>
      </w:r>
      <w:proofErr w:type="gramStart"/>
      <w:r w:rsidRPr="00F9109C">
        <w:t>ha</w:t>
      </w:r>
      <w:r w:rsidR="00E237AE">
        <w:t>ve</w:t>
      </w:r>
      <w:r w:rsidRPr="00F9109C">
        <w:t xml:space="preserve"> to</w:t>
      </w:r>
      <w:proofErr w:type="gramEnd"/>
      <w:r w:rsidRPr="00F9109C">
        <w:t xml:space="preserve"> be considered by the NCA, the final decision is left with the NCA. We would appreciate if this clarification could also be added to the proposed </w:t>
      </w:r>
      <w:r w:rsidR="008E01A3">
        <w:t>RTS.</w:t>
      </w:r>
    </w:p>
    <w:permEnd w:id="1302163995"/>
    <w:p w14:paraId="2CCB42F0" w14:textId="77777777" w:rsidR="001B1873" w:rsidRDefault="001B1873" w:rsidP="003331A2">
      <w:pPr>
        <w:rPr>
          <w:lang w:val="en-US" w:eastAsia="en-US"/>
        </w:rPr>
      </w:pPr>
    </w:p>
    <w:p w14:paraId="48EE8C5E" w14:textId="4AA165CD" w:rsidR="003331A2" w:rsidRPr="00A64422" w:rsidRDefault="003331A2" w:rsidP="003331A2">
      <w:pPr>
        <w:rPr>
          <w:lang w:val="en-US" w:eastAsia="en-US"/>
        </w:rPr>
      </w:pPr>
      <w:r w:rsidRPr="00A64422">
        <w:rPr>
          <w:lang w:val="en-US" w:eastAsia="en-US"/>
        </w:rPr>
        <w:t>&lt;ESMA_</w:t>
      </w:r>
      <w:r w:rsidR="00C93A9C" w:rsidRPr="00A64422">
        <w:rPr>
          <w:lang w:val="en-US" w:eastAsia="en-US"/>
        </w:rPr>
        <w:t>QUESTION_</w:t>
      </w:r>
      <w:r w:rsidR="00106124" w:rsidRPr="00A64422">
        <w:rPr>
          <w:lang w:val="en-US" w:eastAsia="en-US"/>
        </w:rPr>
        <w:t>RTS1549</w:t>
      </w:r>
      <w:r w:rsidR="00C93A9C" w:rsidRPr="00A64422">
        <w:rPr>
          <w:lang w:val="en-US" w:eastAsia="en-US"/>
        </w:rPr>
        <w:t>_</w:t>
      </w:r>
      <w:r w:rsidR="00CD3899" w:rsidRPr="00A64422">
        <w:rPr>
          <w:lang w:val="en-US" w:eastAsia="en-US"/>
        </w:rPr>
        <w:t>5</w:t>
      </w:r>
      <w:r w:rsidRPr="00A64422">
        <w:rPr>
          <w:lang w:val="en-US" w:eastAsia="en-US"/>
        </w:rPr>
        <w:t>&gt;</w:t>
      </w:r>
    </w:p>
    <w:p w14:paraId="028BCE64" w14:textId="77777777" w:rsidR="003331A2" w:rsidRPr="00A64422" w:rsidRDefault="003331A2" w:rsidP="003331A2">
      <w:pPr>
        <w:rPr>
          <w:lang w:val="en-US" w:eastAsia="en-US"/>
        </w:rPr>
      </w:pPr>
    </w:p>
    <w:p w14:paraId="48797672" w14:textId="77777777" w:rsidR="00014A67" w:rsidRPr="00A64422" w:rsidRDefault="00014A67" w:rsidP="00014A67">
      <w:pPr>
        <w:rPr>
          <w:lang w:val="en-US" w:eastAsia="en-US"/>
        </w:rPr>
      </w:pPr>
    </w:p>
    <w:p w14:paraId="76C1BC05" w14:textId="61E60897" w:rsidR="00014A67" w:rsidRDefault="00177C6B" w:rsidP="00177C6B">
      <w:pPr>
        <w:pStyle w:val="Questionstyle"/>
      </w:pPr>
      <w:r w:rsidRPr="00106124">
        <w:t xml:space="preserve">Do you agree with ESMA’s proposed approach to divide conditions under which changes to the models and parameters are significant (under Article 49 of EMIR) into criteria, which would be </w:t>
      </w:r>
      <w:r w:rsidRPr="00106124">
        <w:lastRenderedPageBreak/>
        <w:t>subject to a more simplified college consultation procedure, and indicators, which would be subject to a more extensive college consultation procedure, or would you propose a different approach? Please provide reasons for your answer.</w:t>
      </w:r>
    </w:p>
    <w:p w14:paraId="0156FD0A" w14:textId="08A35231"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6</w:t>
      </w:r>
      <w:r w:rsidRPr="00106124">
        <w:rPr>
          <w:lang w:val="fr-FR" w:eastAsia="en-US"/>
        </w:rPr>
        <w:t>&gt;</w:t>
      </w:r>
    </w:p>
    <w:p w14:paraId="669BA8E7" w14:textId="47C1CED9" w:rsidR="00AF6F18" w:rsidRPr="00BD2D8E" w:rsidRDefault="00BB3305">
      <w:pPr>
        <w:pStyle w:val="Listenabsatz"/>
        <w:numPr>
          <w:ilvl w:val="0"/>
          <w:numId w:val="39"/>
        </w:numPr>
        <w:rPr>
          <w:lang w:val="en-US"/>
        </w:rPr>
      </w:pPr>
      <w:permStart w:id="589448130" w:edGrp="everyone"/>
      <w:r>
        <w:rPr>
          <w:lang w:val="en-US"/>
        </w:rPr>
        <w:t>Referring to our answer to</w:t>
      </w:r>
      <w:r w:rsidR="00BD2D8E" w:rsidRPr="00BD2D8E">
        <w:rPr>
          <w:lang w:val="en-US"/>
        </w:rPr>
        <w:t xml:space="preserve"> question 1</w:t>
      </w:r>
      <w:r w:rsidR="00B12753">
        <w:rPr>
          <w:lang w:val="en-US"/>
        </w:rPr>
        <w:t>,</w:t>
      </w:r>
      <w:r w:rsidR="00BD2D8E" w:rsidRPr="00BD2D8E">
        <w:rPr>
          <w:lang w:val="en-US"/>
        </w:rPr>
        <w:t xml:space="preserve"> we highly appreciate ESMA efforts in increasing coherence regarding application of Art. 49 and believe this will be an important element of increasing consistent application of EMIR. </w:t>
      </w:r>
    </w:p>
    <w:p w14:paraId="4606B03B" w14:textId="2F0738D5" w:rsidR="00A96826" w:rsidRPr="00BD2D8E" w:rsidRDefault="00BB3305" w:rsidP="00BD2D8E">
      <w:pPr>
        <w:pStyle w:val="Listenabsatz"/>
        <w:numPr>
          <w:ilvl w:val="0"/>
          <w:numId w:val="39"/>
        </w:numPr>
        <w:rPr>
          <w:lang w:val="en-US"/>
        </w:rPr>
      </w:pPr>
      <w:r>
        <w:rPr>
          <w:lang w:val="en-US"/>
        </w:rPr>
        <w:t>Overall</w:t>
      </w:r>
      <w:r w:rsidR="00B12753">
        <w:rPr>
          <w:lang w:val="en-US"/>
        </w:rPr>
        <w:t>,</w:t>
      </w:r>
      <w:r>
        <w:rPr>
          <w:lang w:val="en-US"/>
        </w:rPr>
        <w:t xml:space="preserve"> the suggested </w:t>
      </w:r>
      <w:r w:rsidR="00A96826" w:rsidRPr="00BD2D8E">
        <w:rPr>
          <w:lang w:val="en-US"/>
        </w:rPr>
        <w:t>approach makes sense. However, since the presence of a criterion automatically triggers a procedure under Art. 49 EMIR without any room for further differentiation based on the materiality of the case at hand, it should be made sure that the list of criteria is rather narrow and only covers criteria where it is evident that their presence gives rise to such risks that make it necessary to address these risks in an Art. 49 EMIR procedure</w:t>
      </w:r>
      <w:r w:rsidR="00E237AE">
        <w:rPr>
          <w:lang w:val="en-US"/>
        </w:rPr>
        <w:t>.</w:t>
      </w:r>
    </w:p>
    <w:p w14:paraId="662FA651" w14:textId="4F692C08" w:rsidR="00E34E79" w:rsidRPr="00BD2D8E" w:rsidRDefault="00284CD5" w:rsidP="00BD2D8E">
      <w:pPr>
        <w:pStyle w:val="Listenabsatz"/>
        <w:numPr>
          <w:ilvl w:val="0"/>
          <w:numId w:val="39"/>
        </w:numPr>
        <w:rPr>
          <w:lang w:val="en-US"/>
        </w:rPr>
      </w:pPr>
      <w:r w:rsidRPr="00BD2D8E">
        <w:rPr>
          <w:lang w:val="en-US"/>
        </w:rPr>
        <w:t xml:space="preserve">The purpose of Art. 49 EMIR is to safeguard the EMIR provisions on the initial authorization of a CCP so that the CCP’s models and parameters (which have been originally assessed by the NCA, ESMA and the </w:t>
      </w:r>
      <w:r w:rsidR="002E6B36">
        <w:rPr>
          <w:lang w:val="en-US"/>
        </w:rPr>
        <w:t xml:space="preserve">EMIR </w:t>
      </w:r>
      <w:r w:rsidRPr="00BD2D8E">
        <w:rPr>
          <w:lang w:val="en-US"/>
        </w:rPr>
        <w:t xml:space="preserve">college as part of the authorization procedure) are only substantially amended after a validation by the NCA, ESMA and the </w:t>
      </w:r>
      <w:r w:rsidR="002E6B36">
        <w:rPr>
          <w:lang w:val="en-US"/>
        </w:rPr>
        <w:t xml:space="preserve">EMIR </w:t>
      </w:r>
      <w:r w:rsidRPr="00BD2D8E">
        <w:rPr>
          <w:lang w:val="en-US"/>
        </w:rPr>
        <w:t>college</w:t>
      </w:r>
      <w:r w:rsidR="00F6190B" w:rsidRPr="00BD2D8E">
        <w:rPr>
          <w:lang w:val="en-US"/>
        </w:rPr>
        <w:t xml:space="preserve"> took place</w:t>
      </w:r>
      <w:r w:rsidRPr="00BD2D8E">
        <w:rPr>
          <w:lang w:val="en-US"/>
        </w:rPr>
        <w:t>. Consequently, the Art. 49 EMIR procedure should only be applied to changes to the CCP’s models and parameters that are so substantial that</w:t>
      </w:r>
      <w:r w:rsidR="002E6B36">
        <w:rPr>
          <w:lang w:val="en-US"/>
        </w:rPr>
        <w:t xml:space="preserve"> </w:t>
      </w:r>
      <w:r w:rsidRPr="00BD2D8E">
        <w:rPr>
          <w:lang w:val="en-US"/>
        </w:rPr>
        <w:t xml:space="preserve">the outcome of the initial authorization </w:t>
      </w:r>
      <w:r w:rsidR="002E6B36">
        <w:rPr>
          <w:lang w:val="en-US"/>
        </w:rPr>
        <w:t>assessment</w:t>
      </w:r>
      <w:r w:rsidRPr="00BD2D8E">
        <w:rPr>
          <w:lang w:val="en-US"/>
        </w:rPr>
        <w:t xml:space="preserve"> could be affected.</w:t>
      </w:r>
    </w:p>
    <w:permEnd w:id="589448130"/>
    <w:p w14:paraId="7384790D" w14:textId="77777777" w:rsidR="002E6B36" w:rsidRDefault="002E6B36" w:rsidP="003331A2">
      <w:pPr>
        <w:rPr>
          <w:lang w:val="en-US" w:eastAsia="en-US"/>
        </w:rPr>
      </w:pPr>
    </w:p>
    <w:p w14:paraId="10C7D38B" w14:textId="725CF734" w:rsidR="003331A2" w:rsidRPr="00A96826" w:rsidRDefault="003331A2" w:rsidP="003331A2">
      <w:pPr>
        <w:rPr>
          <w:lang w:val="en-US" w:eastAsia="en-US"/>
        </w:rPr>
      </w:pPr>
      <w:r w:rsidRPr="00A96826">
        <w:rPr>
          <w:lang w:val="en-US" w:eastAsia="en-US"/>
        </w:rPr>
        <w:t>&lt;ESMA_</w:t>
      </w:r>
      <w:r w:rsidR="00C93A9C" w:rsidRPr="00A96826">
        <w:rPr>
          <w:lang w:val="en-US" w:eastAsia="en-US"/>
        </w:rPr>
        <w:t>QUESTION_</w:t>
      </w:r>
      <w:r w:rsidR="00106124" w:rsidRPr="00A96826">
        <w:rPr>
          <w:lang w:val="en-US" w:eastAsia="en-US"/>
        </w:rPr>
        <w:t>RTS1549</w:t>
      </w:r>
      <w:r w:rsidR="00C93A9C" w:rsidRPr="00A96826">
        <w:rPr>
          <w:lang w:val="en-US" w:eastAsia="en-US"/>
        </w:rPr>
        <w:t>_</w:t>
      </w:r>
      <w:r w:rsidR="00CD3899" w:rsidRPr="00A96826">
        <w:rPr>
          <w:lang w:val="en-US" w:eastAsia="en-US"/>
        </w:rPr>
        <w:t>6</w:t>
      </w:r>
      <w:r w:rsidRPr="00A96826">
        <w:rPr>
          <w:lang w:val="en-US" w:eastAsia="en-US"/>
        </w:rPr>
        <w:t>&gt;</w:t>
      </w:r>
    </w:p>
    <w:p w14:paraId="10B85555" w14:textId="77777777" w:rsidR="00014A67" w:rsidRPr="00A96826" w:rsidRDefault="00014A67" w:rsidP="00014A67">
      <w:pPr>
        <w:rPr>
          <w:lang w:val="en-US" w:eastAsia="en-US"/>
        </w:rPr>
      </w:pPr>
    </w:p>
    <w:p w14:paraId="0AAE59AD" w14:textId="7FB3B177" w:rsidR="00014A67" w:rsidRDefault="00177C6B" w:rsidP="00177C6B">
      <w:pPr>
        <w:pStyle w:val="Questionstyle"/>
      </w:pPr>
      <w:r w:rsidRPr="00106124">
        <w:t>Do you agree with ESMA’s proposed list of criteria for significant changes to the models and parameters (under Article 49 of EMIR) or would you propose to change/add/delete any of the criteria or specify certain criteria further? Please provide reasons for your answer.</w:t>
      </w:r>
    </w:p>
    <w:p w14:paraId="5DB2F360" w14:textId="53543FDE"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7</w:t>
      </w:r>
      <w:r w:rsidRPr="00106124">
        <w:rPr>
          <w:lang w:val="fr-FR" w:eastAsia="en-US"/>
        </w:rPr>
        <w:t>&gt;</w:t>
      </w:r>
    </w:p>
    <w:p w14:paraId="7EE94109" w14:textId="2459E86A" w:rsidR="00C90B87" w:rsidRPr="00F9109C" w:rsidRDefault="00ED4723" w:rsidP="00AF6F18">
      <w:pPr>
        <w:rPr>
          <w:lang w:val="en-US"/>
        </w:rPr>
      </w:pPr>
      <w:permStart w:id="176716444" w:edGrp="everyone"/>
      <w:r w:rsidRPr="00FE0E2E">
        <w:rPr>
          <w:lang w:val="en-US"/>
        </w:rPr>
        <w:t xml:space="preserve">Referring to the proposed </w:t>
      </w:r>
      <w:r w:rsidR="00811C0A">
        <w:rPr>
          <w:lang w:val="en-US"/>
        </w:rPr>
        <w:t>RTS</w:t>
      </w:r>
      <w:r>
        <w:rPr>
          <w:lang w:val="en-US"/>
        </w:rPr>
        <w:t xml:space="preserve"> we want to highlight the following points:</w:t>
      </w:r>
    </w:p>
    <w:p w14:paraId="0609BEA2" w14:textId="7A898FF7" w:rsidR="00C90B87" w:rsidRPr="002E6B36" w:rsidRDefault="00C90B87" w:rsidP="009443D5">
      <w:pPr>
        <w:pStyle w:val="Listenabsatz"/>
        <w:numPr>
          <w:ilvl w:val="0"/>
          <w:numId w:val="57"/>
        </w:numPr>
        <w:rPr>
          <w:color w:val="000000" w:themeColor="text1"/>
          <w:lang w:val="en-US"/>
        </w:rPr>
      </w:pPr>
      <w:r w:rsidRPr="002E6B36">
        <w:rPr>
          <w:lang w:val="en-US"/>
        </w:rPr>
        <w:t xml:space="preserve">Re Art. </w:t>
      </w:r>
      <w:r w:rsidR="008D3E93" w:rsidRPr="002E6B36">
        <w:rPr>
          <w:lang w:val="en-US"/>
        </w:rPr>
        <w:t>7</w:t>
      </w:r>
      <w:r w:rsidRPr="002E6B36">
        <w:rPr>
          <w:lang w:val="en-US"/>
        </w:rPr>
        <w:t xml:space="preserve"> (a)</w:t>
      </w:r>
      <w:r w:rsidR="0AC6CB7A" w:rsidRPr="002E6B36">
        <w:rPr>
          <w:lang w:val="en-US"/>
        </w:rPr>
        <w:t xml:space="preserve"> - </w:t>
      </w:r>
      <w:r w:rsidR="0AC6CB7A" w:rsidRPr="002E6B36">
        <w:rPr>
          <w:color w:val="000000" w:themeColor="text1"/>
          <w:lang w:val="en-US"/>
        </w:rPr>
        <w:t>Decrease or increase of total pre-funded financial resources</w:t>
      </w:r>
      <w:r w:rsidRPr="002E6B36">
        <w:rPr>
          <w:color w:val="000000" w:themeColor="text1"/>
          <w:lang w:val="en-US"/>
        </w:rPr>
        <w:t xml:space="preserve">: </w:t>
      </w:r>
      <w:r w:rsidR="004745BF" w:rsidRPr="002E6B36">
        <w:rPr>
          <w:color w:val="000000" w:themeColor="text1"/>
        </w:rPr>
        <w:t xml:space="preserve">Quantitative criteria </w:t>
      </w:r>
      <w:proofErr w:type="gramStart"/>
      <w:r w:rsidR="004745BF" w:rsidRPr="002E6B36">
        <w:rPr>
          <w:color w:val="000000" w:themeColor="text1"/>
        </w:rPr>
        <w:t>have a tendency to</w:t>
      </w:r>
      <w:proofErr w:type="gramEnd"/>
      <w:r w:rsidR="004745BF" w:rsidRPr="002E6B36">
        <w:rPr>
          <w:color w:val="000000" w:themeColor="text1"/>
        </w:rPr>
        <w:t xml:space="preserve"> be unduly limiting in some circumstances. However, we feel that the formulation of threshold at the level of total pre-funded resources is the reasonable choice. Having said that, the word </w:t>
      </w:r>
      <w:r w:rsidR="002E6B36" w:rsidRPr="002E6B36">
        <w:rPr>
          <w:color w:val="000000" w:themeColor="text1"/>
        </w:rPr>
        <w:t>“</w:t>
      </w:r>
      <w:r w:rsidR="004745BF" w:rsidRPr="002E6B36">
        <w:rPr>
          <w:color w:val="000000" w:themeColor="text1"/>
        </w:rPr>
        <w:t>change</w:t>
      </w:r>
      <w:r w:rsidR="002E6B36" w:rsidRPr="002E6B36">
        <w:rPr>
          <w:color w:val="000000" w:themeColor="text1"/>
        </w:rPr>
        <w:t>”</w:t>
      </w:r>
      <w:r w:rsidR="004745BF" w:rsidRPr="002E6B36">
        <w:rPr>
          <w:color w:val="000000" w:themeColor="text1"/>
        </w:rPr>
        <w:t xml:space="preserve"> on its own is not sufficiently specific and could imply change due to various reasons (from methodology change, through change due to volatile markets to change due to new trades by the member). Without further specification in the RTS, one would have to assume </w:t>
      </w:r>
      <w:proofErr w:type="gramStart"/>
      <w:r w:rsidR="004745BF" w:rsidRPr="002E6B36">
        <w:rPr>
          <w:color w:val="000000" w:themeColor="text1"/>
        </w:rPr>
        <w:t>all of</w:t>
      </w:r>
      <w:proofErr w:type="gramEnd"/>
      <w:r w:rsidR="004745BF" w:rsidRPr="002E6B36">
        <w:rPr>
          <w:color w:val="000000" w:themeColor="text1"/>
        </w:rPr>
        <w:t xml:space="preserve"> the above to ensure compliance.</w:t>
      </w:r>
      <w:r w:rsidR="002E6B36">
        <w:rPr>
          <w:color w:val="000000" w:themeColor="text1"/>
        </w:rPr>
        <w:t xml:space="preserve"> </w:t>
      </w:r>
      <w:r w:rsidR="00ED4723" w:rsidRPr="002E6B36">
        <w:rPr>
          <w:color w:val="000000" w:themeColor="text1"/>
        </w:rPr>
        <w:t>Further we would appreciate clarification</w:t>
      </w:r>
      <w:r w:rsidR="004745BF" w:rsidRPr="002E6B36">
        <w:rPr>
          <w:color w:val="000000" w:themeColor="text1"/>
        </w:rPr>
        <w:t xml:space="preserve"> </w:t>
      </w:r>
      <w:r w:rsidR="00B72AB2" w:rsidRPr="002E6B36">
        <w:rPr>
          <w:color w:val="000000" w:themeColor="text1"/>
        </w:rPr>
        <w:t>on</w:t>
      </w:r>
      <w:r w:rsidR="004745BF" w:rsidRPr="002E6B36">
        <w:rPr>
          <w:color w:val="000000" w:themeColor="text1"/>
        </w:rPr>
        <w:t xml:space="preserve"> whether total pre-funded financial resources include, but are not limited to margin requirements, default fund and skin-in-the-game</w:t>
      </w:r>
      <w:r w:rsidR="008E01A3" w:rsidRPr="002E6B36">
        <w:rPr>
          <w:color w:val="000000" w:themeColor="text1"/>
        </w:rPr>
        <w:t>.</w:t>
      </w:r>
    </w:p>
    <w:p w14:paraId="3942082A" w14:textId="77777777" w:rsidR="003E5A17" w:rsidRPr="00F9109C" w:rsidRDefault="003E5A17" w:rsidP="00F9109C">
      <w:pPr>
        <w:pStyle w:val="Listenabsatz"/>
        <w:rPr>
          <w:color w:val="000000" w:themeColor="text1"/>
          <w:lang w:val="en-US"/>
        </w:rPr>
      </w:pPr>
    </w:p>
    <w:p w14:paraId="7F14C10C" w14:textId="791D7F4E" w:rsidR="004745BF" w:rsidRPr="00F9109C" w:rsidRDefault="004745BF" w:rsidP="00F9109C">
      <w:pPr>
        <w:pStyle w:val="Listenabsatz"/>
        <w:numPr>
          <w:ilvl w:val="0"/>
          <w:numId w:val="57"/>
        </w:numPr>
        <w:rPr>
          <w:color w:val="000000" w:themeColor="text1"/>
          <w:lang w:val="en-US"/>
        </w:rPr>
      </w:pPr>
      <w:r w:rsidRPr="00F9109C">
        <w:rPr>
          <w:color w:val="000000" w:themeColor="text1"/>
          <w:lang w:val="en-US"/>
        </w:rPr>
        <w:t xml:space="preserve">Re Art. </w:t>
      </w:r>
      <w:r w:rsidR="008D3E93" w:rsidRPr="00F9109C">
        <w:rPr>
          <w:color w:val="000000" w:themeColor="text1"/>
          <w:lang w:val="en-US"/>
        </w:rPr>
        <w:t>7</w:t>
      </w:r>
      <w:r w:rsidRPr="00F9109C">
        <w:rPr>
          <w:color w:val="000000" w:themeColor="text1"/>
          <w:lang w:val="en-US"/>
        </w:rPr>
        <w:t xml:space="preserve"> (b)</w:t>
      </w:r>
      <w:r w:rsidR="614EC10C" w:rsidRPr="00F9109C">
        <w:rPr>
          <w:color w:val="000000" w:themeColor="text1"/>
          <w:lang w:val="en-US"/>
        </w:rPr>
        <w:t xml:space="preserve"> </w:t>
      </w:r>
      <w:r w:rsidR="0732C848" w:rsidRPr="00F9109C">
        <w:rPr>
          <w:color w:val="000000" w:themeColor="text1"/>
          <w:lang w:val="en-US"/>
        </w:rPr>
        <w:t>- Structure or structural elements of the margin mod</w:t>
      </w:r>
      <w:r w:rsidR="24EBAD66" w:rsidRPr="00F9109C">
        <w:rPr>
          <w:color w:val="000000" w:themeColor="text1"/>
          <w:lang w:val="en-US"/>
        </w:rPr>
        <w:t>el changed</w:t>
      </w:r>
      <w:r w:rsidRPr="00F9109C">
        <w:rPr>
          <w:color w:val="000000" w:themeColor="text1"/>
          <w:lang w:val="en-US"/>
        </w:rPr>
        <w:t>: This is a reasonable criterion as it refers to significant model changes.</w:t>
      </w:r>
    </w:p>
    <w:p w14:paraId="45FA2829" w14:textId="77777777" w:rsidR="003E5A17" w:rsidRPr="00F9109C" w:rsidRDefault="003E5A17" w:rsidP="00F9109C">
      <w:pPr>
        <w:pStyle w:val="Listenabsatz"/>
        <w:rPr>
          <w:color w:val="000000" w:themeColor="text1"/>
        </w:rPr>
      </w:pPr>
    </w:p>
    <w:p w14:paraId="60E5D685" w14:textId="6EFAAF27" w:rsidR="004745BF" w:rsidRPr="00894DEC" w:rsidRDefault="004745BF" w:rsidP="00416EB3">
      <w:pPr>
        <w:pStyle w:val="Listenabsatz"/>
        <w:numPr>
          <w:ilvl w:val="0"/>
          <w:numId w:val="57"/>
        </w:numPr>
        <w:rPr>
          <w:color w:val="000000" w:themeColor="text1"/>
          <w:lang w:val="en-US"/>
        </w:rPr>
      </w:pPr>
      <w:r w:rsidRPr="00894DEC">
        <w:rPr>
          <w:color w:val="000000" w:themeColor="text1"/>
          <w:lang w:val="en-US"/>
        </w:rPr>
        <w:t xml:space="preserve">Re Art. </w:t>
      </w:r>
      <w:r w:rsidR="008D3E93" w:rsidRPr="00894DEC">
        <w:rPr>
          <w:color w:val="000000" w:themeColor="text1"/>
          <w:lang w:val="en-US"/>
        </w:rPr>
        <w:t>7</w:t>
      </w:r>
      <w:r w:rsidRPr="00894DEC">
        <w:rPr>
          <w:color w:val="000000" w:themeColor="text1"/>
          <w:lang w:val="en-US"/>
        </w:rPr>
        <w:t xml:space="preserve"> </w:t>
      </w:r>
      <w:r w:rsidR="00F569E1" w:rsidRPr="00894DEC">
        <w:rPr>
          <w:color w:val="000000" w:themeColor="text1"/>
          <w:lang w:val="en-US"/>
        </w:rPr>
        <w:t>(</w:t>
      </w:r>
      <w:r w:rsidR="24ADD028" w:rsidRPr="00894DEC">
        <w:rPr>
          <w:color w:val="000000" w:themeColor="text1"/>
          <w:lang w:val="en-US"/>
        </w:rPr>
        <w:t>c)</w:t>
      </w:r>
      <w:r w:rsidR="21873867" w:rsidRPr="00894DEC">
        <w:rPr>
          <w:color w:val="000000" w:themeColor="text1"/>
          <w:lang w:val="en-US"/>
        </w:rPr>
        <w:t xml:space="preserve"> - Introduction, removal or amendme</w:t>
      </w:r>
      <w:r w:rsidR="24A77734" w:rsidRPr="00894DEC">
        <w:rPr>
          <w:color w:val="000000" w:themeColor="text1"/>
          <w:lang w:val="en-US"/>
        </w:rPr>
        <w:t>nt of new margin modules</w:t>
      </w:r>
      <w:r w:rsidR="24ADD028" w:rsidRPr="00894DEC">
        <w:rPr>
          <w:color w:val="000000" w:themeColor="text1"/>
          <w:lang w:val="en-US"/>
        </w:rPr>
        <w:t>: It</w:t>
      </w:r>
      <w:r w:rsidRPr="00894DEC">
        <w:rPr>
          <w:color w:val="000000" w:themeColor="text1"/>
        </w:rPr>
        <w:t xml:space="preserve"> is generally a reasonable formulation</w:t>
      </w:r>
      <w:r w:rsidR="00894DEC" w:rsidRPr="00894DEC">
        <w:rPr>
          <w:color w:val="000000" w:themeColor="text1"/>
        </w:rPr>
        <w:t xml:space="preserve">. However, the </w:t>
      </w:r>
      <w:r w:rsidRPr="00894DEC">
        <w:rPr>
          <w:color w:val="000000" w:themeColor="text1"/>
        </w:rPr>
        <w:t>description of impact</w:t>
      </w:r>
      <w:r w:rsidR="00894DEC" w:rsidRPr="00894DEC">
        <w:rPr>
          <w:color w:val="000000" w:themeColor="text1"/>
        </w:rPr>
        <w:t xml:space="preserve"> is unclear</w:t>
      </w:r>
      <w:r w:rsidR="00894DEC">
        <w:rPr>
          <w:color w:val="000000" w:themeColor="text1"/>
        </w:rPr>
        <w:t xml:space="preserve"> </w:t>
      </w:r>
      <w:r w:rsidRPr="00894DEC">
        <w:rPr>
          <w:color w:val="000000" w:themeColor="text1"/>
        </w:rPr>
        <w:t>which appears to be a circular reference.</w:t>
      </w:r>
      <w:r w:rsidR="00894DEC">
        <w:rPr>
          <w:color w:val="000000" w:themeColor="text1"/>
        </w:rPr>
        <w:t xml:space="preserve"> </w:t>
      </w:r>
      <w:r w:rsidRPr="00894DEC">
        <w:rPr>
          <w:color w:val="000000" w:themeColor="text1"/>
        </w:rPr>
        <w:t xml:space="preserve">We recommend to change the respective portion ‘(…) which leads to a decrease/increase </w:t>
      </w:r>
      <w:r w:rsidRPr="00894DEC">
        <w:rPr>
          <w:i/>
          <w:iCs/>
          <w:color w:val="000000" w:themeColor="text1"/>
        </w:rPr>
        <w:t>of total margin requirement</w:t>
      </w:r>
      <w:r w:rsidRPr="00894DEC">
        <w:rPr>
          <w:color w:val="000000" w:themeColor="text1"/>
        </w:rPr>
        <w:t xml:space="preserve"> greater than +/- 10% at CCP level’. This way the nominator is the delta of total margin requirement arising due to the change (respectively introduction or removal), denominator is the total margin requirement and 10% is the relative threshold.</w:t>
      </w:r>
      <w:r w:rsidRPr="00894DEC">
        <w:rPr>
          <w:color w:val="000000" w:themeColor="text1"/>
          <w:lang w:val="en-US"/>
        </w:rPr>
        <w:t> </w:t>
      </w:r>
    </w:p>
    <w:p w14:paraId="30D7E168" w14:textId="77777777" w:rsidR="003E5A17" w:rsidRPr="00F9109C" w:rsidRDefault="003E5A17" w:rsidP="00F9109C">
      <w:pPr>
        <w:pStyle w:val="Listenabsatz"/>
        <w:rPr>
          <w:color w:val="000000" w:themeColor="text1"/>
        </w:rPr>
      </w:pPr>
    </w:p>
    <w:p w14:paraId="07331F7B" w14:textId="221E54E5" w:rsidR="004745BF" w:rsidRPr="00F9109C" w:rsidRDefault="004745BF" w:rsidP="00F9109C">
      <w:pPr>
        <w:pStyle w:val="Listenabsatz"/>
        <w:numPr>
          <w:ilvl w:val="0"/>
          <w:numId w:val="57"/>
        </w:numPr>
        <w:rPr>
          <w:color w:val="000000" w:themeColor="text1"/>
        </w:rPr>
      </w:pPr>
      <w:r w:rsidRPr="00F9109C">
        <w:rPr>
          <w:color w:val="000000" w:themeColor="text1"/>
          <w:lang w:val="en-US"/>
        </w:rPr>
        <w:t xml:space="preserve">Re Art. </w:t>
      </w:r>
      <w:r w:rsidR="008D3E93" w:rsidRPr="00F9109C">
        <w:rPr>
          <w:color w:val="000000" w:themeColor="text1"/>
          <w:lang w:val="en-US"/>
        </w:rPr>
        <w:t>7</w:t>
      </w:r>
      <w:r w:rsidRPr="00F9109C">
        <w:rPr>
          <w:color w:val="000000" w:themeColor="text1"/>
          <w:lang w:val="en-US"/>
        </w:rPr>
        <w:t xml:space="preserve"> (d)</w:t>
      </w:r>
      <w:r w:rsidR="2B51C9E3" w:rsidRPr="00F9109C">
        <w:rPr>
          <w:color w:val="000000" w:themeColor="text1"/>
          <w:lang w:val="en-US"/>
        </w:rPr>
        <w:t xml:space="preserve"> </w:t>
      </w:r>
      <w:r w:rsidR="3DE124B7" w:rsidRPr="00F9109C">
        <w:rPr>
          <w:color w:val="000000" w:themeColor="text1"/>
          <w:lang w:val="en-US"/>
        </w:rPr>
        <w:t>-</w:t>
      </w:r>
      <w:r w:rsidR="24EBAD66" w:rsidRPr="00F9109C">
        <w:rPr>
          <w:color w:val="000000" w:themeColor="text1"/>
          <w:lang w:val="en-US"/>
        </w:rPr>
        <w:t xml:space="preserve"> </w:t>
      </w:r>
      <w:r w:rsidR="24A77734" w:rsidRPr="00F9109C">
        <w:rPr>
          <w:color w:val="000000" w:themeColor="text1"/>
          <w:lang w:val="en-US"/>
        </w:rPr>
        <w:t>Change in calibrati</w:t>
      </w:r>
      <w:r w:rsidR="62E79C04" w:rsidRPr="00F9109C">
        <w:rPr>
          <w:color w:val="000000" w:themeColor="text1"/>
          <w:lang w:val="en-US"/>
        </w:rPr>
        <w:t>on of core EMIR margin parameters</w:t>
      </w:r>
      <w:r w:rsidRPr="00F9109C">
        <w:rPr>
          <w:color w:val="000000" w:themeColor="text1"/>
          <w:lang w:val="en-US"/>
        </w:rPr>
        <w:t xml:space="preserve">: </w:t>
      </w:r>
      <w:r w:rsidRPr="00F9109C">
        <w:rPr>
          <w:color w:val="000000" w:themeColor="text1"/>
        </w:rPr>
        <w:t>This appears to be a reasonable criterion</w:t>
      </w:r>
      <w:r w:rsidR="00ED4723" w:rsidRPr="00F9109C">
        <w:rPr>
          <w:color w:val="000000" w:themeColor="text1"/>
        </w:rPr>
        <w:t>.</w:t>
      </w:r>
    </w:p>
    <w:p w14:paraId="1BFAB165" w14:textId="77777777" w:rsidR="003E5A17" w:rsidRPr="00F9109C" w:rsidRDefault="003E5A17" w:rsidP="00F9109C">
      <w:pPr>
        <w:pStyle w:val="Kommentartext"/>
        <w:ind w:left="720"/>
        <w:rPr>
          <w:color w:val="000000" w:themeColor="text1"/>
        </w:rPr>
      </w:pPr>
    </w:p>
    <w:p w14:paraId="5FF5E898" w14:textId="4037AEA2" w:rsidR="009402F6" w:rsidRPr="00F9109C" w:rsidRDefault="004745BF" w:rsidP="00F9109C">
      <w:pPr>
        <w:pStyle w:val="Kommentartext"/>
        <w:numPr>
          <w:ilvl w:val="0"/>
          <w:numId w:val="57"/>
        </w:numPr>
        <w:rPr>
          <w:color w:val="000000" w:themeColor="text1"/>
        </w:rPr>
      </w:pPr>
      <w:r w:rsidRPr="00F9109C">
        <w:rPr>
          <w:color w:val="000000" w:themeColor="text1"/>
        </w:rPr>
        <w:t xml:space="preserve">Re Art. </w:t>
      </w:r>
      <w:r w:rsidR="008D3E93" w:rsidRPr="00F9109C">
        <w:rPr>
          <w:color w:val="000000" w:themeColor="text1"/>
        </w:rPr>
        <w:t>7</w:t>
      </w:r>
      <w:r w:rsidRPr="00F9109C">
        <w:rPr>
          <w:color w:val="000000" w:themeColor="text1"/>
        </w:rPr>
        <w:t xml:space="preserve"> (e)</w:t>
      </w:r>
      <w:r w:rsidR="3DE124B7" w:rsidRPr="00F9109C">
        <w:rPr>
          <w:color w:val="000000" w:themeColor="text1"/>
        </w:rPr>
        <w:t xml:space="preserve"> - </w:t>
      </w:r>
      <w:r w:rsidR="08FC924A" w:rsidRPr="00F9109C">
        <w:rPr>
          <w:color w:val="000000" w:themeColor="text1"/>
        </w:rPr>
        <w:t>Change in methodology used to compute portfolio offsets</w:t>
      </w:r>
      <w:r w:rsidRPr="00F9109C">
        <w:rPr>
          <w:color w:val="000000" w:themeColor="text1"/>
        </w:rPr>
        <w:t>: This criterion is unclear and could be very broad brush. On</w:t>
      </w:r>
      <w:r w:rsidR="00ED4723" w:rsidRPr="00F9109C">
        <w:rPr>
          <w:color w:val="000000" w:themeColor="text1"/>
        </w:rPr>
        <w:t xml:space="preserve"> the</w:t>
      </w:r>
      <w:r w:rsidRPr="00F9109C">
        <w:rPr>
          <w:color w:val="000000" w:themeColor="text1"/>
        </w:rPr>
        <w:t xml:space="preserve"> one hand, the indicator mentions change to methodology </w:t>
      </w:r>
      <w:r w:rsidRPr="00F9109C">
        <w:rPr>
          <w:color w:val="000000" w:themeColor="text1"/>
        </w:rPr>
        <w:lastRenderedPageBreak/>
        <w:t xml:space="preserve">of computing portfolio offsets. This would in fact appear </w:t>
      </w:r>
      <w:r w:rsidR="00CC7A8C">
        <w:rPr>
          <w:color w:val="000000" w:themeColor="text1"/>
        </w:rPr>
        <w:t xml:space="preserve">to be </w:t>
      </w:r>
      <w:r w:rsidRPr="00F9109C">
        <w:rPr>
          <w:color w:val="000000" w:themeColor="text1"/>
        </w:rPr>
        <w:t xml:space="preserve">a reasonable place to end. </w:t>
      </w:r>
      <w:r w:rsidR="00CC7A8C">
        <w:rPr>
          <w:color w:val="000000" w:themeColor="text1"/>
        </w:rPr>
        <w:t>The following specifications</w:t>
      </w:r>
      <w:r w:rsidRPr="00F9109C">
        <w:rPr>
          <w:color w:val="000000" w:themeColor="text1"/>
        </w:rPr>
        <w:t xml:space="preserve"> introduce confusion. For example, the methodology itself might introduce thresholds below which no offset is </w:t>
      </w:r>
      <w:proofErr w:type="gramStart"/>
      <w:r w:rsidRPr="00F9109C">
        <w:rPr>
          <w:color w:val="000000" w:themeColor="text1"/>
        </w:rPr>
        <w:t>granted</w:t>
      </w:r>
      <w:proofErr w:type="gramEnd"/>
      <w:r w:rsidRPr="00F9109C">
        <w:rPr>
          <w:color w:val="000000" w:themeColor="text1"/>
        </w:rPr>
        <w:t xml:space="preserve"> and above which offset is granted. </w:t>
      </w:r>
      <w:r w:rsidR="00ED4723" w:rsidRPr="00F9109C">
        <w:rPr>
          <w:color w:val="000000" w:themeColor="text1"/>
        </w:rPr>
        <w:t>This leaves the question i</w:t>
      </w:r>
      <w:r w:rsidRPr="00F9109C">
        <w:rPr>
          <w:color w:val="000000" w:themeColor="text1"/>
        </w:rPr>
        <w:t>f data leads to migration from below the threshold to above the threshold (with no change to the methodology of providing offsets) is this mere action a potential significant model change</w:t>
      </w:r>
      <w:r w:rsidR="00ED4723" w:rsidRPr="00F9109C">
        <w:rPr>
          <w:color w:val="000000" w:themeColor="text1"/>
        </w:rPr>
        <w:t>.</w:t>
      </w:r>
      <w:r w:rsidRPr="00F9109C">
        <w:rPr>
          <w:color w:val="000000" w:themeColor="text1"/>
        </w:rPr>
        <w:t xml:space="preserve"> </w:t>
      </w:r>
      <w:r w:rsidR="00ED4723" w:rsidRPr="00F9109C">
        <w:rPr>
          <w:color w:val="000000" w:themeColor="text1"/>
        </w:rPr>
        <w:t xml:space="preserve">We would appreciate, if </w:t>
      </w:r>
      <w:r w:rsidRPr="00F9109C">
        <w:rPr>
          <w:color w:val="000000" w:themeColor="text1"/>
        </w:rPr>
        <w:t xml:space="preserve">ESMA </w:t>
      </w:r>
      <w:r w:rsidR="00ED4723" w:rsidRPr="00F9109C">
        <w:rPr>
          <w:color w:val="000000" w:themeColor="text1"/>
        </w:rPr>
        <w:t xml:space="preserve">could </w:t>
      </w:r>
      <w:r w:rsidRPr="00F9109C">
        <w:rPr>
          <w:color w:val="000000" w:themeColor="text1"/>
        </w:rPr>
        <w:t>clarify</w:t>
      </w:r>
      <w:r w:rsidR="00ED4723" w:rsidRPr="00F9109C">
        <w:rPr>
          <w:color w:val="000000" w:themeColor="text1"/>
        </w:rPr>
        <w:t>.</w:t>
      </w:r>
      <w:r w:rsidRPr="00F9109C">
        <w:rPr>
          <w:color w:val="000000" w:themeColor="text1"/>
        </w:rPr>
        <w:t xml:space="preserve"> </w:t>
      </w:r>
    </w:p>
    <w:p w14:paraId="29FC3494" w14:textId="77777777" w:rsidR="003E5A17" w:rsidRPr="00F9109C" w:rsidRDefault="003E5A17" w:rsidP="00F9109C">
      <w:pPr>
        <w:pStyle w:val="Kommentartext"/>
        <w:ind w:left="720"/>
        <w:rPr>
          <w:color w:val="000000" w:themeColor="text1"/>
        </w:rPr>
      </w:pPr>
    </w:p>
    <w:p w14:paraId="1A344C2F" w14:textId="6D4AC87F" w:rsidR="00CC7A8C" w:rsidRPr="00486B40" w:rsidRDefault="00CC7A8C" w:rsidP="00274FA7">
      <w:pPr>
        <w:pStyle w:val="Kommentartext"/>
        <w:numPr>
          <w:ilvl w:val="0"/>
          <w:numId w:val="57"/>
        </w:numPr>
        <w:rPr>
          <w:color w:val="000000" w:themeColor="text1"/>
        </w:rPr>
      </w:pPr>
      <w:r w:rsidRPr="00486B40">
        <w:rPr>
          <w:color w:val="000000" w:themeColor="text1"/>
        </w:rPr>
        <w:t xml:space="preserve">Re Art. 7 (f) – </w:t>
      </w:r>
      <w:r w:rsidR="00486B40" w:rsidRPr="00486B40">
        <w:rPr>
          <w:color w:val="000000" w:themeColor="text1"/>
        </w:rPr>
        <w:t>I</w:t>
      </w:r>
      <w:r w:rsidRPr="00486B40">
        <w:rPr>
          <w:color w:val="000000" w:themeColor="text1"/>
        </w:rPr>
        <w:t>ntroduction of different option to satisfy the anti-procyclicality requirement</w:t>
      </w:r>
      <w:r w:rsidR="00486B40" w:rsidRPr="00486B40">
        <w:rPr>
          <w:color w:val="000000" w:themeColor="text1"/>
        </w:rPr>
        <w:t>: This appears to be a reasonable criterion</w:t>
      </w:r>
      <w:r w:rsidR="00486B40">
        <w:rPr>
          <w:color w:val="000000" w:themeColor="text1"/>
        </w:rPr>
        <w:t>.</w:t>
      </w:r>
    </w:p>
    <w:p w14:paraId="635B5E25" w14:textId="77777777" w:rsidR="00CC7A8C" w:rsidRDefault="00CC7A8C" w:rsidP="00CC7A8C">
      <w:pPr>
        <w:pStyle w:val="Listenabsatz"/>
        <w:rPr>
          <w:color w:val="000000" w:themeColor="text1"/>
        </w:rPr>
      </w:pPr>
    </w:p>
    <w:p w14:paraId="3FFCBA27" w14:textId="2D520CCB" w:rsidR="009402F6" w:rsidRPr="00F9109C" w:rsidRDefault="009402F6" w:rsidP="00F9109C">
      <w:pPr>
        <w:pStyle w:val="Kommentartext"/>
        <w:numPr>
          <w:ilvl w:val="0"/>
          <w:numId w:val="57"/>
        </w:numPr>
        <w:rPr>
          <w:color w:val="000000" w:themeColor="text1"/>
        </w:rPr>
      </w:pPr>
      <w:r w:rsidRPr="00F9109C">
        <w:rPr>
          <w:color w:val="000000" w:themeColor="text1"/>
        </w:rPr>
        <w:t xml:space="preserve">Re Art. </w:t>
      </w:r>
      <w:r w:rsidR="008D3E93" w:rsidRPr="00F9109C">
        <w:rPr>
          <w:color w:val="000000" w:themeColor="text1"/>
        </w:rPr>
        <w:t>7</w:t>
      </w:r>
      <w:r w:rsidRPr="00F9109C">
        <w:rPr>
          <w:color w:val="000000" w:themeColor="text1"/>
        </w:rPr>
        <w:t xml:space="preserve"> (g)</w:t>
      </w:r>
      <w:r w:rsidR="109351DE" w:rsidRPr="00F9109C">
        <w:rPr>
          <w:color w:val="000000" w:themeColor="text1"/>
        </w:rPr>
        <w:t xml:space="preserve"> - </w:t>
      </w:r>
      <w:r w:rsidR="1B3F0018" w:rsidRPr="00F9109C">
        <w:rPr>
          <w:color w:val="000000" w:themeColor="text1"/>
        </w:rPr>
        <w:t>Introduction, change or removal of stress test scenarios</w:t>
      </w:r>
      <w:r w:rsidRPr="00F9109C">
        <w:rPr>
          <w:color w:val="000000" w:themeColor="text1"/>
        </w:rPr>
        <w:t xml:space="preserve">: </w:t>
      </w:r>
      <w:r w:rsidR="00716C05" w:rsidRPr="00F9109C">
        <w:rPr>
          <w:color w:val="000000" w:themeColor="text1"/>
        </w:rPr>
        <w:t>It does not appear clear</w:t>
      </w:r>
      <w:r w:rsidRPr="00F9109C">
        <w:rPr>
          <w:color w:val="000000" w:themeColor="text1"/>
        </w:rPr>
        <w:t xml:space="preserve"> how </w:t>
      </w:r>
      <w:proofErr w:type="gramStart"/>
      <w:r w:rsidRPr="00F9109C">
        <w:rPr>
          <w:color w:val="000000" w:themeColor="text1"/>
        </w:rPr>
        <w:t>this criteria</w:t>
      </w:r>
      <w:proofErr w:type="gramEnd"/>
      <w:r w:rsidRPr="00F9109C">
        <w:rPr>
          <w:color w:val="000000" w:themeColor="text1"/>
        </w:rPr>
        <w:t xml:space="preserve"> fits with the (regulatory required) annual recalibration of the stress testing model</w:t>
      </w:r>
      <w:r w:rsidR="00813852">
        <w:rPr>
          <w:color w:val="000000" w:themeColor="text1"/>
        </w:rPr>
        <w:t>.</w:t>
      </w:r>
      <w:r w:rsidRPr="00F9109C">
        <w:rPr>
          <w:color w:val="000000" w:themeColor="text1"/>
        </w:rPr>
        <w:t xml:space="preserve"> EMIR RTS requires the CCP (with prescribed governance roles of Risk Committee and the Board) to review its stress testing on at least an annual basis. </w:t>
      </w:r>
      <w:r w:rsidR="00716C05" w:rsidRPr="00F9109C">
        <w:rPr>
          <w:color w:val="000000" w:themeColor="text1"/>
        </w:rPr>
        <w:t xml:space="preserve">This would lead to </w:t>
      </w:r>
      <w:r w:rsidRPr="00F9109C">
        <w:rPr>
          <w:color w:val="000000" w:themeColor="text1"/>
        </w:rPr>
        <w:t>at least one model change trigger a year arising</w:t>
      </w:r>
      <w:r w:rsidR="00716C05" w:rsidRPr="00F9109C">
        <w:rPr>
          <w:color w:val="000000" w:themeColor="text1"/>
        </w:rPr>
        <w:t xml:space="preserve"> just</w:t>
      </w:r>
      <w:r w:rsidRPr="00F9109C">
        <w:rPr>
          <w:color w:val="000000" w:themeColor="text1"/>
        </w:rPr>
        <w:t xml:space="preserve"> from Art. </w:t>
      </w:r>
      <w:r w:rsidR="00813852">
        <w:rPr>
          <w:color w:val="000000" w:themeColor="text1"/>
        </w:rPr>
        <w:t>7</w:t>
      </w:r>
      <w:r w:rsidRPr="00F9109C">
        <w:rPr>
          <w:color w:val="000000" w:themeColor="text1"/>
        </w:rPr>
        <w:t xml:space="preserve"> (g)</w:t>
      </w:r>
      <w:r w:rsidR="00716C05" w:rsidRPr="00F9109C">
        <w:rPr>
          <w:color w:val="000000" w:themeColor="text1"/>
        </w:rPr>
        <w:t>.</w:t>
      </w:r>
      <w:r w:rsidR="004A6EDD">
        <w:rPr>
          <w:color w:val="000000" w:themeColor="text1"/>
        </w:rPr>
        <w:t xml:space="preserve"> Thus, t</w:t>
      </w:r>
      <w:r w:rsidR="004A6EDD" w:rsidRPr="004A6EDD">
        <w:rPr>
          <w:color w:val="000000" w:themeColor="text1"/>
        </w:rPr>
        <w:t xml:space="preserve">he criterion should </w:t>
      </w:r>
      <w:r w:rsidR="004A6EDD">
        <w:rPr>
          <w:color w:val="000000" w:themeColor="text1"/>
        </w:rPr>
        <w:t>refer to</w:t>
      </w:r>
      <w:r w:rsidR="004A6EDD" w:rsidRPr="004A6EDD">
        <w:rPr>
          <w:color w:val="000000" w:themeColor="text1"/>
        </w:rPr>
        <w:t xml:space="preserve"> “significant change in the methodology to create and calibrate stress test scenarios” instead of amendment of specific single stress scenarios (events)</w:t>
      </w:r>
      <w:r w:rsidR="004A6EDD">
        <w:rPr>
          <w:color w:val="000000" w:themeColor="text1"/>
        </w:rPr>
        <w:t>.</w:t>
      </w:r>
    </w:p>
    <w:p w14:paraId="5D7E523E" w14:textId="1CEF3B7D" w:rsidR="009402F6" w:rsidRDefault="00ED4723" w:rsidP="00F9109C">
      <w:pPr>
        <w:pStyle w:val="Kommentartext"/>
        <w:numPr>
          <w:ilvl w:val="0"/>
          <w:numId w:val="57"/>
        </w:numPr>
      </w:pPr>
      <w:r>
        <w:t xml:space="preserve">The quantitative trigger </w:t>
      </w:r>
      <w:proofErr w:type="gramStart"/>
      <w:r>
        <w:t>are</w:t>
      </w:r>
      <w:proofErr w:type="gramEnd"/>
      <w:r>
        <w:t xml:space="preserve"> o</w:t>
      </w:r>
      <w:r w:rsidR="009402F6">
        <w:t>f particular concern:</w:t>
      </w:r>
    </w:p>
    <w:p w14:paraId="5225F9D3" w14:textId="3FC18D34" w:rsidR="009402F6" w:rsidRDefault="009402F6" w:rsidP="00F9109C">
      <w:pPr>
        <w:pStyle w:val="Kommentartext"/>
        <w:numPr>
          <w:ilvl w:val="1"/>
          <w:numId w:val="57"/>
        </w:numPr>
      </w:pPr>
      <w:r>
        <w:t xml:space="preserve">10% of default fund (as opposed to 10% of pre-funded resources) is a low threshold as </w:t>
      </w:r>
      <w:r w:rsidR="004B7E77">
        <w:t xml:space="preserve">the </w:t>
      </w:r>
      <w:r>
        <w:t xml:space="preserve">default fund is effectively driven by the differential between cover-2 stress testing losses and the IM. For CCPs where </w:t>
      </w:r>
      <w:r w:rsidR="004B7E77">
        <w:t xml:space="preserve">the </w:t>
      </w:r>
      <w:r>
        <w:t xml:space="preserve">majority of the risk is collateralized by the potential defaulter (i.e. in IM collateral), Default Funds will consequently be </w:t>
      </w:r>
      <w:proofErr w:type="gramStart"/>
      <w:r>
        <w:t>low</w:t>
      </w:r>
      <w:proofErr w:type="gramEnd"/>
      <w:r>
        <w:t xml:space="preserve"> and 10% changes will be triggered very easily for even the small changes to stress testing frameworks.</w:t>
      </w:r>
    </w:p>
    <w:p w14:paraId="15EE03AC" w14:textId="20C9E0F6" w:rsidR="009402F6" w:rsidRDefault="009402F6" w:rsidP="00F9109C">
      <w:pPr>
        <w:pStyle w:val="Kommentartext"/>
        <w:numPr>
          <w:ilvl w:val="1"/>
          <w:numId w:val="57"/>
        </w:numPr>
      </w:pPr>
      <w:r>
        <w:t xml:space="preserve">It is difficult to explain the threshold of 50% individual default fund contribution. When combined with the overall 10% threshold, </w:t>
      </w:r>
      <w:r w:rsidR="00716C05">
        <w:t>it remains unclear</w:t>
      </w:r>
      <w:r>
        <w:t xml:space="preserve"> if any change which doesn’t trigger any of these thresholds is a change worth executing in the first place.</w:t>
      </w:r>
    </w:p>
    <w:p w14:paraId="63843824" w14:textId="7580E309" w:rsidR="00DD01AE" w:rsidRDefault="009402F6" w:rsidP="00F9109C">
      <w:pPr>
        <w:pStyle w:val="Kommentartext"/>
        <w:numPr>
          <w:ilvl w:val="1"/>
          <w:numId w:val="57"/>
        </w:numPr>
      </w:pPr>
      <w:r>
        <w:t>Apart from the very low thresholds, it is unclear how the RTS implement</w:t>
      </w:r>
      <w:r w:rsidR="00716C05">
        <w:t>s</w:t>
      </w:r>
      <w:r>
        <w:t xml:space="preserve"> stress testing calibration methodologies. Many CCPs apply approved and validated models to calibrate their set of scenarios and their magnitude. This provides for a degree of objectivity. However, if the following criterion is being triggered as a result of existing methodology being applied to new data, this would effectively mean that the model is only applied as guidance and regular model execution may require ‘significant model change process’. This raises a more fundamental question which will be raised several times still: to what extent are CCPs in charge of their risk management operations and to what extent is that going to be </w:t>
      </w:r>
      <w:r w:rsidR="00813852">
        <w:t>dependent on</w:t>
      </w:r>
      <w:r>
        <w:t xml:space="preserve"> the NCA and </w:t>
      </w:r>
      <w:r w:rsidR="00813852">
        <w:t xml:space="preserve">EMIR </w:t>
      </w:r>
      <w:r>
        <w:t>college. For example, if the approved and validated stress testing calibration model, results on 2021 with more scenarios and those scenarios increase in severity due to crisis, CCP</w:t>
      </w:r>
      <w:r w:rsidR="004B7E77">
        <w:t>s</w:t>
      </w:r>
      <w:r>
        <w:t xml:space="preserve"> will be obliged not to apply its standard operating procedure but instead put them on hold pending regulatory decision. It raises questions about what happens if a member default occurs in the time interval between </w:t>
      </w:r>
      <w:r w:rsidR="004B7E77">
        <w:t xml:space="preserve">the </w:t>
      </w:r>
      <w:r>
        <w:t>CCP recalibrating its model and the time that it obtains regulatory approval to effect the changes, especially if the default was sever</w:t>
      </w:r>
      <w:r w:rsidR="004B7E77">
        <w:t>e</w:t>
      </w:r>
      <w:r>
        <w:t xml:space="preserve"> enough to exhaust the (unamended) default fund.</w:t>
      </w:r>
    </w:p>
    <w:p w14:paraId="2EC20052" w14:textId="77777777" w:rsidR="00DD01AE" w:rsidRDefault="00DD01AE" w:rsidP="00F9109C">
      <w:pPr>
        <w:pStyle w:val="Listenabsatz"/>
      </w:pPr>
    </w:p>
    <w:p w14:paraId="4A2EC86B" w14:textId="4FE65895" w:rsidR="00C90B87" w:rsidRPr="00F9109C" w:rsidRDefault="009402F6" w:rsidP="00F9109C">
      <w:pPr>
        <w:pStyle w:val="Listenabsatz"/>
        <w:numPr>
          <w:ilvl w:val="0"/>
          <w:numId w:val="57"/>
        </w:numPr>
        <w:rPr>
          <w:color w:val="000000" w:themeColor="text1"/>
          <w:lang w:val="en-US"/>
        </w:rPr>
      </w:pPr>
      <w:r>
        <w:t xml:space="preserve">Re Art. </w:t>
      </w:r>
      <w:r w:rsidR="008D3E93">
        <w:t>7</w:t>
      </w:r>
      <w:r>
        <w:t xml:space="preserve"> (</w:t>
      </w:r>
      <w:r w:rsidRPr="00F9109C">
        <w:rPr>
          <w:color w:val="000000" w:themeColor="text1"/>
        </w:rPr>
        <w:t>h)</w:t>
      </w:r>
      <w:r w:rsidR="597F24E8" w:rsidRPr="00F9109C">
        <w:rPr>
          <w:color w:val="000000" w:themeColor="text1"/>
        </w:rPr>
        <w:t xml:space="preserve"> - Change in methodology applied to assess liquidity risk</w:t>
      </w:r>
      <w:r w:rsidR="65BFE4FE" w:rsidRPr="00F9109C">
        <w:rPr>
          <w:color w:val="000000" w:themeColor="text1"/>
        </w:rPr>
        <w:t>/monitor concentration risk</w:t>
      </w:r>
      <w:r w:rsidRPr="00F9109C">
        <w:rPr>
          <w:color w:val="000000" w:themeColor="text1"/>
        </w:rPr>
        <w:t xml:space="preserve">: This criterion appears extremely restrictive. Most CCPs will have major liquidity risks in their home currencies with much lower liquidity risks arising in other currencies. The threshold means that a change in liquidity situation in those minor currencies will potentially trigger </w:t>
      </w:r>
      <w:r w:rsidR="004B7E77">
        <w:rPr>
          <w:color w:val="000000" w:themeColor="text1"/>
        </w:rPr>
        <w:t xml:space="preserve">the </w:t>
      </w:r>
      <w:r w:rsidRPr="00F9109C">
        <w:rPr>
          <w:color w:val="000000" w:themeColor="text1"/>
        </w:rPr>
        <w:t>Art.</w:t>
      </w:r>
      <w:r w:rsidR="004B7E77">
        <w:rPr>
          <w:color w:val="000000" w:themeColor="text1"/>
        </w:rPr>
        <w:t xml:space="preserve"> </w:t>
      </w:r>
      <w:r w:rsidRPr="00F9109C">
        <w:rPr>
          <w:color w:val="000000" w:themeColor="text1"/>
        </w:rPr>
        <w:t xml:space="preserve">49 </w:t>
      </w:r>
      <w:r w:rsidR="004B7E77">
        <w:rPr>
          <w:color w:val="000000" w:themeColor="text1"/>
        </w:rPr>
        <w:t xml:space="preserve">EMIR </w:t>
      </w:r>
      <w:r w:rsidRPr="00F9109C">
        <w:rPr>
          <w:color w:val="000000" w:themeColor="text1"/>
        </w:rPr>
        <w:t>process.</w:t>
      </w:r>
      <w:r w:rsidR="004A6EDD">
        <w:rPr>
          <w:color w:val="000000" w:themeColor="text1"/>
        </w:rPr>
        <w:t xml:space="preserve"> Having that said we would suggest </w:t>
      </w:r>
      <w:proofErr w:type="gramStart"/>
      <w:r w:rsidR="004A6EDD">
        <w:rPr>
          <w:color w:val="000000" w:themeColor="text1"/>
        </w:rPr>
        <w:t xml:space="preserve">to </w:t>
      </w:r>
      <w:r w:rsidR="004A6EDD" w:rsidRPr="004A6EDD">
        <w:rPr>
          <w:color w:val="000000" w:themeColor="text1"/>
        </w:rPr>
        <w:t>limit</w:t>
      </w:r>
      <w:proofErr w:type="gramEnd"/>
      <w:r w:rsidR="004A6EDD" w:rsidRPr="004A6EDD">
        <w:rPr>
          <w:color w:val="000000" w:themeColor="text1"/>
        </w:rPr>
        <w:t xml:space="preserve"> the criteria to total liquidity needs and not individual currency level</w:t>
      </w:r>
      <w:r w:rsidR="004A6EDD">
        <w:rPr>
          <w:color w:val="000000" w:themeColor="text1"/>
        </w:rPr>
        <w:t>.</w:t>
      </w:r>
    </w:p>
    <w:p w14:paraId="0844298A" w14:textId="77777777" w:rsidR="00DD01AE" w:rsidRPr="00F9109C" w:rsidRDefault="00DD01AE" w:rsidP="00F9109C">
      <w:pPr>
        <w:pStyle w:val="Listenabsatz"/>
        <w:rPr>
          <w:color w:val="000000" w:themeColor="text1"/>
        </w:rPr>
      </w:pPr>
    </w:p>
    <w:p w14:paraId="20E386B9" w14:textId="37797BD7" w:rsidR="009402F6" w:rsidRPr="00F9109C" w:rsidRDefault="009402F6" w:rsidP="00F9109C">
      <w:pPr>
        <w:pStyle w:val="Listenabsatz"/>
        <w:numPr>
          <w:ilvl w:val="0"/>
          <w:numId w:val="57"/>
        </w:numPr>
        <w:rPr>
          <w:color w:val="000000" w:themeColor="text1"/>
        </w:rPr>
      </w:pPr>
      <w:r w:rsidRPr="00F9109C">
        <w:rPr>
          <w:color w:val="000000" w:themeColor="text1"/>
          <w:lang w:val="en-US"/>
        </w:rPr>
        <w:t xml:space="preserve">Re Art. </w:t>
      </w:r>
      <w:r w:rsidR="008D3E93" w:rsidRPr="00F9109C">
        <w:rPr>
          <w:color w:val="000000" w:themeColor="text1"/>
          <w:lang w:val="en-US"/>
        </w:rPr>
        <w:t>7</w:t>
      </w:r>
      <w:r w:rsidRPr="00F9109C">
        <w:rPr>
          <w:color w:val="000000" w:themeColor="text1"/>
          <w:lang w:val="en-US"/>
        </w:rPr>
        <w:t xml:space="preserve"> (</w:t>
      </w:r>
      <w:proofErr w:type="spellStart"/>
      <w:r w:rsidRPr="00F9109C">
        <w:rPr>
          <w:color w:val="000000" w:themeColor="text1"/>
          <w:lang w:val="en-US"/>
        </w:rPr>
        <w:t>i</w:t>
      </w:r>
      <w:proofErr w:type="spellEnd"/>
      <w:r w:rsidRPr="00F9109C">
        <w:rPr>
          <w:color w:val="000000" w:themeColor="text1"/>
          <w:lang w:val="en-US"/>
        </w:rPr>
        <w:t>)</w:t>
      </w:r>
      <w:r w:rsidR="65BFE4FE" w:rsidRPr="00F9109C">
        <w:rPr>
          <w:color w:val="000000" w:themeColor="text1"/>
          <w:lang w:val="en-US"/>
        </w:rPr>
        <w:t xml:space="preserve"> - </w:t>
      </w:r>
      <w:r w:rsidR="5628FEF4" w:rsidRPr="00F9109C">
        <w:rPr>
          <w:color w:val="000000" w:themeColor="text1"/>
          <w:lang w:val="en-US"/>
        </w:rPr>
        <w:t>E</w:t>
      </w:r>
      <w:r w:rsidR="30721E80" w:rsidRPr="00F9109C">
        <w:rPr>
          <w:color w:val="000000" w:themeColor="text1"/>
          <w:lang w:val="en-US"/>
        </w:rPr>
        <w:t xml:space="preserve">xtension of eligible collateral </w:t>
      </w:r>
      <w:r w:rsidR="4ABDD7CB" w:rsidRPr="00F9109C">
        <w:rPr>
          <w:color w:val="000000" w:themeColor="text1"/>
          <w:lang w:val="en-US"/>
        </w:rPr>
        <w:t>with different risk profile</w:t>
      </w:r>
      <w:r w:rsidRPr="00F9109C">
        <w:rPr>
          <w:color w:val="000000" w:themeColor="text1"/>
          <w:lang w:val="en-US"/>
        </w:rPr>
        <w:t xml:space="preserve">: </w:t>
      </w:r>
      <w:r w:rsidR="00716C05" w:rsidRPr="00F9109C">
        <w:rPr>
          <w:color w:val="000000" w:themeColor="text1"/>
        </w:rPr>
        <w:t xml:space="preserve">We would welcome clarification </w:t>
      </w:r>
      <w:r w:rsidRPr="00F9109C">
        <w:rPr>
          <w:color w:val="000000" w:themeColor="text1"/>
        </w:rPr>
        <w:t>what “material differences in liquidity” means</w:t>
      </w:r>
      <w:r w:rsidR="00813852">
        <w:rPr>
          <w:color w:val="000000" w:themeColor="text1"/>
        </w:rPr>
        <w:t>.</w:t>
      </w:r>
      <w:r w:rsidRPr="00F9109C">
        <w:rPr>
          <w:color w:val="000000" w:themeColor="text1"/>
        </w:rPr>
        <w:t xml:space="preserve"> While there are clear thresholds on other criteria, this appears unclear in comparison.</w:t>
      </w:r>
      <w:r w:rsidR="004A6EDD">
        <w:rPr>
          <w:color w:val="000000" w:themeColor="text1"/>
        </w:rPr>
        <w:t xml:space="preserve"> Considering this subject is also covered by regular </w:t>
      </w:r>
      <w:r w:rsidR="00813852">
        <w:rPr>
          <w:color w:val="000000" w:themeColor="text1"/>
        </w:rPr>
        <w:t>back testing</w:t>
      </w:r>
      <w:r w:rsidR="004A6EDD">
        <w:rPr>
          <w:color w:val="000000" w:themeColor="text1"/>
        </w:rPr>
        <w:t xml:space="preserve"> of collateral haircuts, we would welcome to consider deleting the subpoints Art. 7 (</w:t>
      </w:r>
      <w:proofErr w:type="spellStart"/>
      <w:r w:rsidR="004A6EDD">
        <w:rPr>
          <w:color w:val="000000" w:themeColor="text1"/>
        </w:rPr>
        <w:t>i</w:t>
      </w:r>
      <w:proofErr w:type="spellEnd"/>
      <w:proofErr w:type="gramStart"/>
      <w:r w:rsidR="004A6EDD">
        <w:rPr>
          <w:color w:val="000000" w:themeColor="text1"/>
        </w:rPr>
        <w:t>),</w:t>
      </w:r>
      <w:proofErr w:type="spellStart"/>
      <w:r w:rsidR="004A6EDD">
        <w:rPr>
          <w:color w:val="000000" w:themeColor="text1"/>
        </w:rPr>
        <w:t>i</w:t>
      </w:r>
      <w:proofErr w:type="spellEnd"/>
      <w:proofErr w:type="gramEnd"/>
      <w:r w:rsidR="004A6EDD">
        <w:rPr>
          <w:color w:val="000000" w:themeColor="text1"/>
        </w:rPr>
        <w:t xml:space="preserve"> and Art. 7 (</w:t>
      </w:r>
      <w:proofErr w:type="spellStart"/>
      <w:r w:rsidR="004A6EDD">
        <w:rPr>
          <w:color w:val="000000" w:themeColor="text1"/>
        </w:rPr>
        <w:t>i</w:t>
      </w:r>
      <w:proofErr w:type="spellEnd"/>
      <w:r w:rsidR="004A6EDD">
        <w:rPr>
          <w:color w:val="000000" w:themeColor="text1"/>
        </w:rPr>
        <w:t xml:space="preserve">),ii. </w:t>
      </w:r>
    </w:p>
    <w:p w14:paraId="73D76103" w14:textId="4F7459B6" w:rsidR="009402F6" w:rsidRPr="00813852" w:rsidRDefault="009402F6" w:rsidP="000C5488">
      <w:pPr>
        <w:pStyle w:val="Listenabsatz"/>
        <w:numPr>
          <w:ilvl w:val="0"/>
          <w:numId w:val="57"/>
        </w:numPr>
        <w:rPr>
          <w:lang w:val="en-US"/>
        </w:rPr>
      </w:pPr>
      <w:r w:rsidRPr="00813852">
        <w:rPr>
          <w:color w:val="000000" w:themeColor="text1"/>
          <w:lang w:val="en-US"/>
        </w:rPr>
        <w:lastRenderedPageBreak/>
        <w:t xml:space="preserve">Re Art. </w:t>
      </w:r>
      <w:r w:rsidR="008D3E93" w:rsidRPr="00813852">
        <w:rPr>
          <w:color w:val="000000" w:themeColor="text1"/>
          <w:lang w:val="en-US"/>
        </w:rPr>
        <w:t>7</w:t>
      </w:r>
      <w:r w:rsidRPr="00813852">
        <w:rPr>
          <w:color w:val="000000" w:themeColor="text1"/>
          <w:lang w:val="en-US"/>
        </w:rPr>
        <w:t xml:space="preserve"> (j)</w:t>
      </w:r>
      <w:r w:rsidR="795DF18A" w:rsidRPr="00813852">
        <w:rPr>
          <w:color w:val="000000" w:themeColor="text1"/>
          <w:lang w:val="en-US"/>
        </w:rPr>
        <w:t xml:space="preserve"> </w:t>
      </w:r>
      <w:r w:rsidR="4ABDD7CB" w:rsidRPr="00813852">
        <w:rPr>
          <w:color w:val="000000" w:themeColor="text1"/>
          <w:lang w:val="en-US"/>
        </w:rPr>
        <w:t xml:space="preserve">- </w:t>
      </w:r>
      <w:r w:rsidR="795DF18A" w:rsidRPr="00813852">
        <w:rPr>
          <w:color w:val="000000" w:themeColor="text1"/>
          <w:lang w:val="en-US"/>
        </w:rPr>
        <w:t xml:space="preserve">Change in methodology </w:t>
      </w:r>
      <w:r w:rsidR="340D0892" w:rsidRPr="00813852">
        <w:rPr>
          <w:color w:val="000000" w:themeColor="text1"/>
          <w:lang w:val="en-US"/>
        </w:rPr>
        <w:t>ap</w:t>
      </w:r>
      <w:r w:rsidR="4C1EC9D2" w:rsidRPr="00813852">
        <w:rPr>
          <w:color w:val="000000" w:themeColor="text1"/>
          <w:lang w:val="en-US"/>
        </w:rPr>
        <w:t xml:space="preserve">plied to value/calibrate collateral </w:t>
      </w:r>
      <w:r w:rsidR="3CC2C222" w:rsidRPr="00813852">
        <w:rPr>
          <w:color w:val="000000" w:themeColor="text1"/>
          <w:lang w:val="en-US"/>
        </w:rPr>
        <w:t>or set concentration limits</w:t>
      </w:r>
      <w:r w:rsidRPr="00813852">
        <w:rPr>
          <w:color w:val="000000" w:themeColor="text1"/>
          <w:lang w:val="en-US"/>
        </w:rPr>
        <w:t xml:space="preserve">: The criterion leaves out other haircuts and models, such as other valuation models. </w:t>
      </w:r>
      <w:r w:rsidR="00716C05" w:rsidRPr="00813852">
        <w:rPr>
          <w:color w:val="000000" w:themeColor="text1"/>
          <w:lang w:val="en-US"/>
        </w:rPr>
        <w:t xml:space="preserve">We would welcome a clarification whether this was intentionally left out. </w:t>
      </w:r>
      <w:r w:rsidRPr="00813852">
        <w:rPr>
          <w:color w:val="000000" w:themeColor="text1"/>
        </w:rPr>
        <w:t xml:space="preserve">Furthermore, </w:t>
      </w:r>
      <w:r w:rsidR="008D3E93" w:rsidRPr="00813852">
        <w:rPr>
          <w:color w:val="000000" w:themeColor="text1"/>
        </w:rPr>
        <w:t>w</w:t>
      </w:r>
      <w:r w:rsidRPr="00813852">
        <w:rPr>
          <w:color w:val="000000" w:themeColor="text1"/>
        </w:rPr>
        <w:t xml:space="preserve">hile the criterion of change of total value of </w:t>
      </w:r>
      <w:r>
        <w:t>non-cash collateral appears overall reasonable, the threshold at the level of any single instrument appears excessive. A materiality threshold would be more appropriate to ensure focus on items which matter.</w:t>
      </w:r>
      <w:r w:rsidR="008D3E93">
        <w:t xml:space="preserve"> </w:t>
      </w:r>
    </w:p>
    <w:p w14:paraId="6431365E" w14:textId="77777777" w:rsidR="00AF6F18" w:rsidRPr="004745BF" w:rsidRDefault="00AF6F18" w:rsidP="00C93A9C">
      <w:pPr>
        <w:rPr>
          <w:lang w:val="en-US"/>
        </w:rPr>
      </w:pPr>
    </w:p>
    <w:permEnd w:id="176716444"/>
    <w:p w14:paraId="7B3BB0E2" w14:textId="75027E4F" w:rsidR="003331A2" w:rsidRPr="00C90B87" w:rsidRDefault="003331A2" w:rsidP="003331A2">
      <w:pPr>
        <w:rPr>
          <w:lang w:val="fr-FR" w:eastAsia="en-US"/>
        </w:rPr>
      </w:pPr>
      <w:r w:rsidRPr="00C90B87">
        <w:rPr>
          <w:lang w:val="fr-FR" w:eastAsia="en-US"/>
        </w:rPr>
        <w:t>&lt;ESMA_</w:t>
      </w:r>
      <w:r w:rsidR="00C93A9C" w:rsidRPr="00C90B87">
        <w:rPr>
          <w:lang w:val="fr-FR" w:eastAsia="en-US"/>
        </w:rPr>
        <w:t>QUESTION_</w:t>
      </w:r>
      <w:r w:rsidR="00106124" w:rsidRPr="00C90B87">
        <w:rPr>
          <w:lang w:val="fr-FR" w:eastAsia="en-US"/>
        </w:rPr>
        <w:t>RTS1549</w:t>
      </w:r>
      <w:r w:rsidR="00C93A9C" w:rsidRPr="00C90B87">
        <w:rPr>
          <w:lang w:val="fr-FR" w:eastAsia="en-US"/>
        </w:rPr>
        <w:t>_</w:t>
      </w:r>
      <w:r w:rsidR="00CD3899" w:rsidRPr="00C90B87">
        <w:rPr>
          <w:lang w:val="fr-FR" w:eastAsia="en-US"/>
        </w:rPr>
        <w:t>7</w:t>
      </w:r>
      <w:r w:rsidRPr="00C90B87">
        <w:rPr>
          <w:lang w:val="fr-FR" w:eastAsia="en-US"/>
        </w:rPr>
        <w:t>&gt;</w:t>
      </w:r>
    </w:p>
    <w:p w14:paraId="0FAD1D05" w14:textId="77777777" w:rsidR="00014A67" w:rsidRPr="00C90B87" w:rsidRDefault="00014A67" w:rsidP="00014A67">
      <w:pPr>
        <w:rPr>
          <w:lang w:val="fr-FR" w:eastAsia="en-US"/>
        </w:rPr>
      </w:pPr>
    </w:p>
    <w:p w14:paraId="7F3EFB04" w14:textId="7C3B3013" w:rsidR="00014A67" w:rsidRDefault="00177C6B" w:rsidP="00177C6B">
      <w:pPr>
        <w:pStyle w:val="Questionstyle"/>
      </w:pPr>
      <w:r w:rsidRPr="00106124">
        <w:t>Do you agree with ESMA’s proposed list of indicators for significant changes to the models and parameters (under Article 49 of EMIR) or would you propose to change/add/delete any of the indicators or specify certain indicators further? Please provide reasons for your answer.</w:t>
      </w:r>
    </w:p>
    <w:p w14:paraId="2E30BD1E" w14:textId="692ECA15"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4442FDD9" w14:textId="75E10368" w:rsidR="008D3E93" w:rsidRDefault="008D3E93" w:rsidP="00813852">
      <w:pPr>
        <w:pStyle w:val="Kommentartext"/>
      </w:pPr>
      <w:permStart w:id="786512426" w:edGrp="everyone"/>
      <w:r>
        <w:t>General comment:</w:t>
      </w:r>
      <w:r w:rsidR="005F1964">
        <w:t xml:space="preserve"> </w:t>
      </w:r>
      <w:r w:rsidR="001B5A2B">
        <w:t>Assuming</w:t>
      </w:r>
      <w:r>
        <w:t xml:space="preserve"> it</w:t>
      </w:r>
      <w:r w:rsidR="001B5A2B">
        <w:t xml:space="preserve"> to be an</w:t>
      </w:r>
      <w:r>
        <w:t xml:space="preserve"> unintentional omission</w:t>
      </w:r>
      <w:r w:rsidR="001B5A2B">
        <w:t>,</w:t>
      </w:r>
      <w:r>
        <w:t xml:space="preserve"> Art. 8 does not mention change in methodology but simply ‘change’. </w:t>
      </w:r>
      <w:r w:rsidR="004E4E98">
        <w:t>It could happen</w:t>
      </w:r>
      <w:r w:rsidR="001B5A2B">
        <w:t xml:space="preserve"> that</w:t>
      </w:r>
      <w:r>
        <w:t xml:space="preserve">, like during corona crisis, IM of individual members increases by more than 10% due to increased market volatility (no changes on methodology side) – could ESMA clarify if </w:t>
      </w:r>
      <w:r w:rsidR="005F1964">
        <w:t xml:space="preserve">a </w:t>
      </w:r>
      <w:r>
        <w:t xml:space="preserve">CCP should then freeze the amounts of margin requirements at their last level pending </w:t>
      </w:r>
      <w:r w:rsidR="00813852">
        <w:t xml:space="preserve">EMIR </w:t>
      </w:r>
      <w:r>
        <w:t>college assessment of Art.</w:t>
      </w:r>
      <w:r w:rsidR="005F1964">
        <w:t xml:space="preserve"> </w:t>
      </w:r>
      <w:r>
        <w:t xml:space="preserve">49 </w:t>
      </w:r>
      <w:r w:rsidR="005F1964">
        <w:t xml:space="preserve">EMIR </w:t>
      </w:r>
      <w:r>
        <w:t>relevance and potential Art.</w:t>
      </w:r>
      <w:r w:rsidR="005F1964">
        <w:t xml:space="preserve"> </w:t>
      </w:r>
      <w:r>
        <w:t>49</w:t>
      </w:r>
      <w:r w:rsidR="005F1964">
        <w:t xml:space="preserve"> EMIR</w:t>
      </w:r>
      <w:r>
        <w:t xml:space="preserve"> process completion</w:t>
      </w:r>
      <w:r w:rsidR="00813852">
        <w:t xml:space="preserve">. </w:t>
      </w:r>
      <w:r>
        <w:t>The same comment applies to all Art. 8 sub-points and is thus not repeated.</w:t>
      </w:r>
    </w:p>
    <w:p w14:paraId="2FF0E1CF" w14:textId="373CE957" w:rsidR="008D3E93" w:rsidRDefault="008D3E93" w:rsidP="008D3E93"/>
    <w:p w14:paraId="36D0915D" w14:textId="4B6523C1" w:rsidR="001B5A2B" w:rsidRPr="00F9109C" w:rsidRDefault="001B5A2B" w:rsidP="008D3E93">
      <w:pPr>
        <w:rPr>
          <w:lang w:val="en-US"/>
        </w:rPr>
      </w:pPr>
      <w:r w:rsidRPr="00FE0E2E">
        <w:rPr>
          <w:lang w:val="en-US"/>
        </w:rPr>
        <w:t xml:space="preserve">Referring to the proposed </w:t>
      </w:r>
      <w:r w:rsidR="00811C0A">
        <w:rPr>
          <w:lang w:val="en-US"/>
        </w:rPr>
        <w:t>RTS,</w:t>
      </w:r>
      <w:r>
        <w:rPr>
          <w:lang w:val="en-US"/>
        </w:rPr>
        <w:t xml:space="preserve"> we want to highlight the following specific points:</w:t>
      </w:r>
    </w:p>
    <w:p w14:paraId="71B1B2B1" w14:textId="02198067" w:rsidR="00B336C6" w:rsidRPr="00F9109C" w:rsidRDefault="008D3E93" w:rsidP="00F9109C">
      <w:pPr>
        <w:pStyle w:val="Listenabsatz"/>
        <w:numPr>
          <w:ilvl w:val="0"/>
          <w:numId w:val="59"/>
        </w:numPr>
        <w:rPr>
          <w:color w:val="000000" w:themeColor="text1"/>
        </w:rPr>
      </w:pPr>
      <w:r>
        <w:t xml:space="preserve">Re Art. 8 </w:t>
      </w:r>
      <w:r w:rsidRPr="00F9109C">
        <w:rPr>
          <w:color w:val="000000" w:themeColor="text1"/>
        </w:rPr>
        <w:t xml:space="preserve">(a) </w:t>
      </w:r>
      <w:r w:rsidR="00802466">
        <w:rPr>
          <w:color w:val="000000" w:themeColor="text1"/>
        </w:rPr>
        <w:t>(</w:t>
      </w:r>
      <w:r w:rsidRPr="00F9109C">
        <w:rPr>
          <w:color w:val="000000" w:themeColor="text1"/>
        </w:rPr>
        <w:t>iii</w:t>
      </w:r>
      <w:r w:rsidR="00802466">
        <w:rPr>
          <w:color w:val="000000" w:themeColor="text1"/>
        </w:rPr>
        <w:t>)</w:t>
      </w:r>
      <w:r w:rsidR="00E605FE" w:rsidRPr="00F9109C">
        <w:rPr>
          <w:color w:val="000000" w:themeColor="text1"/>
        </w:rPr>
        <w:t xml:space="preserve"> </w:t>
      </w:r>
      <w:r w:rsidR="00EC0623" w:rsidRPr="00CB7E47">
        <w:rPr>
          <w:color w:val="000000" w:themeColor="text1"/>
        </w:rPr>
        <w:t>-</w:t>
      </w:r>
      <w:r w:rsidR="5DA4617F" w:rsidRPr="00F9109C">
        <w:rPr>
          <w:color w:val="000000" w:themeColor="text1"/>
        </w:rPr>
        <w:t xml:space="preserve"> Decrease or increase of total </w:t>
      </w:r>
      <w:r w:rsidR="57D50E0D" w:rsidRPr="00F9109C">
        <w:rPr>
          <w:color w:val="000000" w:themeColor="text1"/>
        </w:rPr>
        <w:t>pre-funded financial resources</w:t>
      </w:r>
      <w:r w:rsidRPr="00F9109C">
        <w:rPr>
          <w:color w:val="000000" w:themeColor="text1"/>
        </w:rPr>
        <w:t xml:space="preserve">: It is unclear what is meant by this proposed indicator. Typically, neither margins </w:t>
      </w:r>
      <w:proofErr w:type="gramStart"/>
      <w:r w:rsidRPr="00F9109C">
        <w:rPr>
          <w:color w:val="000000" w:themeColor="text1"/>
        </w:rPr>
        <w:t>and</w:t>
      </w:r>
      <w:proofErr w:type="gramEnd"/>
      <w:r w:rsidRPr="00F9109C">
        <w:rPr>
          <w:color w:val="000000" w:themeColor="text1"/>
        </w:rPr>
        <w:t xml:space="preserve"> especially not stress testing exposures are measured on the level of individual underlying; ‘class of financial instruments’ is a category which would require further clarifying but is also not widely used in CCP risk management to identify impacts.</w:t>
      </w:r>
    </w:p>
    <w:p w14:paraId="70C07162" w14:textId="77777777" w:rsidR="003E5A17" w:rsidRPr="00F9109C" w:rsidRDefault="003E5A17" w:rsidP="00F9109C">
      <w:pPr>
        <w:pStyle w:val="Listenabsatz"/>
        <w:rPr>
          <w:color w:val="000000" w:themeColor="text1"/>
        </w:rPr>
      </w:pPr>
    </w:p>
    <w:p w14:paraId="21ED23EE" w14:textId="275FA85E" w:rsidR="00B336C6" w:rsidRPr="00F9109C" w:rsidRDefault="00B336C6" w:rsidP="00F9109C">
      <w:pPr>
        <w:pStyle w:val="Listenabsatz"/>
        <w:numPr>
          <w:ilvl w:val="0"/>
          <w:numId w:val="59"/>
        </w:numPr>
        <w:rPr>
          <w:color w:val="000000" w:themeColor="text1"/>
        </w:rPr>
      </w:pPr>
      <w:r w:rsidRPr="00F9109C">
        <w:rPr>
          <w:color w:val="000000" w:themeColor="text1"/>
        </w:rPr>
        <w:t xml:space="preserve">Re Art. 8 (a) </w:t>
      </w:r>
      <w:r w:rsidR="00802466">
        <w:rPr>
          <w:color w:val="000000" w:themeColor="text1"/>
        </w:rPr>
        <w:t>(</w:t>
      </w:r>
      <w:r w:rsidRPr="00F9109C">
        <w:rPr>
          <w:color w:val="000000" w:themeColor="text1"/>
        </w:rPr>
        <w:t>iv</w:t>
      </w:r>
      <w:r w:rsidR="00802466">
        <w:rPr>
          <w:color w:val="000000" w:themeColor="text1"/>
        </w:rPr>
        <w:t>)</w:t>
      </w:r>
      <w:r w:rsidR="685B5FE0" w:rsidRPr="00F9109C">
        <w:rPr>
          <w:color w:val="000000" w:themeColor="text1"/>
        </w:rPr>
        <w:t xml:space="preserve"> </w:t>
      </w:r>
      <w:r w:rsidR="00EC0623" w:rsidRPr="00CB7E47">
        <w:rPr>
          <w:color w:val="000000" w:themeColor="text1"/>
        </w:rPr>
        <w:t>-</w:t>
      </w:r>
      <w:r w:rsidR="685B5FE0" w:rsidRPr="00F9109C">
        <w:rPr>
          <w:color w:val="000000" w:themeColor="text1"/>
        </w:rPr>
        <w:t xml:space="preserve"> Decrease or increase of the margin </w:t>
      </w:r>
      <w:r w:rsidR="6534C81F" w:rsidRPr="00F9109C">
        <w:rPr>
          <w:color w:val="000000" w:themeColor="text1"/>
        </w:rPr>
        <w:t>requirements or stress test exposure</w:t>
      </w:r>
      <w:r w:rsidRPr="00F9109C">
        <w:rPr>
          <w:color w:val="000000" w:themeColor="text1"/>
        </w:rPr>
        <w:t>: The threshold appears very low and concerns as voiced in ou</w:t>
      </w:r>
      <w:r w:rsidR="005F1964">
        <w:rPr>
          <w:color w:val="000000" w:themeColor="text1"/>
        </w:rPr>
        <w:t>r</w:t>
      </w:r>
      <w:r w:rsidRPr="00F9109C">
        <w:rPr>
          <w:color w:val="000000" w:themeColor="text1"/>
        </w:rPr>
        <w:t xml:space="preserve"> reply to Art. 7 (g) </w:t>
      </w:r>
      <w:r w:rsidR="001B5A2B" w:rsidRPr="00F9109C">
        <w:rPr>
          <w:color w:val="000000" w:themeColor="text1"/>
        </w:rPr>
        <w:t>(</w:t>
      </w:r>
      <w:r w:rsidR="005F1964">
        <w:rPr>
          <w:color w:val="000000" w:themeColor="text1"/>
        </w:rPr>
        <w:t xml:space="preserve">see </w:t>
      </w:r>
      <w:r w:rsidR="001B5A2B" w:rsidRPr="00F9109C">
        <w:rPr>
          <w:color w:val="000000" w:themeColor="text1"/>
        </w:rPr>
        <w:t xml:space="preserve">question 7) </w:t>
      </w:r>
      <w:r w:rsidRPr="00F9109C">
        <w:rPr>
          <w:color w:val="000000" w:themeColor="text1"/>
        </w:rPr>
        <w:t>also apply here.</w:t>
      </w:r>
    </w:p>
    <w:p w14:paraId="7A861379" w14:textId="77777777" w:rsidR="003E5A17" w:rsidRPr="00F9109C" w:rsidRDefault="003E5A17" w:rsidP="00F9109C">
      <w:pPr>
        <w:pStyle w:val="Kommentartext"/>
        <w:ind w:left="720"/>
        <w:rPr>
          <w:color w:val="000000" w:themeColor="text1"/>
        </w:rPr>
      </w:pPr>
    </w:p>
    <w:p w14:paraId="15B10042" w14:textId="2E84D3D0" w:rsidR="00B336C6" w:rsidRPr="00F9109C" w:rsidRDefault="00B336C6" w:rsidP="00F9109C">
      <w:pPr>
        <w:pStyle w:val="Kommentartext"/>
        <w:numPr>
          <w:ilvl w:val="0"/>
          <w:numId w:val="59"/>
        </w:numPr>
        <w:rPr>
          <w:color w:val="000000" w:themeColor="text1"/>
        </w:rPr>
      </w:pPr>
      <w:r w:rsidRPr="00F9109C">
        <w:rPr>
          <w:color w:val="000000" w:themeColor="text1"/>
        </w:rPr>
        <w:t>Re Art. 8 (b)</w:t>
      </w:r>
      <w:r w:rsidR="1D928527" w:rsidRPr="00F9109C">
        <w:rPr>
          <w:color w:val="000000" w:themeColor="text1"/>
        </w:rPr>
        <w:t xml:space="preserve"> - Decrease or increase of haircut</w:t>
      </w:r>
      <w:r w:rsidR="60E8DD6E" w:rsidRPr="00F9109C">
        <w:rPr>
          <w:color w:val="000000" w:themeColor="text1"/>
        </w:rPr>
        <w:t xml:space="preserve"> due to changed methodology</w:t>
      </w:r>
      <w:r w:rsidRPr="00F9109C">
        <w:rPr>
          <w:color w:val="000000" w:themeColor="text1"/>
        </w:rPr>
        <w:t xml:space="preserve">: Consistent with a comment on Art. 7 (j), assessing the change against overall value of collateral has some merit but observance of threshold at individual security level is unduly restrictive. The set of eligible securities of some CCPs exceed 10,000 securities and hitting the threshold for any of those securities would trigger an indicator even if overall impact is </w:t>
      </w:r>
      <w:r w:rsidR="00813852">
        <w:rPr>
          <w:color w:val="000000" w:themeColor="text1"/>
        </w:rPr>
        <w:t>minor</w:t>
      </w:r>
      <w:r w:rsidRPr="00F9109C">
        <w:rPr>
          <w:color w:val="000000" w:themeColor="text1"/>
        </w:rPr>
        <w:t>.</w:t>
      </w:r>
    </w:p>
    <w:p w14:paraId="6F24EDF3" w14:textId="77777777" w:rsidR="003E5A17" w:rsidRPr="00F9109C" w:rsidRDefault="003E5A17" w:rsidP="00F9109C">
      <w:pPr>
        <w:pStyle w:val="Listenabsatz"/>
        <w:rPr>
          <w:color w:val="000000" w:themeColor="text1"/>
        </w:rPr>
      </w:pPr>
    </w:p>
    <w:p w14:paraId="427CCAC4" w14:textId="4542A92C" w:rsidR="005F1964" w:rsidRDefault="00B336C6" w:rsidP="00A42951">
      <w:pPr>
        <w:pStyle w:val="Listenabsatz"/>
      </w:pPr>
      <w:r w:rsidRPr="00F9109C">
        <w:rPr>
          <w:color w:val="000000" w:themeColor="text1"/>
        </w:rPr>
        <w:t xml:space="preserve">Re Art. 8 </w:t>
      </w:r>
      <w:r w:rsidR="00487778">
        <w:rPr>
          <w:color w:val="000000" w:themeColor="text1"/>
        </w:rPr>
        <w:t>(</w:t>
      </w:r>
      <w:r w:rsidR="60E8DD6E" w:rsidRPr="00F9109C">
        <w:rPr>
          <w:color w:val="000000" w:themeColor="text1"/>
        </w:rPr>
        <w:t xml:space="preserve">c) - </w:t>
      </w:r>
      <w:r w:rsidR="0C9845AA" w:rsidRPr="00F9109C">
        <w:rPr>
          <w:color w:val="000000" w:themeColor="text1"/>
        </w:rPr>
        <w:t xml:space="preserve">Decrease or increase </w:t>
      </w:r>
      <w:r w:rsidR="03A25A77" w:rsidRPr="00F9109C">
        <w:rPr>
          <w:color w:val="000000" w:themeColor="text1"/>
        </w:rPr>
        <w:t>of estimated or total liquidity</w:t>
      </w:r>
      <w:r w:rsidRPr="00F9109C">
        <w:rPr>
          <w:color w:val="000000" w:themeColor="text1"/>
        </w:rPr>
        <w:t xml:space="preserve">: Consistent with our comment on Art. 7 (h), the lower threshold exacerbates the problems associated </w:t>
      </w:r>
      <w:r>
        <w:t>with reference to any of the currencies. It would be much more appropriate to refer to the overall liquidity needs for the purpose of establishing significance of the change.</w:t>
      </w:r>
    </w:p>
    <w:p w14:paraId="74EA4126" w14:textId="77777777" w:rsidR="005F1964" w:rsidRDefault="005F1964" w:rsidP="00A42951">
      <w:pPr>
        <w:pStyle w:val="Listenabsatz"/>
      </w:pPr>
    </w:p>
    <w:p w14:paraId="1F0C78A5" w14:textId="0311C564" w:rsidR="0051648A" w:rsidRPr="00A42951" w:rsidRDefault="00B336C6" w:rsidP="00A42951">
      <w:pPr>
        <w:pStyle w:val="Listenabsatz"/>
        <w:numPr>
          <w:ilvl w:val="0"/>
          <w:numId w:val="59"/>
        </w:numPr>
        <w:rPr>
          <w:lang w:val="en-US"/>
        </w:rPr>
      </w:pPr>
      <w:r>
        <w:t>Re Art. 8 (d</w:t>
      </w:r>
      <w:r w:rsidRPr="00A42951">
        <w:rPr>
          <w:color w:val="000000" w:themeColor="text1"/>
        </w:rPr>
        <w:t>)</w:t>
      </w:r>
      <w:r w:rsidR="03A25A77" w:rsidRPr="00A42951">
        <w:rPr>
          <w:color w:val="000000" w:themeColor="text1"/>
        </w:rPr>
        <w:t xml:space="preserve"> - Change leads</w:t>
      </w:r>
      <w:r w:rsidR="7DA217FA" w:rsidRPr="00A42951">
        <w:rPr>
          <w:color w:val="000000" w:themeColor="text1"/>
        </w:rPr>
        <w:t xml:space="preserve"> to introduction or modification</w:t>
      </w:r>
      <w:r w:rsidRPr="00A42951">
        <w:rPr>
          <w:color w:val="000000" w:themeColor="text1"/>
        </w:rPr>
        <w:t xml:space="preserve">: This indicator is </w:t>
      </w:r>
      <w:r w:rsidR="00086837" w:rsidRPr="00A42951">
        <w:rPr>
          <w:color w:val="000000" w:themeColor="text1"/>
        </w:rPr>
        <w:t xml:space="preserve">too wide </w:t>
      </w:r>
      <w:r w:rsidRPr="00A42951">
        <w:rPr>
          <w:color w:val="000000" w:themeColor="text1"/>
        </w:rPr>
        <w:t xml:space="preserve">as it essentially includes all other risk-related activities of a CCP. It is difficult to imagine what change </w:t>
      </w:r>
      <w:r w:rsidR="0051648A" w:rsidRPr="00A42951">
        <w:rPr>
          <w:color w:val="000000" w:themeColor="text1"/>
        </w:rPr>
        <w:t xml:space="preserve">a CCP could </w:t>
      </w:r>
      <w:r w:rsidRPr="00A42951">
        <w:rPr>
          <w:color w:val="000000" w:themeColor="text1"/>
        </w:rPr>
        <w:t xml:space="preserve">perform in a risk area that would not trigger one of the points in Art. 8 (d). </w:t>
      </w:r>
      <w:r w:rsidR="00D04FA7">
        <w:t>All the points are procedural and, if relevant, are capture</w:t>
      </w:r>
      <w:r w:rsidR="005F1964">
        <w:t>d</w:t>
      </w:r>
      <w:r w:rsidR="00D04FA7">
        <w:t xml:space="preserve"> by the other criteria and indicators. </w:t>
      </w:r>
      <w:r w:rsidR="00D04FA7" w:rsidRPr="00925C8D">
        <w:rPr>
          <w:szCs w:val="20"/>
        </w:rPr>
        <w:t>We therefore propose to remove this indicator</w:t>
      </w:r>
      <w:r w:rsidR="00D04FA7" w:rsidRPr="00925C8D">
        <w:t>.</w:t>
      </w:r>
      <w:r w:rsidR="00D04FA7" w:rsidRPr="60E8DD6E">
        <w:t xml:space="preserve"> </w:t>
      </w:r>
      <w:r w:rsidR="00D04FA7">
        <w:t xml:space="preserve">Note that the changes to margin methodology itself would be subject to assessment based on significance thresholds but changes to data inputs (e.g. switch from Bloomberg to Reuters), irrespective of their relative materiality or significance to the overall process, would potentially become at least candidates that </w:t>
      </w:r>
      <w:r w:rsidR="005F1964">
        <w:t xml:space="preserve">the </w:t>
      </w:r>
      <w:r w:rsidR="00925C8D">
        <w:t>EMIR c</w:t>
      </w:r>
      <w:r w:rsidR="00D04FA7">
        <w:t xml:space="preserve">ollege will have to opine on. </w:t>
      </w:r>
      <w:proofErr w:type="gramStart"/>
      <w:r w:rsidR="0051648A">
        <w:rPr>
          <w:lang w:val="en-US"/>
        </w:rPr>
        <w:t>In particular, we</w:t>
      </w:r>
      <w:proofErr w:type="gramEnd"/>
      <w:r w:rsidR="0051648A">
        <w:rPr>
          <w:lang w:val="en-US"/>
        </w:rPr>
        <w:t xml:space="preserve"> would like to point out the following:</w:t>
      </w:r>
    </w:p>
    <w:p w14:paraId="7AB62250" w14:textId="6D58E3D3" w:rsidR="003E5A17" w:rsidRDefault="003E5A17" w:rsidP="0051648A">
      <w:pPr>
        <w:pStyle w:val="Kommentartext"/>
        <w:numPr>
          <w:ilvl w:val="1"/>
          <w:numId w:val="59"/>
        </w:numPr>
        <w:rPr>
          <w:lang w:val="en-US"/>
        </w:rPr>
      </w:pPr>
      <w:r w:rsidRPr="00D04FA7">
        <w:rPr>
          <w:color w:val="000000" w:themeColor="text1"/>
          <w:lang w:val="en-US"/>
        </w:rPr>
        <w:t xml:space="preserve">Art. 8 (d) (ii) states that “the introduction or modification of […] a pricing model” should </w:t>
      </w:r>
      <w:r w:rsidRPr="0051648A">
        <w:rPr>
          <w:color w:val="000000" w:themeColor="text1"/>
          <w:lang w:val="en-US"/>
        </w:rPr>
        <w:t>serve as an indicator. It is not clear what this provision should cover</w:t>
      </w:r>
      <w:r w:rsidR="00925C8D">
        <w:rPr>
          <w:color w:val="000000" w:themeColor="text1"/>
          <w:lang w:val="en-US"/>
        </w:rPr>
        <w:t>.</w:t>
      </w:r>
    </w:p>
    <w:p w14:paraId="094160A8" w14:textId="3DF104ED" w:rsidR="00D04FA7" w:rsidRPr="005F1964" w:rsidRDefault="00D04FA7" w:rsidP="00A42951">
      <w:pPr>
        <w:pStyle w:val="Kommentartext"/>
        <w:numPr>
          <w:ilvl w:val="1"/>
          <w:numId w:val="59"/>
        </w:numPr>
        <w:rPr>
          <w:lang w:val="en-US"/>
        </w:rPr>
      </w:pPr>
      <w:r>
        <w:rPr>
          <w:color w:val="000000" w:themeColor="text1"/>
          <w:lang w:val="en-US"/>
        </w:rPr>
        <w:lastRenderedPageBreak/>
        <w:t xml:space="preserve">Art. 8 (d) (iv): </w:t>
      </w:r>
      <w:r w:rsidRPr="00F9109C">
        <w:rPr>
          <w:color w:val="000000" w:themeColor="text1"/>
        </w:rPr>
        <w:t xml:space="preserve">It is difficult to see relevance of any changes to procedures detecting pricing uncertainties to the topic of ‘significant model changes’ under EMIR that the NCA, ESMA and </w:t>
      </w:r>
      <w:r w:rsidR="00925C8D">
        <w:rPr>
          <w:color w:val="000000" w:themeColor="text1"/>
        </w:rPr>
        <w:t xml:space="preserve">EMIR </w:t>
      </w:r>
      <w:r w:rsidRPr="00F9109C">
        <w:rPr>
          <w:color w:val="000000" w:themeColor="text1"/>
        </w:rPr>
        <w:t xml:space="preserve">college would need to opine. </w:t>
      </w:r>
    </w:p>
    <w:p w14:paraId="4DC30D5E" w14:textId="77777777" w:rsidR="00B336C6" w:rsidRPr="00F9109C" w:rsidRDefault="00B336C6" w:rsidP="00F9109C">
      <w:pPr>
        <w:pStyle w:val="Listenabsatz"/>
        <w:rPr>
          <w:color w:val="000000" w:themeColor="text1"/>
        </w:rPr>
      </w:pPr>
    </w:p>
    <w:p w14:paraId="2C7EE127" w14:textId="4257ED96" w:rsidR="003E5A17" w:rsidRPr="00B336C6" w:rsidRDefault="00B336C6" w:rsidP="00062880">
      <w:pPr>
        <w:pStyle w:val="Kommentartext"/>
        <w:numPr>
          <w:ilvl w:val="0"/>
          <w:numId w:val="59"/>
        </w:numPr>
      </w:pPr>
      <w:r w:rsidRPr="00925C8D">
        <w:rPr>
          <w:color w:val="000000" w:themeColor="text1"/>
          <w:lang w:val="en-US"/>
        </w:rPr>
        <w:t>Re Art. 8 (e)</w:t>
      </w:r>
      <w:r w:rsidR="7DA217FA" w:rsidRPr="00925C8D">
        <w:rPr>
          <w:color w:val="000000" w:themeColor="text1"/>
          <w:lang w:val="en-US"/>
        </w:rPr>
        <w:t xml:space="preserve"> - </w:t>
      </w:r>
      <w:r w:rsidR="61E19783" w:rsidRPr="00925C8D">
        <w:rPr>
          <w:color w:val="000000" w:themeColor="text1"/>
          <w:lang w:val="en-US"/>
        </w:rPr>
        <w:t>Development of new stress scenarios</w:t>
      </w:r>
      <w:r w:rsidRPr="00925C8D">
        <w:rPr>
          <w:color w:val="000000" w:themeColor="text1"/>
          <w:lang w:val="en-US"/>
        </w:rPr>
        <w:t xml:space="preserve">: </w:t>
      </w:r>
      <w:r w:rsidR="007E61CC" w:rsidRPr="00925C8D">
        <w:rPr>
          <w:color w:val="000000" w:themeColor="text1"/>
        </w:rPr>
        <w:t>C</w:t>
      </w:r>
      <w:r w:rsidRPr="00925C8D">
        <w:rPr>
          <w:color w:val="000000" w:themeColor="text1"/>
        </w:rPr>
        <w:t>riteria and indicators covering credit stress testing with their bespoke thresholds</w:t>
      </w:r>
      <w:r w:rsidR="007E61CC" w:rsidRPr="00925C8D">
        <w:rPr>
          <w:color w:val="000000" w:themeColor="text1"/>
        </w:rPr>
        <w:t xml:space="preserve"> already exist</w:t>
      </w:r>
      <w:r w:rsidRPr="00925C8D">
        <w:rPr>
          <w:color w:val="000000" w:themeColor="text1"/>
        </w:rPr>
        <w:t xml:space="preserve">. If Art. 8 </w:t>
      </w:r>
      <w:r w:rsidR="00925C8D" w:rsidRPr="00925C8D">
        <w:rPr>
          <w:color w:val="000000" w:themeColor="text1"/>
        </w:rPr>
        <w:t>(e)</w:t>
      </w:r>
      <w:r w:rsidRPr="00925C8D">
        <w:rPr>
          <w:color w:val="000000" w:themeColor="text1"/>
        </w:rPr>
        <w:t xml:space="preserve"> is to </w:t>
      </w:r>
      <w:r w:rsidRPr="0025355D">
        <w:t xml:space="preserve">remain then those indicators appear redundant as </w:t>
      </w:r>
      <w:r w:rsidRPr="00F9109C">
        <w:t xml:space="preserve">they include any introduction or modification of any stress scenarios. </w:t>
      </w:r>
      <w:r w:rsidRPr="00925C8D">
        <w:rPr>
          <w:szCs w:val="24"/>
        </w:rPr>
        <w:t xml:space="preserve">Mixing in very different risk categories is confusing: some of those elements of risk framework, like haircuts, have nothing to do with stress scenarios and are calibrated according to their own methodologies and covered by other criteria and indicators. Liquidity Stress Testing, while using scenarios, is also covered by its own thresholds. If any modification was to trigger </w:t>
      </w:r>
      <w:r w:rsidR="00F51510" w:rsidRPr="00925C8D">
        <w:rPr>
          <w:szCs w:val="24"/>
        </w:rPr>
        <w:t>Art. 8 (e)</w:t>
      </w:r>
      <w:r w:rsidRPr="00925C8D">
        <w:rPr>
          <w:szCs w:val="24"/>
        </w:rPr>
        <w:t xml:space="preserve"> then those thresholds are, again, redundant.</w:t>
      </w:r>
      <w:r w:rsidR="00925C8D">
        <w:rPr>
          <w:szCs w:val="24"/>
        </w:rPr>
        <w:t xml:space="preserve"> </w:t>
      </w:r>
      <w:r w:rsidRPr="00B336C6">
        <w:t>Lastly, topics of credit and counterparty risk or operational risk require clarification of what exactly should trigger an indicator and what should not. None of those categories use the term ‘stress scenarios’ and thus this point may not achieve its intended objective</w:t>
      </w:r>
      <w:r w:rsidR="00F51510">
        <w:t>.</w:t>
      </w:r>
    </w:p>
    <w:p w14:paraId="6F7A1F5B" w14:textId="4906F80C" w:rsidR="00AF6F18" w:rsidRDefault="00AF6F18" w:rsidP="00F9109C">
      <w:pPr>
        <w:pStyle w:val="Listenabsatz"/>
        <w:rPr>
          <w:lang w:val="en-US"/>
        </w:rPr>
      </w:pPr>
    </w:p>
    <w:p w14:paraId="2B66D354" w14:textId="65FB1B6E" w:rsidR="00095D15" w:rsidRPr="003E5A17" w:rsidRDefault="00095D15" w:rsidP="00F9109C">
      <w:pPr>
        <w:pStyle w:val="Listenabsatz"/>
        <w:numPr>
          <w:ilvl w:val="0"/>
          <w:numId w:val="59"/>
        </w:numPr>
        <w:rPr>
          <w:lang w:val="en-US"/>
        </w:rPr>
      </w:pPr>
      <w:r w:rsidRPr="00DD01AE">
        <w:rPr>
          <w:lang w:val="en-US"/>
        </w:rPr>
        <w:t>R</w:t>
      </w:r>
      <w:r w:rsidR="003E5A17">
        <w:rPr>
          <w:lang w:val="en-US"/>
        </w:rPr>
        <w:t>e</w:t>
      </w:r>
      <w:r w:rsidRPr="00DD01AE">
        <w:rPr>
          <w:lang w:val="en-US"/>
        </w:rPr>
        <w:t xml:space="preserve"> Art. 8</w:t>
      </w:r>
      <w:r w:rsidR="00487778">
        <w:rPr>
          <w:lang w:val="en-US"/>
        </w:rPr>
        <w:t xml:space="preserve"> </w:t>
      </w:r>
      <w:r w:rsidRPr="00DD01AE">
        <w:rPr>
          <w:lang w:val="en-US"/>
        </w:rPr>
        <w:t>(</w:t>
      </w:r>
      <w:r w:rsidR="00925C8D">
        <w:rPr>
          <w:color w:val="000000" w:themeColor="text1"/>
          <w:lang w:val="en-US"/>
        </w:rPr>
        <w:t>f</w:t>
      </w:r>
      <w:r w:rsidRPr="00F9109C">
        <w:rPr>
          <w:color w:val="000000" w:themeColor="text1"/>
          <w:lang w:val="en-US"/>
        </w:rPr>
        <w:t>)</w:t>
      </w:r>
      <w:r w:rsidR="7A06639F" w:rsidRPr="00F9109C">
        <w:rPr>
          <w:color w:val="000000" w:themeColor="text1"/>
          <w:lang w:val="en-US"/>
        </w:rPr>
        <w:t xml:space="preserve"> - </w:t>
      </w:r>
      <w:r w:rsidR="7D204978" w:rsidRPr="00F9109C">
        <w:rPr>
          <w:color w:val="000000" w:themeColor="text1"/>
          <w:lang w:val="en-US"/>
        </w:rPr>
        <w:t>Intention to offer new access</w:t>
      </w:r>
      <w:r w:rsidR="33108EBA" w:rsidRPr="00F9109C">
        <w:rPr>
          <w:color w:val="000000" w:themeColor="text1"/>
          <w:lang w:val="en-US"/>
        </w:rPr>
        <w:t xml:space="preserve"> model/clearing services to clearing members with different risk profile/characteristics</w:t>
      </w:r>
      <w:r w:rsidR="003E5A17">
        <w:rPr>
          <w:lang w:val="en-US"/>
        </w:rPr>
        <w:t>:</w:t>
      </w:r>
      <w:r w:rsidRPr="00DD01AE">
        <w:rPr>
          <w:lang w:val="en-US"/>
        </w:rPr>
        <w:t xml:space="preserve"> </w:t>
      </w:r>
      <w:r w:rsidR="00925C8D">
        <w:rPr>
          <w:lang w:val="en-US"/>
        </w:rPr>
        <w:t>The scope is unclear from our perspective.</w:t>
      </w:r>
      <w:r w:rsidR="003E5A17">
        <w:rPr>
          <w:lang w:val="en-US"/>
        </w:rPr>
        <w:t xml:space="preserve"> It</w:t>
      </w:r>
      <w:r w:rsidRPr="00DD01AE">
        <w:rPr>
          <w:lang w:val="en-US"/>
        </w:rPr>
        <w:t xml:space="preserve"> should read </w:t>
      </w:r>
      <w:r w:rsidRPr="003E5A17">
        <w:rPr>
          <w:lang w:val="en-US"/>
        </w:rPr>
        <w:t xml:space="preserve">“access model for clearing members” to avoid confusion with trading venue access under Article 35 </w:t>
      </w:r>
      <w:proofErr w:type="spellStart"/>
      <w:r w:rsidRPr="003E5A17">
        <w:rPr>
          <w:lang w:val="en-US"/>
        </w:rPr>
        <w:t>MiFIR</w:t>
      </w:r>
      <w:proofErr w:type="spellEnd"/>
      <w:r w:rsidRPr="003E5A17">
        <w:rPr>
          <w:lang w:val="en-US"/>
        </w:rPr>
        <w:t xml:space="preserve"> or CSD access under Article 53 CSDR.</w:t>
      </w:r>
    </w:p>
    <w:permEnd w:id="786512426"/>
    <w:p w14:paraId="07190232" w14:textId="77777777" w:rsidR="00925C8D" w:rsidRDefault="00925C8D" w:rsidP="003331A2">
      <w:pPr>
        <w:rPr>
          <w:lang w:eastAsia="en-US"/>
        </w:rPr>
      </w:pPr>
    </w:p>
    <w:p w14:paraId="45454D7D" w14:textId="42425DE5"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266E793C" w14:textId="77777777" w:rsidR="003331A2" w:rsidRPr="00014A67" w:rsidRDefault="003331A2" w:rsidP="00014A67">
      <w:pPr>
        <w:rPr>
          <w:lang w:eastAsia="en-US"/>
        </w:rPr>
      </w:pPr>
    </w:p>
    <w:p w14:paraId="772DB04F" w14:textId="1F76BFDC" w:rsidR="00014A67" w:rsidRDefault="00177C6B" w:rsidP="00177C6B">
      <w:pPr>
        <w:pStyle w:val="Questionstyle"/>
      </w:pPr>
      <w:r w:rsidRPr="00106124">
        <w:t>Would you change certain criteria into indicators or vice-versa (under Article 49 of EMIR)? Please provide reasons for your answer.</w:t>
      </w:r>
    </w:p>
    <w:p w14:paraId="2ED1CBC6" w14:textId="3D862B8F"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9</w:t>
      </w:r>
      <w:r>
        <w:rPr>
          <w:lang w:eastAsia="en-US"/>
        </w:rPr>
        <w:t>&gt;</w:t>
      </w:r>
    </w:p>
    <w:p w14:paraId="2B9DB219" w14:textId="7D0FE700" w:rsidR="00E3767E" w:rsidRPr="00F9109C" w:rsidRDefault="00ED4723" w:rsidP="00AF6F18">
      <w:pPr>
        <w:rPr>
          <w:lang w:val="en-US"/>
        </w:rPr>
      </w:pPr>
      <w:permStart w:id="1137391047" w:edGrp="everyone"/>
      <w:r w:rsidRPr="00FE0E2E">
        <w:rPr>
          <w:lang w:val="en-US"/>
        </w:rPr>
        <w:t xml:space="preserve">In consideration of </w:t>
      </w:r>
      <w:r>
        <w:rPr>
          <w:lang w:val="en-US"/>
        </w:rPr>
        <w:t>our answers to the questions above, we would welcome a recategorization as follows:</w:t>
      </w:r>
    </w:p>
    <w:p w14:paraId="0EE401CC" w14:textId="3C729CEE" w:rsidR="00716C05" w:rsidRPr="00F9109C" w:rsidRDefault="00ED4723" w:rsidP="00AF6F18">
      <w:pPr>
        <w:pStyle w:val="Listenabsatz"/>
        <w:numPr>
          <w:ilvl w:val="0"/>
          <w:numId w:val="58"/>
        </w:numPr>
        <w:rPr>
          <w:color w:val="000000" w:themeColor="text1"/>
          <w:lang w:val="en-US"/>
        </w:rPr>
      </w:pPr>
      <w:r w:rsidRPr="00F9109C">
        <w:rPr>
          <w:lang w:val="en-US"/>
        </w:rPr>
        <w:t>Re Art. 7 (</w:t>
      </w:r>
      <w:r w:rsidR="00E07FB3">
        <w:rPr>
          <w:lang w:val="en-US"/>
        </w:rPr>
        <w:t>e</w:t>
      </w:r>
      <w:r w:rsidRPr="00F9109C">
        <w:rPr>
          <w:lang w:val="en-US"/>
        </w:rPr>
        <w:t xml:space="preserve">) </w:t>
      </w:r>
      <w:r w:rsidR="69785717" w:rsidRPr="00F9109C">
        <w:rPr>
          <w:color w:val="000000" w:themeColor="text1"/>
          <w:lang w:val="en-US"/>
        </w:rPr>
        <w:t xml:space="preserve">- </w:t>
      </w:r>
      <w:r w:rsidR="7F810F56" w:rsidRPr="00F9109C">
        <w:rPr>
          <w:color w:val="000000" w:themeColor="text1"/>
          <w:lang w:val="en-US"/>
        </w:rPr>
        <w:t>Change in methodology used to compute portfolio off</w:t>
      </w:r>
      <w:r w:rsidR="308C102B" w:rsidRPr="00F9109C">
        <w:rPr>
          <w:color w:val="000000" w:themeColor="text1"/>
          <w:lang w:val="en-US"/>
        </w:rPr>
        <w:t>sets:</w:t>
      </w:r>
      <w:r w:rsidRPr="00F9109C">
        <w:rPr>
          <w:color w:val="000000" w:themeColor="text1"/>
          <w:lang w:val="en-US"/>
        </w:rPr>
        <w:t xml:space="preserve"> Based on our explanations on this article in </w:t>
      </w:r>
      <w:r w:rsidR="00716C05" w:rsidRPr="00F9109C">
        <w:rPr>
          <w:color w:val="000000" w:themeColor="text1"/>
          <w:lang w:val="en-US"/>
        </w:rPr>
        <w:t>question 7</w:t>
      </w:r>
      <w:r w:rsidRPr="00F9109C">
        <w:rPr>
          <w:color w:val="000000" w:themeColor="text1"/>
          <w:lang w:val="en-US"/>
        </w:rPr>
        <w:t xml:space="preserve">, we believe </w:t>
      </w:r>
      <w:proofErr w:type="gramStart"/>
      <w:r w:rsidRPr="00F9109C">
        <w:rPr>
          <w:color w:val="000000" w:themeColor="text1"/>
          <w:lang w:val="en-US"/>
        </w:rPr>
        <w:t>this criteria</w:t>
      </w:r>
      <w:proofErr w:type="gramEnd"/>
      <w:r w:rsidRPr="00F9109C">
        <w:rPr>
          <w:color w:val="000000" w:themeColor="text1"/>
          <w:lang w:val="en-US"/>
        </w:rPr>
        <w:t xml:space="preserve"> would be better placed as an indicator than a criteria.</w:t>
      </w:r>
    </w:p>
    <w:p w14:paraId="4CC2623A" w14:textId="272DE380" w:rsidR="00ED4723" w:rsidRDefault="00716C05" w:rsidP="00F9109C">
      <w:pPr>
        <w:pStyle w:val="Listenabsatz"/>
        <w:numPr>
          <w:ilvl w:val="0"/>
          <w:numId w:val="57"/>
        </w:numPr>
        <w:rPr>
          <w:color w:val="000000" w:themeColor="text1"/>
        </w:rPr>
      </w:pPr>
      <w:r w:rsidRPr="00F9109C">
        <w:rPr>
          <w:color w:val="000000" w:themeColor="text1"/>
          <w:lang w:val="en-US"/>
        </w:rPr>
        <w:t>Re Art. 7 (</w:t>
      </w:r>
      <w:r w:rsidR="00E07FB3">
        <w:rPr>
          <w:color w:val="000000" w:themeColor="text1"/>
          <w:lang w:val="en-US"/>
        </w:rPr>
        <w:t>j</w:t>
      </w:r>
      <w:r w:rsidRPr="00F9109C">
        <w:rPr>
          <w:color w:val="000000" w:themeColor="text1"/>
          <w:lang w:val="en-US"/>
        </w:rPr>
        <w:t>)</w:t>
      </w:r>
      <w:r w:rsidR="308C102B" w:rsidRPr="00F9109C">
        <w:rPr>
          <w:color w:val="000000" w:themeColor="text1"/>
          <w:lang w:val="en-US"/>
        </w:rPr>
        <w:t xml:space="preserve"> - C</w:t>
      </w:r>
      <w:r w:rsidR="3A5F587B" w:rsidRPr="00F9109C">
        <w:rPr>
          <w:color w:val="000000" w:themeColor="text1"/>
          <w:lang w:val="en-US"/>
        </w:rPr>
        <w:t>hange in methodology applied to value/calibrate collateral or set concentration limits</w:t>
      </w:r>
      <w:r w:rsidRPr="00F9109C">
        <w:rPr>
          <w:color w:val="000000" w:themeColor="text1"/>
          <w:lang w:val="en-US"/>
        </w:rPr>
        <w:t>: Based on our explanations to this article in question 7</w:t>
      </w:r>
      <w:r w:rsidR="007E61CC">
        <w:rPr>
          <w:color w:val="000000" w:themeColor="text1"/>
          <w:lang w:val="en-US"/>
        </w:rPr>
        <w:t>,</w:t>
      </w:r>
      <w:r w:rsidR="00ED4723" w:rsidRPr="00F9109C">
        <w:rPr>
          <w:color w:val="000000" w:themeColor="text1"/>
          <w:lang w:val="en-US"/>
        </w:rPr>
        <w:t xml:space="preserve"> </w:t>
      </w:r>
      <w:r w:rsidR="007E61CC">
        <w:rPr>
          <w:color w:val="000000" w:themeColor="text1"/>
        </w:rPr>
        <w:t>w</w:t>
      </w:r>
      <w:r w:rsidRPr="00F9109C">
        <w:rPr>
          <w:color w:val="000000" w:themeColor="text1"/>
        </w:rPr>
        <w:t xml:space="preserve">e also propose to move (ii) to be an indicator since triggering an Art. 49 </w:t>
      </w:r>
      <w:r w:rsidR="007E61CC">
        <w:rPr>
          <w:color w:val="000000" w:themeColor="text1"/>
        </w:rPr>
        <w:t xml:space="preserve">EMIR </w:t>
      </w:r>
      <w:r w:rsidRPr="00F9109C">
        <w:rPr>
          <w:color w:val="000000" w:themeColor="text1"/>
        </w:rPr>
        <w:t>process based on such a granular criterion appears unreasonable.</w:t>
      </w:r>
    </w:p>
    <w:p w14:paraId="214B6A9C" w14:textId="6CC75915" w:rsidR="00802466" w:rsidRPr="00F9109C" w:rsidRDefault="00802466" w:rsidP="00F9109C">
      <w:pPr>
        <w:pStyle w:val="Listenabsatz"/>
        <w:numPr>
          <w:ilvl w:val="0"/>
          <w:numId w:val="57"/>
        </w:numPr>
        <w:rPr>
          <w:color w:val="000000" w:themeColor="text1"/>
        </w:rPr>
      </w:pPr>
      <w:r>
        <w:rPr>
          <w:color w:val="000000" w:themeColor="text1"/>
        </w:rPr>
        <w:t xml:space="preserve">Re Art. 8 (d) </w:t>
      </w:r>
      <w:r w:rsidR="007E61CC">
        <w:rPr>
          <w:color w:val="000000" w:themeColor="text1"/>
        </w:rPr>
        <w:t>-</w:t>
      </w:r>
      <w:r w:rsidR="007E61CC" w:rsidRPr="007E61CC">
        <w:rPr>
          <w:color w:val="000000" w:themeColor="text1"/>
        </w:rPr>
        <w:t xml:space="preserve"> </w:t>
      </w:r>
      <w:r w:rsidR="007E61CC" w:rsidRPr="00456463">
        <w:rPr>
          <w:color w:val="000000" w:themeColor="text1"/>
        </w:rPr>
        <w:t>Change leads to introduction or modification</w:t>
      </w:r>
      <w:r w:rsidR="007E61CC">
        <w:rPr>
          <w:color w:val="000000" w:themeColor="text1"/>
        </w:rPr>
        <w:t>:</w:t>
      </w:r>
      <w:r>
        <w:rPr>
          <w:color w:val="000000" w:themeColor="text1"/>
        </w:rPr>
        <w:t xml:space="preserve"> </w:t>
      </w:r>
      <w:r w:rsidR="007E61CC">
        <w:rPr>
          <w:color w:val="000000" w:themeColor="text1"/>
        </w:rPr>
        <w:t>T</w:t>
      </w:r>
      <w:r>
        <w:rPr>
          <w:color w:val="000000" w:themeColor="text1"/>
        </w:rPr>
        <w:t>his indicator should be removed altogether (see in detail our reasoning outlined in our answer to question 8).</w:t>
      </w:r>
    </w:p>
    <w:p w14:paraId="3A4DBB84" w14:textId="4E4BDC9C" w:rsidR="00AF6F18" w:rsidRPr="00E07FB3" w:rsidRDefault="00E3767E" w:rsidP="00C93A9C">
      <w:pPr>
        <w:pStyle w:val="Listenabsatz"/>
        <w:numPr>
          <w:ilvl w:val="0"/>
          <w:numId w:val="58"/>
        </w:numPr>
      </w:pPr>
      <w:r w:rsidRPr="00F9109C">
        <w:rPr>
          <w:color w:val="000000" w:themeColor="text1"/>
          <w:lang w:val="en-US"/>
        </w:rPr>
        <w:t>Re Art. 8 (e)</w:t>
      </w:r>
      <w:r w:rsidR="745C7C3F" w:rsidRPr="00F9109C">
        <w:rPr>
          <w:color w:val="000000" w:themeColor="text1"/>
          <w:lang w:val="en-US"/>
        </w:rPr>
        <w:t xml:space="preserve"> - Development of new stress scenarios</w:t>
      </w:r>
      <w:r w:rsidRPr="00F9109C">
        <w:rPr>
          <w:color w:val="000000" w:themeColor="text1"/>
          <w:lang w:val="en-US"/>
        </w:rPr>
        <w:t xml:space="preserve">: Based </w:t>
      </w:r>
      <w:r w:rsidRPr="00ED4723">
        <w:rPr>
          <w:lang w:val="en-US"/>
        </w:rPr>
        <w:t>on our explanations on this article in</w:t>
      </w:r>
      <w:r w:rsidR="00716C05">
        <w:rPr>
          <w:lang w:val="en-US"/>
        </w:rPr>
        <w:t xml:space="preserve"> question 7</w:t>
      </w:r>
      <w:r w:rsidRPr="00DD01AE">
        <w:rPr>
          <w:lang w:val="en-US"/>
        </w:rPr>
        <w:t xml:space="preserve">, </w:t>
      </w:r>
      <w:r w:rsidR="00E07FB3">
        <w:rPr>
          <w:lang w:val="en-US"/>
        </w:rPr>
        <w:t xml:space="preserve">we </w:t>
      </w:r>
      <w:r>
        <w:t xml:space="preserve">believe that this would be better placed as an indicator than a </w:t>
      </w:r>
      <w:proofErr w:type="gramStart"/>
      <w:r>
        <w:t>criteria</w:t>
      </w:r>
      <w:proofErr w:type="gramEnd"/>
      <w:r>
        <w:t xml:space="preserve">.  </w:t>
      </w:r>
    </w:p>
    <w:permEnd w:id="1137391047"/>
    <w:p w14:paraId="782BD263" w14:textId="77777777" w:rsidR="00E07FB3" w:rsidRPr="00A73BAB" w:rsidRDefault="00E07FB3" w:rsidP="003331A2">
      <w:pPr>
        <w:rPr>
          <w:lang w:val="en-US" w:eastAsia="en-US"/>
        </w:rPr>
      </w:pPr>
    </w:p>
    <w:p w14:paraId="619C2623" w14:textId="4F5B2F21" w:rsidR="00014A67" w:rsidRPr="00E3767E" w:rsidRDefault="003331A2" w:rsidP="003331A2">
      <w:pPr>
        <w:rPr>
          <w:lang w:val="fr-FR" w:eastAsia="en-US"/>
        </w:rPr>
      </w:pPr>
      <w:r w:rsidRPr="00E3767E">
        <w:rPr>
          <w:lang w:val="fr-FR" w:eastAsia="en-US"/>
        </w:rPr>
        <w:t>&lt;ESMA_</w:t>
      </w:r>
      <w:r w:rsidR="00C93A9C" w:rsidRPr="00E3767E">
        <w:rPr>
          <w:lang w:val="fr-FR" w:eastAsia="en-US"/>
        </w:rPr>
        <w:t>QUESTION_</w:t>
      </w:r>
      <w:r w:rsidR="00106124" w:rsidRPr="00E3767E">
        <w:rPr>
          <w:lang w:val="fr-FR" w:eastAsia="en-US"/>
        </w:rPr>
        <w:t>RTS1549</w:t>
      </w:r>
      <w:r w:rsidR="00C93A9C" w:rsidRPr="00E3767E">
        <w:rPr>
          <w:lang w:val="fr-FR" w:eastAsia="en-US"/>
        </w:rPr>
        <w:t>_</w:t>
      </w:r>
      <w:r w:rsidR="00CD3899" w:rsidRPr="00E3767E">
        <w:rPr>
          <w:lang w:val="fr-FR" w:eastAsia="en-US"/>
        </w:rPr>
        <w:t>9</w:t>
      </w:r>
      <w:r w:rsidRPr="00E3767E">
        <w:rPr>
          <w:lang w:val="fr-FR" w:eastAsia="en-US"/>
        </w:rPr>
        <w:t>&gt;</w:t>
      </w:r>
    </w:p>
    <w:p w14:paraId="67D55145" w14:textId="77777777" w:rsidR="003331A2" w:rsidRPr="00E3767E" w:rsidRDefault="003331A2" w:rsidP="00014A67">
      <w:pPr>
        <w:rPr>
          <w:lang w:val="fr-FR" w:eastAsia="en-US"/>
        </w:rPr>
      </w:pPr>
    </w:p>
    <w:p w14:paraId="7D9BB9C6" w14:textId="154C1255" w:rsidR="00014A67" w:rsidRDefault="00177C6B" w:rsidP="00177C6B">
      <w:pPr>
        <w:pStyle w:val="Questionstyle"/>
      </w:pPr>
      <w:r w:rsidRPr="00106124">
        <w:t>Do you agree with ESMA’s proposal to extend the consultation with the college also to Article 49? Do you agree with the proposed procedures for consulting the college or would you propose different procedures? Please provide reasons for your answer.</w:t>
      </w:r>
      <w:r w:rsidR="00014A67" w:rsidRPr="00014A67">
        <w:t>?</w:t>
      </w:r>
    </w:p>
    <w:p w14:paraId="5A32EED8" w14:textId="15621ADA"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60D8823D" w14:textId="0B603BEC" w:rsidR="00BD2D8E" w:rsidRDefault="00BD2D8E" w:rsidP="00BD2D8E">
      <w:pPr>
        <w:pStyle w:val="Listenabsatz"/>
        <w:numPr>
          <w:ilvl w:val="0"/>
          <w:numId w:val="41"/>
        </w:numPr>
        <w:rPr>
          <w:lang w:val="en-US"/>
        </w:rPr>
      </w:pPr>
      <w:permStart w:id="1296921903" w:edGrp="everyone"/>
      <w:r w:rsidRPr="00BD2D8E">
        <w:rPr>
          <w:lang w:val="en-US"/>
        </w:rPr>
        <w:t>Given the suggested processes for Art. 15 and 49 are identical, please see our answer to question 5</w:t>
      </w:r>
      <w:r w:rsidR="00DD01AE">
        <w:rPr>
          <w:lang w:val="en-US"/>
        </w:rPr>
        <w:t xml:space="preserve">. </w:t>
      </w:r>
    </w:p>
    <w:p w14:paraId="103BF1EF" w14:textId="3ABB8192" w:rsidR="00647EF2" w:rsidRPr="00E07FB3" w:rsidRDefault="00DD01AE" w:rsidP="00002B6A">
      <w:pPr>
        <w:pStyle w:val="Listenabsatz"/>
        <w:numPr>
          <w:ilvl w:val="0"/>
          <w:numId w:val="41"/>
        </w:numPr>
        <w:rPr>
          <w:lang w:val="en-US"/>
        </w:rPr>
      </w:pPr>
      <w:r w:rsidRPr="00E07FB3">
        <w:rPr>
          <w:lang w:val="en-US"/>
        </w:rPr>
        <w:t xml:space="preserve">We would only like to reiterate the </w:t>
      </w:r>
      <w:proofErr w:type="gramStart"/>
      <w:r w:rsidRPr="00E07FB3">
        <w:rPr>
          <w:lang w:val="en-US"/>
        </w:rPr>
        <w:t>particular importance</w:t>
      </w:r>
      <w:proofErr w:type="gramEnd"/>
      <w:r w:rsidRPr="00E07FB3">
        <w:rPr>
          <w:lang w:val="en-US"/>
        </w:rPr>
        <w:t xml:space="preserve"> to specify timelines for the process for topics covered by Art. 49 </w:t>
      </w:r>
      <w:r w:rsidR="007E61CC" w:rsidRPr="00E07FB3">
        <w:rPr>
          <w:lang w:val="en-US"/>
        </w:rPr>
        <w:t xml:space="preserve">EMIR </w:t>
      </w:r>
      <w:r w:rsidRPr="00E07FB3">
        <w:rPr>
          <w:lang w:val="en-US"/>
        </w:rPr>
        <w:t xml:space="preserve">in order to enable the CCP to implement changes necessary to make their contribution to financial market stability. </w:t>
      </w:r>
      <w:r w:rsidR="00D47BE3" w:rsidRPr="00E07FB3">
        <w:rPr>
          <w:lang w:val="en-US"/>
        </w:rPr>
        <w:t xml:space="preserve">It is vital that CCPs </w:t>
      </w:r>
      <w:proofErr w:type="gramStart"/>
      <w:r w:rsidR="00D47BE3" w:rsidRPr="00E07FB3">
        <w:rPr>
          <w:lang w:val="en-US"/>
        </w:rPr>
        <w:t>are able to</w:t>
      </w:r>
      <w:proofErr w:type="gramEnd"/>
      <w:r w:rsidR="00D47BE3" w:rsidRPr="00E07FB3">
        <w:rPr>
          <w:lang w:val="en-US"/>
        </w:rPr>
        <w:t xml:space="preserve"> react quickly without being encumbered during a crisis. In this light, we would suggest allowing for an emergency process for crisis management (under the NCA supervision) to enable the swiftest react</w:t>
      </w:r>
      <w:r w:rsidR="00866313" w:rsidRPr="00E07FB3">
        <w:rPr>
          <w:lang w:val="en-US"/>
        </w:rPr>
        <w:t>ion</w:t>
      </w:r>
      <w:r w:rsidR="00D47BE3" w:rsidRPr="00E07FB3">
        <w:rPr>
          <w:lang w:val="en-US"/>
        </w:rPr>
        <w:t xml:space="preserve"> </w:t>
      </w:r>
      <w:r w:rsidR="00D47BE3" w:rsidRPr="00E07FB3">
        <w:rPr>
          <w:lang w:val="en-US"/>
        </w:rPr>
        <w:lastRenderedPageBreak/>
        <w:t xml:space="preserve">possible – the </w:t>
      </w:r>
      <w:r w:rsidR="00E07FB3">
        <w:rPr>
          <w:lang w:val="en-US"/>
        </w:rPr>
        <w:t xml:space="preserve">EMIR </w:t>
      </w:r>
      <w:r w:rsidR="00D47BE3" w:rsidRPr="00E07FB3">
        <w:rPr>
          <w:lang w:val="en-US"/>
        </w:rPr>
        <w:t>college would then be informed on an ad hoc basis of the changes implemented.</w:t>
      </w:r>
    </w:p>
    <w:permEnd w:id="1296921903"/>
    <w:p w14:paraId="2EB6DC4E" w14:textId="548EBF7E"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382E5A4D" w14:textId="77777777" w:rsidR="00C93A9C" w:rsidRDefault="00C93A9C" w:rsidP="003331A2">
      <w:pPr>
        <w:rPr>
          <w:lang w:eastAsia="en-US"/>
        </w:rPr>
      </w:pPr>
    </w:p>
    <w:p w14:paraId="654B1E20" w14:textId="77777777" w:rsidR="003331A2" w:rsidRPr="00014A67" w:rsidRDefault="003331A2" w:rsidP="00014A67">
      <w:pPr>
        <w:rPr>
          <w:lang w:eastAsia="en-US"/>
        </w:rPr>
      </w:pPr>
    </w:p>
    <w:p w14:paraId="5B79D316" w14:textId="77777777" w:rsidR="00014A67" w:rsidRPr="00014A67" w:rsidRDefault="00014A67" w:rsidP="00014A67">
      <w:pPr>
        <w:rPr>
          <w:lang w:eastAsia="en-US"/>
        </w:rPr>
      </w:pPr>
      <w:bookmarkStart w:id="5" w:name="_GoBack"/>
      <w:bookmarkEnd w:id="5"/>
    </w:p>
    <w:sectPr w:rsidR="00014A67" w:rsidRPr="00014A67" w:rsidSect="00EC0623">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797E" w14:textId="77777777" w:rsidR="00E72F4F" w:rsidRDefault="00E72F4F">
      <w:r>
        <w:separator/>
      </w:r>
    </w:p>
    <w:p w14:paraId="791C9556" w14:textId="77777777" w:rsidR="00E72F4F" w:rsidRDefault="00E72F4F"/>
  </w:endnote>
  <w:endnote w:type="continuationSeparator" w:id="0">
    <w:p w14:paraId="25C39118" w14:textId="77777777" w:rsidR="00E72F4F" w:rsidRDefault="00E72F4F">
      <w:r>
        <w:continuationSeparator/>
      </w:r>
    </w:p>
    <w:p w14:paraId="5AA20C9A" w14:textId="77777777" w:rsidR="00E72F4F" w:rsidRDefault="00E72F4F"/>
  </w:endnote>
  <w:endnote w:type="continuationNotice" w:id="1">
    <w:p w14:paraId="0B8640D1" w14:textId="77777777" w:rsidR="00E72F4F" w:rsidRDefault="00E72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72F4F" w:rsidRPr="00616B9B" w14:paraId="5517B000" w14:textId="77777777" w:rsidTr="00315E96">
      <w:trPr>
        <w:trHeight w:val="284"/>
      </w:trPr>
      <w:tc>
        <w:tcPr>
          <w:tcW w:w="8460" w:type="dxa"/>
        </w:tcPr>
        <w:p w14:paraId="4C959F65" w14:textId="77777777" w:rsidR="00E72F4F" w:rsidRPr="00315E96" w:rsidRDefault="00E72F4F" w:rsidP="00315E96">
          <w:pPr>
            <w:pStyle w:val="00Footer"/>
            <w:rPr>
              <w:lang w:val="fr-FR"/>
            </w:rPr>
          </w:pPr>
        </w:p>
      </w:tc>
      <w:tc>
        <w:tcPr>
          <w:tcW w:w="952" w:type="dxa"/>
        </w:tcPr>
        <w:p w14:paraId="2310C30E" w14:textId="77777777" w:rsidR="00E72F4F" w:rsidRPr="00616B9B" w:rsidRDefault="00E72F4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08C7C785" w14:textId="77777777" w:rsidR="00E72F4F" w:rsidRDefault="00E72F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E72F4F" w:rsidRDefault="00E72F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F427" w14:textId="77777777" w:rsidR="00E72F4F" w:rsidRDefault="00E72F4F">
      <w:r>
        <w:separator/>
      </w:r>
    </w:p>
    <w:p w14:paraId="3CC22082" w14:textId="77777777" w:rsidR="00E72F4F" w:rsidRDefault="00E72F4F"/>
  </w:footnote>
  <w:footnote w:type="continuationSeparator" w:id="0">
    <w:p w14:paraId="29044F84" w14:textId="77777777" w:rsidR="00E72F4F" w:rsidRDefault="00E72F4F">
      <w:r>
        <w:continuationSeparator/>
      </w:r>
    </w:p>
    <w:p w14:paraId="256B4150" w14:textId="77777777" w:rsidR="00E72F4F" w:rsidRDefault="00E72F4F"/>
  </w:footnote>
  <w:footnote w:type="continuationNotice" w:id="1">
    <w:p w14:paraId="2FA573B0" w14:textId="77777777" w:rsidR="00E72F4F" w:rsidRDefault="00E72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E72F4F" w:rsidRDefault="00E72F4F">
    <w:pPr>
      <w:pStyle w:val="Kopfzeile"/>
    </w:pPr>
    <w:r>
      <w:rPr>
        <w:noProof/>
        <w:lang w:eastAsia="en-GB"/>
      </w:rPr>
      <w:drawing>
        <wp:anchor distT="0" distB="0" distL="114300" distR="114300" simplePos="0" relativeHeight="251658243"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B584"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E72F4F" w:rsidRDefault="00E72F4F" w:rsidP="00013CCE">
    <w:pPr>
      <w:pStyle w:val="Kopfzeile"/>
      <w:jc w:val="right"/>
    </w:pPr>
    <w:r>
      <w:rPr>
        <w:noProof/>
        <w:lang w:eastAsia="en-GB"/>
      </w:rPr>
      <w:drawing>
        <wp:anchor distT="0" distB="0" distL="114300" distR="114300" simplePos="0" relativeHeight="251658242"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E72F4F" w:rsidRDefault="00E72F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72F4F" w:rsidRPr="002F4496" w14:paraId="5849CEB8" w14:textId="77777777" w:rsidTr="000C06C9">
      <w:trPr>
        <w:trHeight w:val="284"/>
      </w:trPr>
      <w:tc>
        <w:tcPr>
          <w:tcW w:w="8460" w:type="dxa"/>
        </w:tcPr>
        <w:p w14:paraId="2B1CC9DC" w14:textId="77777777" w:rsidR="00E72F4F" w:rsidRPr="000C3B6D" w:rsidRDefault="00E72F4F" w:rsidP="000C06C9">
          <w:pPr>
            <w:pStyle w:val="00Footer"/>
            <w:rPr>
              <w:lang w:val="fr-FR"/>
            </w:rPr>
          </w:pPr>
        </w:p>
      </w:tc>
      <w:tc>
        <w:tcPr>
          <w:tcW w:w="952" w:type="dxa"/>
        </w:tcPr>
        <w:p w14:paraId="0A78D32B" w14:textId="77777777" w:rsidR="00E72F4F" w:rsidRPr="00146B34" w:rsidRDefault="00E72F4F" w:rsidP="000C06C9">
          <w:pPr>
            <w:pStyle w:val="00aPagenumber"/>
            <w:rPr>
              <w:lang w:val="fr-FR"/>
            </w:rPr>
          </w:pPr>
        </w:p>
      </w:tc>
    </w:tr>
  </w:tbl>
  <w:p w14:paraId="228C483B" w14:textId="77777777" w:rsidR="00E72F4F" w:rsidRPr="00DB46C3" w:rsidRDefault="00E72F4F">
    <w:pPr>
      <w:rPr>
        <w:lang w:val="fr-FR"/>
      </w:rPr>
    </w:pPr>
  </w:p>
  <w:p w14:paraId="7ABBBBAC" w14:textId="77777777" w:rsidR="00E72F4F" w:rsidRPr="002F4496" w:rsidRDefault="00E72F4F">
    <w:pPr>
      <w:pStyle w:val="Kopfzeile"/>
      <w:rPr>
        <w:lang w:val="fr-FR"/>
      </w:rPr>
    </w:pPr>
  </w:p>
  <w:p w14:paraId="0F1BB730" w14:textId="77777777" w:rsidR="00E72F4F" w:rsidRPr="002F4496" w:rsidRDefault="00E72F4F" w:rsidP="000C06C9">
    <w:pPr>
      <w:pStyle w:val="Kopfzeile"/>
      <w:tabs>
        <w:tab w:val="clear" w:pos="4536"/>
        <w:tab w:val="clear" w:pos="9072"/>
        <w:tab w:val="left" w:pos="8227"/>
      </w:tabs>
      <w:rPr>
        <w:lang w:val="fr-FR"/>
      </w:rPr>
    </w:pPr>
  </w:p>
  <w:p w14:paraId="354F7019" w14:textId="77777777" w:rsidR="00E72F4F" w:rsidRPr="002F4496" w:rsidRDefault="00E72F4F" w:rsidP="000C06C9">
    <w:pPr>
      <w:pStyle w:val="Kopfzeile"/>
      <w:tabs>
        <w:tab w:val="clear" w:pos="4536"/>
        <w:tab w:val="clear" w:pos="9072"/>
        <w:tab w:val="left" w:pos="8227"/>
      </w:tabs>
      <w:rPr>
        <w:lang w:val="fr-FR"/>
      </w:rPr>
    </w:pPr>
  </w:p>
  <w:p w14:paraId="438C49BF" w14:textId="77777777" w:rsidR="00E72F4F" w:rsidRPr="002F4496" w:rsidRDefault="00E72F4F">
    <w:pPr>
      <w:pStyle w:val="Kopfzeile"/>
      <w:rPr>
        <w:lang w:val="fr-FR"/>
      </w:rPr>
    </w:pPr>
  </w:p>
  <w:p w14:paraId="77F5F5FB" w14:textId="77777777" w:rsidR="00E72F4F" w:rsidRPr="002F4496" w:rsidRDefault="00E72F4F">
    <w:pPr>
      <w:pStyle w:val="Kopfzeile"/>
      <w:rPr>
        <w:lang w:val="fr-FR"/>
      </w:rPr>
    </w:pPr>
  </w:p>
  <w:p w14:paraId="31EA96F8" w14:textId="77777777" w:rsidR="00E72F4F" w:rsidRPr="002F4496" w:rsidRDefault="00E72F4F">
    <w:pPr>
      <w:pStyle w:val="Kopfzeile"/>
      <w:rPr>
        <w:lang w:val="fr-FR"/>
      </w:rPr>
    </w:pPr>
  </w:p>
  <w:p w14:paraId="0FAE7A71" w14:textId="77777777" w:rsidR="00E72F4F" w:rsidRPr="002F4496" w:rsidRDefault="00E72F4F">
    <w:pPr>
      <w:pStyle w:val="Kopfzeile"/>
      <w:rPr>
        <w:lang w:val="fr-FR"/>
      </w:rPr>
    </w:pPr>
  </w:p>
  <w:p w14:paraId="339C0C6E" w14:textId="77777777" w:rsidR="00E72F4F" w:rsidRPr="002F4496" w:rsidRDefault="00E72F4F">
    <w:pPr>
      <w:pStyle w:val="Kopfzeile"/>
      <w:rPr>
        <w:highlight w:val="yellow"/>
        <w:lang w:val="fr-FR"/>
      </w:rPr>
    </w:pPr>
  </w:p>
  <w:p w14:paraId="0495A777" w14:textId="77777777" w:rsidR="00E72F4F" w:rsidRDefault="00E72F4F">
    <w:pPr>
      <w:pStyle w:val="Kopfzeile"/>
    </w:pPr>
    <w:r>
      <w:rPr>
        <w:noProof/>
        <w:lang w:eastAsia="en-GB"/>
      </w:rPr>
      <mc:AlternateContent>
        <mc:Choice Requires="wps">
          <w:drawing>
            <wp:anchor distT="0" distB="0" distL="114299" distR="114299" simplePos="0" relativeHeight="251658245"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04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49AC0"/>
    <w:multiLevelType w:val="hybridMultilevel"/>
    <w:tmpl w:val="9E81C4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294CBC"/>
    <w:multiLevelType w:val="hybridMultilevel"/>
    <w:tmpl w:val="D994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A6196"/>
    <w:multiLevelType w:val="hybridMultilevel"/>
    <w:tmpl w:val="294230A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00C"/>
    <w:multiLevelType w:val="hybridMultilevel"/>
    <w:tmpl w:val="2B326D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174A44"/>
    <w:multiLevelType w:val="hybridMultilevel"/>
    <w:tmpl w:val="B384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517F7"/>
    <w:multiLevelType w:val="hybridMultilevel"/>
    <w:tmpl w:val="10F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96F05"/>
    <w:multiLevelType w:val="hybridMultilevel"/>
    <w:tmpl w:val="A6EE886E"/>
    <w:lvl w:ilvl="0" w:tplc="8FB49084">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1F008D5"/>
    <w:multiLevelType w:val="hybridMultilevel"/>
    <w:tmpl w:val="EB84D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87BB7"/>
    <w:multiLevelType w:val="hybridMultilevel"/>
    <w:tmpl w:val="0158E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2232B"/>
    <w:multiLevelType w:val="hybridMultilevel"/>
    <w:tmpl w:val="261439F6"/>
    <w:lvl w:ilvl="0" w:tplc="DCA8BAC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BBD6503"/>
    <w:multiLevelType w:val="hybridMultilevel"/>
    <w:tmpl w:val="0412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CA3FEC"/>
    <w:multiLevelType w:val="hybridMultilevel"/>
    <w:tmpl w:val="DB10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E847E0"/>
    <w:multiLevelType w:val="hybridMultilevel"/>
    <w:tmpl w:val="5704B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044746F"/>
    <w:multiLevelType w:val="hybridMultilevel"/>
    <w:tmpl w:val="3AE25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2612439"/>
    <w:multiLevelType w:val="hybridMultilevel"/>
    <w:tmpl w:val="A36C00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047C5"/>
    <w:multiLevelType w:val="hybridMultilevel"/>
    <w:tmpl w:val="1A9E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7" w15:restartNumberingAfterBreak="0">
    <w:nsid w:val="67881003"/>
    <w:multiLevelType w:val="hybridMultilevel"/>
    <w:tmpl w:val="1182FCDE"/>
    <w:lvl w:ilvl="0" w:tplc="04070001">
      <w:start w:val="1"/>
      <w:numFmt w:val="bullet"/>
      <w:lvlText w:val=""/>
      <w:lvlJc w:val="left"/>
      <w:pPr>
        <w:ind w:left="720" w:hanging="360"/>
      </w:pPr>
      <w:rPr>
        <w:rFonts w:ascii="Symbol" w:hAnsi="Symbol" w:hint="default"/>
      </w:rPr>
    </w:lvl>
    <w:lvl w:ilvl="1" w:tplc="9D96FE6A">
      <w:numFmt w:val="bullet"/>
      <w:lvlText w:val="-"/>
      <w:lvlJc w:val="left"/>
      <w:pPr>
        <w:ind w:left="1788" w:hanging="708"/>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94E1540"/>
    <w:multiLevelType w:val="hybridMultilevel"/>
    <w:tmpl w:val="CCDCC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AF0434F"/>
    <w:multiLevelType w:val="hybridMultilevel"/>
    <w:tmpl w:val="FC2CB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DFE6F9A"/>
    <w:multiLevelType w:val="hybridMultilevel"/>
    <w:tmpl w:val="7390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4A82AB6"/>
    <w:multiLevelType w:val="hybridMultilevel"/>
    <w:tmpl w:val="67303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7" w15:restartNumberingAfterBreak="0">
    <w:nsid w:val="7BB826A4"/>
    <w:multiLevelType w:val="hybridMultilevel"/>
    <w:tmpl w:val="277653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9" w15:restartNumberingAfterBreak="0">
    <w:nsid w:val="7CBF7118"/>
    <w:multiLevelType w:val="hybridMultilevel"/>
    <w:tmpl w:val="C67E6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E560916"/>
    <w:multiLevelType w:val="hybridMultilevel"/>
    <w:tmpl w:val="7A3CD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37"/>
  </w:num>
  <w:num w:numId="5">
    <w:abstractNumId w:val="39"/>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4"/>
  </w:num>
  <w:num w:numId="14">
    <w:abstractNumId w:val="32"/>
  </w:num>
  <w:num w:numId="15">
    <w:abstractNumId w:val="15"/>
  </w:num>
  <w:num w:numId="16">
    <w:abstractNumId w:val="2"/>
  </w:num>
  <w:num w:numId="17">
    <w:abstractNumId w:val="23"/>
  </w:num>
  <w:num w:numId="18">
    <w:abstractNumId w:val="24"/>
  </w:num>
  <w:num w:numId="19">
    <w:abstractNumId w:val="26"/>
  </w:num>
  <w:num w:numId="20">
    <w:abstractNumId w:val="40"/>
  </w:num>
  <w:num w:numId="21">
    <w:abstractNumId w:val="54"/>
  </w:num>
  <w:num w:numId="22">
    <w:abstractNumId w:val="38"/>
  </w:num>
  <w:num w:numId="23">
    <w:abstractNumId w:val="14"/>
  </w:num>
  <w:num w:numId="24">
    <w:abstractNumId w:val="43"/>
  </w:num>
  <w:num w:numId="25">
    <w:abstractNumId w:val="42"/>
  </w:num>
  <w:num w:numId="26">
    <w:abstractNumId w:val="28"/>
  </w:num>
  <w:num w:numId="27">
    <w:abstractNumId w:val="48"/>
  </w:num>
  <w:num w:numId="28">
    <w:abstractNumId w:val="58"/>
  </w:num>
  <w:num w:numId="29">
    <w:abstractNumId w:val="12"/>
  </w:num>
  <w:num w:numId="30">
    <w:abstractNumId w:val="5"/>
  </w:num>
  <w:num w:numId="31">
    <w:abstractNumId w:val="30"/>
  </w:num>
  <w:num w:numId="32">
    <w:abstractNumId w:val="29"/>
  </w:num>
  <w:num w:numId="33">
    <w:abstractNumId w:val="53"/>
  </w:num>
  <w:num w:numId="34">
    <w:abstractNumId w:val="52"/>
  </w:num>
  <w:num w:numId="35">
    <w:abstractNumId w:val="16"/>
  </w:num>
  <w:num w:numId="36">
    <w:abstractNumId w:val="18"/>
  </w:num>
  <w:num w:numId="37">
    <w:abstractNumId w:val="21"/>
  </w:num>
  <w:num w:numId="38">
    <w:abstractNumId w:val="21"/>
    <w:lvlOverride w:ilvl="0">
      <w:startOverride w:val="1"/>
    </w:lvlOverride>
  </w:num>
  <w:num w:numId="39">
    <w:abstractNumId w:val="47"/>
  </w:num>
  <w:num w:numId="40">
    <w:abstractNumId w:val="59"/>
  </w:num>
  <w:num w:numId="41">
    <w:abstractNumId w:val="31"/>
  </w:num>
  <w:num w:numId="42">
    <w:abstractNumId w:val="45"/>
  </w:num>
  <w:num w:numId="43">
    <w:abstractNumId w:val="10"/>
  </w:num>
  <w:num w:numId="44">
    <w:abstractNumId w:val="3"/>
  </w:num>
  <w:num w:numId="45">
    <w:abstractNumId w:val="9"/>
  </w:num>
  <w:num w:numId="46">
    <w:abstractNumId w:val="11"/>
  </w:num>
  <w:num w:numId="47">
    <w:abstractNumId w:val="19"/>
  </w:num>
  <w:num w:numId="48">
    <w:abstractNumId w:val="6"/>
  </w:num>
  <w:num w:numId="49">
    <w:abstractNumId w:val="34"/>
  </w:num>
  <w:num w:numId="50">
    <w:abstractNumId w:val="17"/>
  </w:num>
  <w:num w:numId="51">
    <w:abstractNumId w:val="35"/>
  </w:num>
  <w:num w:numId="52">
    <w:abstractNumId w:val="51"/>
  </w:num>
  <w:num w:numId="53">
    <w:abstractNumId w:val="4"/>
  </w:num>
  <w:num w:numId="54">
    <w:abstractNumId w:val="33"/>
  </w:num>
  <w:num w:numId="55">
    <w:abstractNumId w:val="50"/>
  </w:num>
  <w:num w:numId="56">
    <w:abstractNumId w:val="57"/>
  </w:num>
  <w:num w:numId="57">
    <w:abstractNumId w:val="55"/>
  </w:num>
  <w:num w:numId="58">
    <w:abstractNumId w:val="49"/>
  </w:num>
  <w:num w:numId="59">
    <w:abstractNumId w:val="36"/>
  </w:num>
  <w:num w:numId="60">
    <w:abstractNumId w:val="60"/>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532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07F00"/>
    <w:rsid w:val="0001067A"/>
    <w:rsid w:val="00010918"/>
    <w:rsid w:val="0001391A"/>
    <w:rsid w:val="00013CCE"/>
    <w:rsid w:val="000140D5"/>
    <w:rsid w:val="0001410B"/>
    <w:rsid w:val="000141D6"/>
    <w:rsid w:val="00014A67"/>
    <w:rsid w:val="00014A95"/>
    <w:rsid w:val="00015B5E"/>
    <w:rsid w:val="00015F1D"/>
    <w:rsid w:val="0001774B"/>
    <w:rsid w:val="00020D0F"/>
    <w:rsid w:val="000215EB"/>
    <w:rsid w:val="000217CB"/>
    <w:rsid w:val="000218D6"/>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075"/>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37"/>
    <w:rsid w:val="000868FE"/>
    <w:rsid w:val="000878D1"/>
    <w:rsid w:val="000921AE"/>
    <w:rsid w:val="000921D7"/>
    <w:rsid w:val="000925FF"/>
    <w:rsid w:val="000932E0"/>
    <w:rsid w:val="00094C4C"/>
    <w:rsid w:val="00095D15"/>
    <w:rsid w:val="00096762"/>
    <w:rsid w:val="000969C8"/>
    <w:rsid w:val="0009752D"/>
    <w:rsid w:val="00097AEE"/>
    <w:rsid w:val="000A014A"/>
    <w:rsid w:val="000A04B6"/>
    <w:rsid w:val="000A0E36"/>
    <w:rsid w:val="000A111E"/>
    <w:rsid w:val="000A1BD2"/>
    <w:rsid w:val="000A2127"/>
    <w:rsid w:val="000A358F"/>
    <w:rsid w:val="000A43CC"/>
    <w:rsid w:val="000A58BE"/>
    <w:rsid w:val="000A7314"/>
    <w:rsid w:val="000A7B53"/>
    <w:rsid w:val="000A7B64"/>
    <w:rsid w:val="000A7D5F"/>
    <w:rsid w:val="000B23AC"/>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6DD3"/>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1480"/>
    <w:rsid w:val="0019311A"/>
    <w:rsid w:val="0019508A"/>
    <w:rsid w:val="00195BFF"/>
    <w:rsid w:val="001960D8"/>
    <w:rsid w:val="001A0712"/>
    <w:rsid w:val="001A1642"/>
    <w:rsid w:val="001A371B"/>
    <w:rsid w:val="001A4766"/>
    <w:rsid w:val="001A5E5C"/>
    <w:rsid w:val="001A6A0D"/>
    <w:rsid w:val="001A6C51"/>
    <w:rsid w:val="001A6FAA"/>
    <w:rsid w:val="001A729C"/>
    <w:rsid w:val="001A7D73"/>
    <w:rsid w:val="001B0363"/>
    <w:rsid w:val="001B0733"/>
    <w:rsid w:val="001B1355"/>
    <w:rsid w:val="001B1873"/>
    <w:rsid w:val="001B188C"/>
    <w:rsid w:val="001B3138"/>
    <w:rsid w:val="001B38DE"/>
    <w:rsid w:val="001B4E4B"/>
    <w:rsid w:val="001B50AC"/>
    <w:rsid w:val="001B55FB"/>
    <w:rsid w:val="001B5A2B"/>
    <w:rsid w:val="001B5E05"/>
    <w:rsid w:val="001B6D68"/>
    <w:rsid w:val="001B6F2E"/>
    <w:rsid w:val="001C0344"/>
    <w:rsid w:val="001C0F2A"/>
    <w:rsid w:val="001C16BA"/>
    <w:rsid w:val="001C1A59"/>
    <w:rsid w:val="001C270F"/>
    <w:rsid w:val="001C4679"/>
    <w:rsid w:val="001C5770"/>
    <w:rsid w:val="001C5C61"/>
    <w:rsid w:val="001C6195"/>
    <w:rsid w:val="001C61ED"/>
    <w:rsid w:val="001D000A"/>
    <w:rsid w:val="001D0883"/>
    <w:rsid w:val="001D2205"/>
    <w:rsid w:val="001D3A1F"/>
    <w:rsid w:val="001D3FB6"/>
    <w:rsid w:val="001D4550"/>
    <w:rsid w:val="001D5360"/>
    <w:rsid w:val="001D5498"/>
    <w:rsid w:val="001D5BAF"/>
    <w:rsid w:val="001D6401"/>
    <w:rsid w:val="001D66C9"/>
    <w:rsid w:val="001D6AF5"/>
    <w:rsid w:val="001D722A"/>
    <w:rsid w:val="001E04FC"/>
    <w:rsid w:val="001E137B"/>
    <w:rsid w:val="001E407D"/>
    <w:rsid w:val="001E40FB"/>
    <w:rsid w:val="001E66EC"/>
    <w:rsid w:val="001E68C5"/>
    <w:rsid w:val="001F0F63"/>
    <w:rsid w:val="001F289D"/>
    <w:rsid w:val="001F3996"/>
    <w:rsid w:val="001F44A4"/>
    <w:rsid w:val="001F579D"/>
    <w:rsid w:val="001F65EF"/>
    <w:rsid w:val="001F697B"/>
    <w:rsid w:val="002005A6"/>
    <w:rsid w:val="00203BA2"/>
    <w:rsid w:val="00204CBC"/>
    <w:rsid w:val="002051F1"/>
    <w:rsid w:val="002067BA"/>
    <w:rsid w:val="00207F7A"/>
    <w:rsid w:val="0021058D"/>
    <w:rsid w:val="00211E2F"/>
    <w:rsid w:val="00211E9E"/>
    <w:rsid w:val="00214FB4"/>
    <w:rsid w:val="00215940"/>
    <w:rsid w:val="00217C23"/>
    <w:rsid w:val="00220511"/>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355D"/>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4CD5"/>
    <w:rsid w:val="00286064"/>
    <w:rsid w:val="002867B1"/>
    <w:rsid w:val="00287BBB"/>
    <w:rsid w:val="00287E3B"/>
    <w:rsid w:val="00290638"/>
    <w:rsid w:val="00291763"/>
    <w:rsid w:val="00291D80"/>
    <w:rsid w:val="00293156"/>
    <w:rsid w:val="00293BE7"/>
    <w:rsid w:val="002946DC"/>
    <w:rsid w:val="00296005"/>
    <w:rsid w:val="002967FA"/>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DB2"/>
    <w:rsid w:val="002B7656"/>
    <w:rsid w:val="002C1492"/>
    <w:rsid w:val="002C1E8B"/>
    <w:rsid w:val="002C27F9"/>
    <w:rsid w:val="002C2EFE"/>
    <w:rsid w:val="002C53AA"/>
    <w:rsid w:val="002C5B2D"/>
    <w:rsid w:val="002C6AF9"/>
    <w:rsid w:val="002C6E74"/>
    <w:rsid w:val="002C7DFC"/>
    <w:rsid w:val="002C7E6F"/>
    <w:rsid w:val="002D14F3"/>
    <w:rsid w:val="002D16E4"/>
    <w:rsid w:val="002D2FEF"/>
    <w:rsid w:val="002D3454"/>
    <w:rsid w:val="002D3471"/>
    <w:rsid w:val="002D36C2"/>
    <w:rsid w:val="002D3FCB"/>
    <w:rsid w:val="002D4FEF"/>
    <w:rsid w:val="002D502D"/>
    <w:rsid w:val="002D63F5"/>
    <w:rsid w:val="002D6773"/>
    <w:rsid w:val="002D6E1A"/>
    <w:rsid w:val="002E036D"/>
    <w:rsid w:val="002E1517"/>
    <w:rsid w:val="002E1B22"/>
    <w:rsid w:val="002E30BB"/>
    <w:rsid w:val="002E387F"/>
    <w:rsid w:val="002E5D63"/>
    <w:rsid w:val="002E6B3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66F42"/>
    <w:rsid w:val="00370097"/>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02A"/>
    <w:rsid w:val="00383D7D"/>
    <w:rsid w:val="00384CCE"/>
    <w:rsid w:val="003865E5"/>
    <w:rsid w:val="00386BB8"/>
    <w:rsid w:val="003926C1"/>
    <w:rsid w:val="00392900"/>
    <w:rsid w:val="00393357"/>
    <w:rsid w:val="00394CE6"/>
    <w:rsid w:val="00395E7B"/>
    <w:rsid w:val="00395F4C"/>
    <w:rsid w:val="003A0A78"/>
    <w:rsid w:val="003A50C9"/>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A17"/>
    <w:rsid w:val="003E68C7"/>
    <w:rsid w:val="003E6A95"/>
    <w:rsid w:val="003E79B0"/>
    <w:rsid w:val="003F0403"/>
    <w:rsid w:val="003F1094"/>
    <w:rsid w:val="003F2E45"/>
    <w:rsid w:val="003F3EFE"/>
    <w:rsid w:val="003F40B8"/>
    <w:rsid w:val="003F5C06"/>
    <w:rsid w:val="003F61E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421A"/>
    <w:rsid w:val="0045503F"/>
    <w:rsid w:val="00455273"/>
    <w:rsid w:val="00456040"/>
    <w:rsid w:val="004560CD"/>
    <w:rsid w:val="00460905"/>
    <w:rsid w:val="00461E35"/>
    <w:rsid w:val="004621DB"/>
    <w:rsid w:val="004634A7"/>
    <w:rsid w:val="00463787"/>
    <w:rsid w:val="00466926"/>
    <w:rsid w:val="00466FDA"/>
    <w:rsid w:val="004671D0"/>
    <w:rsid w:val="004674D1"/>
    <w:rsid w:val="00470773"/>
    <w:rsid w:val="00471FF9"/>
    <w:rsid w:val="00473E74"/>
    <w:rsid w:val="00473FEF"/>
    <w:rsid w:val="004745BF"/>
    <w:rsid w:val="00475B8E"/>
    <w:rsid w:val="0048104E"/>
    <w:rsid w:val="004814BB"/>
    <w:rsid w:val="004815DA"/>
    <w:rsid w:val="00482458"/>
    <w:rsid w:val="004837ED"/>
    <w:rsid w:val="00483942"/>
    <w:rsid w:val="004843CE"/>
    <w:rsid w:val="00485142"/>
    <w:rsid w:val="004852A7"/>
    <w:rsid w:val="00486B40"/>
    <w:rsid w:val="00486C17"/>
    <w:rsid w:val="00486DE2"/>
    <w:rsid w:val="00487117"/>
    <w:rsid w:val="00487778"/>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A6EDD"/>
    <w:rsid w:val="004A7E2D"/>
    <w:rsid w:val="004B0335"/>
    <w:rsid w:val="004B0F1C"/>
    <w:rsid w:val="004B1E61"/>
    <w:rsid w:val="004B21AB"/>
    <w:rsid w:val="004B2355"/>
    <w:rsid w:val="004B59E0"/>
    <w:rsid w:val="004B667B"/>
    <w:rsid w:val="004B71C7"/>
    <w:rsid w:val="004B7E7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4E98"/>
    <w:rsid w:val="004E62DE"/>
    <w:rsid w:val="004E6AE4"/>
    <w:rsid w:val="004E6B05"/>
    <w:rsid w:val="004E76A1"/>
    <w:rsid w:val="004F05DE"/>
    <w:rsid w:val="004F4EC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48A"/>
    <w:rsid w:val="00516783"/>
    <w:rsid w:val="00517B8A"/>
    <w:rsid w:val="00517EF8"/>
    <w:rsid w:val="00520083"/>
    <w:rsid w:val="0052029E"/>
    <w:rsid w:val="0052076A"/>
    <w:rsid w:val="00520A2C"/>
    <w:rsid w:val="00520E25"/>
    <w:rsid w:val="00520FAC"/>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735"/>
    <w:rsid w:val="00542A28"/>
    <w:rsid w:val="005441D4"/>
    <w:rsid w:val="0054672D"/>
    <w:rsid w:val="00550F4E"/>
    <w:rsid w:val="005532B5"/>
    <w:rsid w:val="00554A05"/>
    <w:rsid w:val="00555849"/>
    <w:rsid w:val="005559A8"/>
    <w:rsid w:val="00556464"/>
    <w:rsid w:val="00556D4B"/>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1BD0"/>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847"/>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7B6"/>
    <w:rsid w:val="005C3C6C"/>
    <w:rsid w:val="005C3F4C"/>
    <w:rsid w:val="005C43AA"/>
    <w:rsid w:val="005C48C8"/>
    <w:rsid w:val="005C4E0E"/>
    <w:rsid w:val="005C6485"/>
    <w:rsid w:val="005C663C"/>
    <w:rsid w:val="005D0594"/>
    <w:rsid w:val="005D1023"/>
    <w:rsid w:val="005D148F"/>
    <w:rsid w:val="005D2AD2"/>
    <w:rsid w:val="005D4A86"/>
    <w:rsid w:val="005D4C2A"/>
    <w:rsid w:val="005D5EB1"/>
    <w:rsid w:val="005D6A29"/>
    <w:rsid w:val="005E01B8"/>
    <w:rsid w:val="005E0481"/>
    <w:rsid w:val="005E10BF"/>
    <w:rsid w:val="005E1834"/>
    <w:rsid w:val="005E2AA1"/>
    <w:rsid w:val="005E49E5"/>
    <w:rsid w:val="005E4A4B"/>
    <w:rsid w:val="005E5481"/>
    <w:rsid w:val="005E55E4"/>
    <w:rsid w:val="005E6C5F"/>
    <w:rsid w:val="005E7636"/>
    <w:rsid w:val="005F028E"/>
    <w:rsid w:val="005F04B4"/>
    <w:rsid w:val="005F11A4"/>
    <w:rsid w:val="005F196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058"/>
    <w:rsid w:val="00611293"/>
    <w:rsid w:val="0061135E"/>
    <w:rsid w:val="0061263A"/>
    <w:rsid w:val="00612C41"/>
    <w:rsid w:val="006145DE"/>
    <w:rsid w:val="0061478E"/>
    <w:rsid w:val="00614F25"/>
    <w:rsid w:val="00615079"/>
    <w:rsid w:val="00616A11"/>
    <w:rsid w:val="00616B9B"/>
    <w:rsid w:val="00617520"/>
    <w:rsid w:val="00617AD0"/>
    <w:rsid w:val="00620D7C"/>
    <w:rsid w:val="00621089"/>
    <w:rsid w:val="00621833"/>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A48"/>
    <w:rsid w:val="00641DC3"/>
    <w:rsid w:val="00642972"/>
    <w:rsid w:val="00644F4D"/>
    <w:rsid w:val="00645A4E"/>
    <w:rsid w:val="006469B1"/>
    <w:rsid w:val="00646C0D"/>
    <w:rsid w:val="006476F7"/>
    <w:rsid w:val="0064779E"/>
    <w:rsid w:val="00647EF2"/>
    <w:rsid w:val="006501FA"/>
    <w:rsid w:val="006509B0"/>
    <w:rsid w:val="006521F3"/>
    <w:rsid w:val="006524D5"/>
    <w:rsid w:val="00652BBD"/>
    <w:rsid w:val="00653633"/>
    <w:rsid w:val="00653F69"/>
    <w:rsid w:val="00654936"/>
    <w:rsid w:val="0065529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675C"/>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91E"/>
    <w:rsid w:val="006935A2"/>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903"/>
    <w:rsid w:val="006C4334"/>
    <w:rsid w:val="006C4B0F"/>
    <w:rsid w:val="006C5E96"/>
    <w:rsid w:val="006D079C"/>
    <w:rsid w:val="006D399F"/>
    <w:rsid w:val="006D4F0C"/>
    <w:rsid w:val="006D5645"/>
    <w:rsid w:val="006E0A4F"/>
    <w:rsid w:val="006E0C8A"/>
    <w:rsid w:val="006E2A23"/>
    <w:rsid w:val="006E35E5"/>
    <w:rsid w:val="006E3C72"/>
    <w:rsid w:val="006E4F20"/>
    <w:rsid w:val="006E649A"/>
    <w:rsid w:val="006F08DC"/>
    <w:rsid w:val="006F1D42"/>
    <w:rsid w:val="006F2D13"/>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C05"/>
    <w:rsid w:val="007209DD"/>
    <w:rsid w:val="00722E49"/>
    <w:rsid w:val="00723A08"/>
    <w:rsid w:val="00723B5C"/>
    <w:rsid w:val="00724391"/>
    <w:rsid w:val="00724C18"/>
    <w:rsid w:val="00726630"/>
    <w:rsid w:val="00727F73"/>
    <w:rsid w:val="00730705"/>
    <w:rsid w:val="00730944"/>
    <w:rsid w:val="0073248E"/>
    <w:rsid w:val="00733EE9"/>
    <w:rsid w:val="0073511E"/>
    <w:rsid w:val="00735B8E"/>
    <w:rsid w:val="0073673C"/>
    <w:rsid w:val="00736935"/>
    <w:rsid w:val="007431C5"/>
    <w:rsid w:val="00743DE7"/>
    <w:rsid w:val="00744262"/>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57116"/>
    <w:rsid w:val="00760041"/>
    <w:rsid w:val="007605C7"/>
    <w:rsid w:val="00760B08"/>
    <w:rsid w:val="00760EDA"/>
    <w:rsid w:val="00761F4E"/>
    <w:rsid w:val="00762150"/>
    <w:rsid w:val="00762621"/>
    <w:rsid w:val="00763F36"/>
    <w:rsid w:val="007648A0"/>
    <w:rsid w:val="00765004"/>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8FC"/>
    <w:rsid w:val="00793A31"/>
    <w:rsid w:val="00794979"/>
    <w:rsid w:val="007956B7"/>
    <w:rsid w:val="00795F1A"/>
    <w:rsid w:val="00796EDE"/>
    <w:rsid w:val="00797297"/>
    <w:rsid w:val="007974B3"/>
    <w:rsid w:val="00797875"/>
    <w:rsid w:val="007A076C"/>
    <w:rsid w:val="007A2140"/>
    <w:rsid w:val="007A23E2"/>
    <w:rsid w:val="007A251E"/>
    <w:rsid w:val="007A31A5"/>
    <w:rsid w:val="007A411B"/>
    <w:rsid w:val="007A45E6"/>
    <w:rsid w:val="007A4B28"/>
    <w:rsid w:val="007A5C2C"/>
    <w:rsid w:val="007A6703"/>
    <w:rsid w:val="007A6F4E"/>
    <w:rsid w:val="007A7678"/>
    <w:rsid w:val="007B0CD8"/>
    <w:rsid w:val="007B0DE0"/>
    <w:rsid w:val="007B21DE"/>
    <w:rsid w:val="007B2BB9"/>
    <w:rsid w:val="007B43E8"/>
    <w:rsid w:val="007B4740"/>
    <w:rsid w:val="007B502C"/>
    <w:rsid w:val="007B5F3B"/>
    <w:rsid w:val="007B722F"/>
    <w:rsid w:val="007C02B0"/>
    <w:rsid w:val="007C063E"/>
    <w:rsid w:val="007C1901"/>
    <w:rsid w:val="007C49C0"/>
    <w:rsid w:val="007C5247"/>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BE2"/>
    <w:rsid w:val="007E3514"/>
    <w:rsid w:val="007E4AAA"/>
    <w:rsid w:val="007E4BD2"/>
    <w:rsid w:val="007E4C29"/>
    <w:rsid w:val="007E5E44"/>
    <w:rsid w:val="007E61CC"/>
    <w:rsid w:val="007F0DDA"/>
    <w:rsid w:val="007F1939"/>
    <w:rsid w:val="007F365C"/>
    <w:rsid w:val="007F464C"/>
    <w:rsid w:val="007F4A2A"/>
    <w:rsid w:val="007F5066"/>
    <w:rsid w:val="007F621C"/>
    <w:rsid w:val="007F7155"/>
    <w:rsid w:val="00800C28"/>
    <w:rsid w:val="0080245E"/>
    <w:rsid w:val="00802466"/>
    <w:rsid w:val="00803480"/>
    <w:rsid w:val="0080359C"/>
    <w:rsid w:val="008037AE"/>
    <w:rsid w:val="008043F4"/>
    <w:rsid w:val="00804BB4"/>
    <w:rsid w:val="00805BE8"/>
    <w:rsid w:val="00805D9F"/>
    <w:rsid w:val="00807A4D"/>
    <w:rsid w:val="00807F30"/>
    <w:rsid w:val="008103DC"/>
    <w:rsid w:val="0081095D"/>
    <w:rsid w:val="0081119F"/>
    <w:rsid w:val="0081134D"/>
    <w:rsid w:val="00811C0A"/>
    <w:rsid w:val="00811EDA"/>
    <w:rsid w:val="00812403"/>
    <w:rsid w:val="00812FD7"/>
    <w:rsid w:val="00813852"/>
    <w:rsid w:val="00820623"/>
    <w:rsid w:val="00820CBA"/>
    <w:rsid w:val="00821747"/>
    <w:rsid w:val="008229A3"/>
    <w:rsid w:val="00822DFB"/>
    <w:rsid w:val="00822F64"/>
    <w:rsid w:val="00824EAF"/>
    <w:rsid w:val="008253A6"/>
    <w:rsid w:val="00825A6B"/>
    <w:rsid w:val="00825C50"/>
    <w:rsid w:val="00826577"/>
    <w:rsid w:val="00827439"/>
    <w:rsid w:val="00827BF4"/>
    <w:rsid w:val="00827C79"/>
    <w:rsid w:val="0083003F"/>
    <w:rsid w:val="00831077"/>
    <w:rsid w:val="00831A4A"/>
    <w:rsid w:val="00832134"/>
    <w:rsid w:val="0083219E"/>
    <w:rsid w:val="00832BBC"/>
    <w:rsid w:val="0083497C"/>
    <w:rsid w:val="008352A6"/>
    <w:rsid w:val="00835B01"/>
    <w:rsid w:val="00835B5B"/>
    <w:rsid w:val="00835DAF"/>
    <w:rsid w:val="008360E6"/>
    <w:rsid w:val="008367AE"/>
    <w:rsid w:val="00836E50"/>
    <w:rsid w:val="00840477"/>
    <w:rsid w:val="0084121D"/>
    <w:rsid w:val="008419C1"/>
    <w:rsid w:val="00843A3F"/>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98E"/>
    <w:rsid w:val="008575EB"/>
    <w:rsid w:val="00862DDD"/>
    <w:rsid w:val="0086326D"/>
    <w:rsid w:val="00863CC1"/>
    <w:rsid w:val="00865B01"/>
    <w:rsid w:val="00866313"/>
    <w:rsid w:val="00866D7A"/>
    <w:rsid w:val="00866EE3"/>
    <w:rsid w:val="008701E5"/>
    <w:rsid w:val="008706C5"/>
    <w:rsid w:val="00871F04"/>
    <w:rsid w:val="00873731"/>
    <w:rsid w:val="008746C1"/>
    <w:rsid w:val="00880224"/>
    <w:rsid w:val="0088244C"/>
    <w:rsid w:val="00883367"/>
    <w:rsid w:val="008834FE"/>
    <w:rsid w:val="00884C47"/>
    <w:rsid w:val="00884E92"/>
    <w:rsid w:val="00885E6F"/>
    <w:rsid w:val="008861AC"/>
    <w:rsid w:val="008868E4"/>
    <w:rsid w:val="00886A60"/>
    <w:rsid w:val="0088759B"/>
    <w:rsid w:val="008909B4"/>
    <w:rsid w:val="00891562"/>
    <w:rsid w:val="008922E8"/>
    <w:rsid w:val="00893916"/>
    <w:rsid w:val="008941B9"/>
    <w:rsid w:val="0089442C"/>
    <w:rsid w:val="00894DEC"/>
    <w:rsid w:val="00895818"/>
    <w:rsid w:val="008A06C5"/>
    <w:rsid w:val="008A2585"/>
    <w:rsid w:val="008A2718"/>
    <w:rsid w:val="008A4CF6"/>
    <w:rsid w:val="008A4E42"/>
    <w:rsid w:val="008A51AA"/>
    <w:rsid w:val="008A5400"/>
    <w:rsid w:val="008A6A12"/>
    <w:rsid w:val="008B0DC6"/>
    <w:rsid w:val="008B1CBD"/>
    <w:rsid w:val="008B2B9E"/>
    <w:rsid w:val="008B31F5"/>
    <w:rsid w:val="008B4C79"/>
    <w:rsid w:val="008B5D2D"/>
    <w:rsid w:val="008B6361"/>
    <w:rsid w:val="008C0320"/>
    <w:rsid w:val="008C1A51"/>
    <w:rsid w:val="008C2A81"/>
    <w:rsid w:val="008C3863"/>
    <w:rsid w:val="008C4BDC"/>
    <w:rsid w:val="008C50FF"/>
    <w:rsid w:val="008C5435"/>
    <w:rsid w:val="008C5C57"/>
    <w:rsid w:val="008C6BD1"/>
    <w:rsid w:val="008D2DB5"/>
    <w:rsid w:val="008D3E93"/>
    <w:rsid w:val="008D3F10"/>
    <w:rsid w:val="008D611D"/>
    <w:rsid w:val="008E01A3"/>
    <w:rsid w:val="008E1B6A"/>
    <w:rsid w:val="008E3054"/>
    <w:rsid w:val="008E32FF"/>
    <w:rsid w:val="008E5625"/>
    <w:rsid w:val="008E5C5B"/>
    <w:rsid w:val="008E6718"/>
    <w:rsid w:val="008E6A37"/>
    <w:rsid w:val="008F0354"/>
    <w:rsid w:val="008F085A"/>
    <w:rsid w:val="008F1462"/>
    <w:rsid w:val="008F2413"/>
    <w:rsid w:val="008F248D"/>
    <w:rsid w:val="008F4B2C"/>
    <w:rsid w:val="008F4C08"/>
    <w:rsid w:val="008F6851"/>
    <w:rsid w:val="008F7BC4"/>
    <w:rsid w:val="00900E7A"/>
    <w:rsid w:val="00903E11"/>
    <w:rsid w:val="00903EBE"/>
    <w:rsid w:val="009040BF"/>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5C8D"/>
    <w:rsid w:val="0092751A"/>
    <w:rsid w:val="009305C4"/>
    <w:rsid w:val="00931FAF"/>
    <w:rsid w:val="009360F6"/>
    <w:rsid w:val="009371DC"/>
    <w:rsid w:val="0093759D"/>
    <w:rsid w:val="00940239"/>
    <w:rsid w:val="009402F6"/>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5873"/>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09"/>
    <w:rsid w:val="009A53D8"/>
    <w:rsid w:val="009A53DA"/>
    <w:rsid w:val="009A597F"/>
    <w:rsid w:val="009A7B72"/>
    <w:rsid w:val="009A7F49"/>
    <w:rsid w:val="009B03C4"/>
    <w:rsid w:val="009B0AA2"/>
    <w:rsid w:val="009B13A0"/>
    <w:rsid w:val="009B1D02"/>
    <w:rsid w:val="009B7133"/>
    <w:rsid w:val="009B7658"/>
    <w:rsid w:val="009B7CD1"/>
    <w:rsid w:val="009B7E22"/>
    <w:rsid w:val="009B7E78"/>
    <w:rsid w:val="009C10FE"/>
    <w:rsid w:val="009C13BC"/>
    <w:rsid w:val="009C1CA4"/>
    <w:rsid w:val="009C2532"/>
    <w:rsid w:val="009C2BA4"/>
    <w:rsid w:val="009C2F11"/>
    <w:rsid w:val="009C4F22"/>
    <w:rsid w:val="009C6091"/>
    <w:rsid w:val="009C634F"/>
    <w:rsid w:val="009C6C20"/>
    <w:rsid w:val="009C739F"/>
    <w:rsid w:val="009D0219"/>
    <w:rsid w:val="009D0D55"/>
    <w:rsid w:val="009D2295"/>
    <w:rsid w:val="009D2511"/>
    <w:rsid w:val="009D291D"/>
    <w:rsid w:val="009D3E7C"/>
    <w:rsid w:val="009D55CA"/>
    <w:rsid w:val="009D5EF0"/>
    <w:rsid w:val="009D6401"/>
    <w:rsid w:val="009E055B"/>
    <w:rsid w:val="009E0711"/>
    <w:rsid w:val="009E1917"/>
    <w:rsid w:val="009E2535"/>
    <w:rsid w:val="009E2FDB"/>
    <w:rsid w:val="009E3594"/>
    <w:rsid w:val="009E51C2"/>
    <w:rsid w:val="009E6B77"/>
    <w:rsid w:val="009E7724"/>
    <w:rsid w:val="009E7D1F"/>
    <w:rsid w:val="009F0852"/>
    <w:rsid w:val="009F1D82"/>
    <w:rsid w:val="009F37AA"/>
    <w:rsid w:val="009F4516"/>
    <w:rsid w:val="009F544C"/>
    <w:rsid w:val="009F5731"/>
    <w:rsid w:val="009F6321"/>
    <w:rsid w:val="009F6378"/>
    <w:rsid w:val="009F7669"/>
    <w:rsid w:val="009F7F45"/>
    <w:rsid w:val="009F7FD5"/>
    <w:rsid w:val="00A005D4"/>
    <w:rsid w:val="00A0083C"/>
    <w:rsid w:val="00A01A90"/>
    <w:rsid w:val="00A02370"/>
    <w:rsid w:val="00A04685"/>
    <w:rsid w:val="00A04C57"/>
    <w:rsid w:val="00A05E37"/>
    <w:rsid w:val="00A06340"/>
    <w:rsid w:val="00A0684F"/>
    <w:rsid w:val="00A06867"/>
    <w:rsid w:val="00A10148"/>
    <w:rsid w:val="00A104FE"/>
    <w:rsid w:val="00A10776"/>
    <w:rsid w:val="00A113FD"/>
    <w:rsid w:val="00A11DDE"/>
    <w:rsid w:val="00A127A7"/>
    <w:rsid w:val="00A129F4"/>
    <w:rsid w:val="00A136F4"/>
    <w:rsid w:val="00A14E06"/>
    <w:rsid w:val="00A150F7"/>
    <w:rsid w:val="00A160D3"/>
    <w:rsid w:val="00A16DC9"/>
    <w:rsid w:val="00A20225"/>
    <w:rsid w:val="00A24269"/>
    <w:rsid w:val="00A243E4"/>
    <w:rsid w:val="00A25AC5"/>
    <w:rsid w:val="00A25ED4"/>
    <w:rsid w:val="00A263DA"/>
    <w:rsid w:val="00A26C5C"/>
    <w:rsid w:val="00A30BDE"/>
    <w:rsid w:val="00A3131C"/>
    <w:rsid w:val="00A31F14"/>
    <w:rsid w:val="00A324DC"/>
    <w:rsid w:val="00A32B5A"/>
    <w:rsid w:val="00A32F04"/>
    <w:rsid w:val="00A33CCC"/>
    <w:rsid w:val="00A33CD8"/>
    <w:rsid w:val="00A33ECB"/>
    <w:rsid w:val="00A34DE0"/>
    <w:rsid w:val="00A35728"/>
    <w:rsid w:val="00A36255"/>
    <w:rsid w:val="00A36EE3"/>
    <w:rsid w:val="00A36F65"/>
    <w:rsid w:val="00A37435"/>
    <w:rsid w:val="00A40DA9"/>
    <w:rsid w:val="00A4173D"/>
    <w:rsid w:val="00A41A95"/>
    <w:rsid w:val="00A4248B"/>
    <w:rsid w:val="00A42951"/>
    <w:rsid w:val="00A4376E"/>
    <w:rsid w:val="00A4572B"/>
    <w:rsid w:val="00A46246"/>
    <w:rsid w:val="00A46349"/>
    <w:rsid w:val="00A46D5E"/>
    <w:rsid w:val="00A50847"/>
    <w:rsid w:val="00A512C7"/>
    <w:rsid w:val="00A51F7A"/>
    <w:rsid w:val="00A54384"/>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422"/>
    <w:rsid w:val="00A65805"/>
    <w:rsid w:val="00A65AAC"/>
    <w:rsid w:val="00A66BEE"/>
    <w:rsid w:val="00A671C9"/>
    <w:rsid w:val="00A67DFD"/>
    <w:rsid w:val="00A73BAB"/>
    <w:rsid w:val="00A74F9F"/>
    <w:rsid w:val="00A750B3"/>
    <w:rsid w:val="00A75559"/>
    <w:rsid w:val="00A7623D"/>
    <w:rsid w:val="00A824A7"/>
    <w:rsid w:val="00A82732"/>
    <w:rsid w:val="00A83644"/>
    <w:rsid w:val="00A83C07"/>
    <w:rsid w:val="00A83F40"/>
    <w:rsid w:val="00A84945"/>
    <w:rsid w:val="00A85226"/>
    <w:rsid w:val="00A85543"/>
    <w:rsid w:val="00A8728B"/>
    <w:rsid w:val="00A903D3"/>
    <w:rsid w:val="00A91682"/>
    <w:rsid w:val="00A92E4A"/>
    <w:rsid w:val="00A92FA6"/>
    <w:rsid w:val="00A94574"/>
    <w:rsid w:val="00A958CA"/>
    <w:rsid w:val="00A966B6"/>
    <w:rsid w:val="00A9682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C75"/>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1F05"/>
    <w:rsid w:val="00AE3BC6"/>
    <w:rsid w:val="00AE3E2F"/>
    <w:rsid w:val="00AE4D4F"/>
    <w:rsid w:val="00AE627C"/>
    <w:rsid w:val="00AE62B0"/>
    <w:rsid w:val="00AE68A2"/>
    <w:rsid w:val="00AF0029"/>
    <w:rsid w:val="00AF0052"/>
    <w:rsid w:val="00AF0354"/>
    <w:rsid w:val="00AF1236"/>
    <w:rsid w:val="00AF38AF"/>
    <w:rsid w:val="00AF3C29"/>
    <w:rsid w:val="00AF4401"/>
    <w:rsid w:val="00AF4463"/>
    <w:rsid w:val="00AF53CB"/>
    <w:rsid w:val="00AF65C5"/>
    <w:rsid w:val="00AF6F18"/>
    <w:rsid w:val="00B003C7"/>
    <w:rsid w:val="00B03CE2"/>
    <w:rsid w:val="00B04E6E"/>
    <w:rsid w:val="00B059A9"/>
    <w:rsid w:val="00B06544"/>
    <w:rsid w:val="00B06CC1"/>
    <w:rsid w:val="00B105F2"/>
    <w:rsid w:val="00B10991"/>
    <w:rsid w:val="00B113A6"/>
    <w:rsid w:val="00B12128"/>
    <w:rsid w:val="00B12753"/>
    <w:rsid w:val="00B12945"/>
    <w:rsid w:val="00B12C1E"/>
    <w:rsid w:val="00B146A3"/>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36C6"/>
    <w:rsid w:val="00B34885"/>
    <w:rsid w:val="00B34D68"/>
    <w:rsid w:val="00B35A51"/>
    <w:rsid w:val="00B36117"/>
    <w:rsid w:val="00B362E3"/>
    <w:rsid w:val="00B37C73"/>
    <w:rsid w:val="00B4009B"/>
    <w:rsid w:val="00B400A1"/>
    <w:rsid w:val="00B40A2B"/>
    <w:rsid w:val="00B420CB"/>
    <w:rsid w:val="00B428D1"/>
    <w:rsid w:val="00B4401C"/>
    <w:rsid w:val="00B44802"/>
    <w:rsid w:val="00B45570"/>
    <w:rsid w:val="00B455D1"/>
    <w:rsid w:val="00B46135"/>
    <w:rsid w:val="00B4722C"/>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AB2"/>
    <w:rsid w:val="00B73492"/>
    <w:rsid w:val="00B7512A"/>
    <w:rsid w:val="00B75196"/>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2D0"/>
    <w:rsid w:val="00BB3305"/>
    <w:rsid w:val="00BB37CC"/>
    <w:rsid w:val="00BB48C4"/>
    <w:rsid w:val="00BB4956"/>
    <w:rsid w:val="00BB5C6F"/>
    <w:rsid w:val="00BB6907"/>
    <w:rsid w:val="00BB7A20"/>
    <w:rsid w:val="00BC15B1"/>
    <w:rsid w:val="00BC16E9"/>
    <w:rsid w:val="00BC3C06"/>
    <w:rsid w:val="00BC4A92"/>
    <w:rsid w:val="00BC4E8B"/>
    <w:rsid w:val="00BC5622"/>
    <w:rsid w:val="00BC5AC6"/>
    <w:rsid w:val="00BC6060"/>
    <w:rsid w:val="00BC6596"/>
    <w:rsid w:val="00BC7897"/>
    <w:rsid w:val="00BC7C28"/>
    <w:rsid w:val="00BD0F35"/>
    <w:rsid w:val="00BD2D8E"/>
    <w:rsid w:val="00BD3A5A"/>
    <w:rsid w:val="00BD3C97"/>
    <w:rsid w:val="00BD40E5"/>
    <w:rsid w:val="00BD45A4"/>
    <w:rsid w:val="00BD4A5F"/>
    <w:rsid w:val="00BD59AA"/>
    <w:rsid w:val="00BD65E6"/>
    <w:rsid w:val="00BD6AF7"/>
    <w:rsid w:val="00BE19EF"/>
    <w:rsid w:val="00BE425B"/>
    <w:rsid w:val="00BE51BB"/>
    <w:rsid w:val="00BE7595"/>
    <w:rsid w:val="00BE77D3"/>
    <w:rsid w:val="00BF0138"/>
    <w:rsid w:val="00BF0DD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7DC"/>
    <w:rsid w:val="00C30A54"/>
    <w:rsid w:val="00C316F7"/>
    <w:rsid w:val="00C31A5A"/>
    <w:rsid w:val="00C31DF0"/>
    <w:rsid w:val="00C32578"/>
    <w:rsid w:val="00C33916"/>
    <w:rsid w:val="00C33BCF"/>
    <w:rsid w:val="00C34D1D"/>
    <w:rsid w:val="00C353A0"/>
    <w:rsid w:val="00C3613F"/>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1058"/>
    <w:rsid w:val="00C63800"/>
    <w:rsid w:val="00C638C2"/>
    <w:rsid w:val="00C63D9F"/>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0B87"/>
    <w:rsid w:val="00C923B7"/>
    <w:rsid w:val="00C93A9C"/>
    <w:rsid w:val="00C94D4C"/>
    <w:rsid w:val="00CA012C"/>
    <w:rsid w:val="00CA0AA6"/>
    <w:rsid w:val="00CA2897"/>
    <w:rsid w:val="00CA44F3"/>
    <w:rsid w:val="00CA51BA"/>
    <w:rsid w:val="00CA582C"/>
    <w:rsid w:val="00CA5998"/>
    <w:rsid w:val="00CA6077"/>
    <w:rsid w:val="00CA715B"/>
    <w:rsid w:val="00CA7988"/>
    <w:rsid w:val="00CA7BA2"/>
    <w:rsid w:val="00CB0B78"/>
    <w:rsid w:val="00CB12A5"/>
    <w:rsid w:val="00CB17FA"/>
    <w:rsid w:val="00CB1D86"/>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6512"/>
    <w:rsid w:val="00CC76AA"/>
    <w:rsid w:val="00CC7A8C"/>
    <w:rsid w:val="00CC7CD2"/>
    <w:rsid w:val="00CD05CF"/>
    <w:rsid w:val="00CD06AB"/>
    <w:rsid w:val="00CD1FAE"/>
    <w:rsid w:val="00CD232F"/>
    <w:rsid w:val="00CD279E"/>
    <w:rsid w:val="00CD2986"/>
    <w:rsid w:val="00CD2F92"/>
    <w:rsid w:val="00CD3899"/>
    <w:rsid w:val="00CD4EB0"/>
    <w:rsid w:val="00CD512D"/>
    <w:rsid w:val="00CD5132"/>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FA7"/>
    <w:rsid w:val="00D05082"/>
    <w:rsid w:val="00D06163"/>
    <w:rsid w:val="00D076DC"/>
    <w:rsid w:val="00D07AFD"/>
    <w:rsid w:val="00D11749"/>
    <w:rsid w:val="00D121B2"/>
    <w:rsid w:val="00D12A7D"/>
    <w:rsid w:val="00D1351D"/>
    <w:rsid w:val="00D13AB0"/>
    <w:rsid w:val="00D1519E"/>
    <w:rsid w:val="00D152B7"/>
    <w:rsid w:val="00D16EDC"/>
    <w:rsid w:val="00D17B02"/>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BE3"/>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2355"/>
    <w:rsid w:val="00D75603"/>
    <w:rsid w:val="00D75FEE"/>
    <w:rsid w:val="00D76933"/>
    <w:rsid w:val="00D76D88"/>
    <w:rsid w:val="00D77CC9"/>
    <w:rsid w:val="00D8062C"/>
    <w:rsid w:val="00D83D4B"/>
    <w:rsid w:val="00D83F00"/>
    <w:rsid w:val="00D871C6"/>
    <w:rsid w:val="00D91010"/>
    <w:rsid w:val="00D92475"/>
    <w:rsid w:val="00D95294"/>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1AE"/>
    <w:rsid w:val="00DD2D92"/>
    <w:rsid w:val="00DD3026"/>
    <w:rsid w:val="00DD33DC"/>
    <w:rsid w:val="00DD3BB0"/>
    <w:rsid w:val="00DD4A46"/>
    <w:rsid w:val="00DD5968"/>
    <w:rsid w:val="00DD61F5"/>
    <w:rsid w:val="00DE2FC2"/>
    <w:rsid w:val="00DE3223"/>
    <w:rsid w:val="00DE64A6"/>
    <w:rsid w:val="00DE66EB"/>
    <w:rsid w:val="00DE7035"/>
    <w:rsid w:val="00DF12E3"/>
    <w:rsid w:val="00DF3F1D"/>
    <w:rsid w:val="00DF595C"/>
    <w:rsid w:val="00DF68FF"/>
    <w:rsid w:val="00DF7EA7"/>
    <w:rsid w:val="00E01EE7"/>
    <w:rsid w:val="00E02207"/>
    <w:rsid w:val="00E04548"/>
    <w:rsid w:val="00E0484E"/>
    <w:rsid w:val="00E063F8"/>
    <w:rsid w:val="00E079AF"/>
    <w:rsid w:val="00E07FB3"/>
    <w:rsid w:val="00E114D6"/>
    <w:rsid w:val="00E1166E"/>
    <w:rsid w:val="00E11DBD"/>
    <w:rsid w:val="00E13211"/>
    <w:rsid w:val="00E158FC"/>
    <w:rsid w:val="00E16A31"/>
    <w:rsid w:val="00E16FB5"/>
    <w:rsid w:val="00E177E9"/>
    <w:rsid w:val="00E179D6"/>
    <w:rsid w:val="00E21407"/>
    <w:rsid w:val="00E22668"/>
    <w:rsid w:val="00E227D3"/>
    <w:rsid w:val="00E22BFF"/>
    <w:rsid w:val="00E22CB0"/>
    <w:rsid w:val="00E23798"/>
    <w:rsid w:val="00E237AE"/>
    <w:rsid w:val="00E2585D"/>
    <w:rsid w:val="00E25DBD"/>
    <w:rsid w:val="00E25FA2"/>
    <w:rsid w:val="00E2723D"/>
    <w:rsid w:val="00E27C77"/>
    <w:rsid w:val="00E3179E"/>
    <w:rsid w:val="00E32AC9"/>
    <w:rsid w:val="00E34586"/>
    <w:rsid w:val="00E34E79"/>
    <w:rsid w:val="00E354DA"/>
    <w:rsid w:val="00E354F5"/>
    <w:rsid w:val="00E3687E"/>
    <w:rsid w:val="00E372DD"/>
    <w:rsid w:val="00E3767E"/>
    <w:rsid w:val="00E40974"/>
    <w:rsid w:val="00E40A5C"/>
    <w:rsid w:val="00E40AAB"/>
    <w:rsid w:val="00E41205"/>
    <w:rsid w:val="00E41F32"/>
    <w:rsid w:val="00E42608"/>
    <w:rsid w:val="00E4306C"/>
    <w:rsid w:val="00E43536"/>
    <w:rsid w:val="00E43DA3"/>
    <w:rsid w:val="00E44B80"/>
    <w:rsid w:val="00E47430"/>
    <w:rsid w:val="00E5016A"/>
    <w:rsid w:val="00E50FB7"/>
    <w:rsid w:val="00E514B2"/>
    <w:rsid w:val="00E5199F"/>
    <w:rsid w:val="00E526DF"/>
    <w:rsid w:val="00E53C15"/>
    <w:rsid w:val="00E54EE6"/>
    <w:rsid w:val="00E55F38"/>
    <w:rsid w:val="00E56715"/>
    <w:rsid w:val="00E56C2C"/>
    <w:rsid w:val="00E57773"/>
    <w:rsid w:val="00E57F8E"/>
    <w:rsid w:val="00E605FE"/>
    <w:rsid w:val="00E611C8"/>
    <w:rsid w:val="00E615A6"/>
    <w:rsid w:val="00E63256"/>
    <w:rsid w:val="00E6344A"/>
    <w:rsid w:val="00E64E69"/>
    <w:rsid w:val="00E64FB7"/>
    <w:rsid w:val="00E669A1"/>
    <w:rsid w:val="00E679BA"/>
    <w:rsid w:val="00E70243"/>
    <w:rsid w:val="00E7251F"/>
    <w:rsid w:val="00E72CC6"/>
    <w:rsid w:val="00E72F4F"/>
    <w:rsid w:val="00E73D44"/>
    <w:rsid w:val="00E7494A"/>
    <w:rsid w:val="00E74BE2"/>
    <w:rsid w:val="00E74C66"/>
    <w:rsid w:val="00E74FA2"/>
    <w:rsid w:val="00E75933"/>
    <w:rsid w:val="00E77A1B"/>
    <w:rsid w:val="00E77D7E"/>
    <w:rsid w:val="00E808BE"/>
    <w:rsid w:val="00E81E36"/>
    <w:rsid w:val="00E81E40"/>
    <w:rsid w:val="00E82ECE"/>
    <w:rsid w:val="00E8713B"/>
    <w:rsid w:val="00E90C61"/>
    <w:rsid w:val="00E91669"/>
    <w:rsid w:val="00E92A82"/>
    <w:rsid w:val="00E92AA8"/>
    <w:rsid w:val="00E9344E"/>
    <w:rsid w:val="00E93E39"/>
    <w:rsid w:val="00E94391"/>
    <w:rsid w:val="00E97E2B"/>
    <w:rsid w:val="00EA08CA"/>
    <w:rsid w:val="00EA0C0C"/>
    <w:rsid w:val="00EA2423"/>
    <w:rsid w:val="00EA2AEA"/>
    <w:rsid w:val="00EA332B"/>
    <w:rsid w:val="00EA3D36"/>
    <w:rsid w:val="00EA40AA"/>
    <w:rsid w:val="00EA57E2"/>
    <w:rsid w:val="00EA7186"/>
    <w:rsid w:val="00EB018B"/>
    <w:rsid w:val="00EB0957"/>
    <w:rsid w:val="00EB1003"/>
    <w:rsid w:val="00EB167E"/>
    <w:rsid w:val="00EB24ED"/>
    <w:rsid w:val="00EB2A00"/>
    <w:rsid w:val="00EB2A3F"/>
    <w:rsid w:val="00EB309B"/>
    <w:rsid w:val="00EB3AA2"/>
    <w:rsid w:val="00EB4763"/>
    <w:rsid w:val="00EB6CB7"/>
    <w:rsid w:val="00EC0623"/>
    <w:rsid w:val="00EC078B"/>
    <w:rsid w:val="00EC07A0"/>
    <w:rsid w:val="00EC08E4"/>
    <w:rsid w:val="00EC1A23"/>
    <w:rsid w:val="00EC3CB4"/>
    <w:rsid w:val="00EC443E"/>
    <w:rsid w:val="00EC4D83"/>
    <w:rsid w:val="00EC4EEE"/>
    <w:rsid w:val="00EC634F"/>
    <w:rsid w:val="00EC7B97"/>
    <w:rsid w:val="00ED049C"/>
    <w:rsid w:val="00ED07B7"/>
    <w:rsid w:val="00ED132B"/>
    <w:rsid w:val="00ED19D7"/>
    <w:rsid w:val="00ED2167"/>
    <w:rsid w:val="00ED351E"/>
    <w:rsid w:val="00ED3CB5"/>
    <w:rsid w:val="00ED4063"/>
    <w:rsid w:val="00ED472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3BD"/>
    <w:rsid w:val="00F10A54"/>
    <w:rsid w:val="00F10D35"/>
    <w:rsid w:val="00F123D0"/>
    <w:rsid w:val="00F127AB"/>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6FF7"/>
    <w:rsid w:val="00F377CD"/>
    <w:rsid w:val="00F3787A"/>
    <w:rsid w:val="00F40C3B"/>
    <w:rsid w:val="00F40CE0"/>
    <w:rsid w:val="00F420F2"/>
    <w:rsid w:val="00F42DBC"/>
    <w:rsid w:val="00F4308D"/>
    <w:rsid w:val="00F44012"/>
    <w:rsid w:val="00F44947"/>
    <w:rsid w:val="00F458EF"/>
    <w:rsid w:val="00F47121"/>
    <w:rsid w:val="00F4775D"/>
    <w:rsid w:val="00F504DD"/>
    <w:rsid w:val="00F50874"/>
    <w:rsid w:val="00F51510"/>
    <w:rsid w:val="00F516C6"/>
    <w:rsid w:val="00F52221"/>
    <w:rsid w:val="00F52B28"/>
    <w:rsid w:val="00F536BB"/>
    <w:rsid w:val="00F53755"/>
    <w:rsid w:val="00F53C5E"/>
    <w:rsid w:val="00F53E59"/>
    <w:rsid w:val="00F5475B"/>
    <w:rsid w:val="00F551CC"/>
    <w:rsid w:val="00F569E1"/>
    <w:rsid w:val="00F574D0"/>
    <w:rsid w:val="00F57BF3"/>
    <w:rsid w:val="00F6031F"/>
    <w:rsid w:val="00F61664"/>
    <w:rsid w:val="00F6190B"/>
    <w:rsid w:val="00F61B99"/>
    <w:rsid w:val="00F61BA8"/>
    <w:rsid w:val="00F64C45"/>
    <w:rsid w:val="00F6502B"/>
    <w:rsid w:val="00F65811"/>
    <w:rsid w:val="00F6612A"/>
    <w:rsid w:val="00F66724"/>
    <w:rsid w:val="00F670F8"/>
    <w:rsid w:val="00F67F04"/>
    <w:rsid w:val="00F70207"/>
    <w:rsid w:val="00F702CB"/>
    <w:rsid w:val="00F70F4A"/>
    <w:rsid w:val="00F71AC2"/>
    <w:rsid w:val="00F739D4"/>
    <w:rsid w:val="00F73B29"/>
    <w:rsid w:val="00F77D43"/>
    <w:rsid w:val="00F80953"/>
    <w:rsid w:val="00F81312"/>
    <w:rsid w:val="00F81B90"/>
    <w:rsid w:val="00F81E6F"/>
    <w:rsid w:val="00F823E6"/>
    <w:rsid w:val="00F82FF3"/>
    <w:rsid w:val="00F8453C"/>
    <w:rsid w:val="00F84D4C"/>
    <w:rsid w:val="00F8657D"/>
    <w:rsid w:val="00F8730F"/>
    <w:rsid w:val="00F87DA3"/>
    <w:rsid w:val="00F90004"/>
    <w:rsid w:val="00F90C01"/>
    <w:rsid w:val="00F90EF4"/>
    <w:rsid w:val="00F9109C"/>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64"/>
    <w:rsid w:val="00FA7EFB"/>
    <w:rsid w:val="00FB0816"/>
    <w:rsid w:val="00FB08C2"/>
    <w:rsid w:val="00FB283E"/>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C7E44"/>
    <w:rsid w:val="00FD0F60"/>
    <w:rsid w:val="00FD13EA"/>
    <w:rsid w:val="00FD5EC4"/>
    <w:rsid w:val="00FD7858"/>
    <w:rsid w:val="00FD7A8D"/>
    <w:rsid w:val="00FE1330"/>
    <w:rsid w:val="00FE1CE5"/>
    <w:rsid w:val="00FE2832"/>
    <w:rsid w:val="00FE2D38"/>
    <w:rsid w:val="00FE3929"/>
    <w:rsid w:val="00FF0635"/>
    <w:rsid w:val="00FF097B"/>
    <w:rsid w:val="00FF0B6E"/>
    <w:rsid w:val="00FF1C1B"/>
    <w:rsid w:val="00FF2067"/>
    <w:rsid w:val="00FF3984"/>
    <w:rsid w:val="00FF3BC4"/>
    <w:rsid w:val="00FF4B66"/>
    <w:rsid w:val="00FF613A"/>
    <w:rsid w:val="00FF688E"/>
    <w:rsid w:val="02432ED8"/>
    <w:rsid w:val="03A25A77"/>
    <w:rsid w:val="04F6BA5E"/>
    <w:rsid w:val="050988CC"/>
    <w:rsid w:val="0732C848"/>
    <w:rsid w:val="07BEF665"/>
    <w:rsid w:val="08FC924A"/>
    <w:rsid w:val="0AC6CB7A"/>
    <w:rsid w:val="0B0E83F5"/>
    <w:rsid w:val="0C9845AA"/>
    <w:rsid w:val="0CE83E33"/>
    <w:rsid w:val="0F4C01FA"/>
    <w:rsid w:val="109351DE"/>
    <w:rsid w:val="113AC7C3"/>
    <w:rsid w:val="1242389D"/>
    <w:rsid w:val="13A65D76"/>
    <w:rsid w:val="15B5BF6B"/>
    <w:rsid w:val="170446B0"/>
    <w:rsid w:val="18655FF5"/>
    <w:rsid w:val="1B3F0018"/>
    <w:rsid w:val="1C6AB694"/>
    <w:rsid w:val="1D6FF1C7"/>
    <w:rsid w:val="1D928527"/>
    <w:rsid w:val="21873867"/>
    <w:rsid w:val="2369DB4F"/>
    <w:rsid w:val="24A77734"/>
    <w:rsid w:val="24ADD028"/>
    <w:rsid w:val="24EBAD66"/>
    <w:rsid w:val="254C5D74"/>
    <w:rsid w:val="256015E2"/>
    <w:rsid w:val="26DB20E3"/>
    <w:rsid w:val="28EDDDE3"/>
    <w:rsid w:val="29640AC0"/>
    <w:rsid w:val="2B51C9E3"/>
    <w:rsid w:val="2E3B62D3"/>
    <w:rsid w:val="30721E80"/>
    <w:rsid w:val="308C102B"/>
    <w:rsid w:val="320D08ED"/>
    <w:rsid w:val="33108EBA"/>
    <w:rsid w:val="3364AAA1"/>
    <w:rsid w:val="340D0892"/>
    <w:rsid w:val="3A5F587B"/>
    <w:rsid w:val="3BFA4C74"/>
    <w:rsid w:val="3CC2C222"/>
    <w:rsid w:val="3CCDAFA9"/>
    <w:rsid w:val="3DE124B7"/>
    <w:rsid w:val="4172FEE1"/>
    <w:rsid w:val="45E5F3D3"/>
    <w:rsid w:val="49D79204"/>
    <w:rsid w:val="4A344E83"/>
    <w:rsid w:val="4ABDD7CB"/>
    <w:rsid w:val="4C1EC9D2"/>
    <w:rsid w:val="51CF84F8"/>
    <w:rsid w:val="527EAB0B"/>
    <w:rsid w:val="5628FEF4"/>
    <w:rsid w:val="56588C2C"/>
    <w:rsid w:val="57030EB1"/>
    <w:rsid w:val="57D50E0D"/>
    <w:rsid w:val="597F24E8"/>
    <w:rsid w:val="5A96654C"/>
    <w:rsid w:val="5ACD2AE0"/>
    <w:rsid w:val="5CB1B0D6"/>
    <w:rsid w:val="5CBE2650"/>
    <w:rsid w:val="5D100C90"/>
    <w:rsid w:val="5DA4617F"/>
    <w:rsid w:val="6074A03C"/>
    <w:rsid w:val="60C02D88"/>
    <w:rsid w:val="60E8DD6E"/>
    <w:rsid w:val="614EC10C"/>
    <w:rsid w:val="61714CE5"/>
    <w:rsid w:val="61E19783"/>
    <w:rsid w:val="62B62232"/>
    <w:rsid w:val="62E79C04"/>
    <w:rsid w:val="6323B4E1"/>
    <w:rsid w:val="64DC3985"/>
    <w:rsid w:val="6534C81F"/>
    <w:rsid w:val="65BFE4FE"/>
    <w:rsid w:val="6613CEFE"/>
    <w:rsid w:val="66DABCB9"/>
    <w:rsid w:val="67BBBACA"/>
    <w:rsid w:val="685B5FE0"/>
    <w:rsid w:val="69785717"/>
    <w:rsid w:val="69A699B4"/>
    <w:rsid w:val="6B951017"/>
    <w:rsid w:val="721AB665"/>
    <w:rsid w:val="745C7C3F"/>
    <w:rsid w:val="76FC964C"/>
    <w:rsid w:val="77E5D05F"/>
    <w:rsid w:val="795DF18A"/>
    <w:rsid w:val="7A06639F"/>
    <w:rsid w:val="7A0CC826"/>
    <w:rsid w:val="7A2E89B6"/>
    <w:rsid w:val="7D204978"/>
    <w:rsid w:val="7DA217FA"/>
    <w:rsid w:val="7DDA3F60"/>
    <w:rsid w:val="7EFF88D5"/>
    <w:rsid w:val="7F81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3331A2"/>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uiPriority w:val="99"/>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177C6B"/>
    <w:pPr>
      <w:numPr>
        <w:numId w:val="37"/>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177C6B"/>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3338463">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726040586B4EBC12B7042CB46395" ma:contentTypeVersion="1" ma:contentTypeDescription="Create a new document." ma:contentTypeScope="" ma:versionID="3b037417261bf21ddb342801baeb2bb8">
  <xsd:schema xmlns:xsd="http://www.w3.org/2001/XMLSchema" xmlns:xs="http://www.w3.org/2001/XMLSchema" xmlns:p="http://schemas.microsoft.com/office/2006/metadata/properties" xmlns:ns2="4c119b54-b179-4042-8c3d-45642ab9a73a" targetNamespace="http://schemas.microsoft.com/office/2006/metadata/properties" ma:root="true" ma:fieldsID="4151fc38dcc1a5297652f5ed9e5f838e" ns2:_="">
    <xsd:import namespace="4c119b54-b179-4042-8c3d-45642ab9a73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19b54-b179-4042-8c3d-45642ab9a7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119b54-b179-4042-8c3d-45642ab9a73a">
      <UserInfo>
        <DisplayName>Marcus Knappe</DisplayName>
        <AccountId>1019</AccountId>
        <AccountType/>
      </UserInfo>
      <UserInfo>
        <DisplayName>Adam Olszewski</DisplayName>
        <AccountId>152</AccountId>
        <AccountType/>
      </UserInfo>
      <UserInfo>
        <DisplayName>Kay Schaefer</DisplayName>
        <AccountId>76</AccountId>
        <AccountType/>
      </UserInfo>
      <UserInfo>
        <DisplayName>Claire Bravard</DisplayName>
        <AccountId>246</AccountId>
        <AccountType/>
      </UserInfo>
      <UserInfo>
        <DisplayName>Viktoria Hackenberg</DisplayName>
        <AccountId>323</AccountId>
        <AccountType/>
      </UserInfo>
      <UserInfo>
        <DisplayName>Andreas Schmidt</DisplayName>
        <AccountId>274</AccountId>
        <AccountType/>
      </UserInfo>
      <UserInfo>
        <DisplayName>Julian Wagner</DisplayName>
        <AccountId>1020</AccountId>
        <AccountType/>
      </UserInfo>
      <UserInfo>
        <DisplayName>Nida Waseem</DisplayName>
        <AccountId>1021</AccountId>
        <AccountType/>
      </UserInfo>
      <UserInfo>
        <DisplayName>Rainer Gallei</DisplayName>
        <AccountId>970</AccountId>
        <AccountType/>
      </UserInfo>
      <UserInfo>
        <DisplayName>Wolfgang von Rintelen</DisplayName>
        <AccountId>1022</AccountId>
        <AccountType/>
      </UserInfo>
      <UserInfo>
        <DisplayName>Hannes Hauenschild</DisplayName>
        <AccountId>592</AccountId>
        <AccountType/>
      </UserInfo>
    </SharedWithUsers>
  </documentManagement>
</p:properti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veDkzNjwvVXNlck5hbWU+PERhdGVUaW1lPjEwLzI2LzIwMjAgOToyNjoyNiBBTTwvRGF0ZVRpbWU+PExhYmVsU3RyaW5nPkludGVybmFsPC9MYWJlbFN0cmluZz48L2l0ZW0+PC9sYWJlbEhpc3Rvcnk+</Value>
</WrappedLabelHistor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2FC1-657F-48EC-A47A-8EB48546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19b54-b179-4042-8c3d-45642ab9a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4c119b54-b179-4042-8c3d-45642ab9a7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022289-B30A-4D35-B99D-2C463553A8B1}">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E3188FC-5CA9-4D0B-951D-F4112AC6DE97}">
  <ds:schemaRefs>
    <ds:schemaRef ds:uri="http://schemas.openxmlformats.org/officeDocument/2006/bibliography"/>
  </ds:schemaRefs>
</ds:datastoreItem>
</file>

<file path=customXml/itemProps6.xml><?xml version="1.0" encoding="utf-8"?>
<ds:datastoreItem xmlns:ds="http://schemas.openxmlformats.org/officeDocument/2006/customXml" ds:itemID="{23FD0E3A-EE9A-400A-8ECF-49E5EEFB0B2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963E8235-2040-4F9F-B9E9-DD075C95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6039</Words>
  <Characters>31683</Characters>
  <Application>Microsoft Office Word</Application>
  <DocSecurity>0</DocSecurity>
  <Lines>264</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Reply form for the TR portability CP under EMIR</vt:lpstr>
      <vt:lpstr>Reply form for the TR portability CP under EMIR</vt:lpstr>
    </vt:vector>
  </TitlesOfParts>
  <Company>ESMA</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Stefan Kowanda</cp:lastModifiedBy>
  <cp:revision>4</cp:revision>
  <cp:lastPrinted>2015-02-18T11:01:00Z</cp:lastPrinted>
  <dcterms:created xsi:type="dcterms:W3CDTF">2020-11-13T07:38:00Z</dcterms:created>
  <dcterms:modified xsi:type="dcterms:W3CDTF">2020-11-13T10:43:00Z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0x010100DF32726040586B4EBC12B7042CB46395</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279;#EMIR 2.2|4df16084-2afe-4fff-a8ff-88ac73e94787</vt:lpwstr>
  </property>
  <property fmtid="{D5CDD505-2E9C-101B-9397-08002B2CF9AE}" pid="6" name="SubTopic">
    <vt:lpwstr/>
  </property>
  <property fmtid="{D5CDD505-2E9C-101B-9397-08002B2CF9AE}" pid="7" name="DocumentType">
    <vt:lpwstr>223;#Questionnaire|a849d609-a31c-415e-a1a8-503bcc16b083</vt:lpwstr>
  </property>
  <property fmtid="{D5CDD505-2E9C-101B-9397-08002B2CF9AE}" pid="8" name="ConfidentialityLevel">
    <vt:lpwstr>25;#Public|a0c619ff-bd46-48f0-b213-6b7c03fe156d</vt:lpwstr>
  </property>
  <property fmtid="{D5CDD505-2E9C-101B-9397-08002B2CF9AE}" pid="9" name="_dlc_DocIdItemGuid">
    <vt:lpwstr>22137881-440c-4f10-9eec-bc3f9f044cb7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docIndexRef">
    <vt:lpwstr>13312acb-1a74-4871-9693-2b0c12307f50</vt:lpwstr>
  </property>
  <property fmtid="{D5CDD505-2E9C-101B-9397-08002B2CF9AE}" pid="17" name="bjSaver">
    <vt:lpwstr>U2Uf14sCco0ushUmJ9OJoy7jd2GfauZD</vt:lpwstr>
  </property>
  <property fmtid="{D5CDD505-2E9C-101B-9397-08002B2CF9AE}" pid="18"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19" name="bjDocumentLabelXML-0">
    <vt:lpwstr>ames.com/2008/01/sie/internal/label"&gt;&lt;element uid="id_classification_internalonly" value="" /&gt;&lt;/sisl&gt;</vt:lpwstr>
  </property>
  <property fmtid="{D5CDD505-2E9C-101B-9397-08002B2CF9AE}" pid="20" name="bjDocumentSecurityLabel">
    <vt:lpwstr>Internal</vt:lpwstr>
  </property>
  <property fmtid="{D5CDD505-2E9C-101B-9397-08002B2CF9AE}" pid="21" name="DBG_Classification_ID">
    <vt:lpwstr>2</vt:lpwstr>
  </property>
  <property fmtid="{D5CDD505-2E9C-101B-9397-08002B2CF9AE}" pid="22" name="DBG_Classification_Name">
    <vt:lpwstr>Internal</vt:lpwstr>
  </property>
  <property fmtid="{D5CDD505-2E9C-101B-9397-08002B2CF9AE}" pid="23" name="bjLabelHistoryID">
    <vt:lpwstr>{5B022289-B30A-4D35-B99D-2C463553A8B1}</vt:lpwstr>
  </property>
</Properties>
</file>