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65D354D9" w:rsidR="00C2094B" w:rsidRPr="00F10D35" w:rsidRDefault="008C1A51" w:rsidP="00AF38AF">
            <w:pPr>
              <w:pStyle w:val="00bDBInfo"/>
              <w:rPr>
                <w:rFonts w:cs="Arial"/>
              </w:rPr>
            </w:pPr>
            <w:r>
              <w:rPr>
                <w:rFonts w:cs="Arial"/>
              </w:rPr>
              <w:t>23</w:t>
            </w:r>
            <w:r w:rsidR="004E477A">
              <w:rPr>
                <w:rFonts w:cs="Arial"/>
              </w:rPr>
              <w:t xml:space="preserve"> October</w:t>
            </w:r>
            <w:r w:rsidR="002C27F9">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79BF7DE6"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RTS</w:t>
            </w:r>
            <w:r w:rsidRPr="00146A6C">
              <w:rPr>
                <w:rFonts w:cs="Arial"/>
                <w:sz w:val="32"/>
                <w:szCs w:val="32"/>
              </w:rPr>
              <w:t xml:space="preserve"> on conditions under which additional services or activities to which a CCP wishes to extend its business are not covered by the initial authorisation</w:t>
            </w:r>
            <w:r w:rsidRPr="00146A6C">
              <w:rPr>
                <w:sz w:val="32"/>
                <w:szCs w:val="32"/>
              </w:rPr>
              <w:t xml:space="preserve"> and </w:t>
            </w:r>
            <w:r w:rsidRPr="00146A6C">
              <w:rPr>
                <w:rFonts w:cs="Arial"/>
                <w:sz w:val="32"/>
                <w:szCs w:val="32"/>
              </w:rPr>
              <w:t>conditions under which changes to the models and parameters are significant under EMIR</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1BD57DD0" w:rsidR="00620D7C" w:rsidRPr="004E49B0" w:rsidRDefault="00620D7C" w:rsidP="00F10D35">
            <w:pPr>
              <w:pStyle w:val="02Date"/>
              <w:rPr>
                <w:rFonts w:cs="Arial"/>
              </w:rPr>
            </w:pPr>
            <w:r w:rsidRPr="00F10D35">
              <w:rPr>
                <w:rFonts w:cs="Arial"/>
              </w:rPr>
              <w:lastRenderedPageBreak/>
              <w:t xml:space="preserve">Date: </w:t>
            </w:r>
            <w:r w:rsidR="008C1A51">
              <w:rPr>
                <w:rFonts w:cs="Arial"/>
              </w:rPr>
              <w:t>23 October</w:t>
            </w:r>
            <w:r w:rsidR="002C27F9">
              <w:rPr>
                <w:rFonts w:cs="Arial"/>
              </w:rPr>
              <w:t xml:space="preserve"> </w:t>
            </w:r>
            <w:r w:rsidR="005738DE" w:rsidRPr="00F10D35">
              <w:rPr>
                <w:rFonts w:cs="Arial"/>
              </w:rPr>
              <w:t>20</w:t>
            </w:r>
            <w:r w:rsidR="002C27F9">
              <w:rPr>
                <w:rFonts w:cs="Arial"/>
              </w:rPr>
              <w:t>20</w:t>
            </w:r>
          </w:p>
        </w:tc>
      </w:tr>
    </w:tbl>
    <w:p w14:paraId="36802041"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62258B" w14:textId="40A9CB1D" w:rsidR="006301E3" w:rsidRPr="009147F5" w:rsidRDefault="009A3017" w:rsidP="006301E3">
      <w:pPr>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00EF5FB9" w:rsidRPr="009147F5">
        <w:rPr>
          <w:rStyle w:val="SubtleEmphasis"/>
          <w:b w:val="0"/>
          <w:sz w:val="22"/>
        </w:rPr>
        <w:t xml:space="preserve">Consultation Paper </w:t>
      </w:r>
      <w:r w:rsidR="00014A67" w:rsidRPr="009147F5">
        <w:rPr>
          <w:rStyle w:val="SubtleEmphasis"/>
          <w:b w:val="0"/>
          <w:sz w:val="22"/>
        </w:rPr>
        <w:t xml:space="preserve">on </w:t>
      </w:r>
      <w:r w:rsidR="009147F5" w:rsidRPr="009147F5">
        <w:rPr>
          <w:rStyle w:val="SubtleEmphasis"/>
          <w:b w:val="0"/>
          <w:sz w:val="22"/>
        </w:rPr>
        <w:t>RTS on conditions under which additional services or activities to which a CCP wishes to extend its business are not covered by the initial authorisation and conditions under which changes to the models and parameters are significant under EMIR.</w:t>
      </w:r>
    </w:p>
    <w:p w14:paraId="0C472DBA" w14:textId="77777777" w:rsidR="006301E3" w:rsidRDefault="006301E3" w:rsidP="006301E3">
      <w:pPr>
        <w:jc w:val="both"/>
        <w:rPr>
          <w:rStyle w:val="SubtleEmphasis"/>
          <w:b w:val="0"/>
          <w:sz w:val="22"/>
        </w:rPr>
      </w:pPr>
    </w:p>
    <w:p w14:paraId="21B1DF29" w14:textId="77777777" w:rsidR="009A3017" w:rsidRDefault="009A3017" w:rsidP="006301E3">
      <w:pPr>
        <w:jc w:val="both"/>
        <w:rPr>
          <w:rStyle w:val="SubtleEmphasis"/>
          <w:b w:val="0"/>
          <w:sz w:val="22"/>
        </w:rPr>
      </w:pPr>
      <w:r w:rsidRPr="00E40A5C">
        <w:rPr>
          <w:rStyle w:val="SubtleEmphasis"/>
          <w:b w:val="0"/>
          <w:sz w:val="22"/>
        </w:rPr>
        <w:t>Responses are most helpful if they:</w:t>
      </w:r>
    </w:p>
    <w:p w14:paraId="3FCAF047" w14:textId="77777777" w:rsidR="00AF38AF" w:rsidRPr="00E40A5C" w:rsidRDefault="00AF38AF" w:rsidP="00AF38AF">
      <w:pPr>
        <w:rPr>
          <w:rStyle w:val="SubtleEmphasis"/>
          <w:b w:val="0"/>
          <w:sz w:val="22"/>
        </w:rPr>
      </w:pPr>
    </w:p>
    <w:p w14:paraId="67709919" w14:textId="77777777" w:rsidR="009A3017" w:rsidRPr="00E40A5C" w:rsidRDefault="009A3017" w:rsidP="00F202D5">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65AE54F5" w14:textId="77777777" w:rsidR="009A3017" w:rsidRPr="00E40A5C" w:rsidRDefault="009A3017" w:rsidP="00F202D5">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6BFE2506" w14:textId="77777777" w:rsidR="009A3017" w:rsidRPr="00E40A5C" w:rsidRDefault="009A3017" w:rsidP="00F202D5">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0FDF5836" w14:textId="1743C066"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6301E3">
        <w:rPr>
          <w:rStyle w:val="SubtleEmphasis"/>
          <w:b w:val="0"/>
          <w:sz w:val="22"/>
        </w:rPr>
        <w:t xml:space="preserve">by </w:t>
      </w:r>
      <w:r w:rsidR="00014A67" w:rsidRPr="00014A67">
        <w:rPr>
          <w:rStyle w:val="SubtleEmphasis"/>
          <w:bCs/>
          <w:sz w:val="22"/>
        </w:rPr>
        <w:t>1</w:t>
      </w:r>
      <w:r w:rsidR="008C1A51">
        <w:rPr>
          <w:rStyle w:val="SubtleEmphasis"/>
          <w:bCs/>
          <w:sz w:val="22"/>
        </w:rPr>
        <w:t>6</w:t>
      </w:r>
      <w:r w:rsidR="00014A67" w:rsidRPr="00014A67">
        <w:rPr>
          <w:rStyle w:val="SubtleEmphasis"/>
          <w:bCs/>
          <w:sz w:val="22"/>
        </w:rPr>
        <w:t xml:space="preserve"> </w:t>
      </w:r>
      <w:r w:rsidR="009744FD">
        <w:rPr>
          <w:rStyle w:val="SubtleEmphasis"/>
          <w:bCs/>
          <w:sz w:val="22"/>
        </w:rPr>
        <w:t>November</w:t>
      </w:r>
      <w:r w:rsidR="00014A67" w:rsidRPr="00014A67">
        <w:rPr>
          <w:rStyle w:val="SubtleEmphasis"/>
          <w:bCs/>
          <w:sz w:val="22"/>
        </w:rPr>
        <w:t xml:space="preserve"> 2020</w:t>
      </w:r>
      <w:r w:rsidRPr="006301E3">
        <w:rPr>
          <w:rStyle w:val="SubtleEmphasis"/>
          <w:b w:val="0"/>
          <w:sz w:val="22"/>
        </w:rPr>
        <w:t>.</w:t>
      </w:r>
    </w:p>
    <w:p w14:paraId="0647BB01"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08DDCF5D"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4068C687" w14:textId="77777777" w:rsidR="009A3017" w:rsidRPr="00E40A5C" w:rsidRDefault="009A3017" w:rsidP="00F202D5">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0E94F52C" w14:textId="109C9CE6" w:rsidR="009A3017" w:rsidRPr="00E40A5C" w:rsidRDefault="009A3017" w:rsidP="00F202D5">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106124">
        <w:rPr>
          <w:rStyle w:val="SubtleEmphasis"/>
          <w:b w:val="0"/>
          <w:sz w:val="22"/>
        </w:rPr>
        <w:t>RTS1549</w:t>
      </w:r>
      <w:r w:rsidRPr="00E40A5C">
        <w:rPr>
          <w:rStyle w:val="SubtleEmphasis"/>
          <w:b w:val="0"/>
          <w:sz w:val="22"/>
        </w:rPr>
        <w:t>_1&gt;. Your response to each question has to be framed by the two tags corresponding to the question.</w:t>
      </w:r>
    </w:p>
    <w:p w14:paraId="038E6172" w14:textId="77777777" w:rsidR="009A3017" w:rsidRPr="00E40A5C" w:rsidRDefault="009A3017" w:rsidP="00F202D5">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083CF855" w14:textId="11838559" w:rsidR="009A3017" w:rsidRPr="00E40A5C" w:rsidRDefault="009A3017" w:rsidP="00F202D5">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9744FD">
        <w:rPr>
          <w:rStyle w:val="SubtleEmphasis"/>
          <w:b w:val="0"/>
          <w:sz w:val="22"/>
        </w:rPr>
        <w:t>RTS1549</w:t>
      </w:r>
      <w:r w:rsidRPr="00E40A5C">
        <w:rPr>
          <w:rStyle w:val="SubtleEmphasis"/>
          <w:b w:val="0"/>
          <w:sz w:val="22"/>
        </w:rPr>
        <w:t>_nameofrespondent_RESPONSEFORM. For example, for a respondent named ABCD, the response form would be entitled ESMA_</w:t>
      </w:r>
      <w:r w:rsidR="009744FD">
        <w:rPr>
          <w:rStyle w:val="SubtleEmphasis"/>
          <w:b w:val="0"/>
          <w:sz w:val="22"/>
        </w:rPr>
        <w:t>RTS1549</w:t>
      </w:r>
      <w:r w:rsidRPr="00E40A5C">
        <w:rPr>
          <w:rStyle w:val="SubtleEmphasis"/>
          <w:b w:val="0"/>
          <w:sz w:val="22"/>
        </w:rPr>
        <w:t>_ABCD_RESPONSEFORM.</w:t>
      </w:r>
    </w:p>
    <w:p w14:paraId="260F84E9" w14:textId="15E50178" w:rsidR="009A3017" w:rsidRPr="00E40A5C" w:rsidRDefault="009A3017" w:rsidP="00F202D5">
      <w:pPr>
        <w:pStyle w:val="ListParagraph"/>
        <w:numPr>
          <w:ilvl w:val="0"/>
          <w:numId w:val="36"/>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5"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p>
    <w:p w14:paraId="3C6AA2AE"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61EFC45A"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t>
      </w:r>
      <w:r w:rsidRPr="00E40A5C">
        <w:rPr>
          <w:rStyle w:val="SubtleEmphasis"/>
          <w:b w:val="0"/>
          <w:sz w:val="22"/>
          <w:lang w:eastAsia="en-GB"/>
        </w:rPr>
        <w:lastRenderedPageBreak/>
        <w:t>We may consult you if we receive such a request. Any decision we make not to disclose the response is reviewable by ESMA’s Board of Appeal and the European Ombudsman.</w:t>
      </w:r>
    </w:p>
    <w:p w14:paraId="464C940D"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02D88B05"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6"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4859FF8E"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3FADC208" w14:textId="5C399265" w:rsidR="00332304" w:rsidRPr="001021EF" w:rsidRDefault="006301E3" w:rsidP="001021EF">
      <w:pPr>
        <w:spacing w:after="240"/>
        <w:jc w:val="both"/>
        <w:rPr>
          <w:b/>
          <w:bCs/>
        </w:rPr>
      </w:pPr>
      <w:r w:rsidRPr="001021EF">
        <w:rPr>
          <w:rStyle w:val="SubtleEmphasis"/>
          <w:b w:val="0"/>
          <w:bCs/>
          <w:sz w:val="22"/>
          <w:lang w:eastAsia="en-GB"/>
        </w:rPr>
        <w:t>All interested stakeholders are invited to respond to this consultation paper. In particular, responses are sought from central counterparties (CCPs) and clearing members.</w:t>
      </w:r>
      <w:r w:rsidRPr="001021EF">
        <w:rPr>
          <w:b/>
          <w:bCs/>
        </w:rPr>
        <w:t xml:space="preserve"> </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permStart w:id="1776972646" w:edGrp="everyone" w:colFirst="1" w:colLast="1"/>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23C2C921"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1407811244" w:edGrp="everyone" w:colFirst="1" w:colLast="1"/>
            <w:permEnd w:id="1776972646"/>
            <w:r w:rsidRPr="00E40A5C">
              <w:rPr>
                <w:rFonts w:cs="Arial"/>
                <w:sz w:val="22"/>
              </w:rPr>
              <w:t>Activity</w:t>
            </w:r>
          </w:p>
        </w:tc>
        <w:tc>
          <w:tcPr>
            <w:tcW w:w="5595" w:type="dxa"/>
            <w:shd w:val="clear" w:color="auto" w:fill="auto"/>
          </w:tcPr>
          <w:p w14:paraId="163BBF3B" w14:textId="77777777" w:rsidR="00B327E9" w:rsidRPr="00AB6D88" w:rsidRDefault="000022DA"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permStart w:id="451107209" w:edGrp="everyone" w:colFirst="1" w:colLast="1"/>
            <w:permEnd w:id="1407811244"/>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permStart w:id="1039544714" w:edGrp="everyone" w:colFirst="1" w:colLast="1"/>
            <w:permEnd w:id="451107209"/>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1F5D6D4" w14:textId="77777777" w:rsidR="00B327E9" w:rsidRPr="00AB6D88" w:rsidRDefault="00B327E9" w:rsidP="00F136AD">
                <w:pPr>
                  <w:rPr>
                    <w:rFonts w:cs="Arial"/>
                  </w:rPr>
                </w:pPr>
                <w:r w:rsidRPr="00AB6D88">
                  <w:rPr>
                    <w:rStyle w:val="PlaceholderText"/>
                    <w:rFonts w:cs="Arial"/>
                  </w:rPr>
                  <w:t>Choose an item.</w:t>
                </w:r>
              </w:p>
            </w:tc>
          </w:sdtContent>
        </w:sdt>
      </w:tr>
      <w:permEnd w:id="1039544714"/>
    </w:tbl>
    <w:p w14:paraId="48174611" w14:textId="77777777" w:rsidR="00B327E9" w:rsidRDefault="00B327E9" w:rsidP="00B327E9">
      <w:pPr>
        <w:spacing w:after="120" w:line="264" w:lineRule="auto"/>
      </w:pPr>
    </w:p>
    <w:p w14:paraId="3FE7D92F" w14:textId="77777777" w:rsidR="00B327E9" w:rsidRDefault="00B327E9" w:rsidP="00B327E9">
      <w:pPr>
        <w:pStyle w:val="Heading1"/>
        <w:numPr>
          <w:ilvl w:val="0"/>
          <w:numId w:val="0"/>
        </w:numPr>
        <w:ind w:left="431" w:hanging="431"/>
      </w:pPr>
      <w:r>
        <w:t>Introduction</w:t>
      </w:r>
    </w:p>
    <w:p w14:paraId="3C83C634"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B327E9"/>
    <w:p w14:paraId="06351DAC" w14:textId="70B8A915" w:rsidR="00B327E9" w:rsidRPr="006F4535" w:rsidRDefault="00B327E9" w:rsidP="00B327E9">
      <w:r w:rsidRPr="006F4535">
        <w:t>&lt;ESMA_COMMENT_</w:t>
      </w:r>
      <w:r w:rsidR="00106124">
        <w:rPr>
          <w:rFonts w:cs="Arial"/>
        </w:rPr>
        <w:t>RTS1549</w:t>
      </w:r>
      <w:r w:rsidRPr="006F4535">
        <w:t>_1&gt;</w:t>
      </w:r>
    </w:p>
    <w:p w14:paraId="47D036B0" w14:textId="77777777" w:rsidR="00F202D5" w:rsidRPr="00477C67" w:rsidRDefault="00F202D5" w:rsidP="00F202D5">
      <w:pPr>
        <w:jc w:val="both"/>
        <w:rPr>
          <w:rFonts w:ascii="Ebrima" w:eastAsia="Calibri" w:hAnsi="Ebrima"/>
        </w:rPr>
      </w:pPr>
      <w:r w:rsidRPr="00477C67">
        <w:rPr>
          <w:rFonts w:ascii="Ebrima" w:eastAsia="Calibri" w:hAnsi="Ebrima"/>
        </w:rPr>
        <w:t xml:space="preserve">The European Association of CCP Clearing Houses (EACH) represents the interests of Central Counterparties (CCPs) in Europe since 1992. CCPs are financial market infrastructures that significantly contribute to safer, more efficient and transparent global financial markets. EACH currently has 19 Members from 15 different European countries. EACH is registered in the European Union Transparency Register with number 36897011311-96. </w:t>
      </w:r>
    </w:p>
    <w:p w14:paraId="19CEDDC6" w14:textId="77777777" w:rsidR="00F202D5" w:rsidRDefault="00F202D5" w:rsidP="00F202D5">
      <w:pPr>
        <w:jc w:val="both"/>
        <w:rPr>
          <w:rFonts w:ascii="Ebrima" w:eastAsia="Calibri" w:hAnsi="Ebrima"/>
        </w:rPr>
      </w:pPr>
    </w:p>
    <w:p w14:paraId="301EB49F" w14:textId="77777777" w:rsidR="00F202D5" w:rsidRPr="00477C67" w:rsidRDefault="00F202D5" w:rsidP="00F202D5">
      <w:pPr>
        <w:jc w:val="both"/>
        <w:rPr>
          <w:rFonts w:ascii="Ebrima" w:eastAsia="Calibri" w:hAnsi="Ebrima"/>
        </w:rPr>
      </w:pPr>
      <w:r w:rsidRPr="00477C67">
        <w:rPr>
          <w:rFonts w:ascii="Ebrima" w:eastAsia="Calibri" w:hAnsi="Ebrima"/>
        </w:rPr>
        <w:t>EACH appreciates the opportunity to provide feedback to the ESMA consultation paper ‘Regulatory technical standards on conditions under which additional services or activities to which a CCP wishes to extend its business are not covered by the initial authorisation and conditions under which changes to the models and parameters are significant under EMIR’</w:t>
      </w:r>
      <w:r>
        <w:rPr>
          <w:rStyle w:val="FootnoteReference"/>
          <w:rFonts w:ascii="Ebrima" w:eastAsia="Calibri" w:hAnsi="Ebrima"/>
        </w:rPr>
        <w:footnoteReference w:id="2"/>
      </w:r>
      <w:r w:rsidRPr="00477C67">
        <w:rPr>
          <w:rFonts w:ascii="Ebrima" w:eastAsia="Calibri" w:hAnsi="Ebrima"/>
        </w:rPr>
        <w:t xml:space="preserve">. </w:t>
      </w:r>
    </w:p>
    <w:p w14:paraId="2503FA60" w14:textId="77777777" w:rsidR="00F202D5" w:rsidRDefault="00F202D5" w:rsidP="00F202D5">
      <w:pPr>
        <w:jc w:val="both"/>
        <w:rPr>
          <w:rFonts w:ascii="Ebrima" w:eastAsia="Calibri" w:hAnsi="Ebrima"/>
        </w:rPr>
      </w:pPr>
    </w:p>
    <w:p w14:paraId="24A8FAB6" w14:textId="77777777" w:rsidR="00F202D5" w:rsidRDefault="00F202D5" w:rsidP="00F202D5">
      <w:pPr>
        <w:jc w:val="both"/>
        <w:rPr>
          <w:rFonts w:ascii="Ebrima" w:eastAsia="Calibri" w:hAnsi="Ebrima"/>
        </w:rPr>
      </w:pPr>
      <w:r w:rsidRPr="00477C67">
        <w:rPr>
          <w:rFonts w:ascii="Ebrima" w:eastAsia="Calibri" w:hAnsi="Ebrima"/>
        </w:rPr>
        <w:t xml:space="preserve">While in the rest of this document we include responses to the specific questions listed in the consultation document, we would like to stress the following </w:t>
      </w:r>
      <w:r>
        <w:rPr>
          <w:rFonts w:ascii="Ebrima" w:eastAsia="Calibri" w:hAnsi="Ebrima"/>
        </w:rPr>
        <w:t>concerns we have with the proposed approach which are common to both Article 15 and Article 49</w:t>
      </w:r>
      <w:r w:rsidRPr="00477C67">
        <w:rPr>
          <w:rFonts w:ascii="Ebrima" w:eastAsia="Calibri" w:hAnsi="Ebrima"/>
        </w:rPr>
        <w:t>:</w:t>
      </w:r>
    </w:p>
    <w:p w14:paraId="01A6D6B0" w14:textId="77777777" w:rsidR="00F202D5" w:rsidRPr="00477C67" w:rsidRDefault="00F202D5" w:rsidP="00F202D5">
      <w:pPr>
        <w:ind w:left="714"/>
        <w:jc w:val="both"/>
        <w:rPr>
          <w:rFonts w:ascii="Ebrima" w:hAnsi="Ebrima"/>
          <w:b/>
          <w:bCs/>
        </w:rPr>
      </w:pPr>
    </w:p>
    <w:p w14:paraId="7886C4BF" w14:textId="77777777" w:rsidR="00F202D5" w:rsidRPr="00700521" w:rsidRDefault="00F202D5" w:rsidP="00F202D5">
      <w:pPr>
        <w:numPr>
          <w:ilvl w:val="0"/>
          <w:numId w:val="40"/>
        </w:numPr>
        <w:contextualSpacing/>
        <w:jc w:val="both"/>
        <w:rPr>
          <w:rFonts w:ascii="Ebrima" w:hAnsi="Ebrima"/>
        </w:rPr>
      </w:pPr>
      <w:r w:rsidRPr="00B95049">
        <w:rPr>
          <w:rFonts w:ascii="Ebrima" w:eastAsia="Calibri" w:hAnsi="Ebrima"/>
          <w:b/>
          <w:bCs/>
        </w:rPr>
        <w:t>Complexity of the proposed approach</w:t>
      </w:r>
      <w:r w:rsidRPr="00700521">
        <w:rPr>
          <w:rFonts w:ascii="Ebrima" w:eastAsia="Calibri" w:hAnsi="Ebrima"/>
        </w:rPr>
        <w:t xml:space="preserve"> – </w:t>
      </w:r>
      <w:r w:rsidRPr="00B95049">
        <w:rPr>
          <w:rFonts w:ascii="Ebrima" w:eastAsia="Calibri" w:hAnsi="Ebrima"/>
        </w:rPr>
        <w:t xml:space="preserve">While we appreciate the efforts made by ESMA to achieve a flexible and pragmatic approach, </w:t>
      </w:r>
      <w:r w:rsidRPr="00700521">
        <w:rPr>
          <w:rFonts w:ascii="Ebrima" w:eastAsia="Calibri" w:hAnsi="Ebrima"/>
        </w:rPr>
        <w:t xml:space="preserve">we believe that the proposed process would not improve the existing one and would unfortunately increase complexity and duration of the process to approve </w:t>
      </w:r>
      <w:r>
        <w:rPr>
          <w:rFonts w:ascii="Ebrima" w:eastAsia="Calibri" w:hAnsi="Ebrima"/>
        </w:rPr>
        <w:t xml:space="preserve">the </w:t>
      </w:r>
      <w:r w:rsidRPr="00700521">
        <w:rPr>
          <w:rFonts w:ascii="Ebrima" w:eastAsia="Calibri" w:hAnsi="Ebrima"/>
        </w:rPr>
        <w:t>extension of products and services and changes to risk models.</w:t>
      </w:r>
    </w:p>
    <w:p w14:paraId="6536D709" w14:textId="77777777" w:rsidR="00F202D5" w:rsidRPr="000D1745" w:rsidRDefault="00F202D5" w:rsidP="00F202D5">
      <w:pPr>
        <w:ind w:left="720"/>
        <w:contextualSpacing/>
        <w:jc w:val="both"/>
        <w:rPr>
          <w:rFonts w:ascii="Ebrima" w:hAnsi="Ebrima"/>
          <w:highlight w:val="yellow"/>
        </w:rPr>
      </w:pPr>
    </w:p>
    <w:p w14:paraId="03E45F32" w14:textId="77777777" w:rsidR="00F202D5" w:rsidRDefault="00F202D5" w:rsidP="00F202D5">
      <w:pPr>
        <w:ind w:left="720"/>
        <w:jc w:val="both"/>
        <w:rPr>
          <w:rFonts w:ascii="Ebrima" w:eastAsia="Calibri" w:hAnsi="Ebrima"/>
        </w:rPr>
      </w:pPr>
      <w:r>
        <w:rPr>
          <w:rFonts w:ascii="Ebrima" w:eastAsia="Calibri" w:hAnsi="Ebrima"/>
        </w:rPr>
        <w:t>The establishment of every</w:t>
      </w:r>
      <w:r w:rsidRPr="00477C67">
        <w:rPr>
          <w:rFonts w:ascii="Ebrima" w:eastAsia="Calibri" w:hAnsi="Ebrima"/>
        </w:rPr>
        <w:t xml:space="preserve"> new </w:t>
      </w:r>
      <w:r>
        <w:rPr>
          <w:rFonts w:ascii="Ebrima" w:eastAsia="Calibri" w:hAnsi="Ebrima"/>
        </w:rPr>
        <w:t xml:space="preserve">regulatory </w:t>
      </w:r>
      <w:r w:rsidRPr="00477C67">
        <w:rPr>
          <w:rFonts w:ascii="Ebrima" w:eastAsia="Calibri" w:hAnsi="Ebrima"/>
        </w:rPr>
        <w:t>process also means</w:t>
      </w:r>
      <w:r>
        <w:rPr>
          <w:rFonts w:ascii="Ebrima" w:eastAsia="Calibri" w:hAnsi="Ebrima"/>
        </w:rPr>
        <w:t xml:space="preserve"> the</w:t>
      </w:r>
      <w:r w:rsidRPr="00477C67">
        <w:rPr>
          <w:rFonts w:ascii="Ebrima" w:eastAsia="Calibri" w:hAnsi="Ebrima"/>
        </w:rPr>
        <w:t xml:space="preserve"> </w:t>
      </w:r>
      <w:r>
        <w:rPr>
          <w:rFonts w:ascii="Ebrima" w:eastAsia="Calibri" w:hAnsi="Ebrima"/>
        </w:rPr>
        <w:t xml:space="preserve">need to develop </w:t>
      </w:r>
      <w:r w:rsidRPr="00477C67">
        <w:rPr>
          <w:rFonts w:ascii="Ebrima" w:eastAsia="Calibri" w:hAnsi="Ebrima"/>
        </w:rPr>
        <w:t>new governance</w:t>
      </w:r>
      <w:r>
        <w:rPr>
          <w:rFonts w:ascii="Ebrima" w:eastAsia="Calibri" w:hAnsi="Ebrima"/>
        </w:rPr>
        <w:t xml:space="preserve"> procedures to support its efficient execution</w:t>
      </w:r>
      <w:r w:rsidRPr="00477C67">
        <w:rPr>
          <w:rFonts w:ascii="Ebrima" w:eastAsia="Calibri" w:hAnsi="Ebrima"/>
        </w:rPr>
        <w:t xml:space="preserve">, </w:t>
      </w:r>
      <w:r>
        <w:rPr>
          <w:rFonts w:ascii="Ebrima" w:eastAsia="Calibri" w:hAnsi="Ebrima"/>
        </w:rPr>
        <w:t xml:space="preserve">including but not limited to, controls, oversight, resolution mechanisms, etc. Such additions lead to </w:t>
      </w:r>
      <w:r w:rsidRPr="00477C67">
        <w:rPr>
          <w:rFonts w:ascii="Ebrima" w:eastAsia="Calibri" w:hAnsi="Ebrima"/>
        </w:rPr>
        <w:t xml:space="preserve">increased complexity and longer timelines. </w:t>
      </w:r>
      <w:r>
        <w:rPr>
          <w:rFonts w:ascii="Ebrima" w:eastAsia="Calibri" w:hAnsi="Ebrima"/>
        </w:rPr>
        <w:t>I</w:t>
      </w:r>
      <w:r w:rsidRPr="00477C67">
        <w:rPr>
          <w:rFonts w:ascii="Ebrima" w:eastAsia="Calibri" w:hAnsi="Ebrima"/>
        </w:rPr>
        <w:t>f the model governance framework becomes too hierarchical and complex due to an increased involvement of authorities in a way that mixes responsibility and accountability, undesirable consequences may emerge. For instance, while model risk can be limited under restrictive governance arrangements, other risks such as market and liquidity risk may become prominent given the slow reaction of CCPs to evolving market conditions.</w:t>
      </w:r>
    </w:p>
    <w:p w14:paraId="6B24BC5B" w14:textId="77777777" w:rsidR="00F202D5" w:rsidRPr="00477C67" w:rsidRDefault="00F202D5" w:rsidP="00F202D5">
      <w:pPr>
        <w:ind w:left="720"/>
        <w:jc w:val="both"/>
        <w:rPr>
          <w:rFonts w:ascii="Ebrima" w:eastAsia="Calibri" w:hAnsi="Ebrima"/>
        </w:rPr>
      </w:pPr>
    </w:p>
    <w:p w14:paraId="7B5ADBED" w14:textId="77777777" w:rsidR="00F202D5" w:rsidRDefault="00F202D5" w:rsidP="00F202D5">
      <w:pPr>
        <w:numPr>
          <w:ilvl w:val="0"/>
          <w:numId w:val="40"/>
        </w:numPr>
        <w:contextualSpacing/>
        <w:jc w:val="both"/>
        <w:rPr>
          <w:rFonts w:ascii="Ebrima" w:eastAsia="Calibri" w:hAnsi="Ebrima" w:cs="Calibri"/>
        </w:rPr>
      </w:pPr>
      <w:r>
        <w:rPr>
          <w:rFonts w:ascii="Ebrima" w:eastAsia="Calibri" w:hAnsi="Ebrima"/>
          <w:b/>
          <w:bCs/>
        </w:rPr>
        <w:t>Structure of incentives</w:t>
      </w:r>
      <w:r w:rsidRPr="00700521">
        <w:rPr>
          <w:rFonts w:ascii="Ebrima" w:eastAsia="Calibri" w:hAnsi="Ebrima"/>
        </w:rPr>
        <w:t xml:space="preserve"> – </w:t>
      </w:r>
      <w:r w:rsidRPr="00477C67">
        <w:rPr>
          <w:rFonts w:ascii="Ebrima" w:eastAsia="Calibri" w:hAnsi="Ebrima" w:cs="Calibri"/>
        </w:rPr>
        <w:t xml:space="preserve">The elongated and complex model governance procedures suggested by the </w:t>
      </w:r>
      <w:r>
        <w:rPr>
          <w:rFonts w:ascii="Ebrima" w:eastAsia="Calibri" w:hAnsi="Ebrima" w:cs="Calibri"/>
        </w:rPr>
        <w:t>draft</w:t>
      </w:r>
      <w:r w:rsidRPr="00477C67">
        <w:rPr>
          <w:rFonts w:ascii="Ebrima" w:eastAsia="Calibri" w:hAnsi="Ebrima" w:cs="Calibri"/>
        </w:rPr>
        <w:t xml:space="preserve"> ESMA RTS may increase the contradictory outcomes to those initially intended that we are already experiencing in some cases. The cost-benefit assessment of maintaining the modelling framework at the state-of-the-art, and keeping parameters up-to-date for prevailing market conditions, are not so simple any more. And because these governance procedures are not homogeneous </w:t>
      </w:r>
      <w:r w:rsidRPr="00477C67">
        <w:rPr>
          <w:rFonts w:ascii="Ebrima" w:eastAsia="Calibri" w:hAnsi="Ebrima" w:cs="Calibri"/>
        </w:rPr>
        <w:lastRenderedPageBreak/>
        <w:t>across different jurisdictions, relevant regulatory trade-offs are starting to emerge, worsening the structure of incentives faced by CCPs.</w:t>
      </w:r>
    </w:p>
    <w:p w14:paraId="67B41073" w14:textId="77777777" w:rsidR="00F202D5" w:rsidRPr="00477C67" w:rsidRDefault="00F202D5" w:rsidP="00F202D5">
      <w:pPr>
        <w:ind w:left="720"/>
        <w:contextualSpacing/>
        <w:jc w:val="both"/>
        <w:rPr>
          <w:rFonts w:ascii="Ebrima" w:eastAsia="Calibri" w:hAnsi="Ebrima" w:cs="Calibri"/>
        </w:rPr>
      </w:pPr>
    </w:p>
    <w:p w14:paraId="01E807A3" w14:textId="77777777" w:rsidR="00F202D5" w:rsidRPr="00B1368E" w:rsidRDefault="00F202D5" w:rsidP="00F202D5">
      <w:pPr>
        <w:numPr>
          <w:ilvl w:val="0"/>
          <w:numId w:val="39"/>
        </w:numPr>
        <w:jc w:val="both"/>
        <w:rPr>
          <w:rFonts w:ascii="Ebrima" w:eastAsia="Calibri" w:hAnsi="Ebrima" w:cs="Calibri"/>
        </w:rPr>
      </w:pPr>
      <w:r w:rsidRPr="00AD7D7D">
        <w:rPr>
          <w:rFonts w:ascii="Ebrima" w:eastAsia="Calibri" w:hAnsi="Ebrima" w:cs="Calibri"/>
          <w:b/>
        </w:rPr>
        <w:t xml:space="preserve">Accountability </w:t>
      </w:r>
      <w:r w:rsidRPr="00A71196">
        <w:rPr>
          <w:rFonts w:ascii="Ebrima" w:eastAsia="Calibri" w:hAnsi="Ebrima" w:cs="Calibri"/>
          <w:b/>
        </w:rPr>
        <w:t>Vs. Responsibility</w:t>
      </w:r>
      <w:r w:rsidRPr="00700521">
        <w:rPr>
          <w:rFonts w:ascii="Ebrima" w:eastAsia="Calibri" w:hAnsi="Ebrima" w:cs="Calibri"/>
          <w:bCs/>
        </w:rPr>
        <w:t xml:space="preserve"> - </w:t>
      </w:r>
      <w:r w:rsidRPr="00A71196">
        <w:rPr>
          <w:rFonts w:ascii="Ebrima" w:eastAsia="Calibri" w:hAnsi="Ebrima" w:cs="Calibri"/>
          <w:bCs/>
        </w:rPr>
        <w:t xml:space="preserve">EACH notes and appreciates the accountability of ESMA and the relevant colleges when it comes to CCP supervision, however at the same time it can be argued that the steps proposed in this consultation represent a move by authorities from accountability to responsibility. </w:t>
      </w:r>
    </w:p>
    <w:p w14:paraId="3D79B55B" w14:textId="77777777" w:rsidR="00F202D5" w:rsidRDefault="00F202D5" w:rsidP="00F202D5">
      <w:pPr>
        <w:ind w:left="720"/>
        <w:contextualSpacing/>
        <w:jc w:val="both"/>
        <w:rPr>
          <w:rFonts w:ascii="Ebrima" w:eastAsia="Calibri" w:hAnsi="Ebrima" w:cs="Calibri"/>
        </w:rPr>
      </w:pPr>
    </w:p>
    <w:p w14:paraId="012F464C" w14:textId="77777777" w:rsidR="00F202D5" w:rsidRDefault="00F202D5" w:rsidP="00F202D5">
      <w:pPr>
        <w:ind w:left="720"/>
        <w:contextualSpacing/>
        <w:jc w:val="both"/>
        <w:rPr>
          <w:rFonts w:ascii="Ebrima" w:eastAsia="Calibri" w:hAnsi="Ebrima" w:cs="Calibri"/>
        </w:rPr>
      </w:pPr>
      <w:r w:rsidRPr="00AD7D7D">
        <w:rPr>
          <w:rFonts w:ascii="Ebrima" w:eastAsia="Calibri" w:hAnsi="Ebrima" w:cs="Calibri"/>
        </w:rPr>
        <w:t>The argument is not that CCPs should be exempt from the model risk governance performed by regulators. On the contrary,</w:t>
      </w:r>
      <w:r w:rsidRPr="00A71196">
        <w:rPr>
          <w:rFonts w:ascii="Ebrima" w:eastAsia="Calibri" w:hAnsi="Ebrima" w:cs="Calibri"/>
        </w:rPr>
        <w:t xml:space="preserve"> CCPs are risk managers by nature, and the quality of the modelling used on those activities goes hand-to-hand with the governance supporting it. However, accountability and responsibility should not be confused. CCPs are responsible for the day-to-day management of their models</w:t>
      </w:r>
      <w:r>
        <w:rPr>
          <w:rFonts w:ascii="Ebrima" w:eastAsia="Calibri" w:hAnsi="Ebrima" w:cs="Calibri"/>
        </w:rPr>
        <w:t xml:space="preserve">, and the </w:t>
      </w:r>
      <w:r w:rsidRPr="00AD7D7D">
        <w:rPr>
          <w:rFonts w:ascii="Ebrima" w:eastAsia="Calibri" w:hAnsi="Ebrima" w:cs="Calibri"/>
        </w:rPr>
        <w:t xml:space="preserve">suggested </w:t>
      </w:r>
      <w:r>
        <w:rPr>
          <w:rFonts w:ascii="Ebrima" w:eastAsia="Calibri" w:hAnsi="Ebrima" w:cs="Calibri"/>
        </w:rPr>
        <w:t xml:space="preserve">text </w:t>
      </w:r>
      <w:r w:rsidRPr="00AD7D7D">
        <w:rPr>
          <w:rFonts w:ascii="Ebrima" w:eastAsia="Calibri" w:hAnsi="Ebrima" w:cs="Calibri"/>
        </w:rPr>
        <w:t>by the DRAFT ESMA RTS</w:t>
      </w:r>
      <w:r>
        <w:rPr>
          <w:rFonts w:ascii="Ebrima" w:eastAsia="Calibri" w:hAnsi="Ebrima" w:cs="Calibri"/>
        </w:rPr>
        <w:t xml:space="preserve"> seems to preclude the execution of such role</w:t>
      </w:r>
      <w:r w:rsidRPr="00A71196">
        <w:rPr>
          <w:rFonts w:ascii="Ebrima" w:eastAsia="Calibri" w:hAnsi="Ebrima" w:cs="Calibri"/>
        </w:rPr>
        <w:t xml:space="preserve">. </w:t>
      </w:r>
      <w:r>
        <w:rPr>
          <w:rFonts w:ascii="Ebrima" w:eastAsia="Calibri" w:hAnsi="Ebrima" w:cs="Calibri"/>
        </w:rPr>
        <w:t>R</w:t>
      </w:r>
      <w:r w:rsidRPr="00A71196">
        <w:rPr>
          <w:rFonts w:ascii="Ebrima" w:eastAsia="Calibri" w:hAnsi="Ebrima" w:cs="Calibri"/>
        </w:rPr>
        <w:t>egulators</w:t>
      </w:r>
      <w:r>
        <w:rPr>
          <w:rFonts w:ascii="Ebrima" w:eastAsia="Calibri" w:hAnsi="Ebrima" w:cs="Calibri"/>
        </w:rPr>
        <w:t>, complementarily,</w:t>
      </w:r>
      <w:r w:rsidRPr="00A71196">
        <w:rPr>
          <w:rFonts w:ascii="Ebrima" w:eastAsia="Calibri" w:hAnsi="Ebrima" w:cs="Calibri"/>
        </w:rPr>
        <w:t xml:space="preserve"> have the important role of overseeing those practices, using legislation to establish the boundaries of appropriate action. But if constraints are so narrow and time-consuming to navigate that the allocation of responsibility becomes unclear, then there is a problem. </w:t>
      </w:r>
    </w:p>
    <w:p w14:paraId="0DA87AC0" w14:textId="77777777" w:rsidR="00F202D5" w:rsidRDefault="00F202D5" w:rsidP="00F202D5">
      <w:pPr>
        <w:ind w:left="720"/>
        <w:contextualSpacing/>
        <w:jc w:val="both"/>
        <w:rPr>
          <w:rFonts w:ascii="Ebrima" w:eastAsia="Calibri" w:hAnsi="Ebrima" w:cs="Calibri"/>
        </w:rPr>
      </w:pPr>
    </w:p>
    <w:p w14:paraId="1379C084" w14:textId="77777777" w:rsidR="00F202D5" w:rsidRPr="0028143E" w:rsidRDefault="00F202D5" w:rsidP="00F202D5">
      <w:pPr>
        <w:numPr>
          <w:ilvl w:val="0"/>
          <w:numId w:val="39"/>
        </w:numPr>
        <w:ind w:left="714" w:hanging="357"/>
        <w:contextualSpacing/>
        <w:jc w:val="both"/>
        <w:rPr>
          <w:rFonts w:ascii="Ebrima" w:eastAsia="Calibri" w:hAnsi="Ebrima" w:cs="Calibri"/>
        </w:rPr>
      </w:pPr>
      <w:r>
        <w:rPr>
          <w:rFonts w:ascii="Ebrima" w:eastAsia="Calibri" w:hAnsi="Ebrima" w:cs="Calibri"/>
          <w:b/>
        </w:rPr>
        <w:t>Allocation of</w:t>
      </w:r>
      <w:r w:rsidRPr="008C1F28">
        <w:rPr>
          <w:rFonts w:ascii="Ebrima" w:eastAsia="Calibri" w:hAnsi="Ebrima" w:cs="Calibri"/>
          <w:b/>
        </w:rPr>
        <w:t xml:space="preserve"> </w:t>
      </w:r>
      <w:r>
        <w:rPr>
          <w:rFonts w:ascii="Ebrima" w:eastAsia="Calibri" w:hAnsi="Ebrima" w:cs="Calibri"/>
          <w:b/>
        </w:rPr>
        <w:t>r</w:t>
      </w:r>
      <w:r w:rsidRPr="008C1F28">
        <w:rPr>
          <w:rFonts w:ascii="Ebrima" w:eastAsia="Calibri" w:hAnsi="Ebrima" w:cs="Calibri"/>
          <w:b/>
        </w:rPr>
        <w:t>esponsibility</w:t>
      </w:r>
      <w:r>
        <w:rPr>
          <w:rFonts w:ascii="Ebrima" w:eastAsia="Calibri" w:hAnsi="Ebrima" w:cs="Calibri"/>
          <w:b/>
        </w:rPr>
        <w:t xml:space="preserve"> and level playing field</w:t>
      </w:r>
      <w:r w:rsidRPr="00700521">
        <w:rPr>
          <w:rFonts w:ascii="Ebrima" w:eastAsia="Calibri" w:hAnsi="Ebrima" w:cs="Calibri"/>
          <w:bCs/>
        </w:rPr>
        <w:t xml:space="preserve"> - </w:t>
      </w:r>
      <w:r w:rsidRPr="008C1F28">
        <w:rPr>
          <w:rFonts w:ascii="Ebrima" w:eastAsia="Calibri" w:hAnsi="Ebrima" w:cs="Calibri"/>
          <w:bCs/>
        </w:rPr>
        <w:t xml:space="preserve">EACH </w:t>
      </w:r>
      <w:r>
        <w:rPr>
          <w:rFonts w:ascii="Ebrima" w:eastAsia="Calibri" w:hAnsi="Ebrima" w:cs="Calibri"/>
          <w:bCs/>
        </w:rPr>
        <w:t>observes that the proposal transfers responsibilities from the National Competent Authorities (NCAs) to ESMA (and respective colleges).</w:t>
      </w:r>
      <w:r w:rsidRPr="008C1F28">
        <w:rPr>
          <w:rFonts w:ascii="Ebrima" w:eastAsia="Calibri" w:hAnsi="Ebrima" w:cs="Calibri"/>
          <w:bCs/>
        </w:rPr>
        <w:t xml:space="preserve"> </w:t>
      </w:r>
      <w:r>
        <w:rPr>
          <w:rFonts w:ascii="Ebrima" w:eastAsia="Calibri" w:hAnsi="Ebrima" w:cs="Calibri"/>
          <w:bCs/>
        </w:rPr>
        <w:t>CCPs deal on a daily basis with their own NCAs, which are familiar with the business and operations of the CCPs. Such transference of responsibility could imply that the level of context and information is reduced during the decision-taking process</w:t>
      </w:r>
      <w:r w:rsidRPr="008C1F28">
        <w:rPr>
          <w:rFonts w:ascii="Ebrima" w:eastAsia="Calibri" w:hAnsi="Ebrima" w:cs="Calibri"/>
          <w:bCs/>
        </w:rPr>
        <w:t xml:space="preserve">. </w:t>
      </w:r>
      <w:r>
        <w:rPr>
          <w:rFonts w:ascii="Ebrima" w:eastAsia="Calibri" w:hAnsi="Ebrima" w:cs="Calibri"/>
          <w:bCs/>
        </w:rPr>
        <w:t xml:space="preserve">Furthermore, </w:t>
      </w:r>
      <w:r w:rsidRPr="00700521">
        <w:rPr>
          <w:rFonts w:ascii="Ebrima" w:eastAsia="Calibri" w:hAnsi="Ebrima"/>
        </w:rPr>
        <w:t>an</w:t>
      </w:r>
      <w:r>
        <w:rPr>
          <w:rFonts w:ascii="Ebrima" w:eastAsia="Calibri" w:hAnsi="Ebrima"/>
          <w:b/>
          <w:bCs/>
        </w:rPr>
        <w:t xml:space="preserve"> </w:t>
      </w:r>
      <w:r w:rsidRPr="001056E8">
        <w:rPr>
          <w:rFonts w:ascii="Ebrima" w:eastAsia="Calibri" w:hAnsi="Ebrima"/>
        </w:rPr>
        <w:t xml:space="preserve">additional consultation with the college </w:t>
      </w:r>
      <w:r>
        <w:rPr>
          <w:rFonts w:ascii="Ebrima" w:eastAsia="Calibri" w:hAnsi="Ebrima"/>
        </w:rPr>
        <w:t>woul</w:t>
      </w:r>
      <w:r w:rsidRPr="001056E8">
        <w:rPr>
          <w:rFonts w:ascii="Ebrima" w:eastAsia="Calibri" w:hAnsi="Ebrima"/>
        </w:rPr>
        <w:t xml:space="preserve">d mean </w:t>
      </w:r>
      <w:r>
        <w:rPr>
          <w:rFonts w:ascii="Ebrima" w:eastAsia="Calibri" w:hAnsi="Ebrima"/>
        </w:rPr>
        <w:t xml:space="preserve">that </w:t>
      </w:r>
      <w:r w:rsidRPr="001056E8">
        <w:rPr>
          <w:rFonts w:ascii="Ebrima" w:eastAsia="Calibri" w:hAnsi="Ebrima"/>
        </w:rPr>
        <w:t>criteria are not clear enough and are subject to additional, potentially subjective assessment and discretion of colleges</w:t>
      </w:r>
      <w:r>
        <w:rPr>
          <w:rFonts w:ascii="Ebrima" w:eastAsia="Calibri" w:hAnsi="Ebrima"/>
        </w:rPr>
        <w:t>,</w:t>
      </w:r>
      <w:r w:rsidRPr="001056E8">
        <w:rPr>
          <w:rFonts w:ascii="Ebrima" w:eastAsia="Calibri" w:hAnsi="Ebrima"/>
        </w:rPr>
        <w:t xml:space="preserve"> which </w:t>
      </w:r>
      <w:r>
        <w:rPr>
          <w:rFonts w:ascii="Ebrima" w:eastAsia="Calibri" w:hAnsi="Ebrima"/>
        </w:rPr>
        <w:t>might lead to</w:t>
      </w:r>
      <w:r w:rsidRPr="001056E8">
        <w:rPr>
          <w:rFonts w:ascii="Ebrima" w:eastAsia="Calibri" w:hAnsi="Ebrima"/>
        </w:rPr>
        <w:t xml:space="preserve"> </w:t>
      </w:r>
      <w:r>
        <w:rPr>
          <w:rFonts w:ascii="Ebrima" w:eastAsia="Calibri" w:hAnsi="Ebrima"/>
        </w:rPr>
        <w:t>un</w:t>
      </w:r>
      <w:r w:rsidRPr="001056E8">
        <w:rPr>
          <w:rFonts w:ascii="Ebrima" w:eastAsia="Calibri" w:hAnsi="Ebrima"/>
        </w:rPr>
        <w:t>level playing field between CCPs and the governing processes</w:t>
      </w:r>
      <w:r>
        <w:rPr>
          <w:rFonts w:ascii="Ebrima" w:eastAsia="Calibri" w:hAnsi="Ebrima"/>
        </w:rPr>
        <w:t xml:space="preserve"> applied due to potentially not always consistent decisions and unified practices</w:t>
      </w:r>
      <w:r w:rsidRPr="001056E8">
        <w:rPr>
          <w:rFonts w:ascii="Ebrima" w:eastAsia="Calibri" w:hAnsi="Ebrima"/>
        </w:rPr>
        <w:t>.</w:t>
      </w:r>
    </w:p>
    <w:p w14:paraId="40DB3FBD" w14:textId="77777777" w:rsidR="00F202D5" w:rsidRDefault="00F202D5" w:rsidP="00F202D5">
      <w:pPr>
        <w:contextualSpacing/>
        <w:jc w:val="both"/>
        <w:rPr>
          <w:rFonts w:ascii="Ebrima" w:eastAsia="Calibri" w:hAnsi="Ebrima" w:cs="Calibri"/>
        </w:rPr>
      </w:pPr>
    </w:p>
    <w:p w14:paraId="36290533" w14:textId="77777777" w:rsidR="00F202D5" w:rsidRPr="00B1368E" w:rsidRDefault="00F202D5" w:rsidP="00F202D5">
      <w:pPr>
        <w:numPr>
          <w:ilvl w:val="0"/>
          <w:numId w:val="39"/>
        </w:numPr>
        <w:ind w:left="714" w:hanging="357"/>
        <w:contextualSpacing/>
        <w:jc w:val="both"/>
        <w:rPr>
          <w:rFonts w:ascii="Ebrima" w:eastAsia="Calibri" w:hAnsi="Ebrima" w:cs="Calibri"/>
        </w:rPr>
      </w:pPr>
      <w:r w:rsidRPr="0009461F">
        <w:rPr>
          <w:rFonts w:ascii="Ebrima" w:eastAsia="Calibri" w:hAnsi="Ebrima" w:cs="Calibri"/>
          <w:b/>
        </w:rPr>
        <w:t>Decrease</w:t>
      </w:r>
      <w:r w:rsidRPr="00477C67">
        <w:rPr>
          <w:rFonts w:ascii="Ebrima" w:eastAsia="Calibri" w:hAnsi="Ebrima"/>
          <w:b/>
          <w:bCs/>
        </w:rPr>
        <w:t xml:space="preserve"> </w:t>
      </w:r>
      <w:r>
        <w:rPr>
          <w:rFonts w:ascii="Ebrima" w:eastAsia="Calibri" w:hAnsi="Ebrima"/>
          <w:b/>
          <w:bCs/>
        </w:rPr>
        <w:t xml:space="preserve">of </w:t>
      </w:r>
      <w:r w:rsidRPr="00477C67">
        <w:rPr>
          <w:rFonts w:ascii="Ebrima" w:eastAsia="Calibri" w:hAnsi="Ebrima"/>
          <w:b/>
          <w:bCs/>
        </w:rPr>
        <w:t>possibilities for risk management</w:t>
      </w:r>
      <w:r w:rsidRPr="00700521">
        <w:rPr>
          <w:rFonts w:ascii="Ebrima" w:eastAsia="Calibri" w:hAnsi="Ebrima"/>
        </w:rPr>
        <w:t xml:space="preserve"> – </w:t>
      </w:r>
      <w:r w:rsidRPr="00B1368E">
        <w:rPr>
          <w:rFonts w:ascii="Ebrima" w:eastAsia="Calibri" w:hAnsi="Ebrima"/>
        </w:rPr>
        <w:t>We believe that the proposed approach</w:t>
      </w:r>
      <w:r w:rsidRPr="002B4919">
        <w:rPr>
          <w:rFonts w:ascii="Ebrima" w:eastAsia="Calibri" w:hAnsi="Ebrima"/>
        </w:rPr>
        <w:t xml:space="preserve"> </w:t>
      </w:r>
      <w:r w:rsidRPr="00B1368E">
        <w:rPr>
          <w:rFonts w:ascii="Ebrima" w:eastAsia="Calibri" w:hAnsi="Ebrima"/>
        </w:rPr>
        <w:t>unnecessarily increases ‘time-to-market' of new risk products</w:t>
      </w:r>
      <w:r>
        <w:rPr>
          <w:rFonts w:ascii="Ebrima" w:eastAsia="Calibri" w:hAnsi="Ebrima"/>
        </w:rPr>
        <w:t>, services</w:t>
      </w:r>
      <w:r w:rsidRPr="00B1368E">
        <w:rPr>
          <w:rFonts w:ascii="Ebrima" w:eastAsia="Calibri" w:hAnsi="Ebrima"/>
        </w:rPr>
        <w:t xml:space="preserve"> and </w:t>
      </w:r>
      <w:r>
        <w:rPr>
          <w:rFonts w:ascii="Ebrima" w:eastAsia="Calibri" w:hAnsi="Ebrima"/>
        </w:rPr>
        <w:t xml:space="preserve">changes to risk </w:t>
      </w:r>
      <w:r w:rsidRPr="00B1368E">
        <w:rPr>
          <w:rFonts w:ascii="Ebrima" w:eastAsia="Calibri" w:hAnsi="Ebrima"/>
        </w:rPr>
        <w:t xml:space="preserve">models as more </w:t>
      </w:r>
      <w:r>
        <w:rPr>
          <w:rFonts w:ascii="Ebrima" w:eastAsia="Calibri" w:hAnsi="Ebrima"/>
        </w:rPr>
        <w:t>stakeholders</w:t>
      </w:r>
      <w:r w:rsidRPr="00B1368E">
        <w:rPr>
          <w:rFonts w:ascii="Ebrima" w:eastAsia="Calibri" w:hAnsi="Ebrima"/>
        </w:rPr>
        <w:t xml:space="preserve"> are involved without a particular governance and, very importantly, without any defined timing.</w:t>
      </w:r>
      <w:r w:rsidRPr="002B4919">
        <w:rPr>
          <w:rFonts w:ascii="Ebrima" w:eastAsia="Calibri" w:hAnsi="Ebrima"/>
        </w:rPr>
        <w:t xml:space="preserve"> This m</w:t>
      </w:r>
      <w:r w:rsidRPr="00477C67">
        <w:rPr>
          <w:rFonts w:ascii="Ebrima" w:eastAsia="Calibri" w:hAnsi="Ebrima"/>
        </w:rPr>
        <w:t xml:space="preserve">eans that when a CCP proposes a new product to be brought to the market, the proposed approach could </w:t>
      </w:r>
      <w:r>
        <w:rPr>
          <w:rFonts w:ascii="Ebrima" w:eastAsia="Calibri" w:hAnsi="Ebrima"/>
        </w:rPr>
        <w:t>significantly (or even in some extreme cases</w:t>
      </w:r>
      <w:r w:rsidRPr="00477C67">
        <w:rPr>
          <w:rFonts w:ascii="Ebrima" w:eastAsia="Calibri" w:hAnsi="Ebrima"/>
        </w:rPr>
        <w:t xml:space="preserve"> indefinitely</w:t>
      </w:r>
      <w:r>
        <w:rPr>
          <w:rFonts w:ascii="Ebrima" w:eastAsia="Calibri" w:hAnsi="Ebrima"/>
        </w:rPr>
        <w:t>)</w:t>
      </w:r>
      <w:r w:rsidRPr="00477C67">
        <w:rPr>
          <w:rFonts w:ascii="Ebrima" w:eastAsia="Calibri" w:hAnsi="Ebrima"/>
        </w:rPr>
        <w:t xml:space="preserve"> postpone its approval, potentially leading to a fading of the momentum of demand</w:t>
      </w:r>
      <w:r w:rsidRPr="002D700E">
        <w:t xml:space="preserve"> </w:t>
      </w:r>
      <w:r w:rsidRPr="002D700E">
        <w:rPr>
          <w:rFonts w:ascii="Ebrima" w:eastAsia="Calibri" w:hAnsi="Ebrima"/>
        </w:rPr>
        <w:t>or, where increasing risk protections, in a delay of being able to increase CCP resilience</w:t>
      </w:r>
      <w:r w:rsidRPr="00477C67">
        <w:rPr>
          <w:rFonts w:ascii="Ebrima" w:eastAsia="Calibri" w:hAnsi="Ebrima"/>
        </w:rPr>
        <w:t>. This would have the unfortunate and paradoxical consequence of decreasing, rather than increasing the possibilities to enhance risk management at CCPs</w:t>
      </w:r>
      <w:r>
        <w:rPr>
          <w:rFonts w:ascii="Ebrima" w:eastAsia="Calibri" w:hAnsi="Ebrima"/>
        </w:rPr>
        <w:t xml:space="preserve"> </w:t>
      </w:r>
      <w:r w:rsidRPr="00D03383">
        <w:rPr>
          <w:rFonts w:ascii="Ebrima" w:eastAsia="Calibri" w:hAnsi="Ebrima"/>
        </w:rPr>
        <w:t>and therefore inhibiting the offering and quality of risk management products to the market</w:t>
      </w:r>
      <w:r w:rsidRPr="00477C67">
        <w:rPr>
          <w:rFonts w:ascii="Ebrima" w:eastAsia="Calibri" w:hAnsi="Ebrima"/>
        </w:rPr>
        <w:t>.</w:t>
      </w:r>
    </w:p>
    <w:p w14:paraId="5EB934EA" w14:textId="77777777" w:rsidR="00F202D5" w:rsidRPr="001E42FA" w:rsidRDefault="00F202D5" w:rsidP="00F202D5">
      <w:pPr>
        <w:ind w:left="720"/>
        <w:contextualSpacing/>
        <w:jc w:val="both"/>
        <w:rPr>
          <w:rFonts w:ascii="Ebrima" w:eastAsia="Calibri" w:hAnsi="Ebrima" w:cs="Calibri"/>
          <w:b/>
          <w:highlight w:val="yellow"/>
        </w:rPr>
      </w:pPr>
    </w:p>
    <w:p w14:paraId="022FE87A" w14:textId="77777777" w:rsidR="00F202D5" w:rsidRDefault="00F202D5" w:rsidP="00F202D5">
      <w:pPr>
        <w:numPr>
          <w:ilvl w:val="0"/>
          <w:numId w:val="39"/>
        </w:numPr>
        <w:ind w:left="714" w:hanging="357"/>
        <w:contextualSpacing/>
        <w:jc w:val="both"/>
        <w:rPr>
          <w:rFonts w:ascii="Ebrima" w:eastAsia="Calibri" w:hAnsi="Ebrima"/>
        </w:rPr>
      </w:pPr>
      <w:r w:rsidRPr="00E44292">
        <w:rPr>
          <w:rFonts w:ascii="Ebrima" w:eastAsia="Calibri" w:hAnsi="Ebrima" w:cs="Calibri"/>
          <w:b/>
        </w:rPr>
        <w:t>Governance</w:t>
      </w:r>
      <w:r w:rsidRPr="00A71196">
        <w:rPr>
          <w:rFonts w:ascii="Ebrima" w:eastAsia="Calibri" w:hAnsi="Ebrima"/>
          <w:b/>
          <w:bCs/>
        </w:rPr>
        <w:t xml:space="preserve"> of the proposed approach </w:t>
      </w:r>
      <w:r w:rsidRPr="00A71196">
        <w:rPr>
          <w:rFonts w:ascii="Ebrima" w:eastAsia="Calibri" w:hAnsi="Ebrima"/>
        </w:rPr>
        <w:t xml:space="preserve">- EACH notes that </w:t>
      </w:r>
      <w:r w:rsidRPr="00B1368E">
        <w:rPr>
          <w:rFonts w:ascii="Ebrima" w:eastAsia="Calibri" w:hAnsi="Ebrima"/>
        </w:rPr>
        <w:t>the consultation paper does not include any governance to operate the new processes.  For instance, there is no definition of the new timeline for the process of determining whether an extension of activities or services is subject to Article 15 and whether a change to the models and parameters is significant in line with Article 49</w:t>
      </w:r>
      <w:r w:rsidRPr="00A71196">
        <w:rPr>
          <w:rFonts w:ascii="Ebrima" w:eastAsia="Calibri" w:hAnsi="Ebrima"/>
        </w:rPr>
        <w:t xml:space="preserve">. We believe that </w:t>
      </w:r>
      <w:r w:rsidRPr="00B1368E">
        <w:rPr>
          <w:rFonts w:ascii="Ebrima" w:eastAsia="Calibri" w:hAnsi="Ebrima"/>
        </w:rPr>
        <w:t xml:space="preserve">in line with the EMIR provisions, a specific and efficient timeline must be developed and most importantly enforced. </w:t>
      </w:r>
      <w:r w:rsidRPr="00BB7AF1">
        <w:rPr>
          <w:rFonts w:ascii="Ebrima" w:eastAsia="Calibri" w:hAnsi="Ebrima"/>
        </w:rPr>
        <w:t xml:space="preserve">Limiting the amount of time necessary for launching new services is key to spur innovation and competition within the EU, but also on global markets where EU CCPs enter </w:t>
      </w:r>
      <w:r w:rsidRPr="00BB7AF1">
        <w:rPr>
          <w:rFonts w:ascii="Ebrima" w:eastAsia="Calibri" w:hAnsi="Ebrima"/>
        </w:rPr>
        <w:lastRenderedPageBreak/>
        <w:t>into competition with CCPs from other jurisdictions which may benefit from faster processes. Moreover</w:t>
      </w:r>
      <w:r>
        <w:rPr>
          <w:rFonts w:ascii="Ebrima" w:eastAsia="Calibri" w:hAnsi="Ebrima"/>
        </w:rPr>
        <w:t>, a</w:t>
      </w:r>
      <w:r w:rsidRPr="00B1368E">
        <w:rPr>
          <w:rFonts w:ascii="Ebrima" w:eastAsia="Calibri" w:hAnsi="Ebrima"/>
        </w:rPr>
        <w:t xml:space="preserve"> failure to do this could result in CCPs not being able to offer increased risk management possibilities in due course. </w:t>
      </w:r>
    </w:p>
    <w:p w14:paraId="02F64047" w14:textId="77777777" w:rsidR="00F202D5" w:rsidRPr="00B1368E" w:rsidRDefault="00F202D5" w:rsidP="00F202D5">
      <w:pPr>
        <w:contextualSpacing/>
        <w:jc w:val="both"/>
        <w:rPr>
          <w:rFonts w:ascii="Ebrima" w:hAnsi="Ebrima"/>
        </w:rPr>
      </w:pPr>
    </w:p>
    <w:p w14:paraId="3C0CA0DD" w14:textId="77777777" w:rsidR="00F202D5" w:rsidRPr="00700521" w:rsidRDefault="00F202D5" w:rsidP="00F202D5">
      <w:pPr>
        <w:jc w:val="both"/>
        <w:rPr>
          <w:rFonts w:ascii="Ebrima" w:eastAsia="Calibri" w:hAnsi="Ebrima"/>
          <w:b/>
          <w:bCs/>
        </w:rPr>
      </w:pPr>
      <w:r w:rsidRPr="00700521">
        <w:rPr>
          <w:rFonts w:ascii="Ebrima" w:eastAsia="Calibri" w:hAnsi="Ebrima"/>
          <w:b/>
          <w:bCs/>
        </w:rPr>
        <w:t>Against the above, EACH supports the exclusion of the indicators for both Article 15 and Article 49, and the redefinition of some of the proposed criteria to make it clear, direct, and objective. Under such terms, there would be no need to consult the college, avoiding any of the issues highlighted above.</w:t>
      </w:r>
    </w:p>
    <w:p w14:paraId="4B840A2F" w14:textId="77777777" w:rsidR="00F202D5" w:rsidRPr="007A4045" w:rsidRDefault="00F202D5" w:rsidP="00F202D5">
      <w:pPr>
        <w:ind w:left="720"/>
        <w:contextualSpacing/>
        <w:jc w:val="both"/>
        <w:rPr>
          <w:rFonts w:ascii="Ebrima" w:eastAsia="NSimSun" w:hAnsi="Ebrima" w:cs="Lao UI"/>
          <w:bCs/>
          <w:color w:val="7030A0"/>
          <w:lang w:eastAsia="es-ES"/>
        </w:rPr>
      </w:pPr>
    </w:p>
    <w:p w14:paraId="68F63540" w14:textId="23877F59" w:rsidR="00B327E9" w:rsidRPr="00BF28DA" w:rsidRDefault="00F202D5" w:rsidP="00F202D5">
      <w:r w:rsidRPr="00E555C3">
        <w:rPr>
          <w:rFonts w:ascii="Ebrima" w:eastAsia="NSimSun" w:hAnsi="Ebrima" w:cs="Lao UI"/>
          <w:bCs/>
          <w:lang w:eastAsia="es-ES"/>
        </w:rPr>
        <w:t xml:space="preserve">We </w:t>
      </w:r>
      <w:r>
        <w:rPr>
          <w:rFonts w:ascii="Ebrima" w:eastAsia="NSimSun" w:hAnsi="Ebrima" w:cs="Lao UI"/>
          <w:bCs/>
          <w:lang w:eastAsia="es-ES"/>
        </w:rPr>
        <w:t xml:space="preserve">also suggest </w:t>
      </w:r>
      <w:r w:rsidRPr="00622138">
        <w:rPr>
          <w:rFonts w:ascii="Ebrima" w:eastAsia="NSimSun" w:hAnsi="Ebrima" w:cs="Lao UI"/>
          <w:bCs/>
          <w:lang w:eastAsia="es-ES"/>
        </w:rPr>
        <w:t>waiv</w:t>
      </w:r>
      <w:r>
        <w:rPr>
          <w:rFonts w:ascii="Ebrima" w:eastAsia="NSimSun" w:hAnsi="Ebrima" w:cs="Lao UI"/>
          <w:bCs/>
          <w:lang w:eastAsia="es-ES"/>
        </w:rPr>
        <w:t>ing the</w:t>
      </w:r>
      <w:r w:rsidRPr="00622138">
        <w:rPr>
          <w:rFonts w:ascii="Ebrima" w:eastAsia="NSimSun" w:hAnsi="Ebrima" w:cs="Lao UI"/>
          <w:bCs/>
          <w:lang w:eastAsia="es-ES"/>
        </w:rPr>
        <w:t xml:space="preserve"> ESMA Opinion of 15</w:t>
      </w:r>
      <w:r w:rsidRPr="00E555C3">
        <w:rPr>
          <w:rFonts w:ascii="Ebrima" w:eastAsia="NSimSun" w:hAnsi="Ebrima" w:cs="Lao UI"/>
          <w:bCs/>
          <w:vertAlign w:val="superscript"/>
          <w:lang w:eastAsia="es-ES"/>
        </w:rPr>
        <w:t>th</w:t>
      </w:r>
      <w:r w:rsidRPr="00622138">
        <w:rPr>
          <w:rFonts w:ascii="Ebrima" w:eastAsia="NSimSun" w:hAnsi="Ebrima" w:cs="Lao UI"/>
          <w:bCs/>
          <w:lang w:eastAsia="es-ES"/>
        </w:rPr>
        <w:t xml:space="preserve"> November 2016</w:t>
      </w:r>
      <w:r>
        <w:rPr>
          <w:rStyle w:val="FootnoteReference"/>
          <w:rFonts w:ascii="Ebrima" w:eastAsia="NSimSun" w:hAnsi="Ebrima" w:cs="Lao UI"/>
          <w:bCs/>
          <w:lang w:eastAsia="es-ES"/>
        </w:rPr>
        <w:footnoteReference w:id="3"/>
      </w:r>
      <w:r w:rsidRPr="00622138">
        <w:rPr>
          <w:rFonts w:ascii="Ebrima" w:eastAsia="NSimSun" w:hAnsi="Ebrima" w:cs="Lao UI"/>
          <w:bCs/>
          <w:lang w:eastAsia="es-ES"/>
        </w:rPr>
        <w:t xml:space="preserve"> </w:t>
      </w:r>
      <w:r>
        <w:rPr>
          <w:rFonts w:ascii="Ebrima" w:eastAsia="NSimSun" w:hAnsi="Ebrima" w:cs="Lao UI"/>
          <w:bCs/>
          <w:lang w:eastAsia="es-ES"/>
        </w:rPr>
        <w:t>once the final RTS on Article 15 and 49 come into force. This would provide the legal certainty needed by market participants to comply with one consistent set of provisions, rather than two potentially conflicting ones.</w:t>
      </w:r>
      <w:r w:rsidRPr="00392555">
        <w:rPr>
          <w:rFonts w:ascii="Ebrima" w:eastAsia="NSimSun" w:hAnsi="Ebrima" w:cs="Lao UI"/>
          <w:bCs/>
          <w:lang w:eastAsia="es-ES"/>
        </w:rPr>
        <w:t xml:space="preserve"> </w:t>
      </w:r>
      <w:r w:rsidR="00B327E9" w:rsidRPr="00BF28DA">
        <w:t>&lt;ESMA_COMMENT_</w:t>
      </w:r>
      <w:r w:rsidR="00106124">
        <w:rPr>
          <w:rFonts w:cs="Arial"/>
        </w:rPr>
        <w:t>RTS1549</w:t>
      </w:r>
      <w:r w:rsidR="000A58BE">
        <w:t>_</w:t>
      </w:r>
      <w:r w:rsidR="00B327E9"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177C6B">
      <w:pPr>
        <w:pStyle w:val="Questionstyle"/>
      </w:pPr>
      <w:r w:rsidRPr="0075015C">
        <w:br w:type="page"/>
      </w:r>
    </w:p>
    <w:p w14:paraId="3DA34BF6" w14:textId="7C0E32FE" w:rsidR="00106124" w:rsidRDefault="00106124" w:rsidP="00F202D5">
      <w:pPr>
        <w:pStyle w:val="Questionstyle"/>
        <w:numPr>
          <w:ilvl w:val="0"/>
          <w:numId w:val="38"/>
        </w:numPr>
      </w:pPr>
      <w:r w:rsidRPr="00106124">
        <w:lastRenderedPageBreak/>
        <w:t xml:space="preserve"> Do you agree with ESMA’s proposed approach to divide conditions under which additional services or activities to which a CCP wishes to extend its business are not covered by the initial authorisation (under Article 15 of EMIR) into criteria, which would be subject to a more simplified college consultation procedure, and into  indicators, which would be subject to a more extensive college consultation procedure, or would you propose a different approach? Please provide reasons for your answer.</w:t>
      </w:r>
    </w:p>
    <w:p w14:paraId="441FD53B" w14:textId="77777777" w:rsidR="00106124" w:rsidRPr="00106124" w:rsidRDefault="00106124" w:rsidP="00106124">
      <w:pPr>
        <w:rPr>
          <w:lang w:eastAsia="en-US"/>
        </w:rPr>
      </w:pPr>
    </w:p>
    <w:p w14:paraId="703009F9" w14:textId="6324A8BC" w:rsidR="00CD3899" w:rsidRDefault="00CD3899" w:rsidP="00CD3899">
      <w:pPr>
        <w:rPr>
          <w:lang w:eastAsia="en-US"/>
        </w:rPr>
      </w:pPr>
      <w:r>
        <w:rPr>
          <w:lang w:eastAsia="en-US"/>
        </w:rPr>
        <w:t>&lt;ESMA_QUESTION_</w:t>
      </w:r>
      <w:r w:rsidR="00106124">
        <w:rPr>
          <w:lang w:eastAsia="en-US"/>
        </w:rPr>
        <w:t>RTS1549</w:t>
      </w:r>
      <w:r>
        <w:rPr>
          <w:lang w:eastAsia="en-US"/>
        </w:rPr>
        <w:t>_1&gt;</w:t>
      </w:r>
    </w:p>
    <w:p w14:paraId="31268071" w14:textId="77777777" w:rsidR="00F202D5" w:rsidRPr="00F202D5" w:rsidRDefault="00F202D5" w:rsidP="00F202D5">
      <w:pPr>
        <w:jc w:val="both"/>
        <w:rPr>
          <w:rFonts w:ascii="Ebrima" w:eastAsia="Calibri" w:hAnsi="Ebrima"/>
          <w:b/>
          <w:bCs/>
          <w:szCs w:val="20"/>
          <w:lang w:eastAsia="en-US"/>
        </w:rPr>
      </w:pPr>
      <w:r w:rsidRPr="00F202D5">
        <w:rPr>
          <w:rFonts w:ascii="Ebrima" w:eastAsia="Calibri" w:hAnsi="Ebrima"/>
          <w:b/>
          <w:bCs/>
          <w:szCs w:val="20"/>
          <w:lang w:eastAsia="en-US"/>
        </w:rPr>
        <w:t>EACH disagreement with suggested approach</w:t>
      </w:r>
    </w:p>
    <w:p w14:paraId="2D1A40CD" w14:textId="77777777" w:rsidR="00F202D5" w:rsidRPr="00F202D5" w:rsidRDefault="00F202D5" w:rsidP="00F202D5">
      <w:pPr>
        <w:jc w:val="both"/>
        <w:rPr>
          <w:rFonts w:ascii="Ebrima" w:eastAsia="Calibri" w:hAnsi="Ebrima"/>
          <w:szCs w:val="20"/>
          <w:lang w:eastAsia="en-US"/>
        </w:rPr>
      </w:pPr>
      <w:r w:rsidRPr="00F202D5">
        <w:rPr>
          <w:rFonts w:ascii="Ebrima" w:eastAsia="Calibri" w:hAnsi="Ebrima"/>
          <w:szCs w:val="20"/>
          <w:lang w:eastAsia="en-US"/>
        </w:rPr>
        <w:t>We respectfully disagree with the proposed approach to divide conditions under which additional services or activities to which a CCP wishes to extend its business are not covered by the initial authorisation (under Article 15 of EMIR) into criteria, which would be subject to a more simplified college consultation procedure, and into indicators, which would be subject to a more extensive college consultation procedure.</w:t>
      </w:r>
    </w:p>
    <w:p w14:paraId="6334B277" w14:textId="77777777" w:rsidR="00F202D5" w:rsidRPr="00F202D5" w:rsidRDefault="00F202D5" w:rsidP="00F202D5">
      <w:pPr>
        <w:jc w:val="both"/>
        <w:rPr>
          <w:rFonts w:ascii="Ebrima" w:eastAsia="Calibri" w:hAnsi="Ebrima"/>
          <w:b/>
          <w:bCs/>
          <w:szCs w:val="20"/>
          <w:lang w:eastAsia="en-US"/>
        </w:rPr>
      </w:pPr>
    </w:p>
    <w:p w14:paraId="77AF6FB2" w14:textId="77777777" w:rsidR="00F202D5" w:rsidRPr="00F202D5" w:rsidRDefault="00F202D5" w:rsidP="00F202D5">
      <w:pPr>
        <w:jc w:val="both"/>
        <w:rPr>
          <w:rFonts w:ascii="Ebrima" w:eastAsia="Calibri" w:hAnsi="Ebrima"/>
          <w:szCs w:val="20"/>
          <w:highlight w:val="yellow"/>
          <w:lang w:eastAsia="en-US"/>
        </w:rPr>
      </w:pPr>
      <w:r w:rsidRPr="00F202D5">
        <w:rPr>
          <w:rFonts w:ascii="Ebrima" w:eastAsia="Calibri" w:hAnsi="Ebrima"/>
          <w:b/>
          <w:bCs/>
          <w:szCs w:val="20"/>
          <w:lang w:eastAsia="en-US"/>
        </w:rPr>
        <w:t>Reasons for disagreement</w:t>
      </w:r>
    </w:p>
    <w:p w14:paraId="205CF228" w14:textId="77777777" w:rsidR="00F202D5" w:rsidRPr="00F202D5" w:rsidRDefault="00F202D5" w:rsidP="00F202D5">
      <w:pPr>
        <w:jc w:val="both"/>
        <w:rPr>
          <w:rFonts w:ascii="Ebrima" w:eastAsia="Calibri" w:hAnsi="Ebrima"/>
          <w:szCs w:val="20"/>
          <w:lang w:val="en-US" w:eastAsia="en-US"/>
        </w:rPr>
      </w:pPr>
      <w:r w:rsidRPr="00F202D5">
        <w:rPr>
          <w:rFonts w:ascii="Ebrima" w:eastAsia="Calibri" w:hAnsi="Ebrima"/>
          <w:szCs w:val="20"/>
          <w:lang w:val="en-US" w:eastAsia="en-US"/>
        </w:rPr>
        <w:t>We have described several reasons for our disagreement to the proposed approach for both Articles 15 and 49 in the section ‘Introduction’ (See above). Those reasons are in summary: complexity of proposed approach; structure of incentives; move from accountability to responsibility; allocation of responsibilities and level-playing field; decreased possibility for risk management opportunities; lack of governance of the proposed approach. Please refer to the section ‘Introduction’ for the details of those reasons.</w:t>
      </w:r>
    </w:p>
    <w:p w14:paraId="28C2B0FD" w14:textId="77777777" w:rsidR="00F202D5" w:rsidRPr="00F202D5" w:rsidRDefault="00F202D5" w:rsidP="00F202D5">
      <w:pPr>
        <w:jc w:val="both"/>
        <w:rPr>
          <w:rFonts w:ascii="Ebrima" w:eastAsia="Calibri" w:hAnsi="Ebrima"/>
          <w:szCs w:val="20"/>
          <w:lang w:val="en-US" w:eastAsia="en-US"/>
        </w:rPr>
      </w:pPr>
    </w:p>
    <w:p w14:paraId="500CA630" w14:textId="77777777" w:rsidR="00F202D5" w:rsidRPr="00F202D5" w:rsidRDefault="00F202D5" w:rsidP="00F202D5">
      <w:pPr>
        <w:jc w:val="both"/>
        <w:rPr>
          <w:rFonts w:ascii="Ebrima" w:eastAsia="Calibri" w:hAnsi="Ebrima"/>
          <w:szCs w:val="20"/>
          <w:lang w:val="en-US" w:eastAsia="en-US"/>
        </w:rPr>
      </w:pPr>
      <w:r w:rsidRPr="00F202D5">
        <w:rPr>
          <w:rFonts w:ascii="Ebrima" w:eastAsia="Calibri" w:hAnsi="Ebrima"/>
          <w:szCs w:val="20"/>
          <w:lang w:val="en-US" w:eastAsia="en-US"/>
        </w:rPr>
        <w:t>In addition to those, there are some reasons for our disagreement with the proposed approach which are specific to the approach suggested for Article 15:</w:t>
      </w:r>
    </w:p>
    <w:p w14:paraId="105055D5" w14:textId="77777777" w:rsidR="00F202D5" w:rsidRPr="00F202D5" w:rsidRDefault="00F202D5" w:rsidP="00F202D5">
      <w:pPr>
        <w:jc w:val="both"/>
        <w:rPr>
          <w:rFonts w:ascii="Ebrima" w:eastAsia="Calibri" w:hAnsi="Ebrima"/>
          <w:szCs w:val="20"/>
          <w:lang w:val="en-US" w:eastAsia="en-US"/>
        </w:rPr>
      </w:pPr>
    </w:p>
    <w:p w14:paraId="74F99069" w14:textId="77777777" w:rsidR="00F202D5" w:rsidRPr="00F202D5" w:rsidRDefault="00F202D5" w:rsidP="00F202D5">
      <w:pPr>
        <w:numPr>
          <w:ilvl w:val="0"/>
          <w:numId w:val="41"/>
        </w:numPr>
        <w:spacing w:after="200" w:line="276" w:lineRule="auto"/>
        <w:ind w:left="714" w:hanging="357"/>
        <w:jc w:val="both"/>
        <w:rPr>
          <w:rFonts w:ascii="Ebrima" w:eastAsia="Calibri" w:hAnsi="Ebrima"/>
          <w:szCs w:val="20"/>
          <w:lang w:val="en-US" w:eastAsia="en-US"/>
        </w:rPr>
      </w:pPr>
      <w:r w:rsidRPr="00F202D5">
        <w:rPr>
          <w:rFonts w:ascii="Ebrima" w:eastAsia="DengXian" w:hAnsi="Ebrima"/>
          <w:b/>
          <w:bCs/>
          <w:szCs w:val="20"/>
          <w:lang w:eastAsia="en-US"/>
        </w:rPr>
        <w:t xml:space="preserve">Lack of the so much needed certainty for CCPs in their planning and running the business-as-usual activities </w:t>
      </w:r>
      <w:r w:rsidRPr="00F202D5">
        <w:rPr>
          <w:rFonts w:ascii="Ebrima" w:eastAsia="DengXian" w:hAnsi="Ebrima"/>
          <w:szCs w:val="20"/>
          <w:lang w:eastAsia="en-US"/>
        </w:rPr>
        <w:t>– The CCPs and NCAs should be provided with clear criteria as to when Article 15 is applicable. The criteria should be defined in such a way that it is rather obvious for CCPs and NCAs whether a given situation requires acting under Article 15 (or Article 49). Otherwise, the planning process in the CCP and the implementation of some new or modified solutions is almost impossible because the CCP is not able to ex-ante determine which procedure it will be subject to, how much time it will take, etc.</w:t>
      </w:r>
    </w:p>
    <w:p w14:paraId="252609A7" w14:textId="77777777" w:rsidR="00F202D5" w:rsidRPr="00F202D5" w:rsidRDefault="00F202D5" w:rsidP="00F202D5">
      <w:pPr>
        <w:ind w:left="714"/>
        <w:jc w:val="both"/>
        <w:rPr>
          <w:rFonts w:ascii="Ebrima" w:eastAsia="Calibri" w:hAnsi="Ebrima"/>
          <w:szCs w:val="20"/>
          <w:lang w:val="en-US" w:eastAsia="en-US"/>
        </w:rPr>
      </w:pPr>
    </w:p>
    <w:p w14:paraId="3F4D08BC" w14:textId="77777777" w:rsidR="00F202D5" w:rsidRPr="00F202D5" w:rsidRDefault="00F202D5" w:rsidP="00F202D5">
      <w:pPr>
        <w:ind w:left="714"/>
        <w:jc w:val="both"/>
        <w:rPr>
          <w:rFonts w:ascii="Ebrima" w:eastAsia="Calibri" w:hAnsi="Ebrima"/>
          <w:szCs w:val="20"/>
          <w:lang w:val="en-US" w:eastAsia="en-US"/>
        </w:rPr>
      </w:pPr>
      <w:r w:rsidRPr="00F202D5">
        <w:rPr>
          <w:rFonts w:ascii="Ebrima" w:eastAsia="Calibri" w:hAnsi="Ebrima"/>
          <w:szCs w:val="20"/>
          <w:lang w:val="en-US" w:eastAsia="en-US"/>
        </w:rPr>
        <w:t xml:space="preserve">Criteria need to reflect material changes to the nature of the service currently offered by the CCP to justify a request for an extension of its existing </w:t>
      </w:r>
      <w:proofErr w:type="spellStart"/>
      <w:r w:rsidRPr="00F202D5">
        <w:rPr>
          <w:rFonts w:ascii="Ebrima" w:eastAsia="Calibri" w:hAnsi="Ebrima"/>
          <w:szCs w:val="20"/>
          <w:lang w:val="en-US" w:eastAsia="en-US"/>
        </w:rPr>
        <w:t>authorisation</w:t>
      </w:r>
      <w:proofErr w:type="spellEnd"/>
      <w:r w:rsidRPr="00F202D5">
        <w:rPr>
          <w:rFonts w:ascii="Ebrima" w:eastAsia="Calibri" w:hAnsi="Ebrima"/>
          <w:szCs w:val="20"/>
          <w:lang w:val="en-US" w:eastAsia="en-US"/>
        </w:rPr>
        <w:t>. They should not be too descriptive in nature and where those changes do not lead to incremental changes in the CCP’s existing service offering they should not trigger the need for an Article 15. Alternatively, this process could disincentivize (if not hamper) innovation in the clearing industry</w:t>
      </w:r>
    </w:p>
    <w:p w14:paraId="0954EF90" w14:textId="77777777" w:rsidR="00F202D5" w:rsidRPr="00F202D5" w:rsidRDefault="00F202D5" w:rsidP="00F202D5">
      <w:pPr>
        <w:jc w:val="both"/>
        <w:rPr>
          <w:rFonts w:ascii="Ebrima" w:eastAsia="Calibri" w:hAnsi="Ebrima"/>
          <w:szCs w:val="20"/>
          <w:lang w:val="en-US" w:eastAsia="en-US"/>
        </w:rPr>
      </w:pPr>
    </w:p>
    <w:p w14:paraId="1A7723EF" w14:textId="77777777" w:rsidR="00F202D5" w:rsidRPr="00F202D5" w:rsidRDefault="00F202D5" w:rsidP="00F202D5">
      <w:pPr>
        <w:numPr>
          <w:ilvl w:val="0"/>
          <w:numId w:val="41"/>
        </w:numPr>
        <w:spacing w:after="200" w:line="276" w:lineRule="auto"/>
        <w:ind w:left="714" w:hanging="357"/>
        <w:jc w:val="both"/>
        <w:rPr>
          <w:rFonts w:ascii="Ebrima" w:eastAsia="Calibri" w:hAnsi="Ebrima"/>
          <w:szCs w:val="20"/>
          <w:lang w:val="en-US" w:eastAsia="en-US"/>
        </w:rPr>
      </w:pPr>
      <w:r w:rsidRPr="00F202D5">
        <w:rPr>
          <w:rFonts w:ascii="Ebrima" w:eastAsia="Calibri" w:hAnsi="Ebrima"/>
          <w:b/>
          <w:bCs/>
          <w:szCs w:val="20"/>
          <w:lang w:val="en-US" w:eastAsia="en-US"/>
        </w:rPr>
        <w:t>Lack of information as to the kind of material the NCA’s initial assessment and then the college’s decision should be based on.</w:t>
      </w:r>
      <w:r w:rsidRPr="00F202D5">
        <w:rPr>
          <w:rFonts w:ascii="Ebrima" w:eastAsia="Calibri" w:hAnsi="Ebrima"/>
          <w:szCs w:val="20"/>
          <w:lang w:val="en-US" w:eastAsia="en-US"/>
        </w:rPr>
        <w:t xml:space="preserve"> In the case of a regular application for </w:t>
      </w:r>
      <w:proofErr w:type="spellStart"/>
      <w:r w:rsidRPr="00F202D5">
        <w:rPr>
          <w:rFonts w:ascii="Ebrima" w:eastAsia="Calibri" w:hAnsi="Ebrima"/>
          <w:szCs w:val="20"/>
          <w:lang w:val="en-US" w:eastAsia="en-US"/>
        </w:rPr>
        <w:t>authorisation</w:t>
      </w:r>
      <w:proofErr w:type="spellEnd"/>
      <w:r w:rsidRPr="00F202D5">
        <w:rPr>
          <w:rFonts w:ascii="Ebrima" w:eastAsia="Calibri" w:hAnsi="Ebrima"/>
          <w:szCs w:val="20"/>
          <w:lang w:val="en-US" w:eastAsia="en-US"/>
        </w:rPr>
        <w:t xml:space="preserve"> or its extension, formal and full documentation is submitted by the CCP to the NCA which is then subject to the NCA’s assessment of whether it is complete or not. In such a case, the NCA and the college can make further analysis and decisions based on full material. In light of ESMA’s current proposal, we are talking about some pre-initial stage where the CCP does not know what the final outcome </w:t>
      </w:r>
      <w:r w:rsidRPr="00F202D5">
        <w:rPr>
          <w:rFonts w:ascii="Ebrima" w:eastAsia="Calibri" w:hAnsi="Ebrima"/>
          <w:szCs w:val="20"/>
          <w:lang w:val="en-US" w:eastAsia="en-US"/>
        </w:rPr>
        <w:lastRenderedPageBreak/>
        <w:t>of the decision-making process will be and therefore which procedure it should be preparing for. In the RTS, there is only a reference to “a detailed description of the initiative” but it is very difficult to judge what it means exactly. If we are not in a formal process and the decision is based on some “description” only, it might be difficult for the authorities to be able to make an informed decision.</w:t>
      </w:r>
    </w:p>
    <w:p w14:paraId="67AA3946" w14:textId="77777777" w:rsidR="00F202D5" w:rsidRPr="00F202D5" w:rsidRDefault="00F202D5" w:rsidP="00F202D5">
      <w:pPr>
        <w:ind w:left="714"/>
        <w:jc w:val="both"/>
        <w:rPr>
          <w:rFonts w:ascii="Ebrima" w:hAnsi="Ebrima"/>
          <w:szCs w:val="20"/>
          <w:lang w:eastAsia="en-US"/>
        </w:rPr>
      </w:pPr>
    </w:p>
    <w:p w14:paraId="08642E24" w14:textId="77777777" w:rsidR="00F202D5" w:rsidRPr="00F202D5" w:rsidRDefault="00F202D5" w:rsidP="00F202D5">
      <w:pPr>
        <w:jc w:val="both"/>
        <w:rPr>
          <w:rFonts w:ascii="Ebrima" w:eastAsia="Calibri" w:hAnsi="Ebrima"/>
          <w:szCs w:val="20"/>
          <w:highlight w:val="yellow"/>
          <w:lang w:eastAsia="en-US"/>
        </w:rPr>
      </w:pPr>
      <w:r w:rsidRPr="00F202D5">
        <w:rPr>
          <w:rFonts w:ascii="Ebrima" w:eastAsia="Calibri" w:hAnsi="Ebrima"/>
          <w:b/>
          <w:bCs/>
          <w:szCs w:val="20"/>
          <w:lang w:eastAsia="en-US"/>
        </w:rPr>
        <w:t>Alternative approach proposed by EACH</w:t>
      </w:r>
    </w:p>
    <w:p w14:paraId="064ACA49" w14:textId="77777777" w:rsidR="00F202D5" w:rsidRPr="00F202D5" w:rsidRDefault="00F202D5" w:rsidP="00F202D5">
      <w:pPr>
        <w:contextualSpacing/>
        <w:jc w:val="both"/>
        <w:rPr>
          <w:rFonts w:ascii="Ebrima" w:hAnsi="Ebrima"/>
          <w:szCs w:val="20"/>
          <w:lang w:eastAsia="en-US"/>
        </w:rPr>
      </w:pPr>
      <w:r w:rsidRPr="00F202D5">
        <w:rPr>
          <w:rFonts w:ascii="Ebrima" w:hAnsi="Ebrima"/>
          <w:szCs w:val="20"/>
          <w:lang w:eastAsia="en-US"/>
        </w:rPr>
        <w:t xml:space="preserve">We suggest as an alternative to reduce the list of criteria (See our responses to Questions 2 and 3) and delete the indicators to have a clear and simple process. If the NCA deems the narrow criteria to be met, Article 15 could directly be launched and there would be no need to consult the college on whether the process should be launched or not. </w:t>
      </w:r>
    </w:p>
    <w:p w14:paraId="7E3F16A0" w14:textId="77777777" w:rsidR="00F202D5" w:rsidRPr="00F202D5" w:rsidRDefault="00F202D5" w:rsidP="00F202D5">
      <w:pPr>
        <w:contextualSpacing/>
        <w:jc w:val="both"/>
        <w:rPr>
          <w:rFonts w:ascii="Ebrima" w:hAnsi="Ebrima"/>
          <w:szCs w:val="20"/>
          <w:lang w:eastAsia="en-US"/>
        </w:rPr>
      </w:pPr>
    </w:p>
    <w:p w14:paraId="5553FC99" w14:textId="77777777" w:rsidR="00F202D5" w:rsidRPr="00F202D5" w:rsidRDefault="00F202D5" w:rsidP="00F202D5">
      <w:pPr>
        <w:contextualSpacing/>
        <w:jc w:val="both"/>
        <w:rPr>
          <w:rFonts w:ascii="Ebrima" w:hAnsi="Ebrima"/>
          <w:szCs w:val="20"/>
          <w:lang w:eastAsia="en-US"/>
        </w:rPr>
      </w:pPr>
      <w:r w:rsidRPr="00F202D5">
        <w:rPr>
          <w:rFonts w:ascii="Ebrima" w:hAnsi="Ebrima"/>
          <w:szCs w:val="20"/>
          <w:lang w:eastAsia="en-US"/>
        </w:rPr>
        <w:t xml:space="preserve">The list of criteria </w:t>
      </w:r>
      <w:r w:rsidRPr="00F202D5">
        <w:rPr>
          <w:rFonts w:ascii="Ebrima" w:eastAsia="Calibri" w:hAnsi="Ebrima"/>
          <w:szCs w:val="20"/>
          <w:lang w:eastAsia="en-US"/>
        </w:rPr>
        <w:t>should be clear enough for CCPs and their NCAs to be able to make a straight-forward decision without any doubt as to which article shall apply in a given situation and, only in some unforeseen, exceptionally complicated and unusual circumstances which can give rise to some doubts on the part of the CCP and the NCA, there should be a quick and easy path for a consultation with colleges with a leading role of ESMA as a centralised organ for answering and collecting all such potential questions.</w:t>
      </w:r>
      <w:r w:rsidRPr="00F202D5">
        <w:rPr>
          <w:rFonts w:ascii="Ebrima" w:hAnsi="Ebrima"/>
          <w:szCs w:val="20"/>
          <w:lang w:eastAsia="en-US"/>
        </w:rPr>
        <w:t xml:space="preserve"> </w:t>
      </w:r>
    </w:p>
    <w:p w14:paraId="120E58D2" w14:textId="77777777" w:rsidR="00F202D5" w:rsidRPr="00F202D5" w:rsidRDefault="00F202D5" w:rsidP="00F202D5">
      <w:pPr>
        <w:contextualSpacing/>
        <w:jc w:val="both"/>
        <w:rPr>
          <w:rFonts w:ascii="Ebrima" w:hAnsi="Ebrima"/>
          <w:szCs w:val="20"/>
          <w:lang w:eastAsia="en-US"/>
        </w:rPr>
      </w:pPr>
    </w:p>
    <w:p w14:paraId="4B721E98" w14:textId="77777777" w:rsidR="00F202D5" w:rsidRPr="00F202D5" w:rsidRDefault="00F202D5" w:rsidP="00F202D5">
      <w:pPr>
        <w:contextualSpacing/>
        <w:jc w:val="both"/>
        <w:rPr>
          <w:rFonts w:ascii="Ebrima" w:hAnsi="Ebrima"/>
          <w:szCs w:val="20"/>
          <w:lang w:eastAsia="en-US"/>
        </w:rPr>
      </w:pPr>
      <w:r w:rsidRPr="00F202D5">
        <w:rPr>
          <w:rFonts w:ascii="Ebrima" w:hAnsi="Ebrima"/>
          <w:szCs w:val="20"/>
          <w:lang w:eastAsia="en-US"/>
        </w:rPr>
        <w:t>The process for the extension of authorisation from the notification to the NCA to final approval including the college’s opinion should be limited to three months.</w:t>
      </w:r>
    </w:p>
    <w:p w14:paraId="369DF23F" w14:textId="54D76AE5" w:rsidR="00CD3899" w:rsidRPr="00CD3899" w:rsidRDefault="00CD3899" w:rsidP="00CD3899">
      <w:pPr>
        <w:rPr>
          <w:lang w:eastAsia="en-US"/>
        </w:rPr>
      </w:pPr>
      <w:r>
        <w:rPr>
          <w:lang w:eastAsia="en-US"/>
        </w:rPr>
        <w:t>&lt;ESMA_QUESTION_</w:t>
      </w:r>
      <w:r w:rsidR="00106124">
        <w:rPr>
          <w:lang w:eastAsia="en-US"/>
        </w:rPr>
        <w:t>RTS1549</w:t>
      </w:r>
      <w:r>
        <w:rPr>
          <w:lang w:eastAsia="en-US"/>
        </w:rPr>
        <w:t>_1&gt;</w:t>
      </w:r>
    </w:p>
    <w:p w14:paraId="64631B8C" w14:textId="77777777" w:rsidR="00014A67" w:rsidRPr="00014A67" w:rsidRDefault="00014A67" w:rsidP="00014A67">
      <w:pPr>
        <w:rPr>
          <w:lang w:eastAsia="en-US"/>
        </w:rPr>
      </w:pPr>
    </w:p>
    <w:p w14:paraId="54760369" w14:textId="680AB545" w:rsidR="00106124" w:rsidRPr="00106124" w:rsidRDefault="00106124" w:rsidP="00177C6B">
      <w:pPr>
        <w:pStyle w:val="Questionstyle"/>
      </w:pPr>
      <w:bookmarkStart w:id="1" w:name="_Hlk35514199"/>
      <w:r w:rsidRPr="00106124">
        <w:t>Do you agree with ESMA’s proposed list of criteria for an extension of authorisation (under Article 15 of EMIR) or would you propose to change/add/delete any of the criteria or specify certain criteria further? Please provide reasons for your answer.</w:t>
      </w:r>
    </w:p>
    <w:p w14:paraId="220149A7" w14:textId="0876F860" w:rsidR="00CC38E9" w:rsidRDefault="00CC38E9" w:rsidP="00CC38E9">
      <w:r>
        <w:t>&lt;ESMA_</w:t>
      </w:r>
      <w:r w:rsidR="00C93A9C">
        <w:t>QUESTION_</w:t>
      </w:r>
      <w:r w:rsidR="00106124">
        <w:t>RTS1549</w:t>
      </w:r>
      <w:r w:rsidR="00C93A9C">
        <w:t>_</w:t>
      </w:r>
      <w:r w:rsidR="00CD3899">
        <w:t>2</w:t>
      </w:r>
      <w:r>
        <w:t>&gt;</w:t>
      </w:r>
    </w:p>
    <w:p w14:paraId="5F259166" w14:textId="77777777" w:rsidR="00F202D5" w:rsidRPr="00E144AB" w:rsidRDefault="00F202D5" w:rsidP="00F202D5">
      <w:pPr>
        <w:jc w:val="both"/>
        <w:rPr>
          <w:rFonts w:ascii="Ebrima" w:eastAsia="Calibri" w:hAnsi="Ebrima"/>
        </w:rPr>
      </w:pPr>
      <w:r>
        <w:rPr>
          <w:rFonts w:ascii="Ebrima" w:eastAsia="Calibri" w:hAnsi="Ebrima"/>
        </w:rPr>
        <w:t xml:space="preserve">Yes, we generally agree with the </w:t>
      </w:r>
      <w:r w:rsidRPr="00E144AB">
        <w:rPr>
          <w:rFonts w:ascii="Ebrima" w:eastAsia="Calibri" w:hAnsi="Ebrima"/>
        </w:rPr>
        <w:t>list of criteria for an extension of authorisation (under Article 15 of EMIR).</w:t>
      </w:r>
      <w:r>
        <w:rPr>
          <w:rFonts w:ascii="Ebrima" w:eastAsia="Calibri" w:hAnsi="Ebrima"/>
        </w:rPr>
        <w:t xml:space="preserve"> </w:t>
      </w:r>
      <w:r w:rsidRPr="00DC60A4">
        <w:rPr>
          <w:rFonts w:ascii="Ebrima" w:eastAsia="Calibri" w:hAnsi="Ebrima"/>
        </w:rPr>
        <w:t>We would however propose the following changes to them</w:t>
      </w:r>
      <w:r w:rsidRPr="00F06604">
        <w:rPr>
          <w:rFonts w:ascii="Ebrima" w:eastAsia="Calibri" w:hAnsi="Ebrima"/>
        </w:rPr>
        <w:t>:</w:t>
      </w:r>
    </w:p>
    <w:p w14:paraId="3F47E792" w14:textId="77777777" w:rsidR="00F202D5" w:rsidRDefault="00F202D5" w:rsidP="00F202D5">
      <w:pPr>
        <w:jc w:val="both"/>
        <w:rPr>
          <w:rFonts w:ascii="Ebrima" w:eastAsia="Calibri" w:hAnsi="Ebrima"/>
        </w:rPr>
      </w:pPr>
    </w:p>
    <w:p w14:paraId="448BACFF" w14:textId="77777777" w:rsidR="00F202D5" w:rsidRPr="00DC60A4" w:rsidRDefault="00F202D5" w:rsidP="00F202D5">
      <w:pPr>
        <w:pStyle w:val="ListParagraph"/>
        <w:numPr>
          <w:ilvl w:val="0"/>
          <w:numId w:val="42"/>
        </w:numPr>
        <w:jc w:val="both"/>
        <w:rPr>
          <w:rFonts w:ascii="Ebrima" w:eastAsia="NSimSun" w:hAnsi="Ebrima" w:cs="Lao UI"/>
          <w:bCs/>
          <w:lang w:eastAsia="es-ES"/>
        </w:rPr>
      </w:pPr>
      <w:r w:rsidRPr="00DC60A4">
        <w:rPr>
          <w:rFonts w:ascii="Ebrima" w:eastAsia="NSimSun" w:hAnsi="Ebrima" w:cs="Lao UI"/>
          <w:b/>
          <w:lang w:eastAsia="es-ES"/>
        </w:rPr>
        <w:t>Exclusion of new contracts to existing market class or new market data</w:t>
      </w:r>
      <w:r w:rsidRPr="00F06604">
        <w:rPr>
          <w:rFonts w:ascii="Ebrima" w:eastAsia="NSimSun" w:hAnsi="Ebrima" w:cs="Lao UI"/>
          <w:bCs/>
          <w:lang w:eastAsia="es-ES"/>
        </w:rPr>
        <w:t xml:space="preserve"> </w:t>
      </w:r>
      <w:r>
        <w:rPr>
          <w:rFonts w:ascii="Ebrima" w:eastAsia="NSimSun" w:hAnsi="Ebrima" w:cs="Lao UI"/>
          <w:bCs/>
          <w:lang w:eastAsia="es-ES"/>
        </w:rPr>
        <w:t xml:space="preserve">– </w:t>
      </w:r>
      <w:r w:rsidRPr="00DC60A4">
        <w:rPr>
          <w:rFonts w:ascii="Ebrima" w:eastAsia="NSimSun" w:hAnsi="Ebrima" w:cs="Lao UI"/>
          <w:bCs/>
          <w:lang w:eastAsia="es-ES"/>
        </w:rPr>
        <w:t>A</w:t>
      </w:r>
      <w:r>
        <w:rPr>
          <w:rFonts w:ascii="Ebrima" w:eastAsia="NSimSun" w:hAnsi="Ebrima" w:cs="Lao UI"/>
          <w:bCs/>
          <w:lang w:eastAsia="es-ES"/>
        </w:rPr>
        <w:t>dding a</w:t>
      </w:r>
      <w:r w:rsidRPr="00DC60A4">
        <w:rPr>
          <w:rFonts w:ascii="Ebrima" w:eastAsia="NSimSun" w:hAnsi="Ebrima" w:cs="Lao UI"/>
          <w:bCs/>
          <w:lang w:eastAsia="es-ES"/>
        </w:rPr>
        <w:t xml:space="preserve"> new contract to an existing market class or new market data </w:t>
      </w:r>
      <w:r>
        <w:rPr>
          <w:rFonts w:ascii="Ebrima" w:eastAsia="NSimSun" w:hAnsi="Ebrima" w:cs="Lao UI"/>
          <w:bCs/>
          <w:lang w:eastAsia="es-ES"/>
        </w:rPr>
        <w:t>should</w:t>
      </w:r>
      <w:r w:rsidRPr="00DC60A4">
        <w:rPr>
          <w:rFonts w:ascii="Ebrima" w:eastAsia="NSimSun" w:hAnsi="Ebrima" w:cs="Lao UI"/>
          <w:bCs/>
          <w:lang w:eastAsia="es-ES"/>
        </w:rPr>
        <w:t xml:space="preserve"> not constitute a service change and therefore we believe that it is important to focus on the nature of the service provided rather than the product itself. </w:t>
      </w:r>
    </w:p>
    <w:p w14:paraId="3D788E20" w14:textId="77777777" w:rsidR="00F202D5" w:rsidRPr="00DC60A4" w:rsidRDefault="00F202D5" w:rsidP="00F202D5">
      <w:pPr>
        <w:pStyle w:val="ListParagraph"/>
        <w:numPr>
          <w:ilvl w:val="0"/>
          <w:numId w:val="42"/>
        </w:numPr>
        <w:jc w:val="both"/>
        <w:rPr>
          <w:rFonts w:ascii="Ebrima" w:eastAsia="NSimSun" w:hAnsi="Ebrima" w:cs="Lao UI"/>
          <w:bCs/>
          <w:lang w:eastAsia="es-ES"/>
        </w:rPr>
      </w:pPr>
      <w:r w:rsidRPr="00DC60A4">
        <w:rPr>
          <w:rFonts w:ascii="Ebrima" w:eastAsia="NSimSun" w:hAnsi="Ebrima" w:cs="Lao UI"/>
          <w:b/>
          <w:lang w:eastAsia="es-ES"/>
        </w:rPr>
        <w:t xml:space="preserve">Exclusion of commodity derivatives </w:t>
      </w:r>
      <w:r>
        <w:rPr>
          <w:rFonts w:ascii="Ebrima" w:eastAsia="NSimSun" w:hAnsi="Ebrima" w:cs="Lao UI"/>
          <w:b/>
          <w:lang w:eastAsia="es-ES"/>
        </w:rPr>
        <w:t>(</w:t>
      </w:r>
      <w:r w:rsidRPr="00DC60A4">
        <w:rPr>
          <w:rFonts w:ascii="Ebrima" w:eastAsia="NSimSun" w:hAnsi="Ebrima" w:cs="Lao UI"/>
          <w:b/>
          <w:lang w:eastAsia="es-ES"/>
        </w:rPr>
        <w:t>Paragraph 10(a)(vii)</w:t>
      </w:r>
      <w:r>
        <w:rPr>
          <w:rFonts w:ascii="Ebrima" w:eastAsia="NSimSun" w:hAnsi="Ebrima" w:cs="Lao UI"/>
          <w:b/>
          <w:lang w:eastAsia="es-ES"/>
        </w:rPr>
        <w:t xml:space="preserve"> or Article 2(a))</w:t>
      </w:r>
      <w:r w:rsidRPr="00DC60A4">
        <w:rPr>
          <w:rFonts w:ascii="Ebrima" w:eastAsia="NSimSun" w:hAnsi="Ebrima" w:cs="Lao UI"/>
          <w:bCs/>
          <w:lang w:eastAsia="es-ES"/>
        </w:rPr>
        <w:t xml:space="preserve"> – </w:t>
      </w:r>
      <w:r>
        <w:rPr>
          <w:rFonts w:ascii="Ebrima" w:eastAsia="NSimSun" w:hAnsi="Ebrima" w:cs="Lao UI"/>
          <w:bCs/>
          <w:lang w:eastAsia="es-ES"/>
        </w:rPr>
        <w:t>W</w:t>
      </w:r>
      <w:r w:rsidRPr="00DC60A4">
        <w:rPr>
          <w:rFonts w:ascii="Ebrima" w:eastAsia="NSimSun" w:hAnsi="Ebrima" w:cs="Lao UI"/>
          <w:bCs/>
          <w:lang w:eastAsia="es-ES"/>
        </w:rPr>
        <w:t>e do</w:t>
      </w:r>
      <w:r>
        <w:rPr>
          <w:rFonts w:ascii="Ebrima" w:eastAsia="NSimSun" w:hAnsi="Ebrima" w:cs="Lao UI"/>
          <w:bCs/>
          <w:lang w:eastAsia="es-ES"/>
        </w:rPr>
        <w:t xml:space="preserve"> not</w:t>
      </w:r>
      <w:r w:rsidRPr="00DC60A4">
        <w:rPr>
          <w:rFonts w:ascii="Ebrima" w:eastAsia="NSimSun" w:hAnsi="Ebrima" w:cs="Lao UI"/>
          <w:bCs/>
          <w:lang w:eastAsia="es-ES"/>
        </w:rPr>
        <w:t xml:space="preserve"> believe that commodity derivatives should be included in the list of instruments that would trigger an Article 15 requirement. New contracts </w:t>
      </w:r>
      <w:r>
        <w:rPr>
          <w:rFonts w:ascii="Ebrima" w:eastAsia="NSimSun" w:hAnsi="Ebrima" w:cs="Lao UI"/>
          <w:bCs/>
          <w:lang w:eastAsia="es-ES"/>
        </w:rPr>
        <w:t xml:space="preserve">in the commodity derivatives space </w:t>
      </w:r>
      <w:r w:rsidRPr="00DC60A4">
        <w:rPr>
          <w:rFonts w:ascii="Ebrima" w:eastAsia="NSimSun" w:hAnsi="Ebrima" w:cs="Lao UI"/>
          <w:bCs/>
          <w:lang w:eastAsia="es-ES"/>
        </w:rPr>
        <w:t xml:space="preserve">appear quite </w:t>
      </w:r>
      <w:r>
        <w:rPr>
          <w:rFonts w:ascii="Ebrima" w:eastAsia="NSimSun" w:hAnsi="Ebrima" w:cs="Lao UI"/>
          <w:bCs/>
          <w:lang w:eastAsia="es-ES"/>
        </w:rPr>
        <w:t>frequently</w:t>
      </w:r>
      <w:r w:rsidRPr="00503C22">
        <w:t xml:space="preserve"> </w:t>
      </w:r>
      <w:r w:rsidRPr="00503C22">
        <w:rPr>
          <w:rFonts w:ascii="Ebrima" w:eastAsia="NSimSun" w:hAnsi="Ebrima" w:cs="Lao UI"/>
          <w:bCs/>
          <w:lang w:eastAsia="es-ES"/>
        </w:rPr>
        <w:t>and are often variants on existing contracts for tailored use</w:t>
      </w:r>
      <w:r>
        <w:rPr>
          <w:rFonts w:ascii="Ebrima" w:eastAsia="NSimSun" w:hAnsi="Ebrima" w:cs="Lao UI"/>
          <w:bCs/>
          <w:lang w:eastAsia="es-ES"/>
        </w:rPr>
        <w:t xml:space="preserve">; Applying Article 15 </w:t>
      </w:r>
      <w:r w:rsidRPr="00DC60A4">
        <w:rPr>
          <w:rFonts w:ascii="Ebrima" w:eastAsia="NSimSun" w:hAnsi="Ebrima" w:cs="Lao UI"/>
          <w:bCs/>
          <w:lang w:eastAsia="es-ES"/>
        </w:rPr>
        <w:t>would result in a an overly burdensome and lengthy regulatory approval process to both NCAs and CCPs.</w:t>
      </w:r>
    </w:p>
    <w:p w14:paraId="54F13325" w14:textId="77777777" w:rsidR="00F202D5" w:rsidRPr="00DC60A4" w:rsidRDefault="00F202D5" w:rsidP="00F202D5">
      <w:pPr>
        <w:pStyle w:val="ListParagraph"/>
        <w:numPr>
          <w:ilvl w:val="0"/>
          <w:numId w:val="42"/>
        </w:numPr>
        <w:jc w:val="both"/>
        <w:rPr>
          <w:rFonts w:ascii="Ebrima" w:eastAsia="Calibri" w:hAnsi="Ebrima"/>
        </w:rPr>
      </w:pPr>
      <w:r w:rsidRPr="00DC60A4">
        <w:rPr>
          <w:rFonts w:ascii="Ebrima" w:eastAsia="NSimSun" w:hAnsi="Ebrima" w:cs="Lao UI"/>
          <w:b/>
          <w:lang w:eastAsia="es-ES"/>
        </w:rPr>
        <w:t>Paragraph 10(c) (Article 2(c))</w:t>
      </w:r>
      <w:r>
        <w:rPr>
          <w:rFonts w:ascii="Ebrima" w:eastAsia="NSimSun" w:hAnsi="Ebrima" w:cs="Lao UI"/>
          <w:bCs/>
          <w:lang w:eastAsia="es-ES"/>
        </w:rPr>
        <w:t xml:space="preserve"> </w:t>
      </w:r>
      <w:r w:rsidRPr="00DC60A4">
        <w:rPr>
          <w:rFonts w:ascii="Ebrima" w:eastAsia="NSimSun" w:hAnsi="Ebrima" w:cs="Lao UI"/>
          <w:bCs/>
          <w:lang w:eastAsia="es-ES"/>
        </w:rPr>
        <w:t xml:space="preserve">– </w:t>
      </w:r>
      <w:r>
        <w:rPr>
          <w:rFonts w:ascii="Ebrima" w:eastAsia="NSimSun" w:hAnsi="Ebrima" w:cs="Lao UI"/>
          <w:bCs/>
          <w:lang w:eastAsia="es-ES"/>
        </w:rPr>
        <w:t>W</w:t>
      </w:r>
      <w:r w:rsidRPr="00DC60A4">
        <w:rPr>
          <w:rFonts w:ascii="Ebrima" w:eastAsia="NSimSun" w:hAnsi="Ebrima" w:cs="Lao UI"/>
          <w:bCs/>
          <w:lang w:eastAsia="es-ES"/>
        </w:rPr>
        <w:t>e do</w:t>
      </w:r>
      <w:r>
        <w:rPr>
          <w:rFonts w:ascii="Ebrima" w:eastAsia="NSimSun" w:hAnsi="Ebrima" w:cs="Lao UI"/>
          <w:bCs/>
          <w:lang w:eastAsia="es-ES"/>
        </w:rPr>
        <w:t xml:space="preserve"> </w:t>
      </w:r>
      <w:r w:rsidRPr="00DC60A4">
        <w:rPr>
          <w:rFonts w:ascii="Ebrima" w:eastAsia="NSimSun" w:hAnsi="Ebrima" w:cs="Lao UI"/>
          <w:bCs/>
          <w:lang w:eastAsia="es-ES"/>
        </w:rPr>
        <w:t>n</w:t>
      </w:r>
      <w:r>
        <w:rPr>
          <w:rFonts w:ascii="Ebrima" w:eastAsia="NSimSun" w:hAnsi="Ebrima" w:cs="Lao UI"/>
          <w:bCs/>
          <w:lang w:eastAsia="es-ES"/>
        </w:rPr>
        <w:t>o</w:t>
      </w:r>
      <w:r w:rsidRPr="00DC60A4">
        <w:rPr>
          <w:rFonts w:ascii="Ebrima" w:eastAsia="NSimSun" w:hAnsi="Ebrima" w:cs="Lao UI"/>
          <w:bCs/>
          <w:lang w:eastAsia="es-ES"/>
        </w:rPr>
        <w:t xml:space="preserve">t believe that this criterion would require an extension of </w:t>
      </w:r>
      <w:r>
        <w:rPr>
          <w:rFonts w:ascii="Ebrima" w:eastAsia="NSimSun" w:hAnsi="Ebrima" w:cs="Lao UI"/>
          <w:bCs/>
          <w:lang w:eastAsia="es-ES"/>
        </w:rPr>
        <w:t>authorization and therefore suggest deleting it</w:t>
      </w:r>
      <w:r w:rsidRPr="00DC60A4">
        <w:rPr>
          <w:rFonts w:ascii="Ebrima" w:eastAsia="NSimSun" w:hAnsi="Ebrima" w:cs="Lao UI"/>
          <w:bCs/>
          <w:lang w:eastAsia="es-ES"/>
        </w:rPr>
        <w:t xml:space="preserve">. </w:t>
      </w:r>
      <w:r>
        <w:rPr>
          <w:rFonts w:ascii="Ebrima" w:eastAsia="NSimSun" w:hAnsi="Ebrima" w:cs="Lao UI"/>
          <w:bCs/>
          <w:lang w:eastAsia="es-ES"/>
        </w:rPr>
        <w:t>The p</w:t>
      </w:r>
      <w:r w:rsidRPr="00DC60A4">
        <w:rPr>
          <w:rFonts w:ascii="Ebrima" w:eastAsia="NSimSun" w:hAnsi="Ebrima" w:cs="Lao UI"/>
          <w:bCs/>
          <w:lang w:eastAsia="es-ES"/>
        </w:rPr>
        <w:t>rovision of additional settlement or payment options will not change the service or risk model of a CCP. Regulatory requirements to add additional settlement and/or payment locations would remain the same no matter the number of settlement locations offered.</w:t>
      </w:r>
    </w:p>
    <w:p w14:paraId="44440442" w14:textId="77777777" w:rsidR="00F202D5" w:rsidRPr="006A3D4E" w:rsidRDefault="00F202D5" w:rsidP="00F202D5">
      <w:pPr>
        <w:numPr>
          <w:ilvl w:val="0"/>
          <w:numId w:val="42"/>
        </w:numPr>
        <w:contextualSpacing/>
        <w:jc w:val="both"/>
        <w:rPr>
          <w:rFonts w:ascii="Ebrima" w:hAnsi="Ebrima"/>
        </w:rPr>
      </w:pPr>
      <w:r w:rsidRPr="00BB6964">
        <w:rPr>
          <w:rFonts w:ascii="Ebrima" w:hAnsi="Ebrima"/>
          <w:b/>
          <w:bCs/>
        </w:rPr>
        <w:t>Paragraph 10(d) (Article 2(d))</w:t>
      </w:r>
      <w:r w:rsidRPr="00BB6964">
        <w:rPr>
          <w:rFonts w:ascii="Ebrima" w:hAnsi="Ebrima"/>
        </w:rPr>
        <w:t xml:space="preserve"> - CCPs clearing FX products would have to go through an authorization process for each new pair of currencies they clear, which does not bring material new risk to the CCP and is impractical. Given representation of </w:t>
      </w:r>
      <w:r>
        <w:rPr>
          <w:rFonts w:ascii="Ebrima" w:hAnsi="Ebrima"/>
        </w:rPr>
        <w:t>central banks of issue (</w:t>
      </w:r>
      <w:r w:rsidRPr="00BB6964">
        <w:rPr>
          <w:rFonts w:ascii="Ebrima" w:hAnsi="Ebrima"/>
        </w:rPr>
        <w:t>CBIs</w:t>
      </w:r>
      <w:r>
        <w:rPr>
          <w:rFonts w:ascii="Ebrima" w:hAnsi="Ebrima"/>
        </w:rPr>
        <w:t>)</w:t>
      </w:r>
      <w:r w:rsidRPr="00BB6964">
        <w:rPr>
          <w:rFonts w:ascii="Ebrima" w:hAnsi="Ebrima"/>
        </w:rPr>
        <w:t xml:space="preserve"> on colleges, one </w:t>
      </w:r>
      <w:r w:rsidRPr="00BB6964">
        <w:rPr>
          <w:rFonts w:ascii="Ebrima" w:hAnsi="Ebrima"/>
        </w:rPr>
        <w:lastRenderedPageBreak/>
        <w:t>other option would be to trigger the extension of authorization only for Union currencies. We would therefore suggest deleting this criterion.</w:t>
      </w:r>
    </w:p>
    <w:p w14:paraId="00642E73" w14:textId="77777777" w:rsidR="00F202D5" w:rsidRDefault="00F202D5" w:rsidP="00F202D5">
      <w:pPr>
        <w:numPr>
          <w:ilvl w:val="0"/>
          <w:numId w:val="42"/>
        </w:numPr>
        <w:contextualSpacing/>
        <w:jc w:val="both"/>
        <w:rPr>
          <w:rFonts w:ascii="Ebrima" w:hAnsi="Ebrima"/>
        </w:rPr>
      </w:pPr>
      <w:r>
        <w:rPr>
          <w:rFonts w:ascii="Ebrima" w:hAnsi="Ebrima"/>
          <w:b/>
          <w:bCs/>
        </w:rPr>
        <w:t>Paragraph 13(b) (Article 3(b))</w:t>
      </w:r>
      <w:r>
        <w:rPr>
          <w:rFonts w:ascii="Ebrima" w:hAnsi="Ebrima"/>
        </w:rPr>
        <w:t xml:space="preserve"> – We believe that the suggested indicators under paragraph 13(b) should be criteria rather than indicators, with the following exception:</w:t>
      </w:r>
    </w:p>
    <w:p w14:paraId="1E56966B" w14:textId="77777777" w:rsidR="00F202D5" w:rsidRDefault="00F202D5" w:rsidP="00F202D5">
      <w:pPr>
        <w:numPr>
          <w:ilvl w:val="0"/>
          <w:numId w:val="42"/>
        </w:numPr>
        <w:contextualSpacing/>
        <w:jc w:val="both"/>
        <w:rPr>
          <w:rFonts w:ascii="Ebrima" w:hAnsi="Ebrima"/>
        </w:rPr>
      </w:pPr>
      <w:r>
        <w:rPr>
          <w:rFonts w:ascii="Ebrima" w:hAnsi="Ebrima"/>
          <w:b/>
          <w:bCs/>
        </w:rPr>
        <w:t>Paragraph 1</w:t>
      </w:r>
      <w:r w:rsidRPr="00612BFB">
        <w:rPr>
          <w:rFonts w:ascii="Ebrima" w:hAnsi="Ebrima"/>
          <w:b/>
          <w:bCs/>
        </w:rPr>
        <w:t>3(b)(</w:t>
      </w:r>
      <w:proofErr w:type="spellStart"/>
      <w:r w:rsidRPr="00612BFB">
        <w:rPr>
          <w:rFonts w:ascii="Ebrima" w:hAnsi="Ebrima"/>
          <w:b/>
          <w:bCs/>
        </w:rPr>
        <w:t>i</w:t>
      </w:r>
      <w:proofErr w:type="spellEnd"/>
      <w:r w:rsidRPr="00612BFB">
        <w:rPr>
          <w:rFonts w:ascii="Ebrima" w:hAnsi="Ebrima"/>
          <w:b/>
          <w:bCs/>
        </w:rPr>
        <w:t>)(ii)</w:t>
      </w:r>
      <w:r w:rsidRPr="00394188">
        <w:rPr>
          <w:rFonts w:ascii="Ebrima" w:hAnsi="Ebrima"/>
          <w:b/>
          <w:bCs/>
        </w:rPr>
        <w:t xml:space="preserve"> (Article 3(b)</w:t>
      </w:r>
      <w:r w:rsidRPr="00464A58">
        <w:rPr>
          <w:rFonts w:ascii="Ebrima" w:hAnsi="Ebrima"/>
          <w:b/>
          <w:bCs/>
        </w:rPr>
        <w:t>(</w:t>
      </w:r>
      <w:proofErr w:type="spellStart"/>
      <w:r w:rsidRPr="00464A58">
        <w:rPr>
          <w:rFonts w:ascii="Ebrima" w:hAnsi="Ebrima"/>
          <w:b/>
          <w:bCs/>
        </w:rPr>
        <w:t>i</w:t>
      </w:r>
      <w:proofErr w:type="spellEnd"/>
      <w:r w:rsidRPr="00464A58">
        <w:rPr>
          <w:rFonts w:ascii="Ebrima" w:hAnsi="Ebrima"/>
          <w:b/>
          <w:bCs/>
        </w:rPr>
        <w:t>)(ii)</w:t>
      </w:r>
      <w:r w:rsidRPr="00394188">
        <w:rPr>
          <w:rFonts w:ascii="Ebrima" w:hAnsi="Ebrima"/>
          <w:b/>
          <w:bCs/>
        </w:rPr>
        <w:t>)</w:t>
      </w:r>
      <w:r w:rsidRPr="006D057D">
        <w:rPr>
          <w:rFonts w:ascii="Ebrima" w:hAnsi="Ebrima"/>
        </w:rPr>
        <w:t xml:space="preserve"> </w:t>
      </w:r>
      <w:r w:rsidRPr="005D6F87">
        <w:rPr>
          <w:rFonts w:ascii="Ebrima" w:hAnsi="Ebrima"/>
        </w:rPr>
        <w:t xml:space="preserve">– </w:t>
      </w:r>
      <w:r>
        <w:rPr>
          <w:rFonts w:ascii="Ebrima" w:hAnsi="Ebrima"/>
        </w:rPr>
        <w:t>N</w:t>
      </w:r>
      <w:r w:rsidRPr="005D6F87">
        <w:rPr>
          <w:rFonts w:ascii="Ebrima" w:hAnsi="Ebrima"/>
        </w:rPr>
        <w:t xml:space="preserve">either the extension of existing service to different time zones nor the extension of working hours would fundamentally change the service. </w:t>
      </w:r>
      <w:r>
        <w:rPr>
          <w:rFonts w:ascii="Ebrima" w:hAnsi="Ebrima"/>
        </w:rPr>
        <w:t>We would therefore suggest deleting this indicator.</w:t>
      </w:r>
    </w:p>
    <w:p w14:paraId="7AD559E4" w14:textId="77777777" w:rsidR="00F202D5" w:rsidRPr="000A218A" w:rsidRDefault="00F202D5" w:rsidP="00F202D5">
      <w:pPr>
        <w:numPr>
          <w:ilvl w:val="0"/>
          <w:numId w:val="42"/>
        </w:numPr>
        <w:contextualSpacing/>
        <w:jc w:val="both"/>
        <w:rPr>
          <w:rFonts w:ascii="Ebrima" w:hAnsi="Ebrima"/>
        </w:rPr>
      </w:pPr>
      <w:r>
        <w:rPr>
          <w:rFonts w:ascii="Ebrima" w:hAnsi="Ebrima"/>
          <w:b/>
          <w:bCs/>
        </w:rPr>
        <w:t>Paragraph 1</w:t>
      </w:r>
      <w:r w:rsidRPr="00612BFB">
        <w:rPr>
          <w:rFonts w:ascii="Ebrima" w:hAnsi="Ebrima"/>
          <w:b/>
          <w:bCs/>
        </w:rPr>
        <w:t>3(</w:t>
      </w:r>
      <w:r>
        <w:rPr>
          <w:rFonts w:ascii="Ebrima" w:hAnsi="Ebrima"/>
          <w:b/>
          <w:bCs/>
        </w:rPr>
        <w:t>d</w:t>
      </w:r>
      <w:r w:rsidRPr="00612BFB">
        <w:rPr>
          <w:rFonts w:ascii="Ebrima" w:hAnsi="Ebrima"/>
          <w:b/>
          <w:bCs/>
        </w:rPr>
        <w:t>)</w:t>
      </w:r>
      <w:r>
        <w:rPr>
          <w:rFonts w:ascii="Ebrima" w:hAnsi="Ebrima"/>
          <w:b/>
          <w:bCs/>
        </w:rPr>
        <w:t xml:space="preserve"> (Article 3(d)</w:t>
      </w:r>
      <w:r w:rsidRPr="00612BFB">
        <w:rPr>
          <w:rFonts w:ascii="Ebrima" w:hAnsi="Ebrima"/>
          <w:b/>
          <w:bCs/>
        </w:rPr>
        <w:t>)</w:t>
      </w:r>
      <w:r w:rsidRPr="005D6F87">
        <w:rPr>
          <w:rFonts w:ascii="Ebrima" w:hAnsi="Ebrima"/>
        </w:rPr>
        <w:t xml:space="preserve"> – </w:t>
      </w:r>
      <w:r>
        <w:rPr>
          <w:rFonts w:ascii="Ebrima" w:hAnsi="Ebrima"/>
        </w:rPr>
        <w:t>A</w:t>
      </w:r>
      <w:r w:rsidRPr="005D6F87">
        <w:rPr>
          <w:rFonts w:ascii="Ebrima" w:hAnsi="Ebrima"/>
        </w:rPr>
        <w:t xml:space="preserve">gain we believe that assuming the process for obtaining prices remains the same, this indicator would not constitute material change to a CCP’s risk model. Also, we view such </w:t>
      </w:r>
      <w:r>
        <w:rPr>
          <w:rFonts w:ascii="Ebrima" w:hAnsi="Ebrima"/>
        </w:rPr>
        <w:t xml:space="preserve">a </w:t>
      </w:r>
      <w:r w:rsidRPr="005D6F87">
        <w:rPr>
          <w:rFonts w:ascii="Ebrima" w:hAnsi="Ebrima"/>
        </w:rPr>
        <w:t>change as falling under Article 49 instead</w:t>
      </w:r>
      <w:r>
        <w:rPr>
          <w:rFonts w:ascii="Ebrima" w:hAnsi="Ebrima"/>
        </w:rPr>
        <w:t>.</w:t>
      </w:r>
    </w:p>
    <w:p w14:paraId="30AE8491" w14:textId="79AADBE7" w:rsidR="00CC38E9" w:rsidRDefault="00CC38E9" w:rsidP="00CC38E9">
      <w:r>
        <w:t>&lt;ESMA_</w:t>
      </w:r>
      <w:r w:rsidR="00C93A9C">
        <w:t>QUESTION_</w:t>
      </w:r>
      <w:r w:rsidR="00106124">
        <w:t>RTS1549</w:t>
      </w:r>
      <w:r w:rsidR="00C93A9C">
        <w:t>_</w:t>
      </w:r>
      <w:r w:rsidR="00CD3899">
        <w:t>2</w:t>
      </w:r>
      <w:r>
        <w:t>&gt;</w:t>
      </w:r>
    </w:p>
    <w:bookmarkEnd w:id="1"/>
    <w:p w14:paraId="25C01A84" w14:textId="77777777" w:rsidR="00CC49EE" w:rsidRPr="00170D44" w:rsidRDefault="00CC49EE" w:rsidP="00170D44">
      <w:pPr>
        <w:rPr>
          <w:b/>
        </w:rPr>
      </w:pPr>
    </w:p>
    <w:p w14:paraId="55C5F080" w14:textId="5C4E9A96" w:rsidR="00CC38E9" w:rsidRPr="00014A67" w:rsidRDefault="00106124" w:rsidP="00953A42">
      <w:pPr>
        <w:pStyle w:val="Questionstyle"/>
      </w:pPr>
      <w:r w:rsidRPr="00106124">
        <w:t>Do you agree with ESMA’s proposed list of indicators for an extension of authorisation (under Article 15 of EMIR) or would you propose to change/add/delete any of the indicators or specify certain indicators further? Please provide reasons for your answer.</w:t>
      </w:r>
    </w:p>
    <w:p w14:paraId="25A84155" w14:textId="13396321" w:rsidR="00CC38E9" w:rsidRDefault="00CC38E9" w:rsidP="00CC38E9">
      <w:r>
        <w:t>&lt;ESMA_</w:t>
      </w:r>
      <w:r w:rsidR="00C93A9C">
        <w:t>QUESTION_</w:t>
      </w:r>
      <w:r w:rsidR="00106124">
        <w:t>RTS1549</w:t>
      </w:r>
      <w:r w:rsidR="00C93A9C">
        <w:t>_</w:t>
      </w:r>
      <w:r w:rsidR="00CD3899">
        <w:t>3</w:t>
      </w:r>
      <w:r>
        <w:t>&gt;</w:t>
      </w:r>
    </w:p>
    <w:p w14:paraId="75FBE8B4" w14:textId="77777777" w:rsidR="00F202D5" w:rsidRPr="00047C0A" w:rsidRDefault="00F202D5" w:rsidP="00F202D5">
      <w:pPr>
        <w:jc w:val="both"/>
        <w:rPr>
          <w:rFonts w:ascii="Ebrima" w:eastAsia="Calibri" w:hAnsi="Ebrima"/>
        </w:rPr>
      </w:pPr>
      <w:r w:rsidRPr="00047C0A">
        <w:rPr>
          <w:rFonts w:ascii="Ebrima" w:eastAsia="Calibri" w:hAnsi="Ebrima"/>
        </w:rPr>
        <w:t xml:space="preserve">No, as indicated in our response to </w:t>
      </w:r>
      <w:r>
        <w:rPr>
          <w:rFonts w:ascii="Ebrima" w:eastAsia="Calibri" w:hAnsi="Ebrima"/>
        </w:rPr>
        <w:t>Q</w:t>
      </w:r>
      <w:r w:rsidRPr="00047C0A">
        <w:rPr>
          <w:rFonts w:ascii="Ebrima" w:eastAsia="Calibri" w:hAnsi="Ebrima"/>
        </w:rPr>
        <w:t>uestion 1, we do not agree with ESMA’s proposed list of indicators for an extension of authorisation (under Article 15 of EMIR).</w:t>
      </w:r>
      <w:r>
        <w:rPr>
          <w:rFonts w:ascii="Ebrima" w:eastAsia="Calibri" w:hAnsi="Ebrima"/>
        </w:rPr>
        <w:t xml:space="preserve"> We would therefore suggest removing all of them and applying</w:t>
      </w:r>
      <w:r w:rsidRPr="00047C0A">
        <w:rPr>
          <w:rFonts w:ascii="Ebrima" w:eastAsia="Calibri" w:hAnsi="Ebrima"/>
        </w:rPr>
        <w:t xml:space="preserve"> the alternative approach proposed in our response to </w:t>
      </w:r>
      <w:r>
        <w:rPr>
          <w:rFonts w:ascii="Ebrima" w:eastAsia="Calibri" w:hAnsi="Ebrima"/>
        </w:rPr>
        <w:t>Q</w:t>
      </w:r>
      <w:r w:rsidRPr="00047C0A">
        <w:rPr>
          <w:rFonts w:ascii="Ebrima" w:eastAsia="Calibri" w:hAnsi="Ebrima"/>
        </w:rPr>
        <w:t>uestion 1</w:t>
      </w:r>
      <w:r w:rsidRPr="00DC60A4">
        <w:rPr>
          <w:rFonts w:ascii="Ebrima" w:eastAsia="Calibri" w:hAnsi="Ebrima"/>
        </w:rPr>
        <w:t>.</w:t>
      </w:r>
    </w:p>
    <w:p w14:paraId="5C1B4A49" w14:textId="77777777" w:rsidR="00F202D5" w:rsidRDefault="00F202D5" w:rsidP="00F202D5">
      <w:pPr>
        <w:jc w:val="both"/>
        <w:rPr>
          <w:rFonts w:ascii="Ebrima" w:eastAsia="Calibri" w:hAnsi="Ebrima"/>
        </w:rPr>
      </w:pPr>
    </w:p>
    <w:p w14:paraId="1DFDA6F7" w14:textId="77777777" w:rsidR="00F202D5" w:rsidRPr="00047C0A" w:rsidRDefault="00F202D5" w:rsidP="00F202D5">
      <w:pPr>
        <w:jc w:val="both"/>
        <w:rPr>
          <w:rFonts w:ascii="Ebrima" w:eastAsia="Calibri" w:hAnsi="Ebrima"/>
        </w:rPr>
      </w:pPr>
      <w:r>
        <w:rPr>
          <w:rFonts w:ascii="Ebrima" w:eastAsia="Calibri" w:hAnsi="Ebrima"/>
        </w:rPr>
        <w:t>If the indicators were to be maintained, w</w:t>
      </w:r>
      <w:r w:rsidRPr="00047C0A">
        <w:rPr>
          <w:rFonts w:ascii="Ebrima" w:eastAsia="Calibri" w:hAnsi="Ebrima"/>
        </w:rPr>
        <w:t xml:space="preserve">e also note that some of the proposed </w:t>
      </w:r>
      <w:r>
        <w:rPr>
          <w:rFonts w:ascii="Ebrima" w:eastAsia="Calibri" w:hAnsi="Ebrima"/>
        </w:rPr>
        <w:t>ones</w:t>
      </w:r>
      <w:r w:rsidRPr="00047C0A">
        <w:rPr>
          <w:rFonts w:ascii="Ebrima" w:eastAsia="Calibri" w:hAnsi="Ebrima"/>
        </w:rPr>
        <w:t xml:space="preserve"> are from our point of view indicators that rather refer to Article 49 than to 15. This is the case for example of:</w:t>
      </w:r>
    </w:p>
    <w:p w14:paraId="26FB2068" w14:textId="77777777" w:rsidR="00F202D5" w:rsidRPr="00DC60A4" w:rsidRDefault="00F202D5" w:rsidP="00F202D5">
      <w:pPr>
        <w:ind w:left="720"/>
        <w:contextualSpacing/>
        <w:jc w:val="both"/>
        <w:rPr>
          <w:rFonts w:ascii="Ebrima" w:hAnsi="Ebrima"/>
        </w:rPr>
      </w:pPr>
    </w:p>
    <w:p w14:paraId="0B1704FC" w14:textId="77777777" w:rsidR="00F202D5" w:rsidRPr="00341BB9" w:rsidRDefault="00F202D5" w:rsidP="00F202D5">
      <w:pPr>
        <w:numPr>
          <w:ilvl w:val="0"/>
          <w:numId w:val="43"/>
        </w:numPr>
        <w:contextualSpacing/>
        <w:jc w:val="both"/>
        <w:rPr>
          <w:rFonts w:ascii="Ebrima" w:hAnsi="Ebrima"/>
        </w:rPr>
      </w:pPr>
      <w:r w:rsidRPr="00341BB9">
        <w:rPr>
          <w:rFonts w:ascii="Ebrima" w:hAnsi="Ebrima"/>
          <w:b/>
          <w:bCs/>
        </w:rPr>
        <w:t xml:space="preserve">Paragraph 13 </w:t>
      </w:r>
      <w:r>
        <w:rPr>
          <w:rFonts w:ascii="Ebrima" w:hAnsi="Ebrima"/>
          <w:b/>
          <w:bCs/>
        </w:rPr>
        <w:t>(Article 3)</w:t>
      </w:r>
      <w:r w:rsidRPr="00341BB9">
        <w:rPr>
          <w:rFonts w:ascii="Ebrima" w:hAnsi="Ebrima"/>
        </w:rPr>
        <w:t xml:space="preserve">- </w:t>
      </w:r>
      <w:r w:rsidRPr="00464A58">
        <w:rPr>
          <w:rFonts w:ascii="Ebrima" w:hAnsi="Ebrima"/>
        </w:rPr>
        <w:t xml:space="preserve">All subpoints from paragraph 13 except for 13(b) </w:t>
      </w:r>
      <w:r w:rsidRPr="009A5871">
        <w:rPr>
          <w:rFonts w:ascii="Ebrima" w:hAnsi="Ebrima"/>
        </w:rPr>
        <w:t xml:space="preserve">with a few exceptions as described in our response to </w:t>
      </w:r>
      <w:r>
        <w:rPr>
          <w:rFonts w:ascii="Ebrima" w:hAnsi="Ebrima"/>
        </w:rPr>
        <w:t xml:space="preserve">Question </w:t>
      </w:r>
      <w:r w:rsidRPr="009A5871">
        <w:rPr>
          <w:rFonts w:ascii="Ebrima" w:hAnsi="Ebrima"/>
        </w:rPr>
        <w:t xml:space="preserve">2 </w:t>
      </w:r>
      <w:r w:rsidRPr="00464A58">
        <w:rPr>
          <w:rFonts w:ascii="Ebrima" w:hAnsi="Ebrima"/>
        </w:rPr>
        <w:t>(which we believe should be a criteri</w:t>
      </w:r>
      <w:r>
        <w:rPr>
          <w:rFonts w:ascii="Ebrima" w:hAnsi="Ebrima"/>
        </w:rPr>
        <w:t>on</w:t>
      </w:r>
      <w:r w:rsidRPr="00464A58">
        <w:rPr>
          <w:rFonts w:ascii="Ebrima" w:hAnsi="Ebrima"/>
        </w:rPr>
        <w:t xml:space="preserve"> under Article 15, rather than an indicator</w:t>
      </w:r>
      <w:r w:rsidRPr="00394188">
        <w:rPr>
          <w:rFonts w:ascii="Ebrima" w:hAnsi="Ebrima"/>
        </w:rPr>
        <w:t>) and 13(e)(</w:t>
      </w:r>
      <w:proofErr w:type="spellStart"/>
      <w:r w:rsidRPr="00394188">
        <w:rPr>
          <w:rFonts w:ascii="Ebrima" w:hAnsi="Ebrima"/>
        </w:rPr>
        <w:t>i</w:t>
      </w:r>
      <w:proofErr w:type="spellEnd"/>
      <w:r w:rsidRPr="00394188">
        <w:rPr>
          <w:rFonts w:ascii="Ebrima" w:hAnsi="Ebrima"/>
        </w:rPr>
        <w:t>) which we believe should be deleted (See below) should be subject to Article 49 proceedings rather than Article 15 (i.e. subpoints a, c, d, e, f).</w:t>
      </w:r>
    </w:p>
    <w:p w14:paraId="0D26EACD" w14:textId="77777777" w:rsidR="00F202D5" w:rsidRPr="00133DED" w:rsidRDefault="00F202D5" w:rsidP="00F202D5">
      <w:pPr>
        <w:numPr>
          <w:ilvl w:val="0"/>
          <w:numId w:val="43"/>
        </w:numPr>
        <w:contextualSpacing/>
        <w:jc w:val="both"/>
        <w:rPr>
          <w:rFonts w:ascii="Ebrima" w:hAnsi="Ebrima"/>
        </w:rPr>
      </w:pPr>
      <w:r w:rsidRPr="00DC60A4">
        <w:rPr>
          <w:rFonts w:ascii="Ebrima" w:hAnsi="Ebrima"/>
          <w:b/>
          <w:bCs/>
        </w:rPr>
        <w:t>Paragraph 13</w:t>
      </w:r>
      <w:r w:rsidRPr="00133DED">
        <w:rPr>
          <w:rFonts w:ascii="Ebrima" w:hAnsi="Ebrima"/>
          <w:b/>
          <w:bCs/>
        </w:rPr>
        <w:t>(e)(</w:t>
      </w:r>
      <w:proofErr w:type="spellStart"/>
      <w:r w:rsidRPr="00DC60A4">
        <w:rPr>
          <w:rFonts w:ascii="Ebrima" w:hAnsi="Ebrima"/>
          <w:b/>
          <w:bCs/>
        </w:rPr>
        <w:t>i</w:t>
      </w:r>
      <w:proofErr w:type="spellEnd"/>
      <w:r w:rsidRPr="00133DED">
        <w:rPr>
          <w:rFonts w:ascii="Ebrima" w:hAnsi="Ebrima"/>
          <w:b/>
          <w:bCs/>
        </w:rPr>
        <w:t>)</w:t>
      </w:r>
      <w:r w:rsidRPr="00394188">
        <w:rPr>
          <w:rFonts w:ascii="Ebrima" w:hAnsi="Ebrima"/>
          <w:b/>
          <w:bCs/>
        </w:rPr>
        <w:t xml:space="preserve"> (Article 3(e)(</w:t>
      </w:r>
      <w:proofErr w:type="spellStart"/>
      <w:r w:rsidRPr="00394188">
        <w:rPr>
          <w:rFonts w:ascii="Ebrima" w:hAnsi="Ebrima"/>
          <w:b/>
          <w:bCs/>
        </w:rPr>
        <w:t>i</w:t>
      </w:r>
      <w:proofErr w:type="spellEnd"/>
      <w:r w:rsidRPr="00394188">
        <w:rPr>
          <w:rFonts w:ascii="Ebrima" w:hAnsi="Ebrima"/>
          <w:b/>
          <w:bCs/>
        </w:rPr>
        <w:t>)</w:t>
      </w:r>
      <w:r>
        <w:rPr>
          <w:rFonts w:ascii="Ebrima" w:hAnsi="Ebrima"/>
          <w:b/>
          <w:bCs/>
        </w:rPr>
        <w:t>)</w:t>
      </w:r>
      <w:r w:rsidRPr="00394188">
        <w:rPr>
          <w:rFonts w:ascii="Ebrima" w:hAnsi="Ebrima"/>
          <w:b/>
          <w:bCs/>
        </w:rPr>
        <w:t xml:space="preserve"> </w:t>
      </w:r>
      <w:r>
        <w:rPr>
          <w:rFonts w:ascii="Ebrima" w:hAnsi="Ebrima"/>
        </w:rPr>
        <w:t xml:space="preserve">- </w:t>
      </w:r>
      <w:r w:rsidRPr="00DC60A4">
        <w:rPr>
          <w:rFonts w:ascii="Ebrima" w:hAnsi="Ebrima"/>
        </w:rPr>
        <w:t xml:space="preserve">‘The extension of the range of maturities, by 50% or more of the longest maturity’ – </w:t>
      </w:r>
      <w:r w:rsidRPr="00133DED">
        <w:rPr>
          <w:rFonts w:ascii="Ebrima" w:hAnsi="Ebrima"/>
        </w:rPr>
        <w:t xml:space="preserve">We believe </w:t>
      </w:r>
      <w:r>
        <w:rPr>
          <w:rFonts w:ascii="Ebrima" w:hAnsi="Ebrima"/>
        </w:rPr>
        <w:t>this s</w:t>
      </w:r>
      <w:r w:rsidRPr="00DC60A4">
        <w:rPr>
          <w:rFonts w:ascii="Ebrima" w:hAnsi="Ebrima"/>
        </w:rPr>
        <w:t>hould not be treated as an extension of authorisation</w:t>
      </w:r>
      <w:r>
        <w:rPr>
          <w:rFonts w:ascii="Ebrima" w:hAnsi="Ebrima"/>
        </w:rPr>
        <w:t xml:space="preserve"> as it is s</w:t>
      </w:r>
      <w:r w:rsidRPr="00DC60A4">
        <w:rPr>
          <w:rFonts w:ascii="Ebrima" w:hAnsi="Ebrima"/>
        </w:rPr>
        <w:t xml:space="preserve">till </w:t>
      </w:r>
      <w:r>
        <w:rPr>
          <w:rFonts w:ascii="Ebrima" w:hAnsi="Ebrima"/>
        </w:rPr>
        <w:t xml:space="preserve">the </w:t>
      </w:r>
      <w:r w:rsidRPr="00DC60A4">
        <w:rPr>
          <w:rFonts w:ascii="Ebrima" w:hAnsi="Ebrima"/>
        </w:rPr>
        <w:t xml:space="preserve">same type of instruments and </w:t>
      </w:r>
      <w:r>
        <w:rPr>
          <w:rFonts w:ascii="Ebrima" w:hAnsi="Ebrima"/>
        </w:rPr>
        <w:t xml:space="preserve">there is </w:t>
      </w:r>
      <w:r w:rsidRPr="00DC60A4">
        <w:rPr>
          <w:rFonts w:ascii="Ebrima" w:hAnsi="Ebrima"/>
        </w:rPr>
        <w:t>no change to routines or processes. In case the extension of maturity will lead to less liquid instruments being cleared, this would potentially be properly reflected in parameters (MPOR scorecard, for example, and potentially higher concentration addons). That is, the change is within the current framework</w:t>
      </w:r>
      <w:r>
        <w:rPr>
          <w:rFonts w:ascii="Ebrima" w:hAnsi="Ebrima"/>
        </w:rPr>
        <w:t>. We therefore believe this criterion should be deleted.</w:t>
      </w:r>
    </w:p>
    <w:p w14:paraId="056BA711" w14:textId="63EBBEBA" w:rsidR="00CC38E9" w:rsidRDefault="00CC38E9" w:rsidP="00CC38E9">
      <w:r>
        <w:t>&lt;ESMA_</w:t>
      </w:r>
      <w:r w:rsidR="00C93A9C">
        <w:t>QUESTION_</w:t>
      </w:r>
      <w:r w:rsidR="00106124">
        <w:t>RTS1549</w:t>
      </w:r>
      <w:r w:rsidR="00C93A9C">
        <w:t>_</w:t>
      </w:r>
      <w:r w:rsidR="00CD3899">
        <w:t>3</w:t>
      </w:r>
      <w:r>
        <w:t>&gt;</w:t>
      </w:r>
    </w:p>
    <w:p w14:paraId="0DF4E5A2" w14:textId="77777777" w:rsidR="00CC38E9" w:rsidRDefault="00CC38E9" w:rsidP="00170D44">
      <w:pPr>
        <w:rPr>
          <w:b/>
        </w:rPr>
      </w:pPr>
    </w:p>
    <w:p w14:paraId="071A4302" w14:textId="0D9C3877" w:rsidR="00014A67" w:rsidRDefault="00014A67" w:rsidP="00177C6B">
      <w:pPr>
        <w:pStyle w:val="Questionstyle"/>
      </w:pPr>
      <w:r>
        <w:t xml:space="preserve">: </w:t>
      </w:r>
      <w:r w:rsidR="00953A42" w:rsidRPr="00106124">
        <w:t>Would you change certain criteria into indicators or vice-versa (under Article 15 of EMIR)? Please provide reasons for your answer</w:t>
      </w:r>
    </w:p>
    <w:p w14:paraId="15895E53" w14:textId="1E72F894"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4</w:t>
      </w:r>
      <w:r>
        <w:rPr>
          <w:lang w:eastAsia="en-US"/>
        </w:rPr>
        <w:t>&gt;</w:t>
      </w:r>
    </w:p>
    <w:p w14:paraId="3DE34606" w14:textId="77777777" w:rsidR="00F202D5" w:rsidRDefault="00F202D5" w:rsidP="00F202D5">
      <w:pPr>
        <w:contextualSpacing/>
        <w:jc w:val="both"/>
        <w:rPr>
          <w:rFonts w:ascii="Ebrima" w:eastAsia="NSimSun" w:hAnsi="Ebrima" w:cs="Lao UI"/>
          <w:lang w:eastAsia="es-ES"/>
        </w:rPr>
      </w:pPr>
      <w:r>
        <w:rPr>
          <w:rFonts w:ascii="Ebrima" w:eastAsia="NSimSun" w:hAnsi="Ebrima" w:cs="Lao UI"/>
          <w:lang w:eastAsia="es-ES"/>
        </w:rPr>
        <w:t>No, we would not change any criteria into indicators because as mentioned, we do not believe that indicators are needed.</w:t>
      </w:r>
    </w:p>
    <w:p w14:paraId="23F8B451" w14:textId="7A1F1C2B" w:rsidR="00014A67"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4</w:t>
      </w:r>
      <w:r>
        <w:rPr>
          <w:lang w:eastAsia="en-US"/>
        </w:rPr>
        <w:t>&gt;</w:t>
      </w:r>
    </w:p>
    <w:p w14:paraId="172A52E2" w14:textId="4D252E21" w:rsidR="003331A2" w:rsidRDefault="003331A2" w:rsidP="00014A67">
      <w:pPr>
        <w:rPr>
          <w:lang w:eastAsia="en-US"/>
        </w:rPr>
      </w:pPr>
    </w:p>
    <w:p w14:paraId="26677C96" w14:textId="6B233CBD" w:rsidR="006B6079" w:rsidRDefault="006B6079" w:rsidP="00014A67">
      <w:pPr>
        <w:rPr>
          <w:lang w:eastAsia="en-US"/>
        </w:rPr>
      </w:pPr>
    </w:p>
    <w:p w14:paraId="41DE0BFB" w14:textId="7E7E769E" w:rsidR="006B6079" w:rsidRDefault="006B6079" w:rsidP="00014A67">
      <w:pPr>
        <w:rPr>
          <w:lang w:eastAsia="en-US"/>
        </w:rPr>
      </w:pPr>
    </w:p>
    <w:p w14:paraId="549994D1" w14:textId="77777777" w:rsidR="006B6079" w:rsidRPr="00014A67" w:rsidRDefault="006B6079" w:rsidP="00014A67">
      <w:pPr>
        <w:rPr>
          <w:lang w:eastAsia="en-US"/>
        </w:rPr>
      </w:pPr>
    </w:p>
    <w:p w14:paraId="4DBA5834" w14:textId="593ACB9F" w:rsidR="00014A67" w:rsidRDefault="007431C5" w:rsidP="00177C6B">
      <w:pPr>
        <w:pStyle w:val="Questionstyle"/>
      </w:pPr>
      <w:r w:rsidRPr="007431C5">
        <w:lastRenderedPageBreak/>
        <w:t>Do you agree with ESMA’s proposed procedures for consulting the college (under Article 15 of EMIR) or would you propose different procedures? Please provide reasons for your answer.</w:t>
      </w:r>
    </w:p>
    <w:p w14:paraId="00D6B443" w14:textId="55B71306"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5</w:t>
      </w:r>
      <w:r>
        <w:rPr>
          <w:lang w:eastAsia="en-US"/>
        </w:rPr>
        <w:t>&gt;</w:t>
      </w:r>
    </w:p>
    <w:p w14:paraId="65566FD5" w14:textId="77777777" w:rsidR="00F202D5" w:rsidRDefault="00F202D5" w:rsidP="00F202D5">
      <w:pPr>
        <w:contextualSpacing/>
        <w:rPr>
          <w:rFonts w:ascii="Ebrima" w:eastAsia="NSimSun" w:hAnsi="Ebrima" w:cs="Lao UI"/>
          <w:lang w:eastAsia="es-ES"/>
        </w:rPr>
      </w:pPr>
      <w:r>
        <w:rPr>
          <w:rFonts w:ascii="Ebrima" w:eastAsia="NSimSun" w:hAnsi="Ebrima" w:cs="Lao UI"/>
          <w:lang w:eastAsia="es-ES"/>
        </w:rPr>
        <w:t>No. Please see our response to Question 1.</w:t>
      </w:r>
    </w:p>
    <w:p w14:paraId="400D204F" w14:textId="77777777" w:rsidR="00F202D5" w:rsidRDefault="00F202D5" w:rsidP="00F202D5">
      <w:pPr>
        <w:contextualSpacing/>
        <w:rPr>
          <w:rFonts w:ascii="Ebrima" w:eastAsia="NSimSun" w:hAnsi="Ebrima" w:cs="Lao UI"/>
          <w:lang w:eastAsia="es-ES"/>
        </w:rPr>
      </w:pPr>
    </w:p>
    <w:p w14:paraId="529D600C" w14:textId="77777777" w:rsidR="00F202D5" w:rsidRDefault="00F202D5" w:rsidP="00F202D5">
      <w:pPr>
        <w:contextualSpacing/>
        <w:jc w:val="both"/>
        <w:rPr>
          <w:rFonts w:ascii="Ebrima" w:eastAsia="NSimSun" w:hAnsi="Ebrima" w:cs="Lao UI"/>
          <w:bCs/>
          <w:lang w:eastAsia="es-ES"/>
        </w:rPr>
      </w:pPr>
      <w:r>
        <w:rPr>
          <w:rFonts w:ascii="Ebrima" w:eastAsia="NSimSun" w:hAnsi="Ebrima" w:cs="Lao UI"/>
          <w:lang w:eastAsia="es-ES"/>
        </w:rPr>
        <w:t>W</w:t>
      </w:r>
      <w:r w:rsidRPr="002B601E">
        <w:rPr>
          <w:rFonts w:ascii="Ebrima" w:eastAsia="NSimSun" w:hAnsi="Ebrima" w:cs="Lao UI"/>
          <w:lang w:eastAsia="es-ES"/>
        </w:rPr>
        <w:t xml:space="preserve">e </w:t>
      </w:r>
      <w:r>
        <w:rPr>
          <w:rFonts w:ascii="Ebrima" w:eastAsia="NSimSun" w:hAnsi="Ebrima" w:cs="Lao UI"/>
          <w:lang w:eastAsia="es-ES"/>
        </w:rPr>
        <w:t xml:space="preserve">also </w:t>
      </w:r>
      <w:r w:rsidRPr="002B601E">
        <w:rPr>
          <w:rFonts w:ascii="Ebrima" w:eastAsia="NSimSun" w:hAnsi="Ebrima" w:cs="Lao UI"/>
          <w:lang w:eastAsia="es-ES"/>
        </w:rPr>
        <w:t>believe interaction with NCAs during the application assessment can sometimes take up to several months. During this time, there are often several individual requests for additional documents to be submitted or review of information already submitted which leads to significant delays in the application assessment. We would therefore urge ESMA to further clarify what should be included in the application assessment in order to improve turnaround time of the entire authorisation process.</w:t>
      </w:r>
    </w:p>
    <w:p w14:paraId="48EE8C5E" w14:textId="1BE40168" w:rsidR="003331A2" w:rsidRPr="00106124" w:rsidRDefault="003331A2" w:rsidP="003331A2">
      <w:pPr>
        <w:rPr>
          <w:lang w:val="fr-FR" w:eastAsia="en-US"/>
        </w:rPr>
      </w:pPr>
      <w:r w:rsidRPr="00106124">
        <w:rPr>
          <w:lang w:val="fr-FR" w:eastAsia="en-US"/>
        </w:rPr>
        <w:t>&lt;ESMA_</w:t>
      </w:r>
      <w:r w:rsidR="00C93A9C" w:rsidRPr="00106124">
        <w:rPr>
          <w:lang w:val="fr-FR" w:eastAsia="en-US"/>
        </w:rPr>
        <w:t>QUESTION_</w:t>
      </w:r>
      <w:r w:rsidR="00106124" w:rsidRPr="00106124">
        <w:rPr>
          <w:lang w:val="fr-FR" w:eastAsia="en-US"/>
        </w:rPr>
        <w:t>RTS1549</w:t>
      </w:r>
      <w:r w:rsidR="00C93A9C" w:rsidRPr="00106124">
        <w:rPr>
          <w:lang w:val="fr-FR" w:eastAsia="en-US"/>
        </w:rPr>
        <w:t>_</w:t>
      </w:r>
      <w:r w:rsidR="00CD3899" w:rsidRPr="00106124">
        <w:rPr>
          <w:lang w:val="fr-FR" w:eastAsia="en-US"/>
        </w:rPr>
        <w:t>5</w:t>
      </w:r>
      <w:r w:rsidRPr="00106124">
        <w:rPr>
          <w:lang w:val="fr-FR" w:eastAsia="en-US"/>
        </w:rPr>
        <w:t>&gt;</w:t>
      </w:r>
    </w:p>
    <w:p w14:paraId="028BCE64" w14:textId="77777777" w:rsidR="003331A2" w:rsidRPr="00106124" w:rsidRDefault="003331A2" w:rsidP="003331A2">
      <w:pPr>
        <w:rPr>
          <w:lang w:val="fr-FR" w:eastAsia="en-US"/>
        </w:rPr>
      </w:pPr>
    </w:p>
    <w:p w14:paraId="48797672" w14:textId="77777777" w:rsidR="00014A67" w:rsidRPr="00106124" w:rsidRDefault="00014A67" w:rsidP="00014A67">
      <w:pPr>
        <w:rPr>
          <w:lang w:val="fr-FR" w:eastAsia="en-US"/>
        </w:rPr>
      </w:pPr>
    </w:p>
    <w:p w14:paraId="76C1BC05" w14:textId="61E60897" w:rsidR="00014A67" w:rsidRDefault="00177C6B" w:rsidP="00177C6B">
      <w:pPr>
        <w:pStyle w:val="Questionstyle"/>
      </w:pPr>
      <w:r w:rsidRPr="00106124">
        <w:t>Do you agree with ESMA’s proposed approach to divide conditions under which changes to the models and parameters are significant (under Article 49 of EMIR) into criteria, which would be subject to a more simplified college consultation procedure, and indicators, which would be subject to a more extensive college consultation procedure, or would you propose a different approach? Please provide reasons for your answer.</w:t>
      </w:r>
    </w:p>
    <w:p w14:paraId="0156FD0A" w14:textId="08A35231" w:rsidR="003331A2" w:rsidRPr="00106124" w:rsidRDefault="003331A2" w:rsidP="003331A2">
      <w:pPr>
        <w:rPr>
          <w:lang w:val="fr-FR" w:eastAsia="en-US"/>
        </w:rPr>
      </w:pPr>
      <w:r w:rsidRPr="00106124">
        <w:rPr>
          <w:lang w:val="fr-FR" w:eastAsia="en-US"/>
        </w:rPr>
        <w:t>&lt;ESMA_</w:t>
      </w:r>
      <w:r w:rsidR="00C93A9C" w:rsidRPr="00106124">
        <w:rPr>
          <w:lang w:val="fr-FR" w:eastAsia="en-US"/>
        </w:rPr>
        <w:t>QUESTION_</w:t>
      </w:r>
      <w:r w:rsidR="00106124" w:rsidRPr="00106124">
        <w:rPr>
          <w:lang w:val="fr-FR" w:eastAsia="en-US"/>
        </w:rPr>
        <w:t>RTS1549</w:t>
      </w:r>
      <w:r w:rsidR="00C93A9C" w:rsidRPr="00106124">
        <w:rPr>
          <w:lang w:val="fr-FR" w:eastAsia="en-US"/>
        </w:rPr>
        <w:t>_</w:t>
      </w:r>
      <w:r w:rsidR="00CD3899" w:rsidRPr="00106124">
        <w:rPr>
          <w:lang w:val="fr-FR" w:eastAsia="en-US"/>
        </w:rPr>
        <w:t>6</w:t>
      </w:r>
      <w:r w:rsidRPr="00106124">
        <w:rPr>
          <w:lang w:val="fr-FR" w:eastAsia="en-US"/>
        </w:rPr>
        <w:t>&gt;</w:t>
      </w:r>
    </w:p>
    <w:p w14:paraId="6AB4609C" w14:textId="77777777" w:rsidR="00F202D5" w:rsidRPr="00440C4A" w:rsidRDefault="00F202D5" w:rsidP="00F202D5">
      <w:pPr>
        <w:jc w:val="both"/>
        <w:rPr>
          <w:rFonts w:ascii="Ebrima" w:eastAsia="Calibri" w:hAnsi="Ebrima"/>
          <w:b/>
          <w:bCs/>
        </w:rPr>
      </w:pPr>
      <w:bookmarkStart w:id="2" w:name="_Hlk55396673"/>
      <w:r w:rsidRPr="00440C4A">
        <w:rPr>
          <w:rFonts w:ascii="Ebrima" w:eastAsia="Calibri" w:hAnsi="Ebrima"/>
          <w:b/>
          <w:bCs/>
        </w:rPr>
        <w:t>EACH disagreement with suggested approach</w:t>
      </w:r>
    </w:p>
    <w:bookmarkEnd w:id="2"/>
    <w:p w14:paraId="24EB254D" w14:textId="77777777" w:rsidR="00F202D5" w:rsidRPr="00440C4A" w:rsidRDefault="00F202D5" w:rsidP="00F202D5">
      <w:pPr>
        <w:jc w:val="both"/>
        <w:rPr>
          <w:rFonts w:ascii="Ebrima" w:eastAsia="Calibri" w:hAnsi="Ebrima"/>
        </w:rPr>
      </w:pPr>
      <w:r w:rsidRPr="00440C4A">
        <w:rPr>
          <w:rFonts w:ascii="Ebrima" w:eastAsia="Calibri" w:hAnsi="Ebrima"/>
        </w:rPr>
        <w:t xml:space="preserve">As indicated in our response to </w:t>
      </w:r>
      <w:r>
        <w:rPr>
          <w:rFonts w:ascii="Ebrima" w:eastAsia="Calibri" w:hAnsi="Ebrima"/>
        </w:rPr>
        <w:t>Q</w:t>
      </w:r>
      <w:r w:rsidRPr="00440C4A">
        <w:rPr>
          <w:rFonts w:ascii="Ebrima" w:eastAsia="Calibri" w:hAnsi="Ebrima"/>
        </w:rPr>
        <w:t>uestion 1 regarding additional services or activities, we respectfully disagree with the proposed approach to divide conditions under which changes to the models and parameters are significant into criteria, which would be subject to a more simplified college consultation procedure, and into indicators, which would be subject to a more extensive college consultation procedure.</w:t>
      </w:r>
    </w:p>
    <w:p w14:paraId="6C02D2A3" w14:textId="77777777" w:rsidR="00F202D5" w:rsidRDefault="00F202D5" w:rsidP="00F202D5">
      <w:pPr>
        <w:jc w:val="both"/>
        <w:rPr>
          <w:rFonts w:ascii="Ebrima" w:eastAsia="Calibri" w:hAnsi="Ebrima"/>
          <w:b/>
          <w:bCs/>
        </w:rPr>
      </w:pPr>
    </w:p>
    <w:p w14:paraId="4357A4FC" w14:textId="77777777" w:rsidR="00F202D5" w:rsidRDefault="00F202D5" w:rsidP="00F202D5">
      <w:pPr>
        <w:jc w:val="both"/>
        <w:rPr>
          <w:rFonts w:ascii="Ebrima" w:eastAsia="Calibri" w:hAnsi="Ebrima"/>
          <w:b/>
          <w:bCs/>
        </w:rPr>
      </w:pPr>
      <w:r w:rsidRPr="00440C4A">
        <w:rPr>
          <w:rFonts w:ascii="Ebrima" w:eastAsia="Calibri" w:hAnsi="Ebrima"/>
          <w:b/>
          <w:bCs/>
        </w:rPr>
        <w:t>Reasons for disagreement</w:t>
      </w:r>
    </w:p>
    <w:p w14:paraId="1461356F" w14:textId="77777777" w:rsidR="00F202D5" w:rsidRDefault="00F202D5" w:rsidP="00F202D5">
      <w:pPr>
        <w:jc w:val="both"/>
        <w:rPr>
          <w:rFonts w:ascii="Ebrima" w:eastAsia="Calibri" w:hAnsi="Ebrima"/>
        </w:rPr>
      </w:pPr>
      <w:r>
        <w:rPr>
          <w:rFonts w:ascii="Ebrima" w:eastAsia="Calibri" w:hAnsi="Ebrima"/>
        </w:rPr>
        <w:t>We have described several reasons for our disagreement to the proposed approach for both Articles 15 and 49 in the section ‘Introduction’ (See above). Those reasons are in summary: complexity of proposed approach; structure of incentives; move from accountability to responsibility; allocation of responsibilities</w:t>
      </w:r>
      <w:r w:rsidRPr="001A786E">
        <w:rPr>
          <w:rFonts w:ascii="Ebrima" w:eastAsia="Calibri" w:hAnsi="Ebrima"/>
        </w:rPr>
        <w:t xml:space="preserve"> </w:t>
      </w:r>
      <w:r>
        <w:rPr>
          <w:rFonts w:ascii="Ebrima" w:eastAsia="Calibri" w:hAnsi="Ebrima"/>
        </w:rPr>
        <w:t>and level-playing field; decreased possibility for risk management opportunities; lack of governance of the proposed approach. Please refer to the section ‘Introduction’ for the details of those reasons.</w:t>
      </w:r>
    </w:p>
    <w:p w14:paraId="704BADA7" w14:textId="77777777" w:rsidR="00F202D5" w:rsidRPr="00E44292" w:rsidRDefault="00F202D5" w:rsidP="00F202D5">
      <w:pPr>
        <w:jc w:val="both"/>
        <w:rPr>
          <w:rFonts w:ascii="Ebrima" w:eastAsia="Calibri" w:hAnsi="Ebrima"/>
        </w:rPr>
      </w:pPr>
    </w:p>
    <w:p w14:paraId="2251C0B4" w14:textId="77777777" w:rsidR="00F202D5" w:rsidRPr="00DC60A4" w:rsidRDefault="00F202D5" w:rsidP="00F202D5">
      <w:pPr>
        <w:jc w:val="both"/>
        <w:rPr>
          <w:rFonts w:ascii="Ebrima" w:eastAsia="Calibri" w:hAnsi="Ebrima"/>
        </w:rPr>
      </w:pPr>
      <w:bookmarkStart w:id="3" w:name="_Hlk55396707"/>
      <w:r w:rsidRPr="00DC60A4">
        <w:rPr>
          <w:rFonts w:ascii="Ebrima" w:eastAsia="Calibri" w:hAnsi="Ebrima"/>
          <w:b/>
          <w:bCs/>
        </w:rPr>
        <w:t>Alternative approach proposed by EACH</w:t>
      </w:r>
    </w:p>
    <w:bookmarkEnd w:id="3"/>
    <w:p w14:paraId="355A758F" w14:textId="77777777" w:rsidR="00F202D5" w:rsidRDefault="00F202D5" w:rsidP="00F202D5">
      <w:pPr>
        <w:contextualSpacing/>
        <w:jc w:val="both"/>
        <w:rPr>
          <w:rFonts w:ascii="Ebrima" w:hAnsi="Ebrima"/>
        </w:rPr>
      </w:pPr>
      <w:r w:rsidRPr="00E44292">
        <w:rPr>
          <w:rFonts w:ascii="Ebrima" w:hAnsi="Ebrima"/>
        </w:rPr>
        <w:t>A</w:t>
      </w:r>
      <w:r>
        <w:rPr>
          <w:rFonts w:ascii="Ebrima" w:hAnsi="Ebrima"/>
        </w:rPr>
        <w:t xml:space="preserve">s proposed in our response to Question 1, we suggest as an </w:t>
      </w:r>
      <w:r w:rsidRPr="00570FAC">
        <w:rPr>
          <w:rFonts w:ascii="Ebrima" w:hAnsi="Ebrima"/>
        </w:rPr>
        <w:t>alternative to reduce the list of criteria to new models and delete the indicators to have a clear and simple process. If the NCA deems the narrow criteria to be met, Art</w:t>
      </w:r>
      <w:r>
        <w:rPr>
          <w:rFonts w:ascii="Ebrima" w:hAnsi="Ebrima"/>
        </w:rPr>
        <w:t>icle 49</w:t>
      </w:r>
      <w:r w:rsidRPr="00570FAC">
        <w:rPr>
          <w:rFonts w:ascii="Ebrima" w:hAnsi="Ebrima"/>
        </w:rPr>
        <w:t xml:space="preserve"> could directly be launched </w:t>
      </w:r>
      <w:r>
        <w:rPr>
          <w:rFonts w:ascii="Ebrima" w:hAnsi="Ebrima"/>
        </w:rPr>
        <w:t xml:space="preserve">and there would be </w:t>
      </w:r>
      <w:r w:rsidRPr="00570FAC">
        <w:rPr>
          <w:rFonts w:ascii="Ebrima" w:hAnsi="Ebrima"/>
        </w:rPr>
        <w:t>no need to consult the college on whether the process should be launched or not.</w:t>
      </w:r>
      <w:r>
        <w:rPr>
          <w:rFonts w:ascii="Ebrima" w:hAnsi="Ebrima"/>
        </w:rPr>
        <w:t xml:space="preserve"> </w:t>
      </w:r>
    </w:p>
    <w:p w14:paraId="6A5CC351" w14:textId="77777777" w:rsidR="00F202D5" w:rsidRDefault="00F202D5" w:rsidP="00F202D5">
      <w:pPr>
        <w:contextualSpacing/>
        <w:jc w:val="both"/>
        <w:rPr>
          <w:rFonts w:ascii="Ebrima" w:hAnsi="Ebrima"/>
        </w:rPr>
      </w:pPr>
    </w:p>
    <w:p w14:paraId="03BDE880" w14:textId="77777777" w:rsidR="00F202D5" w:rsidRDefault="00F202D5" w:rsidP="00F202D5">
      <w:pPr>
        <w:contextualSpacing/>
        <w:jc w:val="both"/>
        <w:rPr>
          <w:rFonts w:ascii="Ebrima" w:eastAsia="Calibri" w:hAnsi="Ebrima"/>
        </w:rPr>
      </w:pPr>
      <w:r>
        <w:rPr>
          <w:rFonts w:ascii="Ebrima" w:hAnsi="Ebrima"/>
        </w:rPr>
        <w:t xml:space="preserve">The list of criteria </w:t>
      </w:r>
      <w:r>
        <w:rPr>
          <w:rFonts w:ascii="Ebrima" w:eastAsia="Calibri" w:hAnsi="Ebrima"/>
        </w:rPr>
        <w:t xml:space="preserve">should be </w:t>
      </w:r>
      <w:r w:rsidRPr="001056E8">
        <w:rPr>
          <w:rFonts w:ascii="Ebrima" w:eastAsia="Calibri" w:hAnsi="Ebrima"/>
        </w:rPr>
        <w:t xml:space="preserve">clear enough for CCPs and their NCAs to be able to make a straight-forward decision without any doubt as to which article shall apply in a given situation and only in some unforeseen, exceptionally complicated and unusual circumstances which can give rise to some doubts on the part of the CCP </w:t>
      </w:r>
      <w:r>
        <w:rPr>
          <w:rFonts w:ascii="Ebrima" w:eastAsia="Calibri" w:hAnsi="Ebrima"/>
        </w:rPr>
        <w:t>and</w:t>
      </w:r>
      <w:r w:rsidRPr="001056E8">
        <w:rPr>
          <w:rFonts w:ascii="Ebrima" w:eastAsia="Calibri" w:hAnsi="Ebrima"/>
        </w:rPr>
        <w:t xml:space="preserve"> the NCA, there should be a quick and easy path for a consultation with </w:t>
      </w:r>
      <w:r w:rsidRPr="009A5871">
        <w:rPr>
          <w:rFonts w:ascii="Ebrima" w:eastAsia="Calibri" w:hAnsi="Ebrima"/>
        </w:rPr>
        <w:t xml:space="preserve">colleges with a leading role of </w:t>
      </w:r>
      <w:r w:rsidRPr="001056E8">
        <w:rPr>
          <w:rFonts w:ascii="Ebrima" w:eastAsia="Calibri" w:hAnsi="Ebrima"/>
        </w:rPr>
        <w:t>ESMA as a centralised organ for answering and collecting all such potential questions.</w:t>
      </w:r>
    </w:p>
    <w:p w14:paraId="278D2375" w14:textId="77777777" w:rsidR="00F202D5" w:rsidRPr="00DC60A4" w:rsidRDefault="00F202D5" w:rsidP="00F202D5">
      <w:pPr>
        <w:ind w:left="720"/>
        <w:contextualSpacing/>
        <w:jc w:val="both"/>
        <w:rPr>
          <w:rFonts w:ascii="Ebrima" w:hAnsi="Ebrima"/>
        </w:rPr>
      </w:pPr>
    </w:p>
    <w:p w14:paraId="6C9618BE" w14:textId="77777777" w:rsidR="00F202D5" w:rsidRPr="005B672C" w:rsidRDefault="00F202D5" w:rsidP="00F202D5">
      <w:pPr>
        <w:contextualSpacing/>
        <w:jc w:val="both"/>
        <w:rPr>
          <w:rFonts w:ascii="Ebrima" w:hAnsi="Ebrima"/>
        </w:rPr>
      </w:pPr>
      <w:r>
        <w:rPr>
          <w:rFonts w:ascii="Ebrima" w:eastAsia="Calibri" w:hAnsi="Ebrima"/>
        </w:rPr>
        <w:lastRenderedPageBreak/>
        <w:t>We suggest that the process to define whether a change to a risk model and parameter is significant, from the date when the CCP provides the application until the time when the decision is taken as to whether the change is significant, should not last more than 30 days.</w:t>
      </w:r>
    </w:p>
    <w:p w14:paraId="554017AD" w14:textId="77777777" w:rsidR="00F202D5" w:rsidRDefault="00F202D5" w:rsidP="00F202D5">
      <w:pPr>
        <w:jc w:val="both"/>
        <w:rPr>
          <w:rFonts w:ascii="Ebrima" w:eastAsia="Calibri" w:hAnsi="Ebrima"/>
          <w:b/>
          <w:bCs/>
        </w:rPr>
      </w:pPr>
    </w:p>
    <w:p w14:paraId="16D91BFF" w14:textId="77777777" w:rsidR="00F202D5" w:rsidRDefault="00F202D5" w:rsidP="00F202D5">
      <w:pPr>
        <w:jc w:val="both"/>
        <w:rPr>
          <w:rFonts w:ascii="Ebrima" w:eastAsia="Calibri" w:hAnsi="Ebrima"/>
        </w:rPr>
      </w:pPr>
      <w:r>
        <w:rPr>
          <w:rFonts w:ascii="Ebrima" w:eastAsia="Calibri" w:hAnsi="Ebrima"/>
        </w:rPr>
        <w:t xml:space="preserve">In applying this alternative approach, we suggest </w:t>
      </w:r>
      <w:r w:rsidRPr="00B06DF5">
        <w:rPr>
          <w:rFonts w:ascii="Ebrima" w:eastAsia="Calibri" w:hAnsi="Ebrima"/>
        </w:rPr>
        <w:t>the following changes not being considered significant:</w:t>
      </w:r>
    </w:p>
    <w:p w14:paraId="2213B871" w14:textId="77777777" w:rsidR="00F202D5" w:rsidRPr="00B06DF5" w:rsidRDefault="00F202D5" w:rsidP="00F202D5">
      <w:pPr>
        <w:jc w:val="both"/>
        <w:rPr>
          <w:rFonts w:ascii="Ebrima" w:eastAsia="Calibri" w:hAnsi="Ebrima"/>
        </w:rPr>
      </w:pPr>
    </w:p>
    <w:p w14:paraId="6997805E" w14:textId="77777777" w:rsidR="00F202D5" w:rsidRPr="00B06DF5" w:rsidRDefault="00F202D5" w:rsidP="00F202D5">
      <w:pPr>
        <w:numPr>
          <w:ilvl w:val="0"/>
          <w:numId w:val="44"/>
        </w:numPr>
        <w:ind w:left="714" w:hanging="357"/>
        <w:jc w:val="both"/>
        <w:rPr>
          <w:rFonts w:ascii="Ebrima" w:hAnsi="Ebrima"/>
        </w:rPr>
      </w:pPr>
      <w:r w:rsidRPr="00E555C3">
        <w:rPr>
          <w:rFonts w:ascii="Ebrima" w:eastAsia="Calibri" w:hAnsi="Ebrima"/>
          <w:b/>
          <w:bCs/>
        </w:rPr>
        <w:t xml:space="preserve">Model inputs </w:t>
      </w:r>
      <w:r>
        <w:rPr>
          <w:rFonts w:ascii="Ebrima" w:eastAsia="Calibri" w:hAnsi="Ebrima"/>
        </w:rPr>
        <w:t xml:space="preserve">- </w:t>
      </w:r>
      <w:r w:rsidRPr="00B06DF5">
        <w:rPr>
          <w:rFonts w:ascii="Ebrima" w:eastAsia="Calibri" w:hAnsi="Ebrima"/>
        </w:rPr>
        <w:t>Model inputs have a different governance processes than those applied to models, and as such should not be classified as significant when they chang</w:t>
      </w:r>
      <w:r>
        <w:rPr>
          <w:rFonts w:ascii="Ebrima" w:eastAsia="Calibri" w:hAnsi="Ebrima"/>
        </w:rPr>
        <w:t xml:space="preserve">e. </w:t>
      </w:r>
      <w:r w:rsidRPr="00CF6001">
        <w:rPr>
          <w:rFonts w:ascii="Ebrima" w:eastAsia="Calibri" w:hAnsi="Ebrima"/>
          <w:b/>
          <w:bCs/>
        </w:rPr>
        <w:t>In paragraph</w:t>
      </w:r>
      <w:r w:rsidRPr="00CF6001">
        <w:rPr>
          <w:rFonts w:ascii="Ebrima" w:hAnsi="Ebrima"/>
          <w:b/>
          <w:bCs/>
        </w:rPr>
        <w:t xml:space="preserve"> 26</w:t>
      </w:r>
      <w:r>
        <w:rPr>
          <w:rFonts w:ascii="Ebrima" w:hAnsi="Ebrima"/>
          <w:b/>
          <w:bCs/>
        </w:rPr>
        <w:t>(</w:t>
      </w:r>
      <w:r w:rsidRPr="00CF6001">
        <w:rPr>
          <w:rFonts w:ascii="Ebrima" w:hAnsi="Ebrima"/>
          <w:b/>
          <w:bCs/>
        </w:rPr>
        <w:t>d</w:t>
      </w:r>
      <w:r>
        <w:rPr>
          <w:rFonts w:ascii="Ebrima" w:hAnsi="Ebrima"/>
          <w:b/>
          <w:bCs/>
        </w:rPr>
        <w:t>)(</w:t>
      </w:r>
      <w:r w:rsidRPr="00CF6001">
        <w:rPr>
          <w:rFonts w:ascii="Ebrima" w:hAnsi="Ebrima"/>
          <w:b/>
          <w:bCs/>
        </w:rPr>
        <w:t>v</w:t>
      </w:r>
      <w:r>
        <w:rPr>
          <w:rFonts w:ascii="Ebrima" w:hAnsi="Ebrima"/>
          <w:b/>
          <w:bCs/>
        </w:rPr>
        <w:t>)</w:t>
      </w:r>
      <w:r w:rsidRPr="00CF6001">
        <w:rPr>
          <w:rFonts w:ascii="Ebrima" w:hAnsi="Ebrima"/>
        </w:rPr>
        <w:t xml:space="preserve"> </w:t>
      </w:r>
      <w:r>
        <w:rPr>
          <w:rFonts w:ascii="Ebrima" w:hAnsi="Ebrima"/>
        </w:rPr>
        <w:t xml:space="preserve">(Article 8(d)) </w:t>
      </w:r>
      <w:r w:rsidRPr="00696DDB">
        <w:rPr>
          <w:rFonts w:ascii="Ebrima" w:hAnsi="Ebrima"/>
        </w:rPr>
        <w:t xml:space="preserve">ESMA suggests that data used as input to risk models, operational or organizational developments linked to the change should be considered as significant risk models. EACH </w:t>
      </w:r>
      <w:r>
        <w:rPr>
          <w:rFonts w:ascii="Ebrima" w:hAnsi="Ebrima"/>
        </w:rPr>
        <w:t>highlights</w:t>
      </w:r>
      <w:r w:rsidRPr="00696DDB">
        <w:rPr>
          <w:rFonts w:ascii="Ebrima" w:hAnsi="Ebrima"/>
        </w:rPr>
        <w:t xml:space="preserve"> that inputs are an important part of the functioning and use of models</w:t>
      </w:r>
      <w:r>
        <w:rPr>
          <w:rFonts w:ascii="Ebrima" w:hAnsi="Ebrima"/>
        </w:rPr>
        <w:t>:</w:t>
      </w:r>
      <w:r w:rsidRPr="00696DDB">
        <w:rPr>
          <w:rFonts w:ascii="Ebrima" w:hAnsi="Ebrima"/>
        </w:rPr>
        <w:t xml:space="preserve"> </w:t>
      </w:r>
      <w:r w:rsidRPr="00D0643E">
        <w:rPr>
          <w:rFonts w:ascii="Ebrima" w:hAnsi="Ebrima"/>
        </w:rPr>
        <w:t>Inputs vary per type of model and are typically related to data on financial contracts (e.g. price, volatility, returns, etc.). For instance, in option pricing models the volatility is a key input. Similarly, in default fund models or stress testing, extreme but plausible scenarios deliver the necessary input for sizing, allocation and review.</w:t>
      </w:r>
      <w:r w:rsidRPr="00696DDB">
        <w:rPr>
          <w:rFonts w:ascii="Ebrima" w:hAnsi="Ebrima"/>
        </w:rPr>
        <w:t xml:space="preserve"> Notably, however, inputs expand beyond price-related information. For example, the economic sector classification of the underlying assets of a contract can be an input for wrong-way risk and cross-margining models. In either case, model inputs have different governance processes than those applied to models, and as such should not be classified as significant when they change.</w:t>
      </w:r>
    </w:p>
    <w:p w14:paraId="742494A0" w14:textId="77777777" w:rsidR="00F202D5" w:rsidRPr="00B06DF5" w:rsidRDefault="00F202D5" w:rsidP="00F202D5">
      <w:pPr>
        <w:numPr>
          <w:ilvl w:val="0"/>
          <w:numId w:val="44"/>
        </w:numPr>
        <w:ind w:left="714" w:hanging="357"/>
        <w:jc w:val="both"/>
        <w:rPr>
          <w:rFonts w:ascii="Ebrima" w:eastAsia="Calibri" w:hAnsi="Ebrima"/>
        </w:rPr>
      </w:pPr>
      <w:r w:rsidRPr="00E555C3">
        <w:rPr>
          <w:rFonts w:ascii="Ebrima" w:eastAsia="Calibri" w:hAnsi="Ebrima"/>
          <w:b/>
          <w:bCs/>
        </w:rPr>
        <w:t xml:space="preserve">Alternations to model outputs </w:t>
      </w:r>
      <w:r>
        <w:rPr>
          <w:rFonts w:ascii="Ebrima" w:eastAsia="Calibri" w:hAnsi="Ebrima"/>
        </w:rPr>
        <w:t xml:space="preserve">- </w:t>
      </w:r>
      <w:r w:rsidRPr="00B06DF5">
        <w:rPr>
          <w:rFonts w:ascii="Ebrima" w:eastAsia="Calibri" w:hAnsi="Ebrima"/>
        </w:rPr>
        <w:t>Alterations to model outputs should not be considered as indicators for a significant model change, as they are the materialization of the input transformation performed by models.</w:t>
      </w:r>
    </w:p>
    <w:p w14:paraId="3A66AF58" w14:textId="77777777" w:rsidR="00F202D5" w:rsidRPr="00B06DF5" w:rsidRDefault="00F202D5" w:rsidP="00F202D5">
      <w:pPr>
        <w:numPr>
          <w:ilvl w:val="0"/>
          <w:numId w:val="44"/>
        </w:numPr>
        <w:ind w:left="714" w:hanging="357"/>
        <w:jc w:val="both"/>
        <w:rPr>
          <w:rFonts w:ascii="Ebrima" w:eastAsia="Calibri" w:hAnsi="Ebrima"/>
        </w:rPr>
      </w:pPr>
      <w:r w:rsidRPr="00E555C3">
        <w:rPr>
          <w:rFonts w:ascii="Ebrima" w:eastAsia="Calibri" w:hAnsi="Ebrima"/>
          <w:b/>
          <w:bCs/>
        </w:rPr>
        <w:t xml:space="preserve">Changes that make the model </w:t>
      </w:r>
      <w:r>
        <w:rPr>
          <w:rFonts w:ascii="Ebrima" w:eastAsia="Calibri" w:hAnsi="Ebrima"/>
          <w:b/>
          <w:bCs/>
        </w:rPr>
        <w:t xml:space="preserve">conservative </w:t>
      </w:r>
      <w:r w:rsidRPr="00E555C3">
        <w:rPr>
          <w:rFonts w:ascii="Ebrima" w:eastAsia="Calibri" w:hAnsi="Ebrima"/>
          <w:b/>
          <w:bCs/>
        </w:rPr>
        <w:t xml:space="preserve">beyond EMIR legislation </w:t>
      </w:r>
      <w:r>
        <w:rPr>
          <w:rFonts w:ascii="Ebrima" w:eastAsia="Calibri" w:hAnsi="Ebrima"/>
        </w:rPr>
        <w:t xml:space="preserve">- </w:t>
      </w:r>
      <w:r w:rsidRPr="00B06DF5">
        <w:rPr>
          <w:rFonts w:ascii="Ebrima" w:eastAsia="Calibri" w:hAnsi="Ebrima"/>
        </w:rPr>
        <w:t>In the cases where a change to a model or parameter leads to making the model more con</w:t>
      </w:r>
      <w:r>
        <w:rPr>
          <w:rFonts w:ascii="Ebrima" w:eastAsia="Calibri" w:hAnsi="Ebrima"/>
        </w:rPr>
        <w:t>servative</w:t>
      </w:r>
      <w:r w:rsidRPr="00B06DF5">
        <w:rPr>
          <w:rFonts w:ascii="Ebrima" w:eastAsia="Calibri" w:hAnsi="Ebrima"/>
        </w:rPr>
        <w:t xml:space="preserve">, rather than less, </w:t>
      </w:r>
      <w:r>
        <w:rPr>
          <w:rFonts w:ascii="Ebrima" w:eastAsia="Calibri" w:hAnsi="Ebrima"/>
        </w:rPr>
        <w:t xml:space="preserve">as compared to the standards in the EMIR legislation, </w:t>
      </w:r>
      <w:r w:rsidRPr="00B06DF5">
        <w:rPr>
          <w:rFonts w:ascii="Ebrima" w:eastAsia="Calibri" w:hAnsi="Ebrima"/>
        </w:rPr>
        <w:t>a process for significant change should not be triggered, as the model will by definition be more robust than in its previous form.</w:t>
      </w:r>
    </w:p>
    <w:p w14:paraId="10618821" w14:textId="77777777" w:rsidR="00F202D5" w:rsidRDefault="00F202D5" w:rsidP="00F202D5">
      <w:pPr>
        <w:numPr>
          <w:ilvl w:val="0"/>
          <w:numId w:val="44"/>
        </w:numPr>
        <w:ind w:left="714" w:hanging="357"/>
        <w:jc w:val="both"/>
        <w:rPr>
          <w:rFonts w:ascii="Ebrima" w:eastAsia="Calibri" w:hAnsi="Ebrima"/>
        </w:rPr>
      </w:pPr>
      <w:r w:rsidRPr="00E555C3">
        <w:rPr>
          <w:rFonts w:ascii="Ebrima" w:eastAsia="Calibri" w:hAnsi="Ebrima"/>
          <w:b/>
          <w:bCs/>
        </w:rPr>
        <w:t>Business as usual (‘BAU’) changes to models and parameters</w:t>
      </w:r>
      <w:r w:rsidRPr="00B06DF5">
        <w:rPr>
          <w:rFonts w:ascii="Ebrima" w:eastAsia="Calibri" w:hAnsi="Ebrima"/>
        </w:rPr>
        <w:t xml:space="preserve"> </w:t>
      </w:r>
      <w:r>
        <w:rPr>
          <w:rFonts w:ascii="Ebrima" w:eastAsia="Calibri" w:hAnsi="Ebrima"/>
        </w:rPr>
        <w:t xml:space="preserve">– BAU changes to models and parameters </w:t>
      </w:r>
      <w:r w:rsidRPr="00B06DF5">
        <w:rPr>
          <w:rFonts w:ascii="Ebrima" w:eastAsia="Calibri" w:hAnsi="Ebrima"/>
        </w:rPr>
        <w:t>should not be considered significant. If these would have been deemed significant during the COVID-19 market stress, CCPs would have been unable to adapt to such stress in due course and perform robustly as they did. We suggest as an alternative that emergency BAU changes are only analysed in detail after its implementation</w:t>
      </w:r>
      <w:r>
        <w:rPr>
          <w:rFonts w:ascii="Ebrima" w:eastAsia="Calibri" w:hAnsi="Ebrima"/>
        </w:rPr>
        <w:t>:</w:t>
      </w:r>
    </w:p>
    <w:p w14:paraId="08B02692" w14:textId="77777777" w:rsidR="00F202D5" w:rsidRDefault="00F202D5" w:rsidP="00F202D5">
      <w:pPr>
        <w:numPr>
          <w:ilvl w:val="1"/>
          <w:numId w:val="44"/>
        </w:numPr>
        <w:jc w:val="both"/>
        <w:rPr>
          <w:rFonts w:ascii="Ebrima" w:eastAsia="Calibri" w:hAnsi="Ebrima"/>
        </w:rPr>
      </w:pPr>
      <w:r w:rsidRPr="00E555C3">
        <w:rPr>
          <w:rFonts w:ascii="Ebrima" w:eastAsia="Calibri" w:hAnsi="Ebrima"/>
          <w:b/>
          <w:bCs/>
        </w:rPr>
        <w:t>Article 7(a)</w:t>
      </w:r>
      <w:r w:rsidRPr="00494A2E">
        <w:rPr>
          <w:rFonts w:ascii="Ebrima" w:eastAsia="Calibri" w:hAnsi="Ebrima"/>
        </w:rPr>
        <w:t xml:space="preserve"> – </w:t>
      </w:r>
      <w:r>
        <w:rPr>
          <w:rFonts w:ascii="Ebrima" w:eastAsia="Calibri" w:hAnsi="Ebrima"/>
        </w:rPr>
        <w:t xml:space="preserve">regarding the proposed </w:t>
      </w:r>
      <w:r w:rsidRPr="00494A2E">
        <w:rPr>
          <w:rFonts w:ascii="Ebrima" w:eastAsia="Calibri" w:hAnsi="Ebrima"/>
        </w:rPr>
        <w:t xml:space="preserve">decrease/increase of the total pre-funded resources greater than +/- 10%, we observe that the materiality of the proposed threshold is actually very low and could be triggered during the CCP risk management activity, currently qualified as </w:t>
      </w:r>
      <w:r>
        <w:rPr>
          <w:rFonts w:ascii="Ebrima" w:eastAsia="Calibri" w:hAnsi="Ebrima"/>
        </w:rPr>
        <w:t>BAU</w:t>
      </w:r>
      <w:r w:rsidRPr="00494A2E">
        <w:rPr>
          <w:rFonts w:ascii="Ebrima" w:eastAsia="Calibri" w:hAnsi="Ebrima"/>
        </w:rPr>
        <w:t>.</w:t>
      </w:r>
      <w:r>
        <w:rPr>
          <w:rFonts w:ascii="Ebrima" w:eastAsia="Calibri" w:hAnsi="Ebrima"/>
        </w:rPr>
        <w:t xml:space="preserve"> </w:t>
      </w:r>
      <w:r w:rsidRPr="00494A2E">
        <w:rPr>
          <w:rFonts w:ascii="Ebrima" w:eastAsia="Calibri" w:hAnsi="Ebrima"/>
        </w:rPr>
        <w:t>This activity should not, in our opinion be considered a significant change to the model, as it is already included in the relevant CCP governance arrangements. Moreover, it should be considered that in period</w:t>
      </w:r>
      <w:r>
        <w:rPr>
          <w:rFonts w:ascii="Ebrima" w:eastAsia="Calibri" w:hAnsi="Ebrima"/>
        </w:rPr>
        <w:t>s</w:t>
      </w:r>
      <w:r w:rsidRPr="00494A2E">
        <w:rPr>
          <w:rFonts w:ascii="Ebrima" w:eastAsia="Calibri" w:hAnsi="Ebrima"/>
        </w:rPr>
        <w:t xml:space="preserve"> of market stress the CCP should retain the ability to address the necessary changes to model parameters promptly.</w:t>
      </w:r>
    </w:p>
    <w:p w14:paraId="68C45493" w14:textId="77777777" w:rsidR="00F202D5" w:rsidRPr="00E555C3" w:rsidRDefault="00F202D5" w:rsidP="00F202D5">
      <w:pPr>
        <w:numPr>
          <w:ilvl w:val="1"/>
          <w:numId w:val="44"/>
        </w:numPr>
        <w:jc w:val="both"/>
        <w:rPr>
          <w:rFonts w:ascii="Ebrima" w:eastAsia="NSimSun" w:hAnsi="Ebrima" w:cs="Lao UI"/>
          <w:bCs/>
          <w:lang w:eastAsia="es-ES"/>
        </w:rPr>
      </w:pPr>
      <w:r w:rsidRPr="00E555C3">
        <w:rPr>
          <w:rFonts w:ascii="Ebrima" w:eastAsia="Calibri" w:hAnsi="Ebrima"/>
          <w:b/>
          <w:bCs/>
        </w:rPr>
        <w:t>Article</w:t>
      </w:r>
      <w:r w:rsidRPr="00BF598A">
        <w:rPr>
          <w:rFonts w:ascii="Ebrima" w:eastAsia="NSimSun" w:hAnsi="Ebrima" w:cs="Lao UI"/>
          <w:b/>
          <w:lang w:eastAsia="es-ES"/>
        </w:rPr>
        <w:t xml:space="preserve"> 6(j))</w:t>
      </w:r>
      <w:r w:rsidRPr="00866FBE">
        <w:rPr>
          <w:rFonts w:ascii="Ebrima" w:eastAsia="NSimSun" w:hAnsi="Ebrima" w:cs="Lao UI"/>
          <w:bCs/>
          <w:lang w:eastAsia="es-ES"/>
        </w:rPr>
        <w:t xml:space="preserve"> </w:t>
      </w:r>
      <w:r>
        <w:rPr>
          <w:rFonts w:ascii="Ebrima" w:eastAsia="NSimSun" w:hAnsi="Ebrima" w:cs="Lao UI"/>
          <w:bCs/>
          <w:lang w:eastAsia="es-ES"/>
        </w:rPr>
        <w:t xml:space="preserve">– </w:t>
      </w:r>
      <w:r w:rsidRPr="00866FBE">
        <w:rPr>
          <w:rFonts w:ascii="Ebrima" w:eastAsia="NSimSun" w:hAnsi="Ebrima" w:cs="Lao UI"/>
          <w:bCs/>
          <w:lang w:eastAsia="es-ES"/>
        </w:rPr>
        <w:t>we</w:t>
      </w:r>
      <w:r>
        <w:rPr>
          <w:rFonts w:ascii="Ebrima" w:eastAsia="NSimSun" w:hAnsi="Ebrima" w:cs="Lao UI"/>
          <w:bCs/>
          <w:lang w:eastAsia="es-ES"/>
        </w:rPr>
        <w:t xml:space="preserve"> </w:t>
      </w:r>
      <w:r w:rsidRPr="00866FBE">
        <w:rPr>
          <w:rFonts w:ascii="Ebrima" w:eastAsia="NSimSun" w:hAnsi="Ebrima" w:cs="Lao UI"/>
          <w:bCs/>
          <w:lang w:eastAsia="es-ES"/>
        </w:rPr>
        <w:t xml:space="preserve">note that, such requirements can result in the inability of CCPs to make key decisions relating </w:t>
      </w:r>
      <w:r>
        <w:rPr>
          <w:rFonts w:ascii="Ebrima" w:eastAsia="NSimSun" w:hAnsi="Ebrima" w:cs="Lao UI"/>
          <w:bCs/>
          <w:lang w:eastAsia="es-ES"/>
        </w:rPr>
        <w:t xml:space="preserve">to </w:t>
      </w:r>
      <w:r w:rsidRPr="00866FBE">
        <w:rPr>
          <w:rFonts w:ascii="Ebrima" w:eastAsia="NSimSun" w:hAnsi="Ebrima" w:cs="Lao UI"/>
          <w:bCs/>
          <w:lang w:eastAsia="es-ES"/>
        </w:rPr>
        <w:t>its risk models thereby limiting their powers</w:t>
      </w:r>
      <w:r>
        <w:rPr>
          <w:rFonts w:ascii="Ebrima" w:eastAsia="NSimSun" w:hAnsi="Ebrima" w:cs="Lao UI"/>
          <w:bCs/>
          <w:lang w:eastAsia="es-ES"/>
        </w:rPr>
        <w:t xml:space="preserve"> and therefore they should also be considered as business as usual.</w:t>
      </w:r>
    </w:p>
    <w:p w14:paraId="4EED8BAE" w14:textId="77777777" w:rsidR="00F202D5" w:rsidRDefault="00F202D5" w:rsidP="00F202D5">
      <w:pPr>
        <w:numPr>
          <w:ilvl w:val="0"/>
          <w:numId w:val="44"/>
        </w:numPr>
        <w:jc w:val="both"/>
        <w:rPr>
          <w:rFonts w:ascii="Ebrima" w:hAnsi="Ebrima"/>
        </w:rPr>
      </w:pPr>
      <w:r w:rsidRPr="00E555C3">
        <w:rPr>
          <w:rFonts w:ascii="Ebrima" w:eastAsia="NSimSun" w:hAnsi="Ebrima" w:cs="Lao UI"/>
          <w:b/>
          <w:lang w:eastAsia="es-ES"/>
        </w:rPr>
        <w:t xml:space="preserve">Changes that do not have a material effect on the overall CCP risk profiles </w:t>
      </w:r>
      <w:r>
        <w:rPr>
          <w:rFonts w:ascii="Ebrima" w:eastAsia="NSimSun" w:hAnsi="Ebrima" w:cs="Lao UI"/>
          <w:b/>
          <w:lang w:eastAsia="es-ES"/>
        </w:rPr>
        <w:t>(</w:t>
      </w:r>
      <w:r w:rsidRPr="00E555C3">
        <w:rPr>
          <w:rFonts w:ascii="Ebrima" w:eastAsia="NSimSun" w:hAnsi="Ebrima" w:cs="Lao UI"/>
          <w:b/>
          <w:lang w:eastAsia="es-ES"/>
        </w:rPr>
        <w:t>Article 7(</w:t>
      </w:r>
      <w:r>
        <w:rPr>
          <w:rFonts w:ascii="Ebrima" w:eastAsia="NSimSun" w:hAnsi="Ebrima" w:cs="Lao UI"/>
          <w:b/>
          <w:lang w:eastAsia="es-ES"/>
        </w:rPr>
        <w:t>g</w:t>
      </w:r>
      <w:r w:rsidRPr="00E555C3">
        <w:rPr>
          <w:rFonts w:ascii="Ebrima" w:eastAsia="NSimSun" w:hAnsi="Ebrima" w:cs="Lao UI"/>
          <w:b/>
          <w:lang w:eastAsia="es-ES"/>
        </w:rPr>
        <w:t>)</w:t>
      </w:r>
      <w:r>
        <w:rPr>
          <w:rFonts w:ascii="Ebrima" w:eastAsia="NSimSun" w:hAnsi="Ebrima" w:cs="Lao UI"/>
          <w:b/>
          <w:lang w:eastAsia="es-ES"/>
        </w:rPr>
        <w:t>)</w:t>
      </w:r>
      <w:r w:rsidRPr="00494A2E">
        <w:rPr>
          <w:rFonts w:ascii="Ebrima" w:eastAsia="NSimSun" w:hAnsi="Ebrima" w:cs="Lao UI"/>
          <w:bCs/>
          <w:lang w:eastAsia="es-ES"/>
        </w:rPr>
        <w:t xml:space="preserve"> </w:t>
      </w:r>
      <w:r>
        <w:rPr>
          <w:rFonts w:ascii="Ebrima" w:eastAsia="NSimSun" w:hAnsi="Ebrima" w:cs="Lao UI"/>
          <w:bCs/>
          <w:lang w:eastAsia="es-ES"/>
        </w:rPr>
        <w:t xml:space="preserve">– Changes should be material in relation </w:t>
      </w:r>
      <w:r w:rsidRPr="00494A2E">
        <w:rPr>
          <w:rFonts w:ascii="Ebrima" w:eastAsia="NSimSun" w:hAnsi="Ebrima" w:cs="Lao UI"/>
          <w:bCs/>
          <w:lang w:eastAsia="es-ES"/>
        </w:rPr>
        <w:t>to their impact on the overall margin modules</w:t>
      </w:r>
      <w:r w:rsidRPr="00D93F5E">
        <w:rPr>
          <w:rFonts w:ascii="Ebrima" w:eastAsia="NSimSun" w:hAnsi="Ebrima" w:cs="Lao UI"/>
          <w:bCs/>
          <w:lang w:eastAsia="es-ES"/>
        </w:rPr>
        <w:t xml:space="preserve"> (</w:t>
      </w:r>
      <w:r w:rsidRPr="00D93F5E">
        <w:rPr>
          <w:rFonts w:ascii="Ebrima" w:eastAsia="Calibri" w:hAnsi="Ebrima"/>
        </w:rPr>
        <w:t>e.g. an increase of a Clearing Member’s contribution to the Default Fund from EUR 0.5 million to EUR 0.</w:t>
      </w:r>
      <w:r w:rsidRPr="0028143E">
        <w:rPr>
          <w:rFonts w:ascii="Ebrima" w:eastAsia="Calibri" w:hAnsi="Ebrima"/>
        </w:rPr>
        <w:t>8</w:t>
      </w:r>
      <w:r w:rsidRPr="001F7240">
        <w:rPr>
          <w:rFonts w:ascii="Ebrima" w:eastAsia="Calibri" w:hAnsi="Ebrima"/>
        </w:rPr>
        <w:t xml:space="preserve"> </w:t>
      </w:r>
      <w:r w:rsidRPr="00D93F5E">
        <w:rPr>
          <w:rFonts w:ascii="Ebrima" w:eastAsia="Calibri" w:hAnsi="Ebrima"/>
        </w:rPr>
        <w:t xml:space="preserve">million, within a Default Fund size of EUR 200 million, would be a very negligible change that should not trigger </w:t>
      </w:r>
      <w:r w:rsidRPr="0028143E">
        <w:rPr>
          <w:rFonts w:ascii="Ebrima" w:eastAsia="Calibri" w:hAnsi="Ebrima"/>
        </w:rPr>
        <w:t>an Article 49</w:t>
      </w:r>
      <w:r w:rsidRPr="001F7240">
        <w:rPr>
          <w:rFonts w:ascii="Ebrima" w:eastAsia="Calibri" w:hAnsi="Ebrima"/>
        </w:rPr>
        <w:t>,</w:t>
      </w:r>
      <w:r w:rsidRPr="00D93F5E">
        <w:rPr>
          <w:rFonts w:ascii="Ebrima" w:eastAsia="Calibri" w:hAnsi="Ebrima"/>
        </w:rPr>
        <w:t xml:space="preserve"> even though it may represent more than a 5</w:t>
      </w:r>
      <w:r w:rsidRPr="0028143E">
        <w:rPr>
          <w:rFonts w:ascii="Ebrima" w:eastAsia="Calibri" w:hAnsi="Ebrima"/>
        </w:rPr>
        <w:t>0</w:t>
      </w:r>
      <w:r w:rsidRPr="001F7240">
        <w:rPr>
          <w:rFonts w:ascii="Ebrima" w:eastAsia="Calibri" w:hAnsi="Ebrima"/>
        </w:rPr>
        <w:t>% variation</w:t>
      </w:r>
      <w:r w:rsidRPr="00D93F5E">
        <w:rPr>
          <w:rFonts w:ascii="Ebrima" w:eastAsia="Calibri" w:hAnsi="Ebrima"/>
        </w:rPr>
        <w:t xml:space="preserve"> </w:t>
      </w:r>
      <w:r w:rsidRPr="001F7240">
        <w:rPr>
          <w:rFonts w:ascii="Ebrima" w:eastAsia="Calibri" w:hAnsi="Ebrima"/>
        </w:rPr>
        <w:t>of the default fund contribution of that Clearing Member)</w:t>
      </w:r>
      <w:r w:rsidRPr="001F7240">
        <w:rPr>
          <w:rFonts w:ascii="Ebrima" w:eastAsia="NSimSun" w:hAnsi="Ebrima" w:cs="Lao UI"/>
          <w:bCs/>
          <w:lang w:eastAsia="es-ES"/>
        </w:rPr>
        <w:t>.</w:t>
      </w:r>
    </w:p>
    <w:p w14:paraId="0A146ADB" w14:textId="77777777" w:rsidR="00F202D5" w:rsidRDefault="00F202D5" w:rsidP="00F202D5">
      <w:pPr>
        <w:ind w:left="720"/>
        <w:jc w:val="both"/>
        <w:rPr>
          <w:rFonts w:ascii="Ebrima" w:eastAsia="NSimSun" w:hAnsi="Ebrima" w:cs="Lao UI"/>
          <w:b/>
          <w:lang w:eastAsia="es-ES"/>
        </w:rPr>
      </w:pPr>
      <w:r w:rsidRPr="001A786E">
        <w:rPr>
          <w:rFonts w:ascii="Ebrima" w:eastAsia="NSimSun" w:hAnsi="Ebrima" w:cs="Lao UI"/>
          <w:bCs/>
          <w:lang w:eastAsia="es-ES"/>
        </w:rPr>
        <w:lastRenderedPageBreak/>
        <w:br/>
      </w:r>
      <w:r>
        <w:rPr>
          <w:rFonts w:ascii="Ebrima" w:eastAsia="NSimSun" w:hAnsi="Ebrima" w:cs="Lao UI"/>
          <w:bCs/>
          <w:lang w:eastAsia="es-ES"/>
        </w:rPr>
        <w:t xml:space="preserve">In a similar vein to the above, </w:t>
      </w:r>
      <w:r w:rsidRPr="00BC4484">
        <w:rPr>
          <w:rFonts w:ascii="Ebrima" w:eastAsia="NSimSun" w:hAnsi="Ebrima" w:cs="Lao UI"/>
          <w:bCs/>
          <w:lang w:eastAsia="es-ES"/>
        </w:rPr>
        <w:t xml:space="preserve">the impact on margin requirements </w:t>
      </w:r>
      <w:r>
        <w:rPr>
          <w:rFonts w:ascii="Ebrima" w:eastAsia="NSimSun" w:hAnsi="Ebrima" w:cs="Lao UI"/>
          <w:bCs/>
          <w:lang w:eastAsia="es-ES"/>
        </w:rPr>
        <w:t xml:space="preserve">referred to under </w:t>
      </w:r>
      <w:r w:rsidRPr="00BC4484">
        <w:rPr>
          <w:rFonts w:ascii="Ebrima" w:eastAsia="NSimSun" w:hAnsi="Ebrima" w:cs="Lao UI"/>
          <w:bCs/>
          <w:lang w:eastAsia="es-ES"/>
        </w:rPr>
        <w:t>Article 7(e) should be evaluated on the level of asset class instead of the level of clearing member.</w:t>
      </w:r>
    </w:p>
    <w:p w14:paraId="4C540277" w14:textId="77777777" w:rsidR="00F202D5" w:rsidRDefault="00F202D5" w:rsidP="00F202D5">
      <w:pPr>
        <w:ind w:left="720"/>
        <w:jc w:val="both"/>
        <w:rPr>
          <w:rFonts w:ascii="Ebrima" w:eastAsia="NSimSun" w:hAnsi="Ebrima" w:cs="Lao UI"/>
          <w:b/>
          <w:lang w:eastAsia="es-ES"/>
        </w:rPr>
      </w:pPr>
    </w:p>
    <w:p w14:paraId="4DEF5DD4" w14:textId="77777777" w:rsidR="00F202D5" w:rsidRDefault="00F202D5" w:rsidP="00F202D5">
      <w:pPr>
        <w:ind w:left="720"/>
        <w:jc w:val="both"/>
        <w:rPr>
          <w:rFonts w:ascii="Ebrima" w:eastAsia="NSimSun" w:hAnsi="Ebrima" w:cs="Lao UI"/>
          <w:bCs/>
          <w:lang w:eastAsia="es-ES"/>
        </w:rPr>
      </w:pPr>
      <w:r>
        <w:rPr>
          <w:rFonts w:ascii="Ebrima" w:eastAsia="NSimSun" w:hAnsi="Ebrima" w:cs="Lao UI"/>
          <w:bCs/>
          <w:lang w:eastAsia="es-ES"/>
        </w:rPr>
        <w:t>The</w:t>
      </w:r>
      <w:r w:rsidRPr="00494A2E">
        <w:rPr>
          <w:rFonts w:ascii="Ebrima" w:eastAsia="NSimSun" w:hAnsi="Ebrima" w:cs="Lao UI"/>
          <w:bCs/>
          <w:lang w:eastAsia="es-ES"/>
        </w:rPr>
        <w:t xml:space="preserve"> need to promptly change the parameters may also be driven by back test results and procyclicality analysis. In both cases, we deem that the CCP should retain the </w:t>
      </w:r>
      <w:r>
        <w:rPr>
          <w:rFonts w:ascii="Ebrima" w:eastAsia="NSimSun" w:hAnsi="Ebrima" w:cs="Lao UI"/>
          <w:bCs/>
          <w:lang w:eastAsia="es-ES"/>
        </w:rPr>
        <w:t>ability</w:t>
      </w:r>
      <w:r w:rsidRPr="00494A2E">
        <w:rPr>
          <w:rFonts w:ascii="Ebrima" w:eastAsia="NSimSun" w:hAnsi="Ebrima" w:cs="Lao UI"/>
          <w:bCs/>
          <w:lang w:eastAsia="es-ES"/>
        </w:rPr>
        <w:t xml:space="preserve"> to promptly amend risk parameters, at least for risk mitigation and anti-procyclicality reasons.</w:t>
      </w:r>
    </w:p>
    <w:p w14:paraId="72EF7C9B" w14:textId="77777777" w:rsidR="00F202D5" w:rsidRPr="001501B3" w:rsidRDefault="00F202D5" w:rsidP="00F202D5">
      <w:pPr>
        <w:ind w:left="720"/>
        <w:jc w:val="both"/>
        <w:rPr>
          <w:rFonts w:ascii="Ebrima" w:eastAsia="NSimSun" w:hAnsi="Ebrima" w:cs="Lao UI"/>
          <w:bCs/>
          <w:lang w:eastAsia="es-ES"/>
        </w:rPr>
      </w:pPr>
    </w:p>
    <w:p w14:paraId="688C4A68" w14:textId="77777777" w:rsidR="00F202D5" w:rsidRDefault="00F202D5" w:rsidP="00F202D5">
      <w:pPr>
        <w:pStyle w:val="ListParagraph"/>
        <w:numPr>
          <w:ilvl w:val="0"/>
          <w:numId w:val="44"/>
        </w:numPr>
        <w:jc w:val="both"/>
        <w:rPr>
          <w:rFonts w:ascii="Ebrima" w:eastAsia="NSimSun" w:hAnsi="Ebrima" w:cs="Lao UI"/>
          <w:bCs/>
          <w:lang w:eastAsia="es-ES"/>
        </w:rPr>
      </w:pPr>
      <w:r w:rsidRPr="00E555C3">
        <w:rPr>
          <w:rFonts w:ascii="Ebrima" w:eastAsia="NSimSun" w:hAnsi="Ebrima" w:cs="Lao UI"/>
          <w:b/>
          <w:lang w:eastAsia="es-ES"/>
        </w:rPr>
        <w:t>Changes that do not lead to a different level of credit risk (Article 7(</w:t>
      </w:r>
      <w:proofErr w:type="spellStart"/>
      <w:r w:rsidRPr="00E555C3">
        <w:rPr>
          <w:rFonts w:ascii="Ebrima" w:eastAsia="NSimSun" w:hAnsi="Ebrima" w:cs="Lao UI"/>
          <w:b/>
          <w:lang w:eastAsia="es-ES"/>
        </w:rPr>
        <w:t>i</w:t>
      </w:r>
      <w:proofErr w:type="spellEnd"/>
      <w:r w:rsidRPr="00E555C3">
        <w:rPr>
          <w:rFonts w:ascii="Ebrima" w:eastAsia="NSimSun" w:hAnsi="Ebrima" w:cs="Lao UI"/>
          <w:b/>
          <w:lang w:eastAsia="es-ES"/>
        </w:rPr>
        <w:t>))</w:t>
      </w:r>
      <w:r>
        <w:rPr>
          <w:rFonts w:ascii="Ebrima" w:eastAsia="NSimSun" w:hAnsi="Ebrima" w:cs="Lao UI"/>
          <w:bCs/>
          <w:lang w:eastAsia="es-ES"/>
        </w:rPr>
        <w:t xml:space="preserve"> –</w:t>
      </w:r>
      <w:r w:rsidRPr="00494A2E">
        <w:rPr>
          <w:rFonts w:ascii="Ebrima" w:eastAsia="NSimSun" w:hAnsi="Ebrima" w:cs="Lao UI"/>
          <w:bCs/>
          <w:lang w:eastAsia="es-ES"/>
        </w:rPr>
        <w:t xml:space="preserve"> </w:t>
      </w:r>
      <w:r>
        <w:rPr>
          <w:rFonts w:ascii="Ebrima" w:eastAsia="NSimSun" w:hAnsi="Ebrima" w:cs="Lao UI"/>
          <w:bCs/>
          <w:lang w:eastAsia="es-ES"/>
        </w:rPr>
        <w:t>W</w:t>
      </w:r>
      <w:r w:rsidRPr="00494A2E">
        <w:rPr>
          <w:rFonts w:ascii="Ebrima" w:eastAsia="NSimSun" w:hAnsi="Ebrima" w:cs="Lao UI"/>
          <w:bCs/>
          <w:lang w:eastAsia="es-ES"/>
        </w:rPr>
        <w:t>e</w:t>
      </w:r>
      <w:r>
        <w:rPr>
          <w:rFonts w:ascii="Ebrima" w:eastAsia="NSimSun" w:hAnsi="Ebrima" w:cs="Lao UI"/>
          <w:bCs/>
          <w:lang w:eastAsia="es-ES"/>
        </w:rPr>
        <w:t xml:space="preserve"> </w:t>
      </w:r>
      <w:r w:rsidRPr="00494A2E">
        <w:rPr>
          <w:rFonts w:ascii="Ebrima" w:eastAsia="NSimSun" w:hAnsi="Ebrima" w:cs="Lao UI"/>
          <w:bCs/>
          <w:lang w:eastAsia="es-ES"/>
        </w:rPr>
        <w:t>believe that an Article 49 requirement should only be triggered if the new issuer introduces a different level of credit risk. If the level of credit risk is not changed then we would consider such changes business as usual</w:t>
      </w:r>
      <w:r>
        <w:rPr>
          <w:rFonts w:ascii="Ebrima" w:eastAsia="NSimSun" w:hAnsi="Ebrima" w:cs="Lao UI"/>
          <w:bCs/>
          <w:lang w:eastAsia="es-ES"/>
        </w:rPr>
        <w:t xml:space="preserve"> </w:t>
      </w:r>
    </w:p>
    <w:p w14:paraId="690F5A9C" w14:textId="77777777" w:rsidR="00F202D5" w:rsidRDefault="00F202D5" w:rsidP="00F202D5">
      <w:pPr>
        <w:jc w:val="both"/>
        <w:rPr>
          <w:rFonts w:ascii="Ebrima" w:eastAsia="Calibri" w:hAnsi="Ebrima"/>
        </w:rPr>
      </w:pPr>
    </w:p>
    <w:p w14:paraId="0D1402EB" w14:textId="77777777" w:rsidR="00F202D5" w:rsidRPr="007A4045" w:rsidRDefault="00F202D5" w:rsidP="00F202D5">
      <w:pPr>
        <w:jc w:val="both"/>
        <w:rPr>
          <w:rFonts w:ascii="Ebrima" w:eastAsia="NSimSun" w:hAnsi="Ebrima" w:cs="Lao UI"/>
          <w:bCs/>
          <w:lang w:eastAsia="es-ES"/>
        </w:rPr>
      </w:pPr>
      <w:r w:rsidRPr="00B06DF5">
        <w:rPr>
          <w:rFonts w:ascii="Ebrima" w:eastAsia="Calibri" w:hAnsi="Ebrima"/>
        </w:rPr>
        <w:t>We also suggest that new guidance on significant model changes should be targeted at the processing kernel of models, as changes to the specification and implementation of model kernels could have a significant impact in the levels of model risk</w:t>
      </w:r>
    </w:p>
    <w:p w14:paraId="10C7D38B" w14:textId="76A9C0BC" w:rsidR="003331A2" w:rsidRPr="00106124" w:rsidRDefault="003331A2" w:rsidP="003331A2">
      <w:pPr>
        <w:rPr>
          <w:lang w:val="fr-FR" w:eastAsia="en-US"/>
        </w:rPr>
      </w:pPr>
      <w:r w:rsidRPr="00106124">
        <w:rPr>
          <w:lang w:val="fr-FR" w:eastAsia="en-US"/>
        </w:rPr>
        <w:t>&lt;ESMA_</w:t>
      </w:r>
      <w:r w:rsidR="00C93A9C" w:rsidRPr="00106124">
        <w:rPr>
          <w:lang w:val="fr-FR" w:eastAsia="en-US"/>
        </w:rPr>
        <w:t>QUESTION_</w:t>
      </w:r>
      <w:r w:rsidR="00106124" w:rsidRPr="00106124">
        <w:rPr>
          <w:lang w:val="fr-FR" w:eastAsia="en-US"/>
        </w:rPr>
        <w:t>RTS1549</w:t>
      </w:r>
      <w:r w:rsidR="00C93A9C" w:rsidRPr="00106124">
        <w:rPr>
          <w:lang w:val="fr-FR" w:eastAsia="en-US"/>
        </w:rPr>
        <w:t>_</w:t>
      </w:r>
      <w:r w:rsidR="00CD3899" w:rsidRPr="00106124">
        <w:rPr>
          <w:lang w:val="fr-FR" w:eastAsia="en-US"/>
        </w:rPr>
        <w:t>6</w:t>
      </w:r>
      <w:r w:rsidRPr="00106124">
        <w:rPr>
          <w:lang w:val="fr-FR" w:eastAsia="en-US"/>
        </w:rPr>
        <w:t>&gt;</w:t>
      </w:r>
    </w:p>
    <w:p w14:paraId="5D0B2C88" w14:textId="77777777" w:rsidR="003331A2" w:rsidRPr="00106124" w:rsidRDefault="003331A2" w:rsidP="003331A2">
      <w:pPr>
        <w:rPr>
          <w:lang w:val="fr-FR" w:eastAsia="en-US"/>
        </w:rPr>
      </w:pPr>
    </w:p>
    <w:p w14:paraId="10B85555" w14:textId="77777777" w:rsidR="00014A67" w:rsidRPr="00106124" w:rsidRDefault="00014A67" w:rsidP="00014A67">
      <w:pPr>
        <w:rPr>
          <w:lang w:val="fr-FR" w:eastAsia="en-US"/>
        </w:rPr>
      </w:pPr>
    </w:p>
    <w:p w14:paraId="0AAE59AD" w14:textId="7FB3B177" w:rsidR="00014A67" w:rsidRDefault="00177C6B" w:rsidP="00177C6B">
      <w:pPr>
        <w:pStyle w:val="Questionstyle"/>
      </w:pPr>
      <w:r w:rsidRPr="00106124">
        <w:t>Do you agree with ESMA’s proposed list of criteria for significant changes to the models and parameters (under Article 49 of EMIR) or would you propose to change/add/delete any of the criteria or specify certain criteria further? Please provide reasons for your answer.</w:t>
      </w:r>
    </w:p>
    <w:p w14:paraId="5DB2F360" w14:textId="53543FDE" w:rsidR="003331A2" w:rsidRPr="00106124" w:rsidRDefault="003331A2" w:rsidP="003331A2">
      <w:pPr>
        <w:rPr>
          <w:lang w:val="fr-FR" w:eastAsia="en-US"/>
        </w:rPr>
      </w:pPr>
      <w:r w:rsidRPr="00106124">
        <w:rPr>
          <w:lang w:val="fr-FR" w:eastAsia="en-US"/>
        </w:rPr>
        <w:t>&lt;ESMA_</w:t>
      </w:r>
      <w:r w:rsidR="00C93A9C" w:rsidRPr="00106124">
        <w:rPr>
          <w:lang w:val="fr-FR" w:eastAsia="en-US"/>
        </w:rPr>
        <w:t>QUESTION_</w:t>
      </w:r>
      <w:r w:rsidR="00106124" w:rsidRPr="00106124">
        <w:rPr>
          <w:lang w:val="fr-FR" w:eastAsia="en-US"/>
        </w:rPr>
        <w:t>RTS1549</w:t>
      </w:r>
      <w:r w:rsidR="00C93A9C" w:rsidRPr="00106124">
        <w:rPr>
          <w:lang w:val="fr-FR" w:eastAsia="en-US"/>
        </w:rPr>
        <w:t>_</w:t>
      </w:r>
      <w:r w:rsidR="00CD3899" w:rsidRPr="00106124">
        <w:rPr>
          <w:lang w:val="fr-FR" w:eastAsia="en-US"/>
        </w:rPr>
        <w:t>7</w:t>
      </w:r>
      <w:r w:rsidRPr="00106124">
        <w:rPr>
          <w:lang w:val="fr-FR" w:eastAsia="en-US"/>
        </w:rPr>
        <w:t>&gt;</w:t>
      </w:r>
    </w:p>
    <w:p w14:paraId="526C6DED" w14:textId="77777777" w:rsidR="00F202D5" w:rsidRDefault="00F202D5" w:rsidP="00F202D5">
      <w:pPr>
        <w:jc w:val="both"/>
        <w:rPr>
          <w:rFonts w:ascii="Ebrima" w:eastAsia="NSimSun" w:hAnsi="Ebrima" w:cs="Lao UI"/>
          <w:b/>
          <w:bCs/>
          <w:lang w:eastAsia="es-ES"/>
        </w:rPr>
      </w:pPr>
      <w:r w:rsidRPr="00DB4005">
        <w:rPr>
          <w:rFonts w:ascii="Ebrima" w:eastAsia="NSimSun" w:hAnsi="Ebrima" w:cs="Lao UI"/>
          <w:b/>
          <w:bCs/>
          <w:lang w:eastAsia="es-ES"/>
        </w:rPr>
        <w:t xml:space="preserve">EACH </w:t>
      </w:r>
      <w:r>
        <w:rPr>
          <w:rFonts w:ascii="Ebrima" w:eastAsia="NSimSun" w:hAnsi="Ebrima" w:cs="Lao UI"/>
          <w:b/>
          <w:bCs/>
          <w:lang w:eastAsia="es-ES"/>
        </w:rPr>
        <w:t xml:space="preserve">comments on the </w:t>
      </w:r>
      <w:r w:rsidRPr="00DB4005">
        <w:rPr>
          <w:rFonts w:ascii="Ebrima" w:eastAsia="NSimSun" w:hAnsi="Ebrima" w:cs="Lao UI"/>
          <w:b/>
          <w:bCs/>
          <w:lang w:eastAsia="es-ES"/>
        </w:rPr>
        <w:t>suggested approach</w:t>
      </w:r>
    </w:p>
    <w:p w14:paraId="24C207CC" w14:textId="77777777" w:rsidR="00F202D5" w:rsidRPr="00E144AB" w:rsidRDefault="00F202D5" w:rsidP="00F202D5">
      <w:pPr>
        <w:jc w:val="both"/>
        <w:rPr>
          <w:rFonts w:ascii="Ebrima" w:eastAsia="Calibri" w:hAnsi="Ebrima"/>
        </w:rPr>
      </w:pPr>
      <w:r>
        <w:rPr>
          <w:rFonts w:ascii="Ebrima" w:eastAsia="Calibri" w:hAnsi="Ebrima"/>
        </w:rPr>
        <w:t xml:space="preserve">Yes, we generally agree with the </w:t>
      </w:r>
      <w:r w:rsidRPr="00E144AB">
        <w:rPr>
          <w:rFonts w:ascii="Ebrima" w:eastAsia="Calibri" w:hAnsi="Ebrima"/>
        </w:rPr>
        <w:t xml:space="preserve">list of criteria for </w:t>
      </w:r>
      <w:r>
        <w:rPr>
          <w:rFonts w:ascii="Ebrima" w:eastAsia="Calibri" w:hAnsi="Ebrima"/>
        </w:rPr>
        <w:t>significant changes to the models and param</w:t>
      </w:r>
      <w:r w:rsidRPr="00E06B9C">
        <w:rPr>
          <w:rFonts w:ascii="Ebrima" w:eastAsia="Calibri" w:hAnsi="Ebrima"/>
        </w:rPr>
        <w:t xml:space="preserve">eters </w:t>
      </w:r>
      <w:r w:rsidRPr="009C261E">
        <w:rPr>
          <w:rFonts w:ascii="Ebrima" w:eastAsia="Calibri" w:hAnsi="Ebrima"/>
        </w:rPr>
        <w:t>(under Article 49 of EMIR).</w:t>
      </w:r>
      <w:r>
        <w:rPr>
          <w:rFonts w:ascii="Ebrima" w:eastAsia="Calibri" w:hAnsi="Ebrima"/>
        </w:rPr>
        <w:t xml:space="preserve"> In addition to the points highlighted in Question 6, w</w:t>
      </w:r>
      <w:r w:rsidRPr="00DC60A4">
        <w:rPr>
          <w:rFonts w:ascii="Ebrima" w:eastAsia="Calibri" w:hAnsi="Ebrima"/>
        </w:rPr>
        <w:t xml:space="preserve">e would however propose the following changes to </w:t>
      </w:r>
      <w:r>
        <w:rPr>
          <w:rFonts w:ascii="Ebrima" w:eastAsia="Calibri" w:hAnsi="Ebrima"/>
        </w:rPr>
        <w:t>criteria approach suggested in the consultation</w:t>
      </w:r>
      <w:r w:rsidRPr="00E06B9C">
        <w:rPr>
          <w:rFonts w:ascii="Ebrima" w:eastAsia="Calibri" w:hAnsi="Ebrima"/>
        </w:rPr>
        <w:t>:</w:t>
      </w:r>
    </w:p>
    <w:p w14:paraId="42B1E9C3" w14:textId="77777777" w:rsidR="00F202D5" w:rsidRPr="00DC60A4" w:rsidRDefault="00F202D5" w:rsidP="00F202D5">
      <w:pPr>
        <w:jc w:val="both"/>
        <w:rPr>
          <w:rFonts w:ascii="Ebrima" w:eastAsia="NSimSun" w:hAnsi="Ebrima" w:cs="Lao UI"/>
          <w:lang w:eastAsia="es-ES"/>
        </w:rPr>
      </w:pPr>
    </w:p>
    <w:p w14:paraId="3E61B0B6" w14:textId="77777777" w:rsidR="00F202D5" w:rsidRPr="00394188" w:rsidRDefault="00F202D5" w:rsidP="00F202D5">
      <w:pPr>
        <w:pStyle w:val="ListParagraph"/>
        <w:numPr>
          <w:ilvl w:val="0"/>
          <w:numId w:val="45"/>
        </w:numPr>
        <w:jc w:val="both"/>
        <w:rPr>
          <w:rFonts w:ascii="Ebrima" w:eastAsia="NSimSun" w:hAnsi="Ebrima" w:cs="Lao UI"/>
          <w:lang w:eastAsia="es-ES"/>
        </w:rPr>
      </w:pPr>
      <w:r w:rsidRPr="00DC60A4">
        <w:rPr>
          <w:rFonts w:ascii="Ebrima" w:eastAsia="NSimSun" w:hAnsi="Ebrima" w:cs="Lao UI"/>
          <w:b/>
          <w:bCs/>
          <w:lang w:eastAsia="es-ES"/>
        </w:rPr>
        <w:t xml:space="preserve">Paragraph 23 (Article </w:t>
      </w:r>
      <w:r>
        <w:rPr>
          <w:rFonts w:ascii="Ebrima" w:eastAsia="NSimSun" w:hAnsi="Ebrima" w:cs="Lao UI"/>
          <w:b/>
          <w:bCs/>
          <w:lang w:eastAsia="es-ES"/>
        </w:rPr>
        <w:t>6</w:t>
      </w:r>
      <w:r w:rsidRPr="00DC60A4">
        <w:rPr>
          <w:rFonts w:ascii="Ebrima" w:eastAsia="NSimSun" w:hAnsi="Ebrima" w:cs="Lao UI"/>
          <w:b/>
          <w:bCs/>
          <w:lang w:eastAsia="es-ES"/>
        </w:rPr>
        <w:t>)</w:t>
      </w:r>
      <w:r>
        <w:rPr>
          <w:rFonts w:ascii="Ebrima" w:eastAsia="NSimSun" w:hAnsi="Ebrima" w:cs="Lao UI"/>
          <w:lang w:eastAsia="es-ES"/>
        </w:rPr>
        <w:t xml:space="preserve"> - </w:t>
      </w:r>
      <w:r w:rsidRPr="00DC60A4">
        <w:rPr>
          <w:rFonts w:ascii="Ebrima" w:eastAsia="NSimSun" w:hAnsi="Ebrima" w:cs="Lao UI"/>
          <w:lang w:eastAsia="es-ES"/>
        </w:rPr>
        <w:t>We disagree with the need to run the</w:t>
      </w:r>
      <w:r>
        <w:rPr>
          <w:rFonts w:ascii="Ebrima" w:eastAsia="NSimSun" w:hAnsi="Ebrima" w:cs="Lao UI"/>
          <w:lang w:eastAsia="es-ES"/>
        </w:rPr>
        <w:t xml:space="preserve"> criteria </w:t>
      </w:r>
      <w:r w:rsidRPr="00DC60A4">
        <w:rPr>
          <w:rFonts w:ascii="Ebrima" w:eastAsia="NSimSun" w:hAnsi="Ebrima" w:cs="Lao UI"/>
          <w:lang w:eastAsia="es-ES"/>
        </w:rPr>
        <w:t xml:space="preserve">for at least </w:t>
      </w:r>
      <w:r>
        <w:rPr>
          <w:rFonts w:ascii="Ebrima" w:eastAsia="NSimSun" w:hAnsi="Ebrima" w:cs="Lao UI"/>
          <w:lang w:eastAsia="es-ES"/>
        </w:rPr>
        <w:t>six</w:t>
      </w:r>
      <w:r w:rsidRPr="00DC60A4">
        <w:rPr>
          <w:rFonts w:ascii="Ebrima" w:eastAsia="NSimSun" w:hAnsi="Ebrima" w:cs="Lao UI"/>
          <w:lang w:eastAsia="es-ES"/>
        </w:rPr>
        <w:t xml:space="preserve"> months in a roll. </w:t>
      </w:r>
      <w:r>
        <w:rPr>
          <w:rFonts w:ascii="Ebrima" w:eastAsia="NSimSun" w:hAnsi="Ebrima" w:cs="Lao UI"/>
          <w:lang w:eastAsia="es-ES"/>
        </w:rPr>
        <w:t xml:space="preserve">As an alternative we suggest using at </w:t>
      </w:r>
      <w:r w:rsidRPr="00DC60A4">
        <w:rPr>
          <w:rFonts w:ascii="Ebrima" w:eastAsia="NSimSun" w:hAnsi="Ebrima" w:cs="Lao UI"/>
          <w:lang w:eastAsia="es-ES"/>
        </w:rPr>
        <w:t>least three data points in different dates of the past year.</w:t>
      </w:r>
    </w:p>
    <w:p w14:paraId="44C50BE9" w14:textId="77777777" w:rsidR="00F202D5" w:rsidRPr="00DC60A4" w:rsidRDefault="00F202D5" w:rsidP="00F202D5">
      <w:pPr>
        <w:pStyle w:val="ListParagraph"/>
        <w:numPr>
          <w:ilvl w:val="0"/>
          <w:numId w:val="45"/>
        </w:numPr>
        <w:jc w:val="both"/>
        <w:rPr>
          <w:rFonts w:ascii="Ebrima" w:eastAsia="NSimSun" w:hAnsi="Ebrima" w:cs="Lao UI"/>
          <w:lang w:eastAsia="es-ES"/>
        </w:rPr>
      </w:pPr>
      <w:r>
        <w:rPr>
          <w:rFonts w:ascii="Ebrima" w:eastAsia="NSimSun" w:hAnsi="Ebrima" w:cs="Lao UI"/>
          <w:b/>
          <w:bCs/>
          <w:lang w:eastAsia="es-ES"/>
        </w:rPr>
        <w:t xml:space="preserve">Paragraph </w:t>
      </w:r>
      <w:r w:rsidRPr="00FF6D3C">
        <w:rPr>
          <w:rFonts w:ascii="Ebrima" w:eastAsia="NSimSun" w:hAnsi="Ebrima" w:cs="Lao UI"/>
          <w:b/>
          <w:bCs/>
          <w:lang w:eastAsia="es-ES"/>
        </w:rPr>
        <w:t>24(d)</w:t>
      </w:r>
      <w:r>
        <w:rPr>
          <w:rFonts w:ascii="Ebrima" w:eastAsia="NSimSun" w:hAnsi="Ebrima" w:cs="Lao UI"/>
          <w:b/>
          <w:bCs/>
          <w:lang w:eastAsia="es-ES"/>
        </w:rPr>
        <w:t xml:space="preserve"> (Article 7(d))</w:t>
      </w:r>
      <w:r w:rsidRPr="00DC60A4">
        <w:rPr>
          <w:rFonts w:ascii="Ebrima" w:eastAsia="NSimSun" w:hAnsi="Ebrima" w:cs="Lao UI"/>
          <w:lang w:eastAsia="es-ES"/>
        </w:rPr>
        <w:t xml:space="preserve"> should only be applicable for margin decreases</w:t>
      </w:r>
      <w:r>
        <w:rPr>
          <w:rFonts w:ascii="Ebrima" w:eastAsia="NSimSun" w:hAnsi="Ebrima" w:cs="Lao UI"/>
          <w:lang w:eastAsia="es-ES"/>
        </w:rPr>
        <w:t xml:space="preserve"> (and not applicable to increases) in the case of the confidence level and the margin period of risk, but not in the case of the lookback period, as in this case </w:t>
      </w:r>
      <w:r w:rsidRPr="00CB7245">
        <w:rPr>
          <w:rFonts w:ascii="Ebrima" w:eastAsia="NSimSun" w:hAnsi="Ebrima" w:cs="Lao UI"/>
          <w:lang w:eastAsia="es-ES"/>
        </w:rPr>
        <w:t>the impact on the model from the choice of this parameter is more diverse</w:t>
      </w:r>
      <w:r>
        <w:rPr>
          <w:rFonts w:ascii="Ebrima" w:eastAsia="NSimSun" w:hAnsi="Ebrima" w:cs="Lao UI"/>
          <w:lang w:eastAsia="es-ES"/>
        </w:rPr>
        <w:t xml:space="preserve"> (e.g. </w:t>
      </w:r>
      <w:r w:rsidRPr="00CB7245">
        <w:rPr>
          <w:rFonts w:ascii="Ebrima" w:eastAsia="NSimSun" w:hAnsi="Ebrima" w:cs="Lao UI"/>
          <w:lang w:eastAsia="es-ES"/>
        </w:rPr>
        <w:t xml:space="preserve">an extension of </w:t>
      </w:r>
      <w:r>
        <w:rPr>
          <w:rFonts w:ascii="Ebrima" w:eastAsia="NSimSun" w:hAnsi="Ebrima" w:cs="Lao UI"/>
          <w:lang w:eastAsia="es-ES"/>
        </w:rPr>
        <w:t xml:space="preserve">the </w:t>
      </w:r>
      <w:r w:rsidRPr="00CB7245">
        <w:rPr>
          <w:rFonts w:ascii="Ebrima" w:eastAsia="NSimSun" w:hAnsi="Ebrima" w:cs="Lao UI"/>
          <w:lang w:eastAsia="es-ES"/>
        </w:rPr>
        <w:t>lookback period can both increase or decrease margins depending on the market volatility represented in the extra scenarios added to the lookback period</w:t>
      </w:r>
      <w:r>
        <w:rPr>
          <w:rFonts w:ascii="Ebrima" w:eastAsia="NSimSun" w:hAnsi="Ebrima" w:cs="Lao UI"/>
          <w:lang w:eastAsia="es-ES"/>
        </w:rPr>
        <w:t>).</w:t>
      </w:r>
    </w:p>
    <w:p w14:paraId="5666C2A9" w14:textId="77777777" w:rsidR="00F202D5" w:rsidRPr="00DC60A4" w:rsidRDefault="00F202D5" w:rsidP="00F202D5">
      <w:pPr>
        <w:pStyle w:val="ListParagraph"/>
        <w:numPr>
          <w:ilvl w:val="0"/>
          <w:numId w:val="45"/>
        </w:numPr>
        <w:jc w:val="both"/>
        <w:rPr>
          <w:rFonts w:ascii="Ebrima" w:eastAsia="NSimSun" w:hAnsi="Ebrima" w:cs="Lao UI"/>
          <w:lang w:eastAsia="es-ES"/>
        </w:rPr>
      </w:pPr>
      <w:r>
        <w:rPr>
          <w:rFonts w:ascii="Ebrima" w:eastAsia="NSimSun" w:hAnsi="Ebrima" w:cs="Lao UI"/>
          <w:b/>
          <w:bCs/>
          <w:lang w:eastAsia="es-ES"/>
        </w:rPr>
        <w:t xml:space="preserve">Paragraph </w:t>
      </w:r>
      <w:r w:rsidRPr="00FF6D3C">
        <w:rPr>
          <w:rFonts w:ascii="Ebrima" w:eastAsia="NSimSun" w:hAnsi="Ebrima" w:cs="Lao UI"/>
          <w:b/>
          <w:bCs/>
          <w:lang w:eastAsia="es-ES"/>
        </w:rPr>
        <w:t>24(g)</w:t>
      </w:r>
      <w:r>
        <w:rPr>
          <w:rFonts w:ascii="Ebrima" w:eastAsia="NSimSun" w:hAnsi="Ebrima" w:cs="Lao UI"/>
          <w:lang w:eastAsia="es-ES"/>
        </w:rPr>
        <w:t xml:space="preserve"> </w:t>
      </w:r>
      <w:r w:rsidRPr="00394188">
        <w:rPr>
          <w:rFonts w:ascii="Ebrima" w:eastAsia="NSimSun" w:hAnsi="Ebrima" w:cs="Lao UI"/>
          <w:b/>
          <w:bCs/>
          <w:lang w:eastAsia="es-ES"/>
        </w:rPr>
        <w:t>(Article 7(g))</w:t>
      </w:r>
      <w:r>
        <w:rPr>
          <w:rFonts w:ascii="Ebrima" w:eastAsia="NSimSun" w:hAnsi="Ebrima" w:cs="Lao UI"/>
          <w:lang w:eastAsia="es-ES"/>
        </w:rPr>
        <w:t xml:space="preserve"> </w:t>
      </w:r>
      <w:r w:rsidRPr="00DC60A4">
        <w:rPr>
          <w:rFonts w:ascii="Ebrima" w:eastAsia="NSimSun" w:hAnsi="Ebrima" w:cs="Lao UI"/>
          <w:lang w:eastAsia="es-ES"/>
        </w:rPr>
        <w:t>should be viewed as an input</w:t>
      </w:r>
      <w:r>
        <w:rPr>
          <w:rFonts w:ascii="Ebrima" w:eastAsia="NSimSun" w:hAnsi="Ebrima" w:cs="Lao UI"/>
          <w:lang w:eastAsia="es-ES"/>
        </w:rPr>
        <w:t xml:space="preserve"> rather than </w:t>
      </w:r>
      <w:r w:rsidRPr="00DC60A4">
        <w:rPr>
          <w:rFonts w:ascii="Ebrima" w:eastAsia="NSimSun" w:hAnsi="Ebrima" w:cs="Lao UI"/>
          <w:lang w:eastAsia="es-ES"/>
        </w:rPr>
        <w:t>a model change</w:t>
      </w:r>
      <w:r>
        <w:rPr>
          <w:rFonts w:ascii="Ebrima" w:eastAsia="NSimSun" w:hAnsi="Ebrima" w:cs="Lao UI"/>
          <w:lang w:eastAsia="es-ES"/>
        </w:rPr>
        <w:t xml:space="preserve"> and should therefore not trigger a significant change under Article 49</w:t>
      </w:r>
      <w:r w:rsidRPr="00DC60A4">
        <w:rPr>
          <w:rFonts w:ascii="Ebrima" w:eastAsia="NSimSun" w:hAnsi="Ebrima" w:cs="Lao UI"/>
          <w:lang w:eastAsia="es-ES"/>
        </w:rPr>
        <w:t>.</w:t>
      </w:r>
      <w:r>
        <w:rPr>
          <w:rFonts w:ascii="Ebrima" w:eastAsia="NSimSun" w:hAnsi="Ebrima" w:cs="Lao UI"/>
          <w:lang w:eastAsia="es-ES"/>
        </w:rPr>
        <w:t xml:space="preserve"> We would therefore suggest deleting it.</w:t>
      </w:r>
    </w:p>
    <w:p w14:paraId="3F469F24" w14:textId="77777777" w:rsidR="00F202D5" w:rsidRPr="00341BB9" w:rsidRDefault="00F202D5" w:rsidP="00F202D5">
      <w:pPr>
        <w:numPr>
          <w:ilvl w:val="0"/>
          <w:numId w:val="45"/>
        </w:numPr>
        <w:contextualSpacing/>
        <w:jc w:val="both"/>
        <w:rPr>
          <w:rFonts w:ascii="Ebrima" w:hAnsi="Ebrima"/>
        </w:rPr>
      </w:pPr>
      <w:r w:rsidRPr="0028441F">
        <w:rPr>
          <w:rFonts w:ascii="Ebrima" w:hAnsi="Ebrima"/>
          <w:b/>
          <w:bCs/>
        </w:rPr>
        <w:t xml:space="preserve">Paragraph 13 </w:t>
      </w:r>
      <w:r>
        <w:rPr>
          <w:rFonts w:ascii="Ebrima" w:hAnsi="Ebrima"/>
          <w:b/>
          <w:bCs/>
        </w:rPr>
        <w:t>(Article 3)</w:t>
      </w:r>
      <w:r w:rsidRPr="00394188">
        <w:rPr>
          <w:rFonts w:ascii="Ebrima" w:hAnsi="Ebrima"/>
        </w:rPr>
        <w:t xml:space="preserve"> </w:t>
      </w:r>
      <w:r w:rsidRPr="00890FDA">
        <w:rPr>
          <w:rFonts w:ascii="Ebrima" w:hAnsi="Ebrima"/>
        </w:rPr>
        <w:t xml:space="preserve">- </w:t>
      </w:r>
      <w:r w:rsidRPr="003C3404">
        <w:rPr>
          <w:rFonts w:ascii="Ebrima" w:hAnsi="Ebrima"/>
        </w:rPr>
        <w:t xml:space="preserve">All subpoints from paragraph 13 </w:t>
      </w:r>
      <w:r>
        <w:rPr>
          <w:rFonts w:ascii="Ebrima" w:hAnsi="Ebrima"/>
        </w:rPr>
        <w:t>except for</w:t>
      </w:r>
      <w:r w:rsidRPr="003C3404">
        <w:rPr>
          <w:rFonts w:ascii="Ebrima" w:hAnsi="Ebrima"/>
        </w:rPr>
        <w:t xml:space="preserve"> </w:t>
      </w:r>
      <w:r>
        <w:rPr>
          <w:rFonts w:ascii="Ebrima" w:hAnsi="Ebrima"/>
        </w:rPr>
        <w:t>13</w:t>
      </w:r>
      <w:r w:rsidRPr="00133DED">
        <w:rPr>
          <w:rFonts w:ascii="Ebrima" w:hAnsi="Ebrima"/>
        </w:rPr>
        <w:t>(</w:t>
      </w:r>
      <w:r w:rsidRPr="00DC60A4">
        <w:rPr>
          <w:rFonts w:ascii="Ebrima" w:hAnsi="Ebrima"/>
        </w:rPr>
        <w:t>b)</w:t>
      </w:r>
      <w:r w:rsidRPr="002B601E">
        <w:rPr>
          <w:rFonts w:ascii="Ebrima" w:hAnsi="Ebrima"/>
        </w:rPr>
        <w:t xml:space="preserve"> </w:t>
      </w:r>
      <w:r w:rsidRPr="00F20C75">
        <w:rPr>
          <w:rFonts w:ascii="Ebrima" w:hAnsi="Ebrima"/>
        </w:rPr>
        <w:t>(which we believe should be a criteri</w:t>
      </w:r>
      <w:r>
        <w:rPr>
          <w:rFonts w:ascii="Ebrima" w:hAnsi="Ebrima"/>
        </w:rPr>
        <w:t>on</w:t>
      </w:r>
      <w:r w:rsidRPr="00F20C75">
        <w:rPr>
          <w:rFonts w:ascii="Ebrima" w:hAnsi="Ebrima"/>
        </w:rPr>
        <w:t xml:space="preserve"> under Article 15, rather than an indicator</w:t>
      </w:r>
      <w:r w:rsidRPr="001F2F92">
        <w:rPr>
          <w:rFonts w:ascii="Ebrima" w:hAnsi="Ebrima"/>
        </w:rPr>
        <w:t xml:space="preserve">) </w:t>
      </w:r>
      <w:r>
        <w:rPr>
          <w:rFonts w:ascii="Ebrima" w:hAnsi="Ebrima"/>
        </w:rPr>
        <w:t>and 13(e)(</w:t>
      </w:r>
      <w:proofErr w:type="spellStart"/>
      <w:r>
        <w:rPr>
          <w:rFonts w:ascii="Ebrima" w:hAnsi="Ebrima"/>
        </w:rPr>
        <w:t>i</w:t>
      </w:r>
      <w:proofErr w:type="spellEnd"/>
      <w:r>
        <w:rPr>
          <w:rFonts w:ascii="Ebrima" w:hAnsi="Ebrima"/>
        </w:rPr>
        <w:t xml:space="preserve">) which we believe should be deleted (See our response to Question 3) </w:t>
      </w:r>
      <w:r w:rsidRPr="00394188">
        <w:rPr>
          <w:rFonts w:ascii="Ebrima" w:hAnsi="Ebrima"/>
        </w:rPr>
        <w:t>should be subject to Article 49 proceedings rather than Article 15 (i.e. subpoints a, c, d, e, f).</w:t>
      </w:r>
    </w:p>
    <w:p w14:paraId="7B3BB0E2" w14:textId="75027E4F"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7</w:t>
      </w:r>
      <w:r>
        <w:rPr>
          <w:lang w:eastAsia="en-US"/>
        </w:rPr>
        <w:t>&gt;</w:t>
      </w:r>
    </w:p>
    <w:p w14:paraId="3BFDB8F3" w14:textId="77777777" w:rsidR="003331A2" w:rsidRPr="003331A2" w:rsidRDefault="003331A2" w:rsidP="003331A2">
      <w:pPr>
        <w:rPr>
          <w:lang w:eastAsia="en-US"/>
        </w:rPr>
      </w:pPr>
    </w:p>
    <w:p w14:paraId="0FAD1D05" w14:textId="77777777" w:rsidR="00014A67" w:rsidRPr="00014A67" w:rsidRDefault="00014A67" w:rsidP="00014A67">
      <w:pPr>
        <w:rPr>
          <w:lang w:eastAsia="en-US"/>
        </w:rPr>
      </w:pPr>
    </w:p>
    <w:p w14:paraId="7F3EFB04" w14:textId="7C3B3013" w:rsidR="00014A67" w:rsidRDefault="00177C6B" w:rsidP="00177C6B">
      <w:pPr>
        <w:pStyle w:val="Questionstyle"/>
      </w:pPr>
      <w:r w:rsidRPr="00106124">
        <w:lastRenderedPageBreak/>
        <w:t>Do you agree with ESMA’s proposed list of indicators for significant changes to the models and parameters (under Article 49 of EMIR) or would you propose to change/add/delete any of the indicators or specify certain indicators further? Please provide reasons for your answer.</w:t>
      </w:r>
    </w:p>
    <w:p w14:paraId="2E30BD1E" w14:textId="692ECA15"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8</w:t>
      </w:r>
      <w:r>
        <w:rPr>
          <w:lang w:eastAsia="en-US"/>
        </w:rPr>
        <w:t>&gt;</w:t>
      </w:r>
    </w:p>
    <w:p w14:paraId="76E706A4" w14:textId="77777777" w:rsidR="00F202D5" w:rsidRDefault="00F202D5" w:rsidP="00F202D5">
      <w:pPr>
        <w:jc w:val="both"/>
        <w:rPr>
          <w:rFonts w:ascii="Ebrima" w:eastAsia="Calibri" w:hAnsi="Ebrima"/>
        </w:rPr>
      </w:pPr>
      <w:r w:rsidRPr="00D7009E">
        <w:rPr>
          <w:rFonts w:ascii="Ebrima" w:eastAsia="Calibri" w:hAnsi="Ebrima"/>
        </w:rPr>
        <w:t xml:space="preserve">No, as indicated in our response to </w:t>
      </w:r>
      <w:r>
        <w:rPr>
          <w:rFonts w:ascii="Ebrima" w:eastAsia="Calibri" w:hAnsi="Ebrima"/>
        </w:rPr>
        <w:t>Q</w:t>
      </w:r>
      <w:r w:rsidRPr="00D7009E">
        <w:rPr>
          <w:rFonts w:ascii="Ebrima" w:eastAsia="Calibri" w:hAnsi="Ebrima"/>
        </w:rPr>
        <w:t xml:space="preserve">uestion 6, we do not agree with ESMA’s proposed list of </w:t>
      </w:r>
      <w:r>
        <w:rPr>
          <w:rFonts w:ascii="Ebrima" w:eastAsia="Calibri" w:hAnsi="Ebrima"/>
        </w:rPr>
        <w:t>indicators</w:t>
      </w:r>
      <w:r w:rsidRPr="00D7009E">
        <w:rPr>
          <w:rFonts w:ascii="Ebrima" w:eastAsia="Calibri" w:hAnsi="Ebrima"/>
        </w:rPr>
        <w:t xml:space="preserve"> for significant changes to the models and parameters (under Article 49 of EMIR).</w:t>
      </w:r>
      <w:r>
        <w:rPr>
          <w:rFonts w:ascii="Ebrima" w:eastAsia="Calibri" w:hAnsi="Ebrima"/>
        </w:rPr>
        <w:t xml:space="preserve"> We would therefore suggest removing all of them and applying the alternative approach described in our response to Question 6.</w:t>
      </w:r>
    </w:p>
    <w:p w14:paraId="17F6C767" w14:textId="77777777" w:rsidR="00F202D5" w:rsidRDefault="00F202D5" w:rsidP="00F202D5">
      <w:pPr>
        <w:jc w:val="both"/>
        <w:rPr>
          <w:rFonts w:ascii="Ebrima" w:eastAsia="Calibri" w:hAnsi="Ebrima"/>
        </w:rPr>
      </w:pPr>
    </w:p>
    <w:p w14:paraId="714C7DC7" w14:textId="77777777" w:rsidR="00F202D5" w:rsidRDefault="00F202D5" w:rsidP="00F202D5">
      <w:pPr>
        <w:jc w:val="both"/>
        <w:rPr>
          <w:rFonts w:ascii="Ebrima" w:eastAsia="Calibri" w:hAnsi="Ebrima"/>
        </w:rPr>
      </w:pPr>
      <w:r>
        <w:rPr>
          <w:rFonts w:ascii="Ebrima" w:eastAsia="Calibri" w:hAnsi="Ebrima"/>
        </w:rPr>
        <w:t>In addition to the points highlighted in our response to Question 6, if these indicators were to be maintained, w</w:t>
      </w:r>
      <w:r w:rsidRPr="005271C9">
        <w:rPr>
          <w:rFonts w:ascii="Ebrima" w:eastAsia="Calibri" w:hAnsi="Ebrima"/>
        </w:rPr>
        <w:t>e would also like to make the following comments on concrete paragraphs of the consultation:</w:t>
      </w:r>
    </w:p>
    <w:p w14:paraId="1E822073" w14:textId="77777777" w:rsidR="00F202D5" w:rsidRPr="005271C9" w:rsidRDefault="00F202D5" w:rsidP="00F202D5">
      <w:pPr>
        <w:jc w:val="both"/>
        <w:rPr>
          <w:rFonts w:ascii="Ebrima" w:eastAsia="Calibri" w:hAnsi="Ebrima"/>
        </w:rPr>
      </w:pPr>
    </w:p>
    <w:p w14:paraId="012397A6" w14:textId="77777777" w:rsidR="00F202D5" w:rsidRPr="005271C9" w:rsidRDefault="00F202D5" w:rsidP="00F202D5">
      <w:pPr>
        <w:numPr>
          <w:ilvl w:val="0"/>
          <w:numId w:val="44"/>
        </w:numPr>
        <w:contextualSpacing/>
        <w:jc w:val="both"/>
        <w:rPr>
          <w:rFonts w:ascii="Ebrima" w:eastAsia="Calibri" w:hAnsi="Ebrima"/>
        </w:rPr>
      </w:pPr>
      <w:r w:rsidRPr="005271C9">
        <w:rPr>
          <w:rFonts w:ascii="Ebrima" w:eastAsia="Calibri" w:hAnsi="Ebrima"/>
          <w:b/>
          <w:bCs/>
        </w:rPr>
        <w:t xml:space="preserve">Materiality threshold </w:t>
      </w:r>
      <w:r w:rsidRPr="005271C9">
        <w:rPr>
          <w:rFonts w:ascii="Ebrima" w:eastAsia="Calibri" w:hAnsi="Ebrima"/>
        </w:rPr>
        <w:t xml:space="preserve">– We are concerned about the low materiality thresholds suggested in the consultation paper as they would effectively lead to a constant but unnecessary trigger of </w:t>
      </w:r>
      <w:r>
        <w:rPr>
          <w:rFonts w:ascii="Ebrima" w:eastAsia="Calibri" w:hAnsi="Ebrima"/>
        </w:rPr>
        <w:t>A</w:t>
      </w:r>
      <w:r w:rsidRPr="005271C9">
        <w:rPr>
          <w:rFonts w:ascii="Ebrima" w:eastAsia="Calibri" w:hAnsi="Ebrima"/>
        </w:rPr>
        <w:t>rticle 49. This would be the case for example in the event of default fund adjustments higher than 5% which regularly happen on a monthly basis at CCPs.</w:t>
      </w:r>
    </w:p>
    <w:p w14:paraId="4D7D73CD" w14:textId="77777777" w:rsidR="00F202D5" w:rsidRPr="005271C9" w:rsidRDefault="00F202D5" w:rsidP="00F202D5">
      <w:pPr>
        <w:numPr>
          <w:ilvl w:val="0"/>
          <w:numId w:val="44"/>
        </w:numPr>
        <w:ind w:left="714" w:hanging="357"/>
        <w:jc w:val="both"/>
        <w:rPr>
          <w:rFonts w:ascii="Ebrima" w:hAnsi="Ebrima"/>
          <w:b/>
          <w:bCs/>
        </w:rPr>
      </w:pPr>
      <w:r w:rsidRPr="005271C9">
        <w:rPr>
          <w:rFonts w:ascii="Ebrima" w:eastAsia="Calibri" w:hAnsi="Ebrima"/>
          <w:b/>
          <w:bCs/>
        </w:rPr>
        <w:t>Paragraph 26</w:t>
      </w:r>
      <w:r>
        <w:rPr>
          <w:rFonts w:ascii="Ebrima" w:eastAsia="Calibri" w:hAnsi="Ebrima"/>
          <w:b/>
          <w:bCs/>
        </w:rPr>
        <w:t>(</w:t>
      </w:r>
      <w:r w:rsidRPr="005271C9">
        <w:rPr>
          <w:rFonts w:ascii="Ebrima" w:eastAsia="Calibri" w:hAnsi="Ebrima"/>
          <w:b/>
          <w:bCs/>
        </w:rPr>
        <w:t>a</w:t>
      </w:r>
      <w:r>
        <w:rPr>
          <w:rFonts w:ascii="Ebrima" w:eastAsia="Calibri" w:hAnsi="Ebrima"/>
          <w:b/>
          <w:bCs/>
        </w:rPr>
        <w:t>)(</w:t>
      </w:r>
      <w:r w:rsidRPr="005271C9">
        <w:rPr>
          <w:rFonts w:ascii="Ebrima" w:eastAsia="Calibri" w:hAnsi="Ebrima"/>
          <w:b/>
          <w:bCs/>
        </w:rPr>
        <w:t>iii</w:t>
      </w:r>
      <w:r>
        <w:rPr>
          <w:rFonts w:ascii="Ebrima" w:eastAsia="Calibri" w:hAnsi="Ebrima"/>
          <w:b/>
          <w:bCs/>
        </w:rPr>
        <w:t>)</w:t>
      </w:r>
      <w:r w:rsidRPr="005271C9">
        <w:rPr>
          <w:rFonts w:ascii="Ebrima" w:eastAsia="Calibri" w:hAnsi="Ebrima"/>
          <w:b/>
          <w:bCs/>
        </w:rPr>
        <w:t xml:space="preserve"> </w:t>
      </w:r>
      <w:r>
        <w:rPr>
          <w:rFonts w:ascii="Ebrima" w:eastAsia="Calibri" w:hAnsi="Ebrima"/>
          <w:b/>
          <w:bCs/>
        </w:rPr>
        <w:t>(Article 8(a)(iii)</w:t>
      </w:r>
      <w:r w:rsidRPr="00394188">
        <w:rPr>
          <w:rFonts w:ascii="Ebrima" w:eastAsia="Calibri" w:hAnsi="Ebrima"/>
        </w:rPr>
        <w:t xml:space="preserve"> </w:t>
      </w:r>
      <w:r w:rsidRPr="005271C9">
        <w:rPr>
          <w:rFonts w:ascii="Ebrima" w:eastAsia="Calibri" w:hAnsi="Ebrima"/>
        </w:rPr>
        <w:t xml:space="preserve">– The text seems to refer to both individual </w:t>
      </w:r>
      <w:proofErr w:type="spellStart"/>
      <w:r w:rsidRPr="005271C9">
        <w:rPr>
          <w:rFonts w:ascii="Ebrima" w:eastAsia="Calibri" w:hAnsi="Ebrima"/>
        </w:rPr>
        <w:t>underlyings</w:t>
      </w:r>
      <w:proofErr w:type="spellEnd"/>
      <w:r w:rsidRPr="005271C9">
        <w:rPr>
          <w:rFonts w:ascii="Ebrima" w:eastAsia="Calibri" w:hAnsi="Ebrima"/>
        </w:rPr>
        <w:t xml:space="preserve"> and class of financial instruments. We would like to clarify which one of the two it refers to.</w:t>
      </w:r>
    </w:p>
    <w:p w14:paraId="60D057AA" w14:textId="77777777" w:rsidR="00F202D5" w:rsidRPr="00BB6964" w:rsidRDefault="00F202D5" w:rsidP="00F202D5">
      <w:pPr>
        <w:numPr>
          <w:ilvl w:val="0"/>
          <w:numId w:val="44"/>
        </w:numPr>
        <w:ind w:left="714" w:hanging="357"/>
        <w:jc w:val="both"/>
        <w:rPr>
          <w:rFonts w:ascii="Ebrima" w:eastAsia="Calibri" w:hAnsi="Ebrima"/>
        </w:rPr>
      </w:pPr>
      <w:r w:rsidRPr="005271C9">
        <w:rPr>
          <w:rFonts w:ascii="Ebrima" w:eastAsia="Calibri" w:hAnsi="Ebrima"/>
          <w:b/>
          <w:bCs/>
        </w:rPr>
        <w:t>Paragraph 26</w:t>
      </w:r>
      <w:r>
        <w:rPr>
          <w:rFonts w:ascii="Ebrima" w:eastAsia="Calibri" w:hAnsi="Ebrima"/>
          <w:b/>
          <w:bCs/>
        </w:rPr>
        <w:t>(</w:t>
      </w:r>
      <w:r w:rsidRPr="005271C9">
        <w:rPr>
          <w:rFonts w:ascii="Ebrima" w:eastAsia="Calibri" w:hAnsi="Ebrima"/>
          <w:b/>
          <w:bCs/>
        </w:rPr>
        <w:t>d</w:t>
      </w:r>
      <w:r>
        <w:rPr>
          <w:rFonts w:ascii="Ebrima" w:eastAsia="Calibri" w:hAnsi="Ebrima"/>
          <w:b/>
          <w:bCs/>
        </w:rPr>
        <w:t>)(</w:t>
      </w:r>
      <w:r w:rsidRPr="005271C9">
        <w:rPr>
          <w:rFonts w:ascii="Ebrima" w:eastAsia="Calibri" w:hAnsi="Ebrima"/>
          <w:b/>
          <w:bCs/>
        </w:rPr>
        <w:t>iii</w:t>
      </w:r>
      <w:r>
        <w:rPr>
          <w:rFonts w:ascii="Ebrima" w:eastAsia="Calibri" w:hAnsi="Ebrima"/>
          <w:b/>
          <w:bCs/>
        </w:rPr>
        <w:t>)</w:t>
      </w:r>
      <w:r w:rsidRPr="005271C9">
        <w:rPr>
          <w:rFonts w:ascii="Ebrima" w:eastAsia="Calibri" w:hAnsi="Ebrima"/>
          <w:b/>
          <w:bCs/>
        </w:rPr>
        <w:t xml:space="preserve"> to </w:t>
      </w:r>
      <w:r>
        <w:rPr>
          <w:rFonts w:ascii="Ebrima" w:eastAsia="Calibri" w:hAnsi="Ebrima"/>
          <w:b/>
          <w:bCs/>
        </w:rPr>
        <w:t>(</w:t>
      </w:r>
      <w:r w:rsidRPr="005271C9">
        <w:rPr>
          <w:rFonts w:ascii="Ebrima" w:eastAsia="Calibri" w:hAnsi="Ebrima"/>
          <w:b/>
          <w:bCs/>
        </w:rPr>
        <w:t>v</w:t>
      </w:r>
      <w:r>
        <w:rPr>
          <w:rFonts w:ascii="Ebrima" w:eastAsia="Calibri" w:hAnsi="Ebrima"/>
          <w:b/>
          <w:bCs/>
        </w:rPr>
        <w:t>)</w:t>
      </w:r>
      <w:r w:rsidRPr="005271C9">
        <w:rPr>
          <w:rFonts w:ascii="Ebrima" w:eastAsia="Calibri" w:hAnsi="Ebrima"/>
          <w:b/>
          <w:bCs/>
        </w:rPr>
        <w:t xml:space="preserve"> </w:t>
      </w:r>
      <w:r>
        <w:rPr>
          <w:rFonts w:ascii="Ebrima" w:eastAsia="Calibri" w:hAnsi="Ebrima"/>
          <w:b/>
          <w:bCs/>
        </w:rPr>
        <w:t xml:space="preserve">(Article 8(d)(iii) to (v) </w:t>
      </w:r>
      <w:r w:rsidRPr="00394188">
        <w:rPr>
          <w:rFonts w:ascii="Ebrima" w:eastAsia="Calibri" w:hAnsi="Ebrima"/>
        </w:rPr>
        <w:t xml:space="preserve">– </w:t>
      </w:r>
      <w:r w:rsidRPr="005271C9">
        <w:rPr>
          <w:rFonts w:ascii="Ebrima" w:eastAsia="Calibri" w:hAnsi="Ebrima"/>
        </w:rPr>
        <w:t xml:space="preserve">We believe these sub-paragraphs refer to parameters supporting the model but not to the model </w:t>
      </w:r>
      <w:r w:rsidRPr="005271C9">
        <w:rPr>
          <w:rFonts w:ascii="Ebrima" w:eastAsia="Calibri" w:hAnsi="Ebrima"/>
          <w:i/>
          <w:iCs/>
        </w:rPr>
        <w:t>per se</w:t>
      </w:r>
      <w:r w:rsidRPr="005271C9">
        <w:rPr>
          <w:rFonts w:ascii="Ebrima" w:eastAsia="Calibri" w:hAnsi="Ebrima"/>
        </w:rPr>
        <w:t xml:space="preserve"> and should therefore not be considered significant changes.</w:t>
      </w:r>
    </w:p>
    <w:p w14:paraId="33BFF20B" w14:textId="77777777" w:rsidR="00F202D5" w:rsidRPr="00DC60A4" w:rsidRDefault="00F202D5" w:rsidP="00F202D5">
      <w:pPr>
        <w:numPr>
          <w:ilvl w:val="0"/>
          <w:numId w:val="44"/>
        </w:numPr>
        <w:contextualSpacing/>
        <w:jc w:val="both"/>
        <w:rPr>
          <w:rFonts w:ascii="Ebrima" w:eastAsia="Calibri" w:hAnsi="Ebrima"/>
        </w:rPr>
      </w:pPr>
      <w:r w:rsidRPr="00DC60A4">
        <w:rPr>
          <w:rFonts w:ascii="Ebrima" w:eastAsia="Calibri" w:hAnsi="Ebrima"/>
          <w:b/>
          <w:bCs/>
        </w:rPr>
        <w:t>Paragraph 26(d) (Article 8 (d)</w:t>
      </w:r>
      <w:r w:rsidRPr="00005F12">
        <w:rPr>
          <w:rFonts w:ascii="Ebrima" w:eastAsia="Calibri" w:hAnsi="Ebrima"/>
          <w:b/>
          <w:bCs/>
        </w:rPr>
        <w:t>)</w:t>
      </w:r>
      <w:r w:rsidRPr="00DC60A4">
        <w:rPr>
          <w:rFonts w:ascii="Ebrima" w:eastAsia="Calibri" w:hAnsi="Ebrima"/>
        </w:rPr>
        <w:t xml:space="preserve"> – </w:t>
      </w:r>
      <w:r>
        <w:rPr>
          <w:rFonts w:ascii="Ebrima" w:eastAsia="Calibri" w:hAnsi="Ebrima"/>
        </w:rPr>
        <w:t>W</w:t>
      </w:r>
      <w:r w:rsidRPr="00DC60A4">
        <w:rPr>
          <w:rFonts w:ascii="Ebrima" w:eastAsia="Calibri" w:hAnsi="Ebrima"/>
        </w:rPr>
        <w:t>e would consider the consequences that this indicator can have o</w:t>
      </w:r>
      <w:r>
        <w:rPr>
          <w:rFonts w:ascii="Ebrima" w:eastAsia="Calibri" w:hAnsi="Ebrima"/>
        </w:rPr>
        <w:t>n</w:t>
      </w:r>
      <w:r w:rsidRPr="00DC60A4">
        <w:rPr>
          <w:rFonts w:ascii="Ebrima" w:eastAsia="Calibri" w:hAnsi="Ebrima"/>
        </w:rPr>
        <w:t xml:space="preserve"> the rate of adoption of key changes, some of which are </w:t>
      </w:r>
      <w:r>
        <w:rPr>
          <w:rFonts w:ascii="Ebrima" w:eastAsia="Calibri" w:hAnsi="Ebrima"/>
        </w:rPr>
        <w:t xml:space="preserve">currently </w:t>
      </w:r>
      <w:r w:rsidRPr="00DC60A4">
        <w:rPr>
          <w:rFonts w:ascii="Ebrima" w:eastAsia="Calibri" w:hAnsi="Ebrima"/>
        </w:rPr>
        <w:t xml:space="preserve">perceived </w:t>
      </w:r>
      <w:r>
        <w:rPr>
          <w:rFonts w:ascii="Ebrima" w:eastAsia="Calibri" w:hAnsi="Ebrima"/>
        </w:rPr>
        <w:t>as BAU</w:t>
      </w:r>
      <w:r w:rsidRPr="00DC60A4">
        <w:rPr>
          <w:rFonts w:ascii="Ebrima" w:eastAsia="Calibri" w:hAnsi="Ebrima"/>
        </w:rPr>
        <w:t xml:space="preserve">, to ensure resiliency of financial markets and enable a CCP to fulfil its role in safeguarding financial stability. We note that incremental changes to the method used for example to calibrate risk models parameters can take up to 1-2 months which under extreme market conditions is not acceptable. </w:t>
      </w:r>
    </w:p>
    <w:p w14:paraId="65B56F4E" w14:textId="77777777" w:rsidR="00F202D5" w:rsidRDefault="00F202D5" w:rsidP="00F202D5">
      <w:pPr>
        <w:ind w:left="720"/>
        <w:contextualSpacing/>
        <w:jc w:val="both"/>
        <w:rPr>
          <w:rFonts w:ascii="Ebrima" w:eastAsia="Calibri" w:hAnsi="Ebrima"/>
        </w:rPr>
      </w:pPr>
    </w:p>
    <w:p w14:paraId="7C7BDEF8" w14:textId="77777777" w:rsidR="00F202D5" w:rsidRDefault="00F202D5" w:rsidP="00F202D5">
      <w:pPr>
        <w:ind w:left="720"/>
        <w:contextualSpacing/>
        <w:jc w:val="both"/>
        <w:rPr>
          <w:rFonts w:ascii="Ebrima" w:eastAsia="Calibri" w:hAnsi="Ebrima"/>
        </w:rPr>
      </w:pPr>
      <w:r w:rsidRPr="00DC60A4">
        <w:rPr>
          <w:rFonts w:ascii="Ebrima" w:eastAsia="Calibri" w:hAnsi="Ebrima"/>
        </w:rPr>
        <w:t>Instead, we would suggest including quantitative thresholds such as the 5% threshold widely used throughout Article 49 upon which NCAs would be able to determine whether an Article 49 would kick in. CCPs must be in a position to move quickly to respond to market events and be able to make autonomous decisions for the benefit of financial stability. Furthermore, changes linked to operational or organisational developments would not necessarily have an impact on risk and we do</w:t>
      </w:r>
      <w:r>
        <w:rPr>
          <w:rFonts w:ascii="Ebrima" w:eastAsia="Calibri" w:hAnsi="Ebrima"/>
        </w:rPr>
        <w:t xml:space="preserve"> </w:t>
      </w:r>
      <w:r w:rsidRPr="00DC60A4">
        <w:rPr>
          <w:rFonts w:ascii="Ebrima" w:eastAsia="Calibri" w:hAnsi="Ebrima"/>
        </w:rPr>
        <w:t>n</w:t>
      </w:r>
      <w:r>
        <w:rPr>
          <w:rFonts w:ascii="Ebrima" w:eastAsia="Calibri" w:hAnsi="Ebrima"/>
        </w:rPr>
        <w:t>o</w:t>
      </w:r>
      <w:r w:rsidRPr="00DC60A4">
        <w:rPr>
          <w:rFonts w:ascii="Ebrima" w:eastAsia="Calibri" w:hAnsi="Ebrima"/>
        </w:rPr>
        <w:t>t believe that these are appropriate in this context therefore we would suggest removing.</w:t>
      </w:r>
    </w:p>
    <w:p w14:paraId="3725D5EB" w14:textId="77777777" w:rsidR="00F202D5" w:rsidRDefault="00F202D5" w:rsidP="00F202D5">
      <w:pPr>
        <w:numPr>
          <w:ilvl w:val="0"/>
          <w:numId w:val="44"/>
        </w:numPr>
        <w:contextualSpacing/>
        <w:jc w:val="both"/>
        <w:rPr>
          <w:rFonts w:ascii="Ebrima" w:eastAsia="Calibri" w:hAnsi="Ebrima"/>
        </w:rPr>
      </w:pPr>
      <w:r w:rsidRPr="009B2FB4">
        <w:rPr>
          <w:rFonts w:ascii="Ebrima" w:eastAsia="Calibri" w:hAnsi="Ebrima"/>
          <w:b/>
          <w:bCs/>
        </w:rPr>
        <w:t>Paragraph 26</w:t>
      </w:r>
      <w:r>
        <w:rPr>
          <w:rFonts w:ascii="Ebrima" w:eastAsia="Calibri" w:hAnsi="Ebrima"/>
          <w:b/>
          <w:bCs/>
        </w:rPr>
        <w:t>(</w:t>
      </w:r>
      <w:r w:rsidRPr="009B2FB4">
        <w:rPr>
          <w:rFonts w:ascii="Ebrima" w:eastAsia="Calibri" w:hAnsi="Ebrima"/>
          <w:b/>
          <w:bCs/>
        </w:rPr>
        <w:t>e</w:t>
      </w:r>
      <w:r>
        <w:rPr>
          <w:rFonts w:ascii="Ebrima" w:eastAsia="Calibri" w:hAnsi="Ebrima"/>
          <w:b/>
          <w:bCs/>
        </w:rPr>
        <w:t>)</w:t>
      </w:r>
      <w:r w:rsidRPr="009B2FB4">
        <w:rPr>
          <w:rFonts w:ascii="Ebrima" w:eastAsia="Calibri" w:hAnsi="Ebrima"/>
          <w:b/>
          <w:bCs/>
        </w:rPr>
        <w:t xml:space="preserve"> </w:t>
      </w:r>
      <w:r>
        <w:rPr>
          <w:rFonts w:ascii="Ebrima" w:eastAsia="Calibri" w:hAnsi="Ebrima"/>
          <w:b/>
          <w:bCs/>
        </w:rPr>
        <w:t>(Article 8(e))</w:t>
      </w:r>
    </w:p>
    <w:p w14:paraId="418C5BBB" w14:textId="77777777" w:rsidR="00F202D5" w:rsidRDefault="00F202D5" w:rsidP="00F202D5">
      <w:pPr>
        <w:numPr>
          <w:ilvl w:val="1"/>
          <w:numId w:val="44"/>
        </w:numPr>
        <w:contextualSpacing/>
        <w:jc w:val="both"/>
        <w:rPr>
          <w:rFonts w:ascii="Ebrima" w:eastAsia="Calibri" w:hAnsi="Ebrima"/>
        </w:rPr>
      </w:pPr>
      <w:r>
        <w:rPr>
          <w:rFonts w:ascii="Ebrima" w:eastAsia="Calibri" w:hAnsi="Ebrima"/>
        </w:rPr>
        <w:t>W</w:t>
      </w:r>
      <w:r w:rsidRPr="00DC60A4">
        <w:rPr>
          <w:rFonts w:ascii="Ebrima" w:eastAsia="Calibri" w:hAnsi="Ebrima"/>
        </w:rPr>
        <w:t>e do</w:t>
      </w:r>
      <w:r>
        <w:rPr>
          <w:rFonts w:ascii="Ebrima" w:eastAsia="Calibri" w:hAnsi="Ebrima"/>
        </w:rPr>
        <w:t xml:space="preserve"> </w:t>
      </w:r>
      <w:r w:rsidRPr="00DC60A4">
        <w:rPr>
          <w:rFonts w:ascii="Ebrima" w:eastAsia="Calibri" w:hAnsi="Ebrima"/>
        </w:rPr>
        <w:t>n</w:t>
      </w:r>
      <w:r>
        <w:rPr>
          <w:rFonts w:ascii="Ebrima" w:eastAsia="Calibri" w:hAnsi="Ebrima"/>
        </w:rPr>
        <w:t>o</w:t>
      </w:r>
      <w:r w:rsidRPr="00DC60A4">
        <w:rPr>
          <w:rFonts w:ascii="Ebrima" w:eastAsia="Calibri" w:hAnsi="Ebrima"/>
        </w:rPr>
        <w:t xml:space="preserve">t agree that this type of adjustments should be subject to Article 49. Changes as a result of a CCP’s actions to calibrate default fund exposures, collateral haircut, liquidity risk, credit and counterparty risk are important decisions that a CCP must be in a position to make as a response to a broader market event to ensure financial stability in the market and those actions must be taken in a timely manner. We believe that this indicator should be removed </w:t>
      </w:r>
      <w:r>
        <w:rPr>
          <w:rFonts w:ascii="Ebrima" w:eastAsia="Calibri" w:hAnsi="Ebrima"/>
        </w:rPr>
        <w:t>in</w:t>
      </w:r>
      <w:r w:rsidRPr="00DC60A4">
        <w:rPr>
          <w:rFonts w:ascii="Ebrima" w:eastAsia="Calibri" w:hAnsi="Ebrima"/>
        </w:rPr>
        <w:t xml:space="preserve"> its entirety</w:t>
      </w:r>
      <w:r>
        <w:rPr>
          <w:rFonts w:ascii="Ebrima" w:eastAsia="Calibri" w:hAnsi="Ebrima"/>
        </w:rPr>
        <w:t>;</w:t>
      </w:r>
    </w:p>
    <w:p w14:paraId="40A7FA16" w14:textId="77777777" w:rsidR="00F202D5" w:rsidRPr="003601CF" w:rsidRDefault="00F202D5" w:rsidP="00F202D5">
      <w:pPr>
        <w:numPr>
          <w:ilvl w:val="1"/>
          <w:numId w:val="44"/>
        </w:numPr>
        <w:contextualSpacing/>
        <w:jc w:val="both"/>
        <w:rPr>
          <w:rFonts w:ascii="Ebrima" w:eastAsia="Calibri" w:hAnsi="Ebrima"/>
        </w:rPr>
      </w:pPr>
      <w:r>
        <w:rPr>
          <w:rFonts w:ascii="Ebrima" w:eastAsia="Calibri" w:hAnsi="Ebrima"/>
        </w:rPr>
        <w:t xml:space="preserve">Furthermore, </w:t>
      </w:r>
      <w:r w:rsidRPr="0028143E">
        <w:rPr>
          <w:rFonts w:ascii="Ebrima" w:eastAsia="Calibri" w:hAnsi="Ebrima"/>
        </w:rPr>
        <w:t xml:space="preserve">EACH believes that new, modification, or retirement of stress scenarios should not be subject to Article 49 if done according to an approved methodology or stress testing framework. In line with EMIR, CCPs are required to add new scenarios promptly (see RTS Article 51), and triggering a significant change would contravene the original objective of the regulation. However, ESMA proposes that significant changes include changes that imply the development of new stress scenarios, including either historical or hypothetical scenarios or both, or the modification of the calibration or definition of the existing scenarios, </w:t>
      </w:r>
      <w:r w:rsidRPr="0028143E">
        <w:rPr>
          <w:rFonts w:ascii="Ebrima" w:eastAsia="Calibri" w:hAnsi="Ebrima"/>
        </w:rPr>
        <w:lastRenderedPageBreak/>
        <w:t>for the purpose of determining default fund exposures, collateral haircut, liquidity risk, credit and counterparty risk or operational risk.</w:t>
      </w:r>
    </w:p>
    <w:p w14:paraId="45454D7D" w14:textId="29A3A7DE" w:rsidR="00014A67"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8</w:t>
      </w:r>
      <w:r>
        <w:rPr>
          <w:lang w:eastAsia="en-US"/>
        </w:rPr>
        <w:t>&gt;</w:t>
      </w:r>
    </w:p>
    <w:p w14:paraId="0EBA918D" w14:textId="77777777" w:rsidR="00C93A9C" w:rsidRDefault="00C93A9C" w:rsidP="003331A2">
      <w:pPr>
        <w:rPr>
          <w:lang w:eastAsia="en-US"/>
        </w:rPr>
      </w:pPr>
    </w:p>
    <w:p w14:paraId="266E793C" w14:textId="77777777" w:rsidR="003331A2" w:rsidRPr="00014A67" w:rsidRDefault="003331A2" w:rsidP="00014A67">
      <w:pPr>
        <w:rPr>
          <w:lang w:eastAsia="en-US"/>
        </w:rPr>
      </w:pPr>
    </w:p>
    <w:p w14:paraId="772DB04F" w14:textId="1F76BFDC" w:rsidR="00014A67" w:rsidRDefault="00177C6B" w:rsidP="00177C6B">
      <w:pPr>
        <w:pStyle w:val="Questionstyle"/>
      </w:pPr>
      <w:r w:rsidRPr="00106124">
        <w:t>Would you change certain criteria into indicators or vice-versa (under Article 49 of EMIR)? Please provide reasons for your answer.</w:t>
      </w:r>
    </w:p>
    <w:p w14:paraId="2ED1CBC6" w14:textId="3D862B8F"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9</w:t>
      </w:r>
      <w:r>
        <w:rPr>
          <w:lang w:eastAsia="en-US"/>
        </w:rPr>
        <w:t>&gt;</w:t>
      </w:r>
    </w:p>
    <w:p w14:paraId="443896B7" w14:textId="77777777" w:rsidR="00F202D5" w:rsidRPr="007A4045" w:rsidRDefault="00F202D5" w:rsidP="00F202D5">
      <w:pPr>
        <w:jc w:val="both"/>
        <w:rPr>
          <w:rFonts w:ascii="Ebrima" w:eastAsia="NSimSun" w:hAnsi="Ebrima" w:cs="Lao UI"/>
          <w:bCs/>
          <w:lang w:eastAsia="es-ES"/>
        </w:rPr>
      </w:pPr>
      <w:r>
        <w:rPr>
          <w:rFonts w:ascii="Ebrima" w:eastAsia="NSimSun" w:hAnsi="Ebrima" w:cs="Lao UI"/>
          <w:bCs/>
          <w:lang w:eastAsia="es-ES"/>
        </w:rPr>
        <w:t>No</w:t>
      </w:r>
      <w:r>
        <w:rPr>
          <w:rFonts w:ascii="Ebrima" w:eastAsia="NSimSun" w:hAnsi="Ebrima" w:cs="Lao UI"/>
          <w:lang w:eastAsia="es-ES"/>
        </w:rPr>
        <w:t>, we would not change any criteria into indicator because as mentioned, we do not believe that indicators are needed.</w:t>
      </w:r>
    </w:p>
    <w:p w14:paraId="619C2623" w14:textId="7B03CA4C" w:rsidR="00014A67"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9</w:t>
      </w:r>
      <w:r>
        <w:rPr>
          <w:lang w:eastAsia="en-US"/>
        </w:rPr>
        <w:t>&gt;</w:t>
      </w:r>
    </w:p>
    <w:p w14:paraId="3E6FF34B" w14:textId="77777777" w:rsidR="00C93A9C" w:rsidRDefault="00C93A9C" w:rsidP="003331A2">
      <w:pPr>
        <w:rPr>
          <w:lang w:eastAsia="en-US"/>
        </w:rPr>
      </w:pPr>
    </w:p>
    <w:p w14:paraId="67D55145" w14:textId="77777777" w:rsidR="003331A2" w:rsidRPr="00014A67" w:rsidRDefault="003331A2" w:rsidP="00014A67">
      <w:pPr>
        <w:rPr>
          <w:lang w:eastAsia="en-US"/>
        </w:rPr>
      </w:pPr>
    </w:p>
    <w:p w14:paraId="7D9BB9C6" w14:textId="154C1255" w:rsidR="00014A67" w:rsidRDefault="00177C6B" w:rsidP="00177C6B">
      <w:pPr>
        <w:pStyle w:val="Questionstyle"/>
      </w:pPr>
      <w:r w:rsidRPr="00106124">
        <w:t>Do you agree with ESMA’s proposal to extend the consultation with the college also to Article 49? Do you agree with the proposed procedures for consulting the college or would you propose different procedures? Please provide reasons for your answer.</w:t>
      </w:r>
      <w:r w:rsidR="00014A67" w:rsidRPr="00014A67">
        <w:t>?</w:t>
      </w:r>
    </w:p>
    <w:p w14:paraId="5A32EED8" w14:textId="15621ADA"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Pr>
          <w:lang w:eastAsia="en-US"/>
        </w:rPr>
        <w:t>1</w:t>
      </w:r>
      <w:r w:rsidR="00CD3899">
        <w:rPr>
          <w:lang w:eastAsia="en-US"/>
        </w:rPr>
        <w:t>0</w:t>
      </w:r>
      <w:r>
        <w:rPr>
          <w:lang w:eastAsia="en-US"/>
        </w:rPr>
        <w:t>&gt;</w:t>
      </w:r>
    </w:p>
    <w:p w14:paraId="43FED02B" w14:textId="77777777" w:rsidR="00F202D5" w:rsidRDefault="00F202D5" w:rsidP="00F202D5">
      <w:pPr>
        <w:contextualSpacing/>
        <w:rPr>
          <w:rFonts w:ascii="Ebrima" w:eastAsia="NSimSun" w:hAnsi="Ebrima" w:cs="Lao UI"/>
          <w:lang w:eastAsia="es-ES"/>
        </w:rPr>
      </w:pPr>
      <w:r>
        <w:rPr>
          <w:rFonts w:ascii="Ebrima" w:eastAsia="NSimSun" w:hAnsi="Ebrima" w:cs="Lao UI"/>
          <w:lang w:eastAsia="es-ES"/>
        </w:rPr>
        <w:t>No. Please see our response to Question 6.</w:t>
      </w:r>
    </w:p>
    <w:p w14:paraId="2EB6DC4E" w14:textId="548EBF7E" w:rsidR="00014A67"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Pr>
          <w:lang w:eastAsia="en-US"/>
        </w:rPr>
        <w:t>1</w:t>
      </w:r>
      <w:r w:rsidR="00CD3899">
        <w:rPr>
          <w:lang w:eastAsia="en-US"/>
        </w:rPr>
        <w:t>0</w:t>
      </w:r>
      <w:r>
        <w:rPr>
          <w:lang w:eastAsia="en-US"/>
        </w:rPr>
        <w:t>&gt;</w:t>
      </w:r>
    </w:p>
    <w:p w14:paraId="382E5A4D" w14:textId="77777777" w:rsidR="00C93A9C" w:rsidRDefault="00C93A9C" w:rsidP="003331A2">
      <w:pPr>
        <w:rPr>
          <w:lang w:eastAsia="en-US"/>
        </w:rPr>
      </w:pPr>
    </w:p>
    <w:p w14:paraId="654B1E20" w14:textId="77777777" w:rsidR="003331A2" w:rsidRPr="00014A67" w:rsidRDefault="003331A2" w:rsidP="00014A67">
      <w:pPr>
        <w:rPr>
          <w:lang w:eastAsia="en-US"/>
        </w:rPr>
      </w:pPr>
    </w:p>
    <w:p w14:paraId="5B79D316" w14:textId="77777777" w:rsidR="00014A67" w:rsidRPr="00014A67" w:rsidRDefault="00014A67" w:rsidP="00014A67">
      <w:pPr>
        <w:rPr>
          <w:lang w:eastAsia="en-US"/>
        </w:rPr>
      </w:pPr>
    </w:p>
    <w:sectPr w:rsidR="00014A67" w:rsidRPr="00014A67"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195FB" w14:textId="77777777" w:rsidR="00F170BB" w:rsidRDefault="00F170BB">
      <w:r>
        <w:separator/>
      </w:r>
    </w:p>
    <w:p w14:paraId="5483B971" w14:textId="77777777" w:rsidR="00F170BB" w:rsidRDefault="00F170BB"/>
  </w:endnote>
  <w:endnote w:type="continuationSeparator" w:id="0">
    <w:p w14:paraId="0189D2D3" w14:textId="77777777" w:rsidR="00F170BB" w:rsidRDefault="00F170BB">
      <w:r>
        <w:continuationSeparator/>
      </w:r>
    </w:p>
    <w:p w14:paraId="1F699E27" w14:textId="77777777" w:rsidR="00F170BB" w:rsidRDefault="00F170BB"/>
  </w:endnote>
  <w:endnote w:type="continuationNotice" w:id="1">
    <w:p w14:paraId="3B10B656" w14:textId="77777777" w:rsidR="00F170BB" w:rsidRDefault="00F17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NSimSun">
    <w:panose1 w:val="02010609030101010101"/>
    <w:charset w:val="86"/>
    <w:family w:val="modern"/>
    <w:pitch w:val="fixed"/>
    <w:sig w:usb0="00000283" w:usb1="288F0000" w:usb2="00000016" w:usb3="00000000" w:csb0="00040001" w:csb1="00000000"/>
  </w:font>
  <w:font w:name="Lao UI">
    <w:altName w:val="Lao UI"/>
    <w:charset w:val="00"/>
    <w:family w:val="swiss"/>
    <w:pitch w:val="variable"/>
    <w:sig w:usb0="82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8E4F" w14:textId="77777777" w:rsidR="00F170BB" w:rsidRDefault="00F170BB">
      <w:r>
        <w:separator/>
      </w:r>
    </w:p>
    <w:p w14:paraId="5FC51F93" w14:textId="77777777" w:rsidR="00F170BB" w:rsidRDefault="00F170BB"/>
  </w:footnote>
  <w:footnote w:type="continuationSeparator" w:id="0">
    <w:p w14:paraId="00BBBA16" w14:textId="77777777" w:rsidR="00F170BB" w:rsidRDefault="00F170BB">
      <w:r>
        <w:continuationSeparator/>
      </w:r>
    </w:p>
    <w:p w14:paraId="3CDE82DC" w14:textId="77777777" w:rsidR="00F170BB" w:rsidRDefault="00F170BB"/>
  </w:footnote>
  <w:footnote w:type="continuationNotice" w:id="1">
    <w:p w14:paraId="52DFBEE0" w14:textId="77777777" w:rsidR="00F170BB" w:rsidRDefault="00F170BB"/>
  </w:footnote>
  <w:footnote w:id="2">
    <w:p w14:paraId="202D3DBE" w14:textId="77777777" w:rsidR="00F202D5" w:rsidRPr="00074343" w:rsidRDefault="00F202D5" w:rsidP="00F202D5">
      <w:pPr>
        <w:pStyle w:val="FootnoteText"/>
        <w:rPr>
          <w:szCs w:val="16"/>
        </w:rPr>
      </w:pPr>
      <w:r w:rsidRPr="00074343">
        <w:rPr>
          <w:rStyle w:val="FootnoteReference"/>
          <w:szCs w:val="16"/>
        </w:rPr>
        <w:footnoteRef/>
      </w:r>
      <w:r w:rsidRPr="00074343">
        <w:rPr>
          <w:szCs w:val="16"/>
        </w:rPr>
        <w:t xml:space="preserve"> https://www.esma.europa.eu/sites/default/files/library/esma70-151-3023_cp_article_15_and_49_emir_0.pdf</w:t>
      </w:r>
    </w:p>
  </w:footnote>
  <w:footnote w:id="3">
    <w:p w14:paraId="02A675A6" w14:textId="77777777" w:rsidR="00F202D5" w:rsidRPr="00E555C3" w:rsidRDefault="00F202D5" w:rsidP="00F202D5">
      <w:pPr>
        <w:pStyle w:val="FootnoteText"/>
        <w:rPr>
          <w:szCs w:val="16"/>
        </w:rPr>
      </w:pPr>
      <w:r w:rsidRPr="00E555C3">
        <w:rPr>
          <w:rStyle w:val="FootnoteReference"/>
          <w:szCs w:val="16"/>
        </w:rPr>
        <w:footnoteRef/>
      </w:r>
      <w:r w:rsidRPr="00E555C3">
        <w:rPr>
          <w:szCs w:val="16"/>
        </w:rPr>
        <w:t xml:space="preserve"> https://www.esma.europa.eu/sites/default/files/library/2016-1574_-_opinion_on_significant_changes_for_ccps.pdf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2A5A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8CB8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6151AA"/>
    <w:multiLevelType w:val="hybridMultilevel"/>
    <w:tmpl w:val="FFFFFFFF"/>
    <w:lvl w:ilvl="0" w:tplc="729C5FE2">
      <w:start w:val="1"/>
      <w:numFmt w:val="bullet"/>
      <w:lvlText w:val=""/>
      <w:lvlJc w:val="left"/>
      <w:pPr>
        <w:ind w:left="720" w:hanging="360"/>
      </w:pPr>
      <w:rPr>
        <w:rFonts w:ascii="Symbol" w:hAnsi="Symbol" w:hint="default"/>
      </w:rPr>
    </w:lvl>
    <w:lvl w:ilvl="1" w:tplc="E4841D5C">
      <w:start w:val="1"/>
      <w:numFmt w:val="bullet"/>
      <w:lvlText w:val="o"/>
      <w:lvlJc w:val="left"/>
      <w:pPr>
        <w:ind w:left="1440" w:hanging="360"/>
      </w:pPr>
      <w:rPr>
        <w:rFonts w:ascii="Courier New" w:hAnsi="Courier New" w:hint="default"/>
      </w:rPr>
    </w:lvl>
    <w:lvl w:ilvl="2" w:tplc="D2DE2096">
      <w:start w:val="1"/>
      <w:numFmt w:val="bullet"/>
      <w:lvlText w:val=""/>
      <w:lvlJc w:val="left"/>
      <w:pPr>
        <w:ind w:left="2160" w:hanging="360"/>
      </w:pPr>
      <w:rPr>
        <w:rFonts w:ascii="Wingdings" w:hAnsi="Wingdings" w:hint="default"/>
      </w:rPr>
    </w:lvl>
    <w:lvl w:ilvl="3" w:tplc="9B6C25D8">
      <w:start w:val="1"/>
      <w:numFmt w:val="bullet"/>
      <w:lvlText w:val=""/>
      <w:lvlJc w:val="left"/>
      <w:pPr>
        <w:ind w:left="2880" w:hanging="360"/>
      </w:pPr>
      <w:rPr>
        <w:rFonts w:ascii="Symbol" w:hAnsi="Symbol" w:hint="default"/>
      </w:rPr>
    </w:lvl>
    <w:lvl w:ilvl="4" w:tplc="16EE0D76">
      <w:start w:val="1"/>
      <w:numFmt w:val="bullet"/>
      <w:lvlText w:val="o"/>
      <w:lvlJc w:val="left"/>
      <w:pPr>
        <w:ind w:left="3600" w:hanging="360"/>
      </w:pPr>
      <w:rPr>
        <w:rFonts w:ascii="Courier New" w:hAnsi="Courier New" w:hint="default"/>
      </w:rPr>
    </w:lvl>
    <w:lvl w:ilvl="5" w:tplc="E2B832D6">
      <w:start w:val="1"/>
      <w:numFmt w:val="bullet"/>
      <w:lvlText w:val=""/>
      <w:lvlJc w:val="left"/>
      <w:pPr>
        <w:ind w:left="4320" w:hanging="360"/>
      </w:pPr>
      <w:rPr>
        <w:rFonts w:ascii="Wingdings" w:hAnsi="Wingdings" w:hint="default"/>
      </w:rPr>
    </w:lvl>
    <w:lvl w:ilvl="6" w:tplc="8962F20E">
      <w:start w:val="1"/>
      <w:numFmt w:val="bullet"/>
      <w:lvlText w:val=""/>
      <w:lvlJc w:val="left"/>
      <w:pPr>
        <w:ind w:left="5040" w:hanging="360"/>
      </w:pPr>
      <w:rPr>
        <w:rFonts w:ascii="Symbol" w:hAnsi="Symbol" w:hint="default"/>
      </w:rPr>
    </w:lvl>
    <w:lvl w:ilvl="7" w:tplc="B2B08BF0">
      <w:start w:val="1"/>
      <w:numFmt w:val="bullet"/>
      <w:lvlText w:val="o"/>
      <w:lvlJc w:val="left"/>
      <w:pPr>
        <w:ind w:left="5760" w:hanging="360"/>
      </w:pPr>
      <w:rPr>
        <w:rFonts w:ascii="Courier New" w:hAnsi="Courier New" w:hint="default"/>
      </w:rPr>
    </w:lvl>
    <w:lvl w:ilvl="8" w:tplc="F73412EA">
      <w:start w:val="1"/>
      <w:numFmt w:val="bullet"/>
      <w:lvlText w:val=""/>
      <w:lvlJc w:val="left"/>
      <w:pPr>
        <w:ind w:left="6480" w:hanging="360"/>
      </w:pPr>
      <w:rPr>
        <w:rFonts w:ascii="Wingdings" w:hAnsi="Wingdings" w:hint="default"/>
      </w:rPr>
    </w:lvl>
  </w:abstractNum>
  <w:abstractNum w:abstractNumId="3" w15:restartNumberingAfterBreak="0">
    <w:nsid w:val="05610BC1"/>
    <w:multiLevelType w:val="hybridMultilevel"/>
    <w:tmpl w:val="FFFFFFFF"/>
    <w:lvl w:ilvl="0" w:tplc="5E3A2F6C">
      <w:start w:val="1"/>
      <w:numFmt w:val="bullet"/>
      <w:lvlText w:val=""/>
      <w:lvlJc w:val="left"/>
      <w:pPr>
        <w:ind w:left="720" w:hanging="360"/>
      </w:pPr>
      <w:rPr>
        <w:rFonts w:ascii="Symbol" w:hAnsi="Symbol" w:hint="default"/>
      </w:rPr>
    </w:lvl>
    <w:lvl w:ilvl="1" w:tplc="8A3EF4D2">
      <w:start w:val="1"/>
      <w:numFmt w:val="bullet"/>
      <w:lvlText w:val="o"/>
      <w:lvlJc w:val="left"/>
      <w:pPr>
        <w:ind w:left="1440" w:hanging="360"/>
      </w:pPr>
      <w:rPr>
        <w:rFonts w:ascii="Courier New" w:hAnsi="Courier New" w:hint="default"/>
      </w:rPr>
    </w:lvl>
    <w:lvl w:ilvl="2" w:tplc="C7F469B0">
      <w:start w:val="1"/>
      <w:numFmt w:val="bullet"/>
      <w:lvlText w:val=""/>
      <w:lvlJc w:val="left"/>
      <w:pPr>
        <w:ind w:left="2160" w:hanging="360"/>
      </w:pPr>
      <w:rPr>
        <w:rFonts w:ascii="Wingdings" w:hAnsi="Wingdings" w:hint="default"/>
      </w:rPr>
    </w:lvl>
    <w:lvl w:ilvl="3" w:tplc="23282482">
      <w:start w:val="1"/>
      <w:numFmt w:val="bullet"/>
      <w:lvlText w:val=""/>
      <w:lvlJc w:val="left"/>
      <w:pPr>
        <w:ind w:left="2880" w:hanging="360"/>
      </w:pPr>
      <w:rPr>
        <w:rFonts w:ascii="Symbol" w:hAnsi="Symbol" w:hint="default"/>
      </w:rPr>
    </w:lvl>
    <w:lvl w:ilvl="4" w:tplc="F4CCBCB0">
      <w:start w:val="1"/>
      <w:numFmt w:val="bullet"/>
      <w:lvlText w:val="o"/>
      <w:lvlJc w:val="left"/>
      <w:pPr>
        <w:ind w:left="3600" w:hanging="360"/>
      </w:pPr>
      <w:rPr>
        <w:rFonts w:ascii="Courier New" w:hAnsi="Courier New" w:hint="default"/>
      </w:rPr>
    </w:lvl>
    <w:lvl w:ilvl="5" w:tplc="310C114A">
      <w:start w:val="1"/>
      <w:numFmt w:val="bullet"/>
      <w:lvlText w:val=""/>
      <w:lvlJc w:val="left"/>
      <w:pPr>
        <w:ind w:left="4320" w:hanging="360"/>
      </w:pPr>
      <w:rPr>
        <w:rFonts w:ascii="Wingdings" w:hAnsi="Wingdings" w:hint="default"/>
      </w:rPr>
    </w:lvl>
    <w:lvl w:ilvl="6" w:tplc="84D42938">
      <w:start w:val="1"/>
      <w:numFmt w:val="bullet"/>
      <w:lvlText w:val=""/>
      <w:lvlJc w:val="left"/>
      <w:pPr>
        <w:ind w:left="5040" w:hanging="360"/>
      </w:pPr>
      <w:rPr>
        <w:rFonts w:ascii="Symbol" w:hAnsi="Symbol" w:hint="default"/>
      </w:rPr>
    </w:lvl>
    <w:lvl w:ilvl="7" w:tplc="9C283626">
      <w:start w:val="1"/>
      <w:numFmt w:val="bullet"/>
      <w:lvlText w:val="o"/>
      <w:lvlJc w:val="left"/>
      <w:pPr>
        <w:ind w:left="5760" w:hanging="360"/>
      </w:pPr>
      <w:rPr>
        <w:rFonts w:ascii="Courier New" w:hAnsi="Courier New" w:hint="default"/>
      </w:rPr>
    </w:lvl>
    <w:lvl w:ilvl="8" w:tplc="DE9C894E">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5C212E"/>
    <w:multiLevelType w:val="hybridMultilevel"/>
    <w:tmpl w:val="FFFFFFFF"/>
    <w:lvl w:ilvl="0" w:tplc="4F8AB938">
      <w:start w:val="1"/>
      <w:numFmt w:val="bullet"/>
      <w:lvlText w:val=""/>
      <w:lvlJc w:val="left"/>
      <w:pPr>
        <w:ind w:left="720" w:hanging="360"/>
      </w:pPr>
      <w:rPr>
        <w:rFonts w:ascii="Symbol" w:hAnsi="Symbol" w:hint="default"/>
      </w:rPr>
    </w:lvl>
    <w:lvl w:ilvl="1" w:tplc="43A800A2">
      <w:start w:val="1"/>
      <w:numFmt w:val="bullet"/>
      <w:lvlText w:val="o"/>
      <w:lvlJc w:val="left"/>
      <w:pPr>
        <w:ind w:left="1440" w:hanging="360"/>
      </w:pPr>
      <w:rPr>
        <w:rFonts w:ascii="Courier New" w:hAnsi="Courier New" w:hint="default"/>
      </w:rPr>
    </w:lvl>
    <w:lvl w:ilvl="2" w:tplc="A120D846">
      <w:start w:val="1"/>
      <w:numFmt w:val="bullet"/>
      <w:lvlText w:val=""/>
      <w:lvlJc w:val="left"/>
      <w:pPr>
        <w:ind w:left="2160" w:hanging="360"/>
      </w:pPr>
      <w:rPr>
        <w:rFonts w:ascii="Wingdings" w:hAnsi="Wingdings" w:hint="default"/>
      </w:rPr>
    </w:lvl>
    <w:lvl w:ilvl="3" w:tplc="A76EAB94">
      <w:start w:val="1"/>
      <w:numFmt w:val="bullet"/>
      <w:lvlText w:val=""/>
      <w:lvlJc w:val="left"/>
      <w:pPr>
        <w:ind w:left="2880" w:hanging="360"/>
      </w:pPr>
      <w:rPr>
        <w:rFonts w:ascii="Symbol" w:hAnsi="Symbol" w:hint="default"/>
      </w:rPr>
    </w:lvl>
    <w:lvl w:ilvl="4" w:tplc="EF36B436">
      <w:start w:val="1"/>
      <w:numFmt w:val="bullet"/>
      <w:lvlText w:val="o"/>
      <w:lvlJc w:val="left"/>
      <w:pPr>
        <w:ind w:left="3600" w:hanging="360"/>
      </w:pPr>
      <w:rPr>
        <w:rFonts w:ascii="Courier New" w:hAnsi="Courier New" w:hint="default"/>
      </w:rPr>
    </w:lvl>
    <w:lvl w:ilvl="5" w:tplc="F06059D0">
      <w:start w:val="1"/>
      <w:numFmt w:val="bullet"/>
      <w:lvlText w:val=""/>
      <w:lvlJc w:val="left"/>
      <w:pPr>
        <w:ind w:left="4320" w:hanging="360"/>
      </w:pPr>
      <w:rPr>
        <w:rFonts w:ascii="Wingdings" w:hAnsi="Wingdings" w:hint="default"/>
      </w:rPr>
    </w:lvl>
    <w:lvl w:ilvl="6" w:tplc="0CC2BD6C">
      <w:start w:val="1"/>
      <w:numFmt w:val="bullet"/>
      <w:lvlText w:val=""/>
      <w:lvlJc w:val="left"/>
      <w:pPr>
        <w:ind w:left="5040" w:hanging="360"/>
      </w:pPr>
      <w:rPr>
        <w:rFonts w:ascii="Symbol" w:hAnsi="Symbol" w:hint="default"/>
      </w:rPr>
    </w:lvl>
    <w:lvl w:ilvl="7" w:tplc="87F8AB5E">
      <w:start w:val="1"/>
      <w:numFmt w:val="bullet"/>
      <w:lvlText w:val="o"/>
      <w:lvlJc w:val="left"/>
      <w:pPr>
        <w:ind w:left="5760" w:hanging="360"/>
      </w:pPr>
      <w:rPr>
        <w:rFonts w:ascii="Courier New" w:hAnsi="Courier New" w:hint="default"/>
      </w:rPr>
    </w:lvl>
    <w:lvl w:ilvl="8" w:tplc="B0262D3E">
      <w:start w:val="1"/>
      <w:numFmt w:val="bullet"/>
      <w:lvlText w:val=""/>
      <w:lvlJc w:val="left"/>
      <w:pPr>
        <w:ind w:left="6480" w:hanging="360"/>
      </w:pPr>
      <w:rPr>
        <w:rFonts w:ascii="Wingdings" w:hAnsi="Wingdings" w:hint="default"/>
      </w:r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F930A3"/>
    <w:multiLevelType w:val="hybridMultilevel"/>
    <w:tmpl w:val="3168A9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261439F6"/>
    <w:lvl w:ilvl="0" w:tplc="DCA8BAC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4B525E4"/>
    <w:multiLevelType w:val="hybridMultilevel"/>
    <w:tmpl w:val="B8C4DB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451F063C"/>
    <w:multiLevelType w:val="hybridMultilevel"/>
    <w:tmpl w:val="98F67B92"/>
    <w:lvl w:ilvl="0" w:tplc="FBF20504">
      <w:start w:val="1"/>
      <w:numFmt w:val="bullet"/>
      <w:lvlText w:val=""/>
      <w:lvlJc w:val="left"/>
      <w:pPr>
        <w:ind w:left="720" w:hanging="360"/>
      </w:pPr>
      <w:rPr>
        <w:rFonts w:ascii="Symbol" w:hAnsi="Symbol" w:hint="default"/>
        <w:color w:val="auto"/>
      </w:rPr>
    </w:lvl>
    <w:lvl w:ilvl="1" w:tplc="D15C4F8C">
      <w:start w:val="1"/>
      <w:numFmt w:val="bullet"/>
      <w:lvlText w:val="o"/>
      <w:lvlJc w:val="left"/>
      <w:pPr>
        <w:ind w:left="1440" w:hanging="360"/>
      </w:pPr>
      <w:rPr>
        <w:rFonts w:ascii="Courier New" w:hAnsi="Courier New" w:hint="default"/>
      </w:rPr>
    </w:lvl>
    <w:lvl w:ilvl="2" w:tplc="25162F18">
      <w:start w:val="1"/>
      <w:numFmt w:val="bullet"/>
      <w:lvlText w:val=""/>
      <w:lvlJc w:val="left"/>
      <w:pPr>
        <w:ind w:left="2160" w:hanging="360"/>
      </w:pPr>
      <w:rPr>
        <w:rFonts w:ascii="Wingdings" w:hAnsi="Wingdings" w:hint="default"/>
      </w:rPr>
    </w:lvl>
    <w:lvl w:ilvl="3" w:tplc="3772668E">
      <w:start w:val="1"/>
      <w:numFmt w:val="bullet"/>
      <w:lvlText w:val=""/>
      <w:lvlJc w:val="left"/>
      <w:pPr>
        <w:ind w:left="2880" w:hanging="360"/>
      </w:pPr>
      <w:rPr>
        <w:rFonts w:ascii="Symbol" w:hAnsi="Symbol" w:hint="default"/>
      </w:rPr>
    </w:lvl>
    <w:lvl w:ilvl="4" w:tplc="B0C4FFCE">
      <w:start w:val="1"/>
      <w:numFmt w:val="bullet"/>
      <w:lvlText w:val="o"/>
      <w:lvlJc w:val="left"/>
      <w:pPr>
        <w:ind w:left="3600" w:hanging="360"/>
      </w:pPr>
      <w:rPr>
        <w:rFonts w:ascii="Courier New" w:hAnsi="Courier New" w:hint="default"/>
      </w:rPr>
    </w:lvl>
    <w:lvl w:ilvl="5" w:tplc="2D92822C">
      <w:start w:val="1"/>
      <w:numFmt w:val="bullet"/>
      <w:lvlText w:val=""/>
      <w:lvlJc w:val="left"/>
      <w:pPr>
        <w:ind w:left="4320" w:hanging="360"/>
      </w:pPr>
      <w:rPr>
        <w:rFonts w:ascii="Wingdings" w:hAnsi="Wingdings" w:hint="default"/>
      </w:rPr>
    </w:lvl>
    <w:lvl w:ilvl="6" w:tplc="4CD294C2">
      <w:start w:val="1"/>
      <w:numFmt w:val="bullet"/>
      <w:lvlText w:val=""/>
      <w:lvlJc w:val="left"/>
      <w:pPr>
        <w:ind w:left="5040" w:hanging="360"/>
      </w:pPr>
      <w:rPr>
        <w:rFonts w:ascii="Symbol" w:hAnsi="Symbol" w:hint="default"/>
      </w:rPr>
    </w:lvl>
    <w:lvl w:ilvl="7" w:tplc="46BC0E2A">
      <w:start w:val="1"/>
      <w:numFmt w:val="bullet"/>
      <w:lvlText w:val="o"/>
      <w:lvlJc w:val="left"/>
      <w:pPr>
        <w:ind w:left="5760" w:hanging="360"/>
      </w:pPr>
      <w:rPr>
        <w:rFonts w:ascii="Courier New" w:hAnsi="Courier New" w:hint="default"/>
      </w:rPr>
    </w:lvl>
    <w:lvl w:ilvl="8" w:tplc="D3E6CA2E">
      <w:start w:val="1"/>
      <w:numFmt w:val="bullet"/>
      <w:lvlText w:val=""/>
      <w:lvlJc w:val="left"/>
      <w:pPr>
        <w:ind w:left="6480" w:hanging="360"/>
      </w:pPr>
      <w:rPr>
        <w:rFonts w:ascii="Wingdings" w:hAnsi="Wingdings" w:hint="default"/>
      </w:r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6C5099"/>
    <w:multiLevelType w:val="hybridMultilevel"/>
    <w:tmpl w:val="735C192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5"/>
  </w:num>
  <w:num w:numId="4">
    <w:abstractNumId w:val="29"/>
  </w:num>
  <w:num w:numId="5">
    <w:abstractNumId w:val="31"/>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8"/>
  </w:num>
  <w:num w:numId="15">
    <w:abstractNumId w:val="12"/>
  </w:num>
  <w:num w:numId="16">
    <w:abstractNumId w:val="1"/>
  </w:num>
  <w:num w:numId="17">
    <w:abstractNumId w:val="18"/>
  </w:num>
  <w:num w:numId="18">
    <w:abstractNumId w:val="19"/>
  </w:num>
  <w:num w:numId="19">
    <w:abstractNumId w:val="21"/>
  </w:num>
  <w:num w:numId="20">
    <w:abstractNumId w:val="32"/>
  </w:num>
  <w:num w:numId="21">
    <w:abstractNumId w:val="42"/>
  </w:num>
  <w:num w:numId="22">
    <w:abstractNumId w:val="30"/>
  </w:num>
  <w:num w:numId="23">
    <w:abstractNumId w:val="11"/>
  </w:num>
  <w:num w:numId="24">
    <w:abstractNumId w:val="35"/>
  </w:num>
  <w:num w:numId="25">
    <w:abstractNumId w:val="34"/>
  </w:num>
  <w:num w:numId="26">
    <w:abstractNumId w:val="25"/>
  </w:num>
  <w:num w:numId="27">
    <w:abstractNumId w:val="38"/>
  </w:num>
  <w:num w:numId="28">
    <w:abstractNumId w:val="44"/>
  </w:num>
  <w:num w:numId="29">
    <w:abstractNumId w:val="8"/>
  </w:num>
  <w:num w:numId="30">
    <w:abstractNumId w:val="4"/>
  </w:num>
  <w:num w:numId="31">
    <w:abstractNumId w:val="27"/>
  </w:num>
  <w:num w:numId="32">
    <w:abstractNumId w:val="26"/>
  </w:num>
  <w:num w:numId="33">
    <w:abstractNumId w:val="40"/>
  </w:num>
  <w:num w:numId="34">
    <w:abstractNumId w:val="39"/>
  </w:num>
  <w:num w:numId="35">
    <w:abstractNumId w:val="13"/>
  </w:num>
  <w:num w:numId="36">
    <w:abstractNumId w:val="14"/>
  </w:num>
  <w:num w:numId="37">
    <w:abstractNumId w:val="16"/>
  </w:num>
  <w:num w:numId="38">
    <w:abstractNumId w:val="16"/>
    <w:lvlOverride w:ilvl="0">
      <w:startOverride w:val="1"/>
    </w:lvlOverride>
  </w:num>
  <w:num w:numId="39">
    <w:abstractNumId w:val="10"/>
  </w:num>
  <w:num w:numId="40">
    <w:abstractNumId w:val="5"/>
  </w:num>
  <w:num w:numId="41">
    <w:abstractNumId w:val="24"/>
  </w:num>
  <w:num w:numId="42">
    <w:abstractNumId w:val="41"/>
  </w:num>
  <w:num w:numId="43">
    <w:abstractNumId w:val="2"/>
  </w:num>
  <w:num w:numId="44">
    <w:abstractNumId w:val="3"/>
  </w:num>
  <w:num w:numId="45">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2DA"/>
    <w:rsid w:val="00002491"/>
    <w:rsid w:val="0000378E"/>
    <w:rsid w:val="00003AEB"/>
    <w:rsid w:val="00005BBA"/>
    <w:rsid w:val="00005D8C"/>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079"/>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A5A"/>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2D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177C6B"/>
    <w:pPr>
      <w:numPr>
        <w:numId w:val="37"/>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177C6B"/>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9" ma:contentTypeDescription="Create a new document." ma:contentTypeScope="" ma:versionID="3d2cdd519ad90cf099fd6825dcf925da">
  <xsd:schema xmlns:xsd="http://www.w3.org/2001/XMLSchema" xmlns:xs="http://www.w3.org/2001/XMLSchema" xmlns:p="http://schemas.microsoft.com/office/2006/metadata/properties" xmlns:ns2="fb2c14a3-ab34-43cb-b52f-d3a02ec58746" xmlns:ns3="84df555d-bcb2-4f9d-92f1-052a9b5d6dbc" targetNamespace="http://schemas.microsoft.com/office/2006/metadata/properties" ma:root="true" ma:fieldsID="620094b05dcbf1007499f9d59728a78f" ns2:_="" ns3:_="">
    <xsd:import namespace="fb2c14a3-ab34-43cb-b52f-d3a02ec58746"/>
    <xsd:import namespace="84df555d-bcb2-4f9d-92f1-052a9b5d6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f555d-bcb2-4f9d-92f1-052a9b5d6d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www.w3.org/XML/1998/namespace"/>
    <ds:schemaRef ds:uri="fb2c14a3-ab34-43cb-b52f-d3a02ec58746"/>
    <ds:schemaRef ds:uri="84df555d-bcb2-4f9d-92f1-052a9b5d6dbc"/>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93BEC757-1457-47BC-9C70-7003CF4B16A9}">
  <ds:schemaRefs>
    <ds:schemaRef ds:uri="http://schemas.openxmlformats.org/officeDocument/2006/bibliography"/>
  </ds:schemaRefs>
</ds:datastoreItem>
</file>

<file path=customXml/itemProps4.xml><?xml version="1.0" encoding="utf-8"?>
<ds:datastoreItem xmlns:ds="http://schemas.openxmlformats.org/officeDocument/2006/customXml" ds:itemID="{1F0DAC14-BBC6-4C96-8773-90054D1D4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14a3-ab34-43cb-b52f-d3a02ec58746"/>
    <ds:schemaRef ds:uri="84df555d-bcb2-4f9d-92f1-052a9b5d6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F32B17-7AC7-48CB-A09E-801245A1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5166</Words>
  <Characters>29452</Characters>
  <Application>Microsoft Office Word</Application>
  <DocSecurity>0</DocSecurity>
  <Lines>245</Lines>
  <Paragraphs>69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34549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Max Chan</cp:lastModifiedBy>
  <cp:revision>2</cp:revision>
  <cp:lastPrinted>2015-02-18T11:01:00Z</cp:lastPrinted>
  <dcterms:created xsi:type="dcterms:W3CDTF">2020-11-16T18:18:00Z</dcterms:created>
  <dcterms:modified xsi:type="dcterms:W3CDTF">2020-11-16T18:18:00Z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0x010100337D5393D9CB04469885AAD5E4AC9695</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279;#EMIR 2.2|4df16084-2afe-4fff-a8ff-88ac73e94787</vt:lpwstr>
  </property>
  <property fmtid="{D5CDD505-2E9C-101B-9397-08002B2CF9AE}" pid="6" name="SubTopic">
    <vt:lpwstr/>
  </property>
  <property fmtid="{D5CDD505-2E9C-101B-9397-08002B2CF9AE}" pid="7" name="DocumentType">
    <vt:lpwstr>223;#Questionnaire|a849d609-a31c-415e-a1a8-503bcc16b083</vt:lpwstr>
  </property>
  <property fmtid="{D5CDD505-2E9C-101B-9397-08002B2CF9AE}" pid="8" name="ConfidentialityLevel">
    <vt:lpwstr>25;#Public|a0c619ff-bd46-48f0-b213-6b7c03fe156d</vt:lpwstr>
  </property>
  <property fmtid="{D5CDD505-2E9C-101B-9397-08002B2CF9AE}" pid="9" name="_dlc_DocIdItemGuid">
    <vt:lpwstr>22137881-440c-4f10-9eec-bc3f9f044cb7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