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id w:val="-1905066999"/>
            <w:text/>
          </w:sdtPr>
          <w:sdtContent>
            <w:tc>
              <w:tcPr>
                <w:tcW w:w="5595" w:type="dxa"/>
                <w:shd w:val="clear" w:color="auto" w:fill="auto"/>
              </w:tcPr>
              <w:p w14:paraId="1B67440D" w14:textId="4C121DF6" w:rsidR="00C85C8B" w:rsidRPr="00C85C8B" w:rsidRDefault="00D843E5" w:rsidP="00C85C8B">
                <w:pPr>
                  <w:rPr>
                    <w:rFonts w:ascii="Arial" w:hAnsi="Arial" w:cs="Arial"/>
                    <w:color w:val="808080"/>
                    <w:sz w:val="20"/>
                    <w:lang w:eastAsia="de-DE"/>
                  </w:rPr>
                </w:pPr>
                <w:r w:rsidRPr="00D843E5">
                  <w:t xml:space="preserve">J.P. Morgan Asset Management (Europe) </w:t>
                </w:r>
                <w:proofErr w:type="spellStart"/>
                <w:r w:rsidRPr="00D843E5">
                  <w:t>S.a.r.l</w:t>
                </w:r>
                <w:proofErr w:type="spellEnd"/>
                <w:r w:rsidRPr="00D843E5">
                  <w:t xml:space="preserve"> and J.P. Morgan AG</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BE6338B" w:rsidR="00C85C8B" w:rsidRPr="00C85C8B" w:rsidRDefault="00092FDA"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843E5">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AFA72D5" w:rsidR="00C85C8B" w:rsidRPr="00C85C8B" w:rsidRDefault="0082775D" w:rsidP="00C85C8B">
                <w:pPr>
                  <w:rPr>
                    <w:rFonts w:ascii="Arial" w:hAnsi="Arial" w:cs="Arial"/>
                    <w:sz w:val="20"/>
                    <w:lang w:eastAsia="de-DE"/>
                  </w:rPr>
                </w:pPr>
                <w:r>
                  <w:rPr>
                    <w:rFonts w:ascii="Arial" w:hAnsi="Arial" w:cs="Arial"/>
                    <w:sz w:val="20"/>
                    <w:lang w:eastAsia="de-DE"/>
                  </w:rPr>
                  <w:t>Luxembourg/</w:t>
                </w:r>
                <w:r w:rsidR="00D843E5">
                  <w:rPr>
                    <w:rFonts w:ascii="Arial" w:hAnsi="Arial" w:cs="Arial"/>
                    <w:sz w:val="20"/>
                    <w:lang w:eastAsia="de-DE"/>
                  </w:rPr>
                  <w:t>Germany</w:t>
                </w:r>
              </w:p>
            </w:tc>
          </w:sdtContent>
        </w:sdt>
      </w:tr>
      <w:permEnd w:id="1269442871"/>
    </w:tbl>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20339C3B" w14:textId="77777777" w:rsidR="00D843E5" w:rsidRPr="00A328FB" w:rsidRDefault="00D843E5" w:rsidP="00D843E5">
      <w:pPr>
        <w:jc w:val="both"/>
      </w:pPr>
      <w:permStart w:id="885457707" w:edGrp="everyone"/>
      <w:r w:rsidRPr="00A328FB">
        <w:t xml:space="preserve">J.P. Morgan Asset Management (Europe) </w:t>
      </w:r>
      <w:proofErr w:type="spellStart"/>
      <w:r w:rsidRPr="00A328FB">
        <w:t>S.a.r.l</w:t>
      </w:r>
      <w:proofErr w:type="spellEnd"/>
      <w:r w:rsidRPr="00A328FB">
        <w:t xml:space="preserve"> and J.P. Morgan AG (together, JPM) welcome the opportunity to provide feedback to the ESMA consultation paper ‘on the functioning of the Organised Trading Facilities (OTF)’. </w:t>
      </w:r>
    </w:p>
    <w:p w14:paraId="76FD3FD3" w14:textId="77777777" w:rsidR="00D843E5" w:rsidRPr="00A328FB" w:rsidRDefault="00D843E5" w:rsidP="00D843E5">
      <w:pPr>
        <w:jc w:val="both"/>
      </w:pPr>
    </w:p>
    <w:p w14:paraId="6C866AED" w14:textId="77777777" w:rsidR="00D843E5" w:rsidRPr="00A328FB" w:rsidRDefault="00D843E5" w:rsidP="00D843E5">
      <w:pPr>
        <w:jc w:val="both"/>
      </w:pPr>
      <w:r w:rsidRPr="00A328FB">
        <w:t>In our response, we will be focusing on the issue of ‘multilateral systems’ and the emergence of software providers. As a global financial institution, both in the Asset Management and Corporate and Investment Bank domains, with a longstanding and strong presence in the European Union (EU), we consider these topics to be of significant importance for ensuring a well-functioning EU financial market that supports competition and innovation.</w:t>
      </w:r>
    </w:p>
    <w:p w14:paraId="7BC0E7E0" w14:textId="77777777" w:rsidR="00D843E5" w:rsidRPr="00A328FB" w:rsidRDefault="00D843E5" w:rsidP="00D843E5">
      <w:pPr>
        <w:jc w:val="both"/>
      </w:pPr>
    </w:p>
    <w:p w14:paraId="328C7E3A" w14:textId="77777777" w:rsidR="00D843E5" w:rsidRPr="00A328FB" w:rsidRDefault="00D843E5" w:rsidP="00D843E5">
      <w:pPr>
        <w:jc w:val="both"/>
      </w:pPr>
      <w:r w:rsidRPr="00A328FB">
        <w:t>JPM supports the emergence of new technologies that introduce efficiencies and improve outcomes for end</w:t>
      </w:r>
      <w:r>
        <w:t>-</w:t>
      </w:r>
      <w:r w:rsidRPr="00A328FB">
        <w:t>investors. These software providers, which are commonly used both by the sell-side and buy-side community, allow firms to carry out their day</w:t>
      </w:r>
      <w:r>
        <w:t>-</w:t>
      </w:r>
      <w:r w:rsidRPr="00A328FB">
        <w:t>to</w:t>
      </w:r>
      <w:r>
        <w:t>-</w:t>
      </w:r>
      <w:r w:rsidRPr="00A328FB">
        <w:t>day activity more efficiently by improving the information flow, across a wide range of areas.</w:t>
      </w:r>
    </w:p>
    <w:p w14:paraId="52D348AB" w14:textId="77777777" w:rsidR="00D843E5" w:rsidRPr="00A328FB" w:rsidRDefault="00D843E5" w:rsidP="00D843E5">
      <w:pPr>
        <w:jc w:val="both"/>
      </w:pPr>
    </w:p>
    <w:p w14:paraId="0E979A8C" w14:textId="77777777" w:rsidR="00D843E5" w:rsidRPr="00A328FB" w:rsidRDefault="00D843E5" w:rsidP="00D843E5">
      <w:pPr>
        <w:spacing w:after="160" w:line="259" w:lineRule="auto"/>
        <w:jc w:val="both"/>
      </w:pPr>
      <w:r w:rsidRPr="00A328FB">
        <w:t xml:space="preserve">The EU should encourage the development of these innovative communication systems and allow them to co-exist alongside trading venues. Providing end-investors with a diverse set of connectivity utilities offers them choice, which in turn can optimise their investment objectives, foster competition and drive costs down whilst providing investors with investor protection. </w:t>
      </w:r>
    </w:p>
    <w:p w14:paraId="02AF2FF9" w14:textId="79A0B2D5" w:rsidR="00C85C8B" w:rsidRPr="00EC57E2" w:rsidRDefault="00D843E5" w:rsidP="00EC57E2">
      <w:pPr>
        <w:spacing w:after="160" w:line="259" w:lineRule="auto"/>
        <w:jc w:val="both"/>
      </w:pPr>
      <w:r w:rsidRPr="00A328FB">
        <w:t>JPM would like to note that although this consultation has been entitled ‘the functioning of the OTF regime’</w:t>
      </w:r>
      <w:r>
        <w:t>,</w:t>
      </w:r>
      <w:r w:rsidRPr="00A328FB">
        <w:t xml:space="preserve"> it includes a number of additional topics with far-reaching consequences outside of the OTF regime. We are concerned that a number of market participants might not have appreciated the scope of the consultation. We therefore hope that further in-depth discussions will be held with all market participants</w:t>
      </w:r>
      <w:r>
        <w:t>,</w:t>
      </w:r>
      <w:r w:rsidRPr="00A328FB">
        <w:t xml:space="preserve"> including the buy-side community</w:t>
      </w:r>
      <w:r>
        <w:t>,</w:t>
      </w:r>
      <w:r w:rsidRPr="00A328FB">
        <w:t xml:space="preserve"> on these important issues.</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005F1C41" w14:textId="2430CF4D" w:rsidR="00C1698A" w:rsidRDefault="00C1698A" w:rsidP="00EC57E2">
      <w:pPr>
        <w:spacing w:after="120" w:line="264"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698BB2FB" w14:textId="6B7A7BE9" w:rsidR="00D843E5" w:rsidRPr="00A328FB" w:rsidRDefault="00D843E5" w:rsidP="00D843E5">
      <w:pPr>
        <w:numPr>
          <w:ilvl w:val="0"/>
          <w:numId w:val="18"/>
        </w:numPr>
        <w:jc w:val="both"/>
      </w:pPr>
      <w:permStart w:id="1801542831" w:edGrp="everyone"/>
      <w:r w:rsidRPr="00A328FB">
        <w:t xml:space="preserve">No, JPM does not concur with ESMA’s clarifications. We are concerned that ESMA’s interpretation of ‘multilateral systems’, as expressed in the consultation paper, is too broad and could capture a multitude of communication platforms, information facilitators, distributors of data and connectivity utilities - including Execution Management Systems (EMS), Order Management Systems (OMS), instant messaging services or even email applications. It could also capture buy-side proprietary systems that have been developed to connect to sell-side firms directly. We do not believe that this is ESMA’s intention nor the intention behind the MiFID II requirements. </w:t>
      </w:r>
    </w:p>
    <w:p w14:paraId="2F5E29B7" w14:textId="77777777" w:rsidR="00D843E5" w:rsidRPr="00A328FB" w:rsidRDefault="00D843E5" w:rsidP="00D843E5">
      <w:pPr>
        <w:numPr>
          <w:ilvl w:val="0"/>
          <w:numId w:val="18"/>
        </w:numPr>
        <w:jc w:val="both"/>
      </w:pPr>
      <w:r w:rsidRPr="00A328FB">
        <w:t xml:space="preserve">These software providers enhance the efficiency of the marketplace by improving the flow of information and serve as information facilitators and connectivity utilities and not as trading venues.  </w:t>
      </w:r>
    </w:p>
    <w:p w14:paraId="4A7325D9" w14:textId="77777777" w:rsidR="00D843E5" w:rsidRPr="00A328FB" w:rsidRDefault="00D843E5" w:rsidP="00D843E5">
      <w:pPr>
        <w:numPr>
          <w:ilvl w:val="0"/>
          <w:numId w:val="18"/>
        </w:numPr>
        <w:jc w:val="both"/>
      </w:pPr>
      <w:r w:rsidRPr="00A328FB">
        <w:t xml:space="preserve">Forcing all these software providers, that do not conduct trading, to become authorised as trading venues under MiFID II and subjecting them to complex and costly regulatory requirements would likely prevent them from existing in their current form and limit their ability to grow while reinforcing the monopolistic position of the already well established trading venues. </w:t>
      </w:r>
    </w:p>
    <w:p w14:paraId="3E7FE3E7" w14:textId="77777777" w:rsidR="00D843E5" w:rsidRPr="00A328FB" w:rsidRDefault="00D843E5" w:rsidP="00D843E5">
      <w:pPr>
        <w:numPr>
          <w:ilvl w:val="0"/>
          <w:numId w:val="18"/>
        </w:numPr>
        <w:jc w:val="both"/>
      </w:pPr>
      <w:r w:rsidRPr="00A328FB">
        <w:t xml:space="preserve">This would limit competition in the market, stifle innovation and will ultimately lead to increased costs for end-investors (as operational/regulatory costs are directly or indirectly passed along). </w:t>
      </w:r>
    </w:p>
    <w:p w14:paraId="4B56E83D" w14:textId="77777777" w:rsidR="00D843E5" w:rsidRPr="00A328FB" w:rsidRDefault="00D843E5" w:rsidP="00D843E5">
      <w:pPr>
        <w:numPr>
          <w:ilvl w:val="0"/>
          <w:numId w:val="18"/>
        </w:numPr>
        <w:jc w:val="both"/>
      </w:pPr>
      <w:r w:rsidRPr="00A328FB">
        <w:lastRenderedPageBreak/>
        <w:t>Such an approach could also put the EU at a competitive disadvantage as other jurisdictions allow these software providers to play a role in the market without requiring them to become trading venues.</w:t>
      </w:r>
    </w:p>
    <w:p w14:paraId="60184566" w14:textId="77777777" w:rsidR="00D843E5" w:rsidRPr="00A328FB" w:rsidRDefault="00D843E5" w:rsidP="00D843E5">
      <w:pPr>
        <w:numPr>
          <w:ilvl w:val="0"/>
          <w:numId w:val="18"/>
        </w:numPr>
        <w:jc w:val="both"/>
      </w:pPr>
      <w:r w:rsidRPr="00A328FB">
        <w:t>We strongly believe it is important for the EU to encourage the development of these innovative systems and allow them to co-exist in the ecosystem. The EU should be open to innovation.</w:t>
      </w:r>
    </w:p>
    <w:p w14:paraId="1E2B40B5" w14:textId="77777777" w:rsidR="00D843E5" w:rsidRPr="00A328FB" w:rsidRDefault="00D843E5" w:rsidP="00D843E5">
      <w:pPr>
        <w:numPr>
          <w:ilvl w:val="0"/>
          <w:numId w:val="18"/>
        </w:numPr>
        <w:jc w:val="both"/>
      </w:pPr>
      <w:r w:rsidRPr="00A328FB">
        <w:t xml:space="preserve">It is important to look at this issue holistically and on a case by case basis. Only real ‘multilateral systems’ that allow multiple third parties’ trading interests to interact in a system (including non-existing relationships) and, where genuine trade execution takes place, should be considered multilateral and therefore required to become trading venues. </w:t>
      </w:r>
    </w:p>
    <w:p w14:paraId="0381C985" w14:textId="51583AFC" w:rsidR="00C92E09" w:rsidRPr="00D843E5" w:rsidRDefault="00D843E5" w:rsidP="00D843E5">
      <w:pPr>
        <w:numPr>
          <w:ilvl w:val="0"/>
          <w:numId w:val="18"/>
        </w:numPr>
        <w:jc w:val="both"/>
      </w:pPr>
      <w:r w:rsidRPr="00A328FB">
        <w:t>For the above reasons, we strongly believe that ESMA should look to define the regulatory perimeter with sufficient precision to avoid the above unintended consequences.</w:t>
      </w:r>
    </w:p>
    <w:permEnd w:id="1801542831"/>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57F4432D" w14:textId="3D71F0EE" w:rsidR="00D843E5" w:rsidRPr="00A328FB" w:rsidRDefault="00D843E5" w:rsidP="00D843E5">
      <w:pPr>
        <w:pStyle w:val="ListParagraph"/>
        <w:numPr>
          <w:ilvl w:val="0"/>
          <w:numId w:val="19"/>
        </w:numPr>
        <w:tabs>
          <w:tab w:val="clear" w:pos="0"/>
          <w:tab w:val="clear" w:pos="142"/>
          <w:tab w:val="clear" w:pos="284"/>
          <w:tab w:val="clear" w:pos="567"/>
        </w:tabs>
        <w:autoSpaceDE/>
        <w:autoSpaceDN/>
        <w:adjustRightInd/>
        <w:spacing w:line="240" w:lineRule="auto"/>
      </w:pPr>
      <w:permStart w:id="512113161" w:edGrp="everyone"/>
      <w:r w:rsidRPr="00A328FB">
        <w:t xml:space="preserve">We do not agree with ESMA’s two-step approach which consists of: </w:t>
      </w:r>
      <w:r w:rsidR="00DE35C5">
        <w:t>(</w:t>
      </w:r>
      <w:r w:rsidRPr="00A328FB">
        <w:t xml:space="preserve">1) providing legal certainty by proposing amendments to Level 1; </w:t>
      </w:r>
      <w:r w:rsidR="00DE35C5">
        <w:t>(</w:t>
      </w:r>
      <w:r w:rsidRPr="00A328FB">
        <w:t xml:space="preserve">2) publishing an opinion in the short term clarifying the boundaries of trading venue’s authorization. </w:t>
      </w:r>
    </w:p>
    <w:p w14:paraId="50C1FB53" w14:textId="77777777" w:rsidR="00D843E5" w:rsidRPr="00A328FB" w:rsidRDefault="00D843E5" w:rsidP="00D843E5">
      <w:pPr>
        <w:pStyle w:val="ListParagraph"/>
        <w:numPr>
          <w:ilvl w:val="0"/>
          <w:numId w:val="19"/>
        </w:numPr>
        <w:tabs>
          <w:tab w:val="clear" w:pos="0"/>
          <w:tab w:val="clear" w:pos="142"/>
          <w:tab w:val="clear" w:pos="284"/>
          <w:tab w:val="clear" w:pos="567"/>
        </w:tabs>
        <w:autoSpaceDE/>
        <w:autoSpaceDN/>
        <w:adjustRightInd/>
        <w:spacing w:line="240" w:lineRule="auto"/>
      </w:pPr>
      <w:r w:rsidRPr="00A328FB">
        <w:t xml:space="preserve">As stated above, we are concerned that ESMA’s interpretation of the definition of a multilateral system could inappropriately capture a number of communication platforms that are not trading venues. </w:t>
      </w:r>
    </w:p>
    <w:p w14:paraId="3CD38129" w14:textId="77777777" w:rsidR="00D843E5" w:rsidRPr="00A328FB" w:rsidRDefault="00D843E5" w:rsidP="00D843E5">
      <w:pPr>
        <w:pStyle w:val="ListParagraph"/>
        <w:numPr>
          <w:ilvl w:val="0"/>
          <w:numId w:val="19"/>
        </w:numPr>
        <w:tabs>
          <w:tab w:val="clear" w:pos="0"/>
          <w:tab w:val="clear" w:pos="142"/>
          <w:tab w:val="clear" w:pos="284"/>
          <w:tab w:val="clear" w:pos="567"/>
        </w:tabs>
        <w:autoSpaceDE/>
        <w:autoSpaceDN/>
        <w:adjustRightInd/>
        <w:spacing w:line="240" w:lineRule="auto"/>
      </w:pPr>
      <w:r w:rsidRPr="00A328FB">
        <w:t xml:space="preserve">We believe that this is a complex issue that would require more in depth </w:t>
      </w:r>
      <w:r>
        <w:t xml:space="preserve">assessment </w:t>
      </w:r>
      <w:r w:rsidRPr="00A328FB">
        <w:t>before changes to the Level 1 text are considered. ESMA should engage with all market participants, including the buy-side and sell-side community, to ensure it gets a complete picture of the current market dynamic.</w:t>
      </w:r>
    </w:p>
    <w:p w14:paraId="37DF9FCA" w14:textId="77777777" w:rsidR="00D843E5" w:rsidRDefault="00D843E5" w:rsidP="00D843E5">
      <w:pPr>
        <w:pStyle w:val="ListParagraph"/>
        <w:numPr>
          <w:ilvl w:val="0"/>
          <w:numId w:val="19"/>
        </w:numPr>
        <w:tabs>
          <w:tab w:val="clear" w:pos="0"/>
          <w:tab w:val="clear" w:pos="142"/>
          <w:tab w:val="clear" w:pos="284"/>
          <w:tab w:val="clear" w:pos="567"/>
        </w:tabs>
        <w:autoSpaceDE/>
        <w:autoSpaceDN/>
        <w:adjustRightInd/>
        <w:spacing w:line="240" w:lineRule="auto"/>
      </w:pPr>
      <w:r w:rsidRPr="00A328FB">
        <w:t xml:space="preserve">The consequences of getting this wrong could be very problematic for the EU market as a whole. It is important, when considering issues related to MiFID II, that a balance is achieved that both respects the role of trading venues and their authorisations but also allows innovation to thrive in the EU. </w:t>
      </w:r>
    </w:p>
    <w:permEnd w:id="512113161"/>
    <w:p w14:paraId="419E41D2" w14:textId="72E0DF33" w:rsidR="00C92E09" w:rsidRPr="00D843E5" w:rsidRDefault="00C92E09" w:rsidP="00D843E5">
      <w:pPr>
        <w:rPr>
          <w:rFonts w:asciiTheme="minorHAnsi" w:eastAsiaTheme="majorEastAsia" w:hAnsiTheme="minorHAnsi" w:cstheme="minorHAnsi"/>
        </w:rPr>
      </w:pPr>
      <w:r w:rsidRPr="00D843E5">
        <w:rPr>
          <w:rFonts w:ascii="Arial" w:eastAsia="Calibri" w:hAnsi="Arial" w:cs="Arial"/>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77777777" w:rsidR="00C92E09" w:rsidRPr="00C92E09" w:rsidRDefault="00C92E09" w:rsidP="00C92E09">
      <w:pPr>
        <w:spacing w:after="160" w:line="259" w:lineRule="auto"/>
        <w:rPr>
          <w:rFonts w:ascii="Arial" w:eastAsia="Calibri" w:hAnsi="Arial" w:cs="Arial"/>
          <w:sz w:val="22"/>
          <w:szCs w:val="22"/>
          <w:lang w:eastAsia="en-US"/>
        </w:rPr>
      </w:pPr>
      <w:permStart w:id="145175905" w:edGrp="everyone"/>
      <w:r w:rsidRPr="00C92E09">
        <w:rPr>
          <w:rFonts w:ascii="Arial" w:eastAsia="Calibri" w:hAnsi="Arial" w:cs="Arial"/>
          <w:sz w:val="22"/>
          <w:szCs w:val="22"/>
          <w:lang w:eastAsia="en-US"/>
        </w:rPr>
        <w:t>TYPE YOUR TEXT HERE</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Q6: Which provisions applicable to OTFs are particularly burdensome to apply for less sophisticated firms? Which Level 1 or Level 2 amendments would alleviate </w:t>
      </w:r>
      <w:r w:rsidRPr="00C92E09">
        <w:rPr>
          <w:rFonts w:ascii="Arial" w:hAnsi="Arial" w:cs="Arial"/>
          <w:b/>
          <w:sz w:val="22"/>
          <w:szCs w:val="22"/>
          <w:lang w:val="en-US" w:eastAsia="en-US"/>
        </w:rPr>
        <w:lastRenderedPageBreak/>
        <w:t xml:space="preserve">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E7B2FAF" w14:textId="77777777" w:rsidR="00C92E09" w:rsidRPr="00C92E09" w:rsidRDefault="00C92E09" w:rsidP="00C92E09">
      <w:pPr>
        <w:spacing w:after="160" w:line="259" w:lineRule="auto"/>
        <w:rPr>
          <w:rFonts w:ascii="Arial" w:eastAsia="Calibri" w:hAnsi="Arial" w:cs="Arial"/>
          <w:sz w:val="22"/>
          <w:szCs w:val="22"/>
          <w:lang w:eastAsia="en-US"/>
        </w:rPr>
      </w:pPr>
      <w:permStart w:id="513218818" w:edGrp="everyone"/>
      <w:r w:rsidRPr="00C92E09">
        <w:rPr>
          <w:rFonts w:ascii="Arial" w:eastAsia="Calibri" w:hAnsi="Arial" w:cs="Arial"/>
          <w:sz w:val="22"/>
          <w:szCs w:val="22"/>
          <w:lang w:eastAsia="en-US"/>
        </w:rPr>
        <w:t>TYPE YOUR TEXT HERE</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1FFA277A" w14:textId="77777777" w:rsidR="00C92E09" w:rsidRPr="00C92E09" w:rsidRDefault="00C92E09" w:rsidP="00C92E09">
      <w:pPr>
        <w:spacing w:after="160" w:line="259" w:lineRule="auto"/>
        <w:rPr>
          <w:rFonts w:ascii="Arial" w:eastAsia="Calibri" w:hAnsi="Arial" w:cs="Arial"/>
          <w:sz w:val="22"/>
          <w:szCs w:val="22"/>
          <w:lang w:eastAsia="en-US"/>
        </w:rPr>
      </w:pPr>
      <w:permStart w:id="1036202595" w:edGrp="everyone"/>
      <w:r w:rsidRPr="00C92E09">
        <w:rPr>
          <w:rFonts w:ascii="Arial" w:eastAsia="Calibri" w:hAnsi="Arial" w:cs="Arial"/>
          <w:sz w:val="22"/>
          <w:szCs w:val="22"/>
          <w:lang w:eastAsia="en-US"/>
        </w:rPr>
        <w:t>TYPE YOUR TEXT HERE</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F811D30" w14:textId="77777777" w:rsidR="00C92E09" w:rsidRPr="00C92E09" w:rsidRDefault="00C92E09" w:rsidP="00C92E09">
      <w:pPr>
        <w:spacing w:after="160" w:line="259" w:lineRule="auto"/>
        <w:rPr>
          <w:rFonts w:ascii="Arial" w:eastAsia="Calibri" w:hAnsi="Arial" w:cs="Arial"/>
          <w:sz w:val="22"/>
          <w:szCs w:val="22"/>
          <w:lang w:eastAsia="en-US"/>
        </w:rPr>
      </w:pPr>
      <w:permStart w:id="1365582167" w:edGrp="everyone"/>
      <w:r w:rsidRPr="00C92E09">
        <w:rPr>
          <w:rFonts w:ascii="Arial" w:eastAsia="Calibri" w:hAnsi="Arial" w:cs="Arial"/>
          <w:sz w:val="22"/>
          <w:szCs w:val="22"/>
          <w:lang w:eastAsia="en-US"/>
        </w:rPr>
        <w:t>TYPE YOUR TEXT HERE</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08A8433D" w:rsidR="00C92E09" w:rsidRDefault="00C92E09" w:rsidP="00C92E09">
      <w:pPr>
        <w:spacing w:after="160" w:line="259" w:lineRule="auto"/>
        <w:rPr>
          <w:rFonts w:ascii="Arial" w:eastAsia="Calibri" w:hAnsi="Arial" w:cs="Arial"/>
          <w:sz w:val="22"/>
          <w:szCs w:val="22"/>
          <w:lang w:eastAsia="en-US"/>
        </w:rPr>
      </w:pPr>
    </w:p>
    <w:p w14:paraId="3A2826D8" w14:textId="31670256" w:rsidR="00F67D23" w:rsidRDefault="00F67D23" w:rsidP="00C92E09">
      <w:pPr>
        <w:spacing w:after="160" w:line="259" w:lineRule="auto"/>
        <w:rPr>
          <w:rFonts w:ascii="Arial" w:eastAsia="Calibri" w:hAnsi="Arial" w:cs="Arial"/>
          <w:sz w:val="22"/>
          <w:szCs w:val="22"/>
          <w:lang w:eastAsia="en-US"/>
        </w:rPr>
      </w:pPr>
    </w:p>
    <w:p w14:paraId="57D17D39" w14:textId="1ABDE7B3" w:rsidR="00F67D23" w:rsidRDefault="00F67D23" w:rsidP="00C92E09">
      <w:pPr>
        <w:spacing w:after="160" w:line="259" w:lineRule="auto"/>
        <w:rPr>
          <w:rFonts w:ascii="Arial" w:eastAsia="Calibri" w:hAnsi="Arial" w:cs="Arial"/>
          <w:sz w:val="22"/>
          <w:szCs w:val="22"/>
          <w:lang w:eastAsia="en-US"/>
        </w:rPr>
      </w:pPr>
    </w:p>
    <w:p w14:paraId="026E7867" w14:textId="630DA7A3" w:rsidR="00F67D23" w:rsidRDefault="00F67D23" w:rsidP="00C92E09">
      <w:pPr>
        <w:spacing w:after="160" w:line="259" w:lineRule="auto"/>
        <w:rPr>
          <w:rFonts w:ascii="Arial" w:eastAsia="Calibri" w:hAnsi="Arial" w:cs="Arial"/>
          <w:sz w:val="22"/>
          <w:szCs w:val="22"/>
          <w:lang w:eastAsia="en-US"/>
        </w:rPr>
      </w:pPr>
    </w:p>
    <w:p w14:paraId="1DE4F61B" w14:textId="73C224C6" w:rsidR="00F67D23" w:rsidRDefault="00F67D23" w:rsidP="00C92E09">
      <w:pPr>
        <w:spacing w:after="160" w:line="259" w:lineRule="auto"/>
        <w:rPr>
          <w:rFonts w:ascii="Arial" w:eastAsia="Calibri" w:hAnsi="Arial" w:cs="Arial"/>
          <w:sz w:val="22"/>
          <w:szCs w:val="22"/>
          <w:lang w:eastAsia="en-US"/>
        </w:rPr>
      </w:pPr>
    </w:p>
    <w:p w14:paraId="7A09BE41" w14:textId="77777777" w:rsidR="00F67D23" w:rsidRPr="00C92E09" w:rsidRDefault="00F67D23"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259239B4" w14:textId="77777777" w:rsidR="00D843E5" w:rsidRPr="00A328FB" w:rsidRDefault="00D843E5" w:rsidP="00D843E5">
      <w:pPr>
        <w:numPr>
          <w:ilvl w:val="0"/>
          <w:numId w:val="20"/>
        </w:numPr>
        <w:jc w:val="both"/>
      </w:pPr>
      <w:permStart w:id="1941981821" w:edGrp="everyone"/>
      <w:r w:rsidRPr="00A328FB">
        <w:t xml:space="preserve">As stated by ESMA in the consultation paper, the software provider concept encompasses a multitude of different types of providers and business models. </w:t>
      </w:r>
    </w:p>
    <w:p w14:paraId="75BC6815" w14:textId="77777777" w:rsidR="00D843E5" w:rsidRPr="00A328FB" w:rsidRDefault="00D843E5" w:rsidP="00D843E5">
      <w:pPr>
        <w:numPr>
          <w:ilvl w:val="0"/>
          <w:numId w:val="20"/>
        </w:numPr>
        <w:jc w:val="both"/>
      </w:pPr>
      <w:r w:rsidRPr="00A328FB">
        <w:t>It should be the design of the system, the role the software provider assumes, their involvement and responsibilities in the day-to-day operation, the type of protocols and interactions between participants within them that should be evaluated rather than broad stroke similarities with incumbent trading venues.  </w:t>
      </w:r>
    </w:p>
    <w:p w14:paraId="57F1E896" w14:textId="77777777" w:rsidR="00D843E5" w:rsidRPr="00A328FB" w:rsidRDefault="00D843E5" w:rsidP="00D843E5">
      <w:pPr>
        <w:numPr>
          <w:ilvl w:val="0"/>
          <w:numId w:val="20"/>
        </w:numPr>
        <w:jc w:val="both"/>
      </w:pPr>
      <w:r w:rsidRPr="00A328FB">
        <w:t xml:space="preserve">It is important to distinguish between the different types of activities that may take place over a third party software provider’s technology and internalized proprietary technology, and the specific activity that these technologies aim to achieve.  </w:t>
      </w:r>
    </w:p>
    <w:p w14:paraId="76749F2D" w14:textId="392942C3" w:rsidR="00D843E5" w:rsidRDefault="00D843E5" w:rsidP="00D843E5">
      <w:pPr>
        <w:numPr>
          <w:ilvl w:val="0"/>
          <w:numId w:val="20"/>
        </w:numPr>
        <w:jc w:val="both"/>
      </w:pPr>
      <w:r w:rsidRPr="00A328FB">
        <w:t>We believe that buy-side and sell-side proprietary systems should be explicitly excluded from the definitions of MTFs and OTFs as they do not provide trade execution facilities, but simply utilize technology in order to communicate with one another in an efficient and timely manner</w:t>
      </w:r>
      <w:r>
        <w:t xml:space="preserve"> -</w:t>
      </w:r>
      <w:r w:rsidRPr="00A328FB">
        <w:t xml:space="preserve"> activity which is already subject to internal oversight and controls</w:t>
      </w:r>
      <w:r w:rsidR="00F67D23">
        <w:t>.</w:t>
      </w:r>
      <w:r w:rsidRPr="00A328FB">
        <w:t xml:space="preserve">  These activities are analogous to bilateral phone calls and continue to be treated similarly, i.e., conducted over pre</w:t>
      </w:r>
      <w:r>
        <w:t>-</w:t>
      </w:r>
      <w:r w:rsidRPr="00A328FB">
        <w:t xml:space="preserve">approved and monitored channels (just as bilateral phone calls to execute trades are required to take place on recorded lines). </w:t>
      </w:r>
    </w:p>
    <w:p w14:paraId="5A88BC48" w14:textId="021777C7" w:rsidR="00F67D23" w:rsidRDefault="00D843E5" w:rsidP="00D843E5">
      <w:pPr>
        <w:numPr>
          <w:ilvl w:val="0"/>
          <w:numId w:val="20"/>
        </w:numPr>
        <w:jc w:val="both"/>
      </w:pPr>
      <w:r w:rsidRPr="00A328FB">
        <w:t>Therefore, JPM believes that it is important to differentiate between: (i) real ‘multilateral systems’ and trading venues that allow multiple third parties trading interests to interact in a system (including non-existing relationships) and</w:t>
      </w:r>
      <w:r w:rsidR="00092FDA">
        <w:t>,</w:t>
      </w:r>
      <w:bookmarkStart w:id="1" w:name="_GoBack"/>
      <w:bookmarkEnd w:id="1"/>
      <w:r w:rsidRPr="00A328FB">
        <w:t xml:space="preserve"> (ii)  infrastructures/systems used by sell-side and buy-side participants so that they can carry on their day</w:t>
      </w:r>
      <w:r w:rsidR="00F67D23">
        <w:t>-</w:t>
      </w:r>
      <w:r w:rsidRPr="00A328FB">
        <w:t>to</w:t>
      </w:r>
      <w:r w:rsidR="00F67D23">
        <w:t>-</w:t>
      </w:r>
      <w:r w:rsidRPr="00A328FB">
        <w:t>day activity more efficiently and that allow for multiple bilateral interactions. Exposing the latter to trading venues’ rules runs the risk of curtailing significant investment workflow enhancements that allow for reduced costs to operations and ultimately creates greater economic gains for the end</w:t>
      </w:r>
      <w:r>
        <w:t>-</w:t>
      </w:r>
      <w:r w:rsidRPr="00A328FB">
        <w:t xml:space="preserve">investor.  </w:t>
      </w:r>
    </w:p>
    <w:p w14:paraId="730B75A2" w14:textId="4B00033B" w:rsidR="00D843E5" w:rsidRDefault="00D843E5" w:rsidP="00D843E5">
      <w:pPr>
        <w:numPr>
          <w:ilvl w:val="0"/>
          <w:numId w:val="20"/>
        </w:numPr>
        <w:jc w:val="both"/>
      </w:pPr>
      <w:r w:rsidRPr="00A328FB">
        <w:t xml:space="preserve">In  addition, any software provider where there is no genuine trade execution taking place in the system (see </w:t>
      </w:r>
      <w:proofErr w:type="spellStart"/>
      <w:r w:rsidRPr="00A328FB">
        <w:t>MiFIR</w:t>
      </w:r>
      <w:proofErr w:type="spellEnd"/>
      <w:r w:rsidRPr="00A328FB">
        <w:t xml:space="preserve"> Recital 8) and which do have any involvement on how and where the trade might take place, should not be required to become a trading venue. This is consistent with ESMA’s statement in its Q&amp;A on market structure (question 7) which says: ‘the fundamental characteristic of a trading venue is to execute transactions’.</w:t>
      </w:r>
    </w:p>
    <w:p w14:paraId="3DED6ECC" w14:textId="2FC129C5" w:rsidR="00C92E09" w:rsidRPr="00D843E5" w:rsidRDefault="00D843E5" w:rsidP="00D843E5">
      <w:pPr>
        <w:numPr>
          <w:ilvl w:val="0"/>
          <w:numId w:val="20"/>
        </w:numPr>
        <w:jc w:val="both"/>
        <w:rPr>
          <w:sz w:val="22"/>
          <w:szCs w:val="22"/>
        </w:rPr>
      </w:pPr>
      <w:r>
        <w:t xml:space="preserve">Finally, </w:t>
      </w:r>
      <w:r w:rsidRPr="0011075E">
        <w:t>ESMA’s Q&amp;A (see paragraph 72 of the ESMA CP) states that</w:t>
      </w:r>
      <w:r>
        <w:t>,</w:t>
      </w:r>
      <w:r w:rsidRPr="0011075E">
        <w:t xml:space="preserve"> ‘a trading venue cannot use its trading system and platform to arrange transactions that are then reported and executed on another trading venue</w:t>
      </w:r>
      <w:r>
        <w:t>’</w:t>
      </w:r>
      <w:r w:rsidRPr="0011075E">
        <w:t xml:space="preserve">. </w:t>
      </w:r>
      <w:r>
        <w:t>In instances where the transactions ultimately take place on a trading venue (rather than OTC), r</w:t>
      </w:r>
      <w:r w:rsidRPr="0011075E">
        <w:t>equiring</w:t>
      </w:r>
      <w:r>
        <w:t xml:space="preserve"> </w:t>
      </w:r>
      <w:r w:rsidRPr="0011075E">
        <w:t>the</w:t>
      </w:r>
      <w:r>
        <w:t>se</w:t>
      </w:r>
      <w:r w:rsidRPr="0011075E">
        <w:t xml:space="preserve"> software provider</w:t>
      </w:r>
      <w:r>
        <w:t>s</w:t>
      </w:r>
      <w:r w:rsidRPr="0011075E">
        <w:t xml:space="preserve"> to become trading venue</w:t>
      </w:r>
      <w:r>
        <w:t>s</w:t>
      </w:r>
      <w:r w:rsidRPr="0011075E">
        <w:t xml:space="preserve"> would be in direct contradiction with </w:t>
      </w:r>
      <w:r>
        <w:t xml:space="preserve">this Q&amp;A. </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&lt;ESMA_QUESTION_FOTF_11&gt;</w:t>
      </w:r>
    </w:p>
    <w:p w14:paraId="7BCB7447" w14:textId="77777777" w:rsidR="00C92E09" w:rsidRPr="00C92E09" w:rsidRDefault="00C92E09" w:rsidP="00C92E09">
      <w:pPr>
        <w:spacing w:after="160" w:line="259" w:lineRule="auto"/>
        <w:rPr>
          <w:rFonts w:ascii="Arial" w:eastAsia="Calibri" w:hAnsi="Arial" w:cs="Arial"/>
          <w:sz w:val="22"/>
          <w:szCs w:val="22"/>
          <w:lang w:eastAsia="en-US"/>
        </w:rPr>
      </w:pPr>
      <w:permStart w:id="1114264616" w:edGrp="everyone"/>
      <w:r w:rsidRPr="00C92E09">
        <w:rPr>
          <w:rFonts w:ascii="Arial" w:eastAsia="Calibri" w:hAnsi="Arial" w:cs="Arial"/>
          <w:sz w:val="22"/>
          <w:szCs w:val="22"/>
          <w:lang w:eastAsia="en-US"/>
        </w:rPr>
        <w:t>TYPE YOUR TEXT HERE</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4F3BF0C0" w14:textId="77777777" w:rsidR="00C92E09" w:rsidRPr="00C92E09" w:rsidRDefault="00C92E09" w:rsidP="00C92E09">
      <w:pPr>
        <w:spacing w:after="160" w:line="259" w:lineRule="auto"/>
        <w:rPr>
          <w:rFonts w:ascii="Arial" w:eastAsia="Calibri" w:hAnsi="Arial" w:cs="Arial"/>
          <w:sz w:val="22"/>
          <w:szCs w:val="22"/>
          <w:lang w:eastAsia="en-US"/>
        </w:rPr>
      </w:pPr>
      <w:permStart w:id="233254254" w:edGrp="everyone"/>
      <w:r w:rsidRPr="00C92E09">
        <w:rPr>
          <w:rFonts w:ascii="Arial" w:eastAsia="Calibri" w:hAnsi="Arial" w:cs="Arial"/>
          <w:sz w:val="22"/>
          <w:szCs w:val="22"/>
          <w:lang w:eastAsia="en-US"/>
        </w:rPr>
        <w:t>TYPE YOUR TEXT HERE</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w:t>
      </w:r>
      <w:r w:rsidRPr="00C92E09">
        <w:rPr>
          <w:rFonts w:ascii="Arial" w:hAnsi="Arial" w:cs="Arial"/>
          <w:b/>
          <w:sz w:val="22"/>
          <w:szCs w:val="22"/>
          <w:lang w:val="en-US" w:eastAsia="en-US"/>
        </w:rPr>
        <w:lastRenderedPageBreak/>
        <w:t xml:space="preserve">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83D3" w14:textId="77777777" w:rsidR="002C1AAA" w:rsidRDefault="002C1AAA" w:rsidP="007E7997">
      <w:r>
        <w:separator/>
      </w:r>
    </w:p>
  </w:endnote>
  <w:endnote w:type="continuationSeparator" w:id="0">
    <w:p w14:paraId="7A93C302" w14:textId="77777777" w:rsidR="002C1AAA" w:rsidRDefault="002C1AAA" w:rsidP="007E7997">
      <w:r>
        <w:continuationSeparator/>
      </w:r>
    </w:p>
  </w:endnote>
  <w:endnote w:type="continuationNotice" w:id="1">
    <w:p w14:paraId="37B8D0B2" w14:textId="77777777" w:rsidR="002C1AAA" w:rsidRDefault="002C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48E0" w14:textId="77777777" w:rsidR="002C1AAA" w:rsidRDefault="002C1AAA" w:rsidP="007E7997">
      <w:r>
        <w:separator/>
      </w:r>
    </w:p>
  </w:footnote>
  <w:footnote w:type="continuationSeparator" w:id="0">
    <w:p w14:paraId="471042C1" w14:textId="77777777" w:rsidR="002C1AAA" w:rsidRDefault="002C1AAA" w:rsidP="007E7997">
      <w:r>
        <w:continuationSeparator/>
      </w:r>
    </w:p>
  </w:footnote>
  <w:footnote w:type="continuationNotice" w:id="1">
    <w:p w14:paraId="34E93E88" w14:textId="77777777" w:rsidR="002C1AAA" w:rsidRDefault="002C1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0C6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3139"/>
    <w:multiLevelType w:val="hybridMultilevel"/>
    <w:tmpl w:val="27A0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A43D28"/>
    <w:multiLevelType w:val="multilevel"/>
    <w:tmpl w:val="C5640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1B55FF"/>
    <w:multiLevelType w:val="hybridMultilevel"/>
    <w:tmpl w:val="B0CC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2"/>
  </w:num>
  <w:num w:numId="4">
    <w:abstractNumId w:val="2"/>
  </w:num>
  <w:num w:numId="5">
    <w:abstractNumId w:val="8"/>
  </w:num>
  <w:num w:numId="6">
    <w:abstractNumId w:val="14"/>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2FDA"/>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278C"/>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2775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3E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35C5"/>
    <w:rsid w:val="00DE4CFB"/>
    <w:rsid w:val="00DF045B"/>
    <w:rsid w:val="00DF1ED8"/>
    <w:rsid w:val="00DF3785"/>
    <w:rsid w:val="00DF3D27"/>
    <w:rsid w:val="00DF6074"/>
    <w:rsid w:val="00E00BAB"/>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7E2"/>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D23"/>
    <w:rsid w:val="00F67EBD"/>
    <w:rsid w:val="00F70EA4"/>
    <w:rsid w:val="00F714F3"/>
    <w:rsid w:val="00F72AEE"/>
    <w:rsid w:val="00F77851"/>
    <w:rsid w:val="00F80FAB"/>
    <w:rsid w:val="00F81E3B"/>
    <w:rsid w:val="00F827E1"/>
    <w:rsid w:val="00F927B5"/>
    <w:rsid w:val="00F94BD0"/>
    <w:rsid w:val="00F95403"/>
    <w:rsid w:val="00F959D6"/>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f84a202-6815-4671-adad-6fa9e76655da" xsi:nil="true"/>
    <Record_x0020_Owner xmlns="2890990e-63b9-4c4f-92ab-1caf6e087b72">
      <UserInfo>
        <DisplayName>Levite, Alexandra R</DisplayName>
        <AccountId>1</AccountId>
        <AccountType/>
      </UserInfo>
    </Record_x0020_Owner>
    <Record_x0020_Class_x0020_Code xmlns="2890990e-63b9-4c4f-92ab-1caf6e087b72">US: BIZ010Y</Record_x0020_Class_x0020_Code>
    <Record_x0020_ID xmlns="2890990e-63b9-4c4f-92ab-1caf6e087b72">54293402</Record_x0020_ID>
    <Record_x0020_Status xmlns="2890990e-63b9-4c4f-92ab-1caf6e087b72">Work In Progress</Record_x0020_Status>
    <Record_x0020_Class_x0020_Code_x0020_Local xmlns="2890990e-63b9-4c4f-92ab-1caf6e087b72">BIZ010Y</Record_x0020_Class_x0020_Code_x0020_Local>
    <Record_x0020_Retention_x0020_End_x0020_Date xmlns="2890990e-63b9-4c4f-92ab-1caf6e087b72">2030-11-25T05:00:00+00:00</Record_x0020_Retention_x0020_End_x0020_Date>
    <Record_x0020_Legal_x0020_Hold xmlns="2890990e-63b9-4c4f-92ab-1caf6e087b72">false</Record_x0020_Legal_x0020_Hold>
    <Record_x0020_Class_x0020_Code_x0020_Country xmlns="2890990e-63b9-4c4f-92ab-1caf6e087b72">United States</Record_x0020_Class_x0020_Code_x0020_Country>
    <Record_x0020_Retention_x0020_Type xmlns="2890990e-63b9-4c4f-92ab-1caf6e087b72">Flat</Record_x0020_Retention_x0020_Type>
    <Record_x0020_Finalized_x0020_By xmlns="2890990e-63b9-4c4f-92ab-1caf6e087b72">
      <UserInfo>
        <DisplayName/>
        <AccountId xsi:nil="true"/>
        <AccountType/>
      </UserInfo>
    </Record_x0020_Finalized_x0020_By>
    <Record_x0020_Finalized_x0020_On xmlns="2890990e-63b9-4c4f-92ab-1caf6e087b72" xsi:nil="true"/>
    <Record_x0020_Retention_x0020_Start_x0020_Date xmlns="2890990e-63b9-4c4f-92ab-1caf6e087b72">2020-11-25T05:00:00+00:00</Record_x0020_Retention_x0020_Start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3</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10009</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10003</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9</Type>
    <SequenceNumber>10000</SequenceNumber>
    <Url/>
    <Assembly>Jpmc.Sps.RecordsManagement, Version=1.0.0.0, Culture=neutral, PublicKeyToken=e8ead3752bfbf1f9</Assembly>
    <Class>Jpmc.Sps.RecordsManagement.EventReceivers.RecordContentTypeEventReceiver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JPMC Record" ma:contentTypeID="0x010100B04218B855DC944F9A559450E98DF04000B3123F807BC7DA41B3570D47E6262E68" ma:contentTypeVersion="29" ma:contentTypeDescription="Create a new record in this library." ma:contentTypeScope="" ma:versionID="6c491760d540a2324a27714b60a5dafc">
  <xsd:schema xmlns:xsd="http://www.w3.org/2001/XMLSchema" xmlns:xs="http://www.w3.org/2001/XMLSchema" xmlns:p="http://schemas.microsoft.com/office/2006/metadata/properties" xmlns:ns2="2890990e-63b9-4c4f-92ab-1caf6e087b72" xmlns:ns3="ff84a202-6815-4671-adad-6fa9e76655da" targetNamespace="http://schemas.microsoft.com/office/2006/metadata/properties" ma:root="true" ma:fieldsID="63ad1cf767b9bd0519549f3c6a6ee5c2" ns2:_="" ns3:_="">
    <xsd:import namespace="2890990e-63b9-4c4f-92ab-1caf6e087b72"/>
    <xsd:import namespace="ff84a202-6815-4671-adad-6fa9e76655da"/>
    <xsd:element name="properties">
      <xsd:complexType>
        <xsd:sequence>
          <xsd:element name="documentManagement">
            <xsd:complexType>
              <xsd:all>
                <xsd:element ref="ns2:Record_x0020_ID" minOccurs="0"/>
                <xsd:element ref="ns2:Record_x0020_Status" minOccurs="0"/>
                <xsd:element ref="ns2:Record_x0020_Class_x0020_Code" minOccurs="0"/>
                <xsd:element ref="ns2:Record_x0020_Class_x0020_Code_x0020_Country" minOccurs="0"/>
                <xsd:element ref="ns2:Record_x0020_Class_x0020_Code_x0020_Local" minOccurs="0"/>
                <xsd:element ref="ns2:Record_x0020_Owner" minOccurs="0"/>
                <xsd:element ref="ns2:Record_x0020_Finalized_x0020_By" minOccurs="0"/>
                <xsd:element ref="ns2:Record_x0020_Finalized_x0020_On" minOccurs="0"/>
                <xsd:element ref="ns2:Record_x0020_Retention_x0020_Type" minOccurs="0"/>
                <xsd:element ref="ns2:Record_x0020_Retention_x0020_Start_x0020_Date" minOccurs="0"/>
                <xsd:element ref="ns2:Record_x0020_Retention_x0020_End_x0020_Date" minOccurs="0"/>
                <xsd:element ref="ns2:Record_x0020_Legal_x0020_Hold"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990e-63b9-4c4f-92ab-1caf6e087b72" elementFormDefault="qualified">
    <xsd:import namespace="http://schemas.microsoft.com/office/2006/documentManagement/types"/>
    <xsd:import namespace="http://schemas.microsoft.com/office/infopath/2007/PartnerControls"/>
    <xsd:element name="Record_x0020_ID" ma:index="8" nillable="true" ma:displayName="Record ID" ma:description="Record ID" ma:internalName="Record_x0020_ID" ma:readOnly="true">
      <xsd:simpleType>
        <xsd:restriction base="dms:Text"/>
      </xsd:simpleType>
    </xsd:element>
    <xsd:element name="Record_x0020_Status" ma:index="9" nillable="true" ma:displayName="Record Status" ma:description="Record Status" ma:internalName="Record_x0020_Status" ma:readOnly="true">
      <xsd:simpleType>
        <xsd:restriction base="dms:Text"/>
      </xsd:simpleType>
    </xsd:element>
    <xsd:element name="Record_x0020_Class_x0020_Code" ma:index="10" nillable="true" ma:displayName="Record Class Code" ma:description="Record Class Code" ma:internalName="Record_x0020_Class_x0020_Code" ma:readOnly="true">
      <xsd:simpleType>
        <xsd:restriction base="dms:Text"/>
      </xsd:simpleType>
    </xsd:element>
    <xsd:element name="Record_x0020_Class_x0020_Code_x0020_Country" ma:index="11" nillable="true" ma:displayName="Record Class Code Country" ma:description="Record Class Code Country" ma:internalName="Record_x0020_Class_x0020_Code_x0020_Country" ma:readOnly="true">
      <xsd:simpleType>
        <xsd:restriction base="dms:Text"/>
      </xsd:simpleType>
    </xsd:element>
    <xsd:element name="Record_x0020_Class_x0020_Code_x0020_Local" ma:index="12" nillable="true" ma:displayName="Record Class Code Local" ma:description="Record Class Code Local" ma:internalName="Record_x0020_Class_x0020_Code_x0020_Local" ma:readOnly="true">
      <xsd:simpleType>
        <xsd:restriction base="dms:Text"/>
      </xsd:simpleType>
    </xsd:element>
    <xsd:element name="Record_x0020_Owner" ma:index="13" nillable="true" ma:displayName="Record Owner" ma:description="Record Owner" ma:list="UserInfo" ma:internalName="Record_x0020_Own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By" ma:index="14" nillable="true" ma:displayName="Record Finalized By" ma:description="Record Finalized By" ma:list="UserInfo" ma:internalName="Record_x0020_Finalized_x0020_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On" ma:index="15" nillable="true" ma:displayName="Record Finalized On" ma:description="Record Finalized On" ma:format="DateOnly" ma:internalName="Record_x0020_Finalized_x0020_On" ma:readOnly="true">
      <xsd:simpleType>
        <xsd:restriction base="dms:DateTime"/>
      </xsd:simpleType>
    </xsd:element>
    <xsd:element name="Record_x0020_Retention_x0020_Type" ma:index="16" nillable="true" ma:displayName="Record Retention Type" ma:description="Record Retention Type" ma:internalName="Record_x0020_Retention_x0020_Type" ma:readOnly="true">
      <xsd:simpleType>
        <xsd:restriction base="dms:Text"/>
      </xsd:simpleType>
    </xsd:element>
    <xsd:element name="Record_x0020_Retention_x0020_Start_x0020_Date" ma:index="17" nillable="true" ma:displayName="Record Retention Start Date" ma:description="Record Retention Start Date" ma:format="DateOnly" ma:internalName="Record_x0020_Retention_x0020_Start_x0020_Date" ma:readOnly="true">
      <xsd:simpleType>
        <xsd:restriction base="dms:DateTime"/>
      </xsd:simpleType>
    </xsd:element>
    <xsd:element name="Record_x0020_Retention_x0020_End_x0020_Date" ma:index="18" nillable="true" ma:displayName="Record Retention End Date" ma:description="Record Retention End Date" ma:format="DateOnly" ma:internalName="Record_x0020_Retention_x0020_End_x0020_Date" ma:readOnly="true">
      <xsd:simpleType>
        <xsd:restriction base="dms:DateTime"/>
      </xsd:simpleType>
    </xsd:element>
    <xsd:element name="Record_x0020_Legal_x0020_Hold" ma:index="19" nillable="true" ma:displayName="Record Legal Hold" ma:description="Record Legal Hold" ma:internalName="Record_x0020_Legal_x0020_Hol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84a202-6815-4671-adad-6fa9e76655da" elementFormDefault="qualified">
    <xsd:import namespace="http://schemas.microsoft.com/office/2006/documentManagement/types"/>
    <xsd:import namespace="http://schemas.microsoft.com/office/infopath/2007/PartnerControls"/>
    <xsd:element name="owner" ma:index="20" nillable="true" ma:displayName="owner"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2890990e-63b9-4c4f-92ab-1caf6e087b72"/>
    <ds:schemaRef ds:uri="http://purl.org/dc/terms/"/>
    <ds:schemaRef ds:uri="http://schemas.openxmlformats.org/package/2006/metadata/core-properties"/>
    <ds:schemaRef ds:uri="ff84a202-6815-4671-adad-6fa9e76655d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7FCFE51C-ACCA-4164-8471-ED2358E187E3}">
  <ds:schemaRefs>
    <ds:schemaRef ds:uri="http://schemas.microsoft.com/sharepoint/events"/>
  </ds:schemaRefs>
</ds:datastoreItem>
</file>

<file path=customXml/itemProps4.xml><?xml version="1.0" encoding="utf-8"?>
<ds:datastoreItem xmlns:ds="http://schemas.openxmlformats.org/officeDocument/2006/customXml" ds:itemID="{EE2C9A57-4E28-49B7-9D29-0448BF43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990e-63b9-4c4f-92ab-1caf6e087b72"/>
    <ds:schemaRef ds:uri="ff84a202-6815-4671-adad-6fa9e766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2B5C78-4C92-4D40-8E59-A73CD7E5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11</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Gonzalez Cabanillas, Claudia</cp:lastModifiedBy>
  <cp:revision>8</cp:revision>
  <cp:lastPrinted>2017-07-24T14:47:00Z</cp:lastPrinted>
  <dcterms:created xsi:type="dcterms:W3CDTF">2020-11-25T14:04:00Z</dcterms:created>
  <dcterms:modified xsi:type="dcterms:W3CDTF">2020-11-25T17:36:00Z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0x010100B04218B855DC944F9A559450E98DF04000B3123F807BC7DA41B3570D47E6262E68</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