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w:t>
                </w:r>
                <w:proofErr w:type="spellStart"/>
                <w:r w:rsidRPr="00C92E09">
                  <w:rPr>
                    <w:rFonts w:cs="Arial"/>
                    <w:sz w:val="40"/>
                    <w:szCs w:val="40"/>
                  </w:rPr>
                  <w:t>MiFIR</w:t>
                </w:r>
                <w:proofErr w:type="spellEnd"/>
                <w:r w:rsidRPr="00C92E09">
                  <w:rPr>
                    <w:rFonts w:cs="Arial"/>
                    <w:sz w:val="40"/>
                    <w:szCs w:val="40"/>
                  </w:rPr>
                  <w:t xml:space="preserve">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D0AA40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C92E09">
            <w:rPr>
              <w:rFonts w:eastAsiaTheme="minorEastAsia" w:cstheme="minorBidi"/>
              <w:szCs w:val="20"/>
              <w:lang w:eastAsia="en-US"/>
            </w:rPr>
            <w:t>FOTF</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64ABB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14DFCC1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9F22E7" w:rsidRPr="009F22E7">
            <w:rPr>
              <w:rFonts w:eastAsiaTheme="minorEastAsia" w:cstheme="minorBidi"/>
              <w:szCs w:val="20"/>
              <w:lang w:eastAsia="en-US"/>
            </w:rPr>
            <w:t xml:space="preserve"> the functioning of the Organised Trading Facility regime</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w:t>
          </w:r>
          <w:proofErr w:type="spellStart"/>
          <w:r w:rsidR="00647144">
            <w:rPr>
              <w:rFonts w:ascii="Arial" w:eastAsiaTheme="minorEastAsia" w:hAnsi="Arial" w:cs="Arial"/>
              <w:sz w:val="22"/>
              <w:szCs w:val="22"/>
              <w:lang w:eastAsia="ja-JP"/>
            </w:rPr>
            <w:t>i</w:t>
          </w:r>
          <w:proofErr w:type="spellEnd"/>
          <w:r w:rsidR="00647144">
            <w:rPr>
              <w:rFonts w:ascii="Arial" w:eastAsiaTheme="minorEastAsia" w:hAnsi="Arial" w:cs="Arial"/>
              <w:sz w:val="22"/>
              <w:szCs w:val="22"/>
              <w:lang w:eastAsia="ja-JP"/>
            </w:rPr>
            <w:t xml:space="preserve">)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w:t>
          </w:r>
          <w:proofErr w:type="spellStart"/>
          <w:r w:rsidR="00647144">
            <w:rPr>
              <w:rFonts w:ascii="Arial" w:eastAsiaTheme="minorEastAsia" w:hAnsi="Arial" w:cs="Arial"/>
              <w:sz w:val="22"/>
              <w:szCs w:val="22"/>
              <w:lang w:eastAsia="ja-JP"/>
            </w:rPr>
            <w:t>EuVECA</w:t>
          </w:r>
          <w:proofErr w:type="spellEnd"/>
          <w:r w:rsidR="00647144">
            <w:rPr>
              <w:rFonts w:ascii="Arial" w:eastAsiaTheme="minorEastAsia" w:hAnsi="Arial" w:cs="Arial"/>
              <w:sz w:val="22"/>
              <w:szCs w:val="22"/>
              <w:lang w:eastAsia="ja-JP"/>
            </w:rPr>
            <w:t xml:space="preserve"> managers and their trade associations, (ii) distributors of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as well as (iii) institutional and retail investors investing into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and/or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CFDE7D6" w:rsidR="00C85C8B" w:rsidRPr="00C85C8B" w:rsidRDefault="008945DB" w:rsidP="00C85C8B">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BDCFEC5" w:rsidR="00C85C8B" w:rsidRPr="00C85C8B" w:rsidRDefault="000E405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945DB">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8471FEA" w:rsidR="00C85C8B" w:rsidRPr="00C85C8B" w:rsidRDefault="008945D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476DFC5" w:rsidR="00C85C8B" w:rsidRPr="00C85C8B" w:rsidRDefault="008945DB"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457CBD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0"/>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186C579D" w14:textId="77777777" w:rsidR="00C92E09" w:rsidRPr="00C92E09" w:rsidRDefault="00C92E09" w:rsidP="00C92E09">
      <w:pPr>
        <w:spacing w:after="160" w:line="259" w:lineRule="auto"/>
        <w:rPr>
          <w:rFonts w:ascii="Arial" w:eastAsia="Calibri" w:hAnsi="Arial" w:cs="Arial"/>
          <w:sz w:val="22"/>
          <w:szCs w:val="22"/>
          <w:lang w:eastAsia="en-US"/>
        </w:rPr>
      </w:pPr>
      <w:permStart w:id="1805873418" w:edGrp="everyone"/>
      <w:r w:rsidRPr="00C92E09">
        <w:rPr>
          <w:rFonts w:ascii="Arial" w:eastAsia="Calibri" w:hAnsi="Arial" w:cs="Arial"/>
          <w:sz w:val="22"/>
          <w:szCs w:val="22"/>
          <w:lang w:eastAsia="en-US"/>
        </w:rPr>
        <w:t>TYPE YOUR TEXT HERE</w:t>
      </w:r>
    </w:p>
    <w:permEnd w:id="1805873418"/>
    <w:p w14:paraId="0F69E8E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393D384B" w14:textId="77777777" w:rsidR="00C92E09" w:rsidRPr="00C92E09" w:rsidRDefault="00C92E09" w:rsidP="00C92E09">
      <w:pPr>
        <w:spacing w:after="160" w:line="259" w:lineRule="auto"/>
        <w:rPr>
          <w:rFonts w:ascii="Arial" w:eastAsia="Calibri" w:hAnsi="Arial" w:cs="Arial"/>
          <w:sz w:val="22"/>
          <w:szCs w:val="22"/>
          <w:lang w:eastAsia="en-US"/>
        </w:rPr>
      </w:pPr>
      <w:permStart w:id="1854082101" w:edGrp="everyone"/>
      <w:r w:rsidRPr="00C92E09">
        <w:rPr>
          <w:rFonts w:ascii="Arial" w:eastAsia="Calibri" w:hAnsi="Arial" w:cs="Arial"/>
          <w:sz w:val="22"/>
          <w:szCs w:val="22"/>
          <w:lang w:eastAsia="en-US"/>
        </w:rPr>
        <w:t>TYPE YOUR TEXT HERE</w:t>
      </w: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7E260C07" w14:textId="77777777" w:rsidR="000E4056" w:rsidRDefault="000E4056" w:rsidP="000E4056">
      <w:pPr>
        <w:jc w:val="both"/>
      </w:pPr>
      <w:permStart w:id="1801542831" w:edGrp="everyone"/>
      <w:r>
        <w:t xml:space="preserve">EFAMA has some concerns with ESMA’s clarifications. In the consultation paper (CP), ESMA seems to have a very broad interpretation of the ‘multilateral systems’ definition under MiFID II and states that ‘systems where trading interests can interact but where the execution of transactions is formally undertaken outside the system still qualify as a multilateral system and should be required to seek authorisation’ (paragraph 36). Such an interpretation is too expansive and could capture </w:t>
      </w:r>
      <w:proofErr w:type="gramStart"/>
      <w:r>
        <w:t>a number of</w:t>
      </w:r>
      <w:proofErr w:type="gramEnd"/>
      <w:r>
        <w:t xml:space="preserve"> non-multilateral systems such as EMS, OMS, instant chats services, which allow for bilateral interactions. </w:t>
      </w:r>
      <w:proofErr w:type="gramStart"/>
      <w:r>
        <w:t>In particular, it</w:t>
      </w:r>
      <w:proofErr w:type="gramEnd"/>
      <w:r>
        <w:t xml:space="preserve"> could also capture buy-side proprietary systems that have been developed to connect to sell-side firms directly. These software providers allow for a more efficient information flow which help buy-side and sell-side firms to communicate with each other. </w:t>
      </w:r>
    </w:p>
    <w:p w14:paraId="14A85CE9" w14:textId="77777777" w:rsidR="000E4056" w:rsidRDefault="000E4056" w:rsidP="000E4056">
      <w:r>
        <w:t>Such an approach would require all these software providers to either change their operating models to fit the definition of trading venues (as stated in ESMA’s paragraph 41 in the CP) or would simply create a barrier to entry which will either force them out of business, or lead to a significant increase in costs for the users of these platforms and ultimately to end-investors. This could have unintended consequences for the EU market, such as:</w:t>
      </w:r>
    </w:p>
    <w:p w14:paraId="1A010D92" w14:textId="77777777" w:rsidR="000E4056" w:rsidRDefault="000E4056" w:rsidP="000E4056">
      <w:pPr>
        <w:pStyle w:val="ListParagraph"/>
        <w:ind w:left="1440"/>
      </w:pPr>
      <w:r>
        <w:rPr>
          <w:rFonts w:ascii="Symbol" w:hAnsi="Symbol"/>
          <w:sz w:val="20"/>
          <w:szCs w:val="20"/>
        </w:rPr>
        <w:t>·</w:t>
      </w:r>
      <w:r>
        <w:rPr>
          <w:rFonts w:ascii="Times New Roman" w:hAnsi="Times New Roman" w:cs="Times New Roman"/>
          <w:sz w:val="14"/>
          <w:szCs w:val="14"/>
        </w:rPr>
        <w:t xml:space="preserve">         </w:t>
      </w:r>
      <w:r>
        <w:t xml:space="preserve">Reduce competition in the </w:t>
      </w:r>
      <w:proofErr w:type="gramStart"/>
      <w:r>
        <w:t>market;</w:t>
      </w:r>
      <w:proofErr w:type="gramEnd"/>
    </w:p>
    <w:p w14:paraId="357252FC" w14:textId="77777777" w:rsidR="000E4056" w:rsidRDefault="000E4056" w:rsidP="000E4056">
      <w:pPr>
        <w:pStyle w:val="ListParagraph"/>
        <w:ind w:left="1440"/>
      </w:pPr>
      <w:r>
        <w:rPr>
          <w:rFonts w:ascii="Symbol" w:hAnsi="Symbol"/>
          <w:sz w:val="20"/>
          <w:szCs w:val="20"/>
        </w:rPr>
        <w:t>·</w:t>
      </w:r>
      <w:r>
        <w:rPr>
          <w:rFonts w:ascii="Times New Roman" w:hAnsi="Times New Roman" w:cs="Times New Roman"/>
          <w:sz w:val="14"/>
          <w:szCs w:val="14"/>
        </w:rPr>
        <w:t xml:space="preserve">         </w:t>
      </w:r>
      <w:r>
        <w:t>Reduce choice and increase costs to end-</w:t>
      </w:r>
      <w:proofErr w:type="gramStart"/>
      <w:r>
        <w:t>investors;</w:t>
      </w:r>
      <w:proofErr w:type="gramEnd"/>
    </w:p>
    <w:p w14:paraId="7DE6692E" w14:textId="77777777" w:rsidR="000E4056" w:rsidRDefault="000E4056" w:rsidP="000E4056">
      <w:pPr>
        <w:pStyle w:val="ListParagraph"/>
        <w:ind w:left="1440"/>
      </w:pPr>
      <w:r>
        <w:rPr>
          <w:rFonts w:ascii="Symbol" w:hAnsi="Symbol"/>
          <w:sz w:val="20"/>
          <w:szCs w:val="20"/>
        </w:rPr>
        <w:t>·</w:t>
      </w:r>
      <w:r>
        <w:rPr>
          <w:rFonts w:ascii="Times New Roman" w:hAnsi="Times New Roman" w:cs="Times New Roman"/>
          <w:sz w:val="14"/>
          <w:szCs w:val="14"/>
        </w:rPr>
        <w:t xml:space="preserve">         </w:t>
      </w:r>
      <w:r>
        <w:t>Stifle innovation in the space.</w:t>
      </w:r>
    </w:p>
    <w:p w14:paraId="0B5E0F89" w14:textId="77777777" w:rsidR="000E4056" w:rsidRDefault="000E4056" w:rsidP="000E4056">
      <w:r>
        <w:t> </w:t>
      </w:r>
    </w:p>
    <w:p w14:paraId="0381C985" w14:textId="0B195761" w:rsidR="00C92E09" w:rsidRPr="00C92E09" w:rsidRDefault="000E4056" w:rsidP="000E4056">
      <w:pPr>
        <w:spacing w:after="160" w:line="259" w:lineRule="auto"/>
        <w:rPr>
          <w:rFonts w:ascii="Arial" w:eastAsia="Calibri" w:hAnsi="Arial" w:cs="Arial"/>
          <w:sz w:val="22"/>
          <w:szCs w:val="22"/>
          <w:lang w:eastAsia="en-US"/>
        </w:rPr>
      </w:pPr>
      <w:r>
        <w:t xml:space="preserve">It is therefore important to spend more time looking at this issue in detail and we would welcome further discussions with ESMA. </w:t>
      </w:r>
    </w:p>
    <w:permEnd w:id="1801542831"/>
    <w:p w14:paraId="251C9D47"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70E94F90" w14:textId="5268C073" w:rsidR="00C92E09" w:rsidRPr="000E4056" w:rsidRDefault="000E4056" w:rsidP="000E4056">
      <w:permStart w:id="512113161" w:edGrp="everyone"/>
      <w:r>
        <w:t xml:space="preserve">No, we do not agree with ESMA’s two-step approach for the reason provided above in question 3. </w:t>
      </w:r>
    </w:p>
    <w:permEnd w:id="512113161"/>
    <w:p w14:paraId="419E41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7F64ED5C" w14:textId="77777777" w:rsidR="00C92E09" w:rsidRPr="00C92E09" w:rsidRDefault="00C92E09" w:rsidP="00C92E09">
      <w:pPr>
        <w:spacing w:after="160" w:line="259" w:lineRule="auto"/>
        <w:rPr>
          <w:rFonts w:ascii="Arial" w:eastAsia="Calibri" w:hAnsi="Arial" w:cs="Arial"/>
          <w:sz w:val="22"/>
          <w:szCs w:val="22"/>
          <w:lang w:eastAsia="en-US"/>
        </w:rPr>
      </w:pPr>
      <w:permStart w:id="145175905" w:edGrp="everyone"/>
      <w:r w:rsidRPr="00C92E09">
        <w:rPr>
          <w:rFonts w:ascii="Arial" w:eastAsia="Calibri" w:hAnsi="Arial" w:cs="Arial"/>
          <w:sz w:val="22"/>
          <w:szCs w:val="22"/>
          <w:lang w:eastAsia="en-US"/>
        </w:rPr>
        <w:t>TYPE YOUR TEXT HERE</w:t>
      </w:r>
    </w:p>
    <w:permEnd w:id="145175905"/>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w:t>
      </w:r>
      <w:proofErr w:type="spellStart"/>
      <w:r w:rsidRPr="00C92E09">
        <w:rPr>
          <w:rFonts w:ascii="Arial" w:hAnsi="Arial" w:cs="Arial"/>
          <w:b/>
          <w:sz w:val="22"/>
          <w:szCs w:val="22"/>
          <w:lang w:val="en-US" w:eastAsia="en-US"/>
        </w:rPr>
        <w:t>MiFIR</w:t>
      </w:r>
      <w:proofErr w:type="spellEnd"/>
      <w:r w:rsidRPr="00C92E09">
        <w:rPr>
          <w:rFonts w:ascii="Arial" w:hAnsi="Arial" w:cs="Arial"/>
          <w:b/>
          <w:sz w:val="22"/>
          <w:szCs w:val="22"/>
          <w:lang w:val="en-US" w:eastAsia="en-US"/>
        </w:rPr>
        <w:t xml:space="preserve">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91BA24F" w14:textId="77777777" w:rsidR="00C92E09" w:rsidRPr="00C92E09" w:rsidRDefault="00C92E09" w:rsidP="00C92E09">
      <w:pPr>
        <w:spacing w:after="160" w:line="259" w:lineRule="auto"/>
        <w:rPr>
          <w:rFonts w:ascii="Arial" w:eastAsia="Calibri" w:hAnsi="Arial" w:cs="Arial"/>
          <w:sz w:val="22"/>
          <w:szCs w:val="22"/>
          <w:lang w:eastAsia="en-US"/>
        </w:rPr>
      </w:pPr>
      <w:permStart w:id="570434045" w:edGrp="everyone"/>
      <w:r w:rsidRPr="00C92E09">
        <w:rPr>
          <w:rFonts w:ascii="Arial" w:eastAsia="Calibri" w:hAnsi="Arial" w:cs="Arial"/>
          <w:sz w:val="22"/>
          <w:szCs w:val="22"/>
          <w:lang w:eastAsia="en-US"/>
        </w:rPr>
        <w:t>TYPE YOUR TEXT HERE</w:t>
      </w:r>
    </w:p>
    <w:permEnd w:id="570434045"/>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1E7B2FAF" w14:textId="77777777" w:rsidR="00C92E09" w:rsidRPr="00C92E09" w:rsidRDefault="00C92E09" w:rsidP="00C92E09">
      <w:pPr>
        <w:spacing w:after="160" w:line="259" w:lineRule="auto"/>
        <w:rPr>
          <w:rFonts w:ascii="Arial" w:eastAsia="Calibri" w:hAnsi="Arial" w:cs="Arial"/>
          <w:sz w:val="22"/>
          <w:szCs w:val="22"/>
          <w:lang w:eastAsia="en-US"/>
        </w:rPr>
      </w:pPr>
      <w:permStart w:id="513218818" w:edGrp="everyone"/>
      <w:r w:rsidRPr="00C92E09">
        <w:rPr>
          <w:rFonts w:ascii="Arial" w:eastAsia="Calibri" w:hAnsi="Arial" w:cs="Arial"/>
          <w:sz w:val="22"/>
          <w:szCs w:val="22"/>
          <w:lang w:eastAsia="en-US"/>
        </w:rPr>
        <w:t>TYPE YOUR TEXT HERE</w:t>
      </w: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1FFA277A" w14:textId="77777777" w:rsidR="00C92E09" w:rsidRPr="00C92E09" w:rsidRDefault="00C92E09" w:rsidP="00C92E09">
      <w:pPr>
        <w:spacing w:after="160" w:line="259" w:lineRule="auto"/>
        <w:rPr>
          <w:rFonts w:ascii="Arial" w:eastAsia="Calibri" w:hAnsi="Arial" w:cs="Arial"/>
          <w:sz w:val="22"/>
          <w:szCs w:val="22"/>
          <w:lang w:eastAsia="en-US"/>
        </w:rPr>
      </w:pPr>
      <w:permStart w:id="1036202595" w:edGrp="everyone"/>
      <w:r w:rsidRPr="00C92E09">
        <w:rPr>
          <w:rFonts w:ascii="Arial" w:eastAsia="Calibri" w:hAnsi="Arial" w:cs="Arial"/>
          <w:sz w:val="22"/>
          <w:szCs w:val="22"/>
          <w:lang w:eastAsia="en-US"/>
        </w:rPr>
        <w:lastRenderedPageBreak/>
        <w:t>TYPE YOUR TEXT HERE</w:t>
      </w:r>
    </w:p>
    <w:permEnd w:id="1036202595"/>
    <w:p w14:paraId="5AC9484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F811D30" w14:textId="77777777" w:rsidR="00C92E09" w:rsidRPr="00C92E09" w:rsidRDefault="00C92E09" w:rsidP="00C92E09">
      <w:pPr>
        <w:spacing w:after="160" w:line="259" w:lineRule="auto"/>
        <w:rPr>
          <w:rFonts w:ascii="Arial" w:eastAsia="Calibri" w:hAnsi="Arial" w:cs="Arial"/>
          <w:sz w:val="22"/>
          <w:szCs w:val="22"/>
          <w:lang w:eastAsia="en-US"/>
        </w:rPr>
      </w:pPr>
      <w:permStart w:id="1365582167" w:edGrp="everyone"/>
      <w:r w:rsidRPr="00C92E09">
        <w:rPr>
          <w:rFonts w:ascii="Arial" w:eastAsia="Calibri" w:hAnsi="Arial" w:cs="Arial"/>
          <w:sz w:val="22"/>
          <w:szCs w:val="22"/>
          <w:lang w:eastAsia="en-US"/>
        </w:rPr>
        <w:t>TYPE YOUR TEXT HERE</w:t>
      </w: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36A1CD29" w14:textId="77777777" w:rsidR="000E4056" w:rsidRDefault="000E4056" w:rsidP="000E4056">
      <w:permStart w:id="1941981821" w:edGrp="everyone"/>
      <w:r>
        <w:t xml:space="preserve">EFAMA members consider that </w:t>
      </w:r>
      <w:proofErr w:type="gramStart"/>
      <w:r>
        <w:t>a number of</w:t>
      </w:r>
      <w:proofErr w:type="gramEnd"/>
      <w:r>
        <w:t xml:space="preserve"> characteristics should be taken into account. </w:t>
      </w:r>
    </w:p>
    <w:p w14:paraId="78486A8B" w14:textId="77777777" w:rsidR="000E4056" w:rsidRDefault="000E4056" w:rsidP="000E4056">
      <w:pPr>
        <w:numPr>
          <w:ilvl w:val="0"/>
          <w:numId w:val="18"/>
        </w:numPr>
      </w:pPr>
      <w:r>
        <w:t>ESMA should make sure it makes a difference between ‘multilateral systems’ and trading venues that bring together multiple third party together (covering non-existing relationships ) and infrastructures used by market participants to carry on their day to day activity more efficiently;</w:t>
      </w:r>
    </w:p>
    <w:p w14:paraId="0D2C4FBC" w14:textId="77777777" w:rsidR="000E4056" w:rsidRDefault="000E4056" w:rsidP="000E4056">
      <w:pPr>
        <w:numPr>
          <w:ilvl w:val="0"/>
          <w:numId w:val="19"/>
        </w:numPr>
      </w:pPr>
      <w:r>
        <w:t xml:space="preserve">Multilateral systems are characterised by ‘many-to-many’ interactions at any given point in time, bringing together multiple 3rd party interest and facilitating an execution within the </w:t>
      </w:r>
      <w:proofErr w:type="gramStart"/>
      <w:r>
        <w:t>venue;</w:t>
      </w:r>
      <w:proofErr w:type="gramEnd"/>
    </w:p>
    <w:p w14:paraId="77FB8EE0" w14:textId="77777777" w:rsidR="000E4056" w:rsidRDefault="000E4056" w:rsidP="000E4056">
      <w:pPr>
        <w:numPr>
          <w:ilvl w:val="0"/>
          <w:numId w:val="19"/>
        </w:numPr>
      </w:pPr>
      <w:r>
        <w:t>software provider where there is no genuine trade execution taking place in the system and which do not have any involvement on how and where the trade might take place, should not be required to become a trading venue;</w:t>
      </w:r>
    </w:p>
    <w:p w14:paraId="08A50E55" w14:textId="77777777" w:rsidR="000E4056" w:rsidRDefault="000E4056" w:rsidP="000E4056">
      <w:pPr>
        <w:numPr>
          <w:ilvl w:val="0"/>
          <w:numId w:val="19"/>
        </w:numPr>
      </w:pPr>
      <w:r>
        <w:t>Buy-side systems should be explicitly excluded from the definitions of MTFs and OTFs as they do not provide trade execution facilities, but simply utilize technology in order to communicate with one another in an efficient and timely manner - activity which is already subject to internal oversight and controls.</w:t>
      </w:r>
    </w:p>
    <w:p w14:paraId="3F23762C" w14:textId="77777777" w:rsidR="000E4056" w:rsidRDefault="000E4056" w:rsidP="000E4056">
      <w:pPr>
        <w:pStyle w:val="ListParagraph"/>
      </w:pPr>
      <w:r>
        <w:t> </w:t>
      </w:r>
    </w:p>
    <w:p w14:paraId="3DED6ECC" w14:textId="49002753" w:rsidR="00C92E09" w:rsidRPr="000E4056" w:rsidRDefault="000E4056" w:rsidP="000E4056">
      <w:r>
        <w:t xml:space="preserve">It is our members’ views that only ‘multilateral systems’ that allow </w:t>
      </w:r>
      <w:r>
        <w:rPr>
          <w:u w:val="single"/>
        </w:rPr>
        <w:t>multiple</w:t>
      </w:r>
      <w:r>
        <w:t xml:space="preserve"> third parties’ trading interests to interact in a system and, where genuine trade execution takes place, should be required to become trading venues.</w:t>
      </w: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7BCB7447" w14:textId="77777777" w:rsidR="00C92E09" w:rsidRPr="00C92E09" w:rsidRDefault="00C92E09" w:rsidP="00C92E09">
      <w:pPr>
        <w:spacing w:after="160" w:line="259" w:lineRule="auto"/>
        <w:rPr>
          <w:rFonts w:ascii="Arial" w:eastAsia="Calibri" w:hAnsi="Arial" w:cs="Arial"/>
          <w:sz w:val="22"/>
          <w:szCs w:val="22"/>
          <w:lang w:eastAsia="en-US"/>
        </w:rPr>
      </w:pPr>
      <w:permStart w:id="1114264616" w:edGrp="everyone"/>
      <w:r w:rsidRPr="00C92E09">
        <w:rPr>
          <w:rFonts w:ascii="Arial" w:eastAsia="Calibri" w:hAnsi="Arial" w:cs="Arial"/>
          <w:sz w:val="22"/>
          <w:szCs w:val="22"/>
          <w:lang w:eastAsia="en-US"/>
        </w:rPr>
        <w:lastRenderedPageBreak/>
        <w:t>TYPE YOUR TEXT HERE</w:t>
      </w: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4F3BF0C0" w14:textId="77777777" w:rsidR="00C92E09" w:rsidRPr="00C92E09" w:rsidRDefault="00C92E09" w:rsidP="00C92E09">
      <w:pPr>
        <w:spacing w:after="160" w:line="259" w:lineRule="auto"/>
        <w:rPr>
          <w:rFonts w:ascii="Arial" w:eastAsia="Calibri" w:hAnsi="Arial" w:cs="Arial"/>
          <w:sz w:val="22"/>
          <w:szCs w:val="22"/>
          <w:lang w:eastAsia="en-US"/>
        </w:rPr>
      </w:pPr>
      <w:permStart w:id="233254254" w:edGrp="everyone"/>
      <w:r w:rsidRPr="00C92E09">
        <w:rPr>
          <w:rFonts w:ascii="Arial" w:eastAsia="Calibri" w:hAnsi="Arial" w:cs="Arial"/>
          <w:sz w:val="22"/>
          <w:szCs w:val="22"/>
          <w:lang w:eastAsia="en-US"/>
        </w:rPr>
        <w:t>TYPE YOUR TEXT HERE</w:t>
      </w: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61EECAD" w14:textId="77777777" w:rsidR="00C92E09" w:rsidRPr="00C92E09" w:rsidRDefault="00C92E09" w:rsidP="00C92E09">
      <w:pPr>
        <w:spacing w:after="160" w:line="259" w:lineRule="auto"/>
        <w:rPr>
          <w:rFonts w:ascii="Arial" w:eastAsia="Calibri" w:hAnsi="Arial" w:cs="Arial"/>
          <w:sz w:val="22"/>
          <w:szCs w:val="22"/>
          <w:lang w:eastAsia="en-US"/>
        </w:rPr>
      </w:pPr>
      <w:permStart w:id="535432319" w:edGrp="everyone"/>
      <w:r w:rsidRPr="00C92E09">
        <w:rPr>
          <w:rFonts w:ascii="Arial" w:eastAsia="Calibri" w:hAnsi="Arial" w:cs="Arial"/>
          <w:sz w:val="22"/>
          <w:szCs w:val="22"/>
          <w:lang w:eastAsia="en-US"/>
        </w:rPr>
        <w:t>TYPE YOUR TEXT HERE</w:t>
      </w: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Q14: Market participants that currently operate such systems are invited to share more detailed information on their crossing systems (scale of the activity, geographical coverage, instruments concerned, </w:t>
      </w:r>
      <w:proofErr w:type="spellStart"/>
      <w:r w:rsidRPr="00C92E09">
        <w:rPr>
          <w:rFonts w:ascii="Arial" w:hAnsi="Arial" w:cs="Arial"/>
          <w:b/>
          <w:sz w:val="22"/>
          <w:szCs w:val="22"/>
          <w:lang w:val="en-US" w:eastAsia="en-US"/>
        </w:rPr>
        <w:t>etc</w:t>
      </w:r>
      <w:proofErr w:type="spellEnd"/>
      <w:r w:rsidRPr="00C92E09">
        <w:rPr>
          <w:rFonts w:ascii="Arial" w:hAnsi="Arial" w:cs="Arial"/>
          <w:b/>
          <w:sz w:val="22"/>
          <w:szCs w:val="22"/>
          <w:lang w:val="en-US" w:eastAsia="en-US"/>
        </w:rPr>
        <w:t>…),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3DE8F808" w14:textId="77777777" w:rsidR="00C92E09" w:rsidRPr="00C92E09" w:rsidRDefault="00C92E09" w:rsidP="00C92E09">
      <w:pPr>
        <w:spacing w:after="160" w:line="259" w:lineRule="auto"/>
        <w:rPr>
          <w:rFonts w:ascii="Arial" w:eastAsia="Calibri" w:hAnsi="Arial" w:cs="Arial"/>
          <w:sz w:val="22"/>
          <w:szCs w:val="22"/>
          <w:lang w:eastAsia="en-US"/>
        </w:rPr>
      </w:pPr>
      <w:permStart w:id="503937496" w:edGrp="everyone"/>
      <w:r w:rsidRPr="00C92E09">
        <w:rPr>
          <w:rFonts w:ascii="Arial" w:eastAsia="Calibri" w:hAnsi="Arial" w:cs="Arial"/>
          <w:sz w:val="22"/>
          <w:szCs w:val="22"/>
          <w:lang w:eastAsia="en-US"/>
        </w:rPr>
        <w:t>TYPE YOUR TEXT HERE</w:t>
      </w: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&lt;ESMA_QUESTION_FOTF_15&gt;</w:t>
      </w:r>
    </w:p>
    <w:p w14:paraId="700F9055" w14:textId="77777777" w:rsidR="00C92E09" w:rsidRPr="00C92E09" w:rsidRDefault="00C92E09" w:rsidP="00C92E09">
      <w:pPr>
        <w:spacing w:after="160" w:line="259" w:lineRule="auto"/>
        <w:rPr>
          <w:rFonts w:ascii="Arial" w:eastAsia="Calibri" w:hAnsi="Arial" w:cs="Arial"/>
          <w:sz w:val="22"/>
          <w:szCs w:val="22"/>
          <w:lang w:eastAsia="en-US"/>
        </w:rPr>
      </w:pPr>
      <w:permStart w:id="165479820" w:edGrp="everyone"/>
      <w:r w:rsidRPr="00C92E09">
        <w:rPr>
          <w:rFonts w:ascii="Arial" w:eastAsia="Calibri" w:hAnsi="Arial" w:cs="Arial"/>
          <w:sz w:val="22"/>
          <w:szCs w:val="22"/>
          <w:lang w:eastAsia="en-US"/>
        </w:rPr>
        <w:t>TYPE YOUR TEXT HERE</w:t>
      </w: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7BCB8790" w14:textId="77777777" w:rsidR="00C92E09" w:rsidRPr="00C92E09" w:rsidRDefault="00C92E09" w:rsidP="00C92E09">
      <w:pPr>
        <w:spacing w:after="160" w:line="259" w:lineRule="auto"/>
        <w:rPr>
          <w:rFonts w:ascii="Arial" w:eastAsia="Calibri" w:hAnsi="Arial" w:cs="Arial"/>
          <w:sz w:val="22"/>
          <w:szCs w:val="22"/>
          <w:lang w:eastAsia="en-US"/>
        </w:rPr>
      </w:pPr>
      <w:permStart w:id="386081243" w:edGrp="everyone"/>
      <w:r w:rsidRPr="00C92E09">
        <w:rPr>
          <w:rFonts w:ascii="Arial" w:eastAsia="Calibri" w:hAnsi="Arial" w:cs="Arial"/>
          <w:sz w:val="22"/>
          <w:szCs w:val="22"/>
          <w:lang w:eastAsia="en-US"/>
        </w:rPr>
        <w:lastRenderedPageBreak/>
        <w:t>TYPE YOUR TEXT HERE</w:t>
      </w: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786CDF2E" w14:textId="77777777" w:rsidR="00C92E09" w:rsidRPr="00C92E09" w:rsidRDefault="00C92E09" w:rsidP="00C92E09">
      <w:pPr>
        <w:spacing w:after="160" w:line="259" w:lineRule="auto"/>
        <w:rPr>
          <w:rFonts w:ascii="Arial" w:eastAsia="Calibri" w:hAnsi="Arial" w:cs="Arial"/>
          <w:sz w:val="22"/>
          <w:szCs w:val="22"/>
          <w:lang w:eastAsia="en-US"/>
        </w:rPr>
      </w:pPr>
      <w:permStart w:id="1621327859" w:edGrp="everyone"/>
      <w:r w:rsidRPr="00C92E09">
        <w:rPr>
          <w:rFonts w:ascii="Arial" w:eastAsia="Calibri" w:hAnsi="Arial" w:cs="Arial"/>
          <w:sz w:val="22"/>
          <w:szCs w:val="22"/>
          <w:lang w:eastAsia="en-US"/>
        </w:rPr>
        <w:t>TYPE YOUR TEXT HERE</w:t>
      </w: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163D4257" w14:textId="77777777" w:rsidR="00C92E09" w:rsidRPr="00C92E09" w:rsidRDefault="00C92E09" w:rsidP="00C92E09">
      <w:pPr>
        <w:spacing w:after="160" w:line="259" w:lineRule="auto"/>
        <w:rPr>
          <w:rFonts w:ascii="Arial" w:eastAsia="Calibri" w:hAnsi="Arial" w:cs="Arial"/>
          <w:sz w:val="22"/>
          <w:szCs w:val="22"/>
          <w:lang w:eastAsia="en-US"/>
        </w:rPr>
      </w:pPr>
      <w:permStart w:id="1910249455" w:edGrp="everyone"/>
      <w:r w:rsidRPr="00C92E09">
        <w:rPr>
          <w:rFonts w:ascii="Arial" w:eastAsia="Calibri" w:hAnsi="Arial" w:cs="Arial"/>
          <w:sz w:val="22"/>
          <w:szCs w:val="22"/>
          <w:lang w:eastAsia="en-US"/>
        </w:rPr>
        <w:t>TYPE YOUR TEXT HERE</w:t>
      </w: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4FAF0180" w14:textId="77777777" w:rsidR="00C92E09" w:rsidRPr="00C92E09" w:rsidRDefault="00C92E09" w:rsidP="00C92E09">
      <w:pPr>
        <w:spacing w:after="160" w:line="259" w:lineRule="auto"/>
        <w:rPr>
          <w:rFonts w:ascii="Arial" w:eastAsia="Calibri" w:hAnsi="Arial" w:cs="Arial"/>
          <w:sz w:val="22"/>
          <w:szCs w:val="22"/>
          <w:lang w:eastAsia="en-US"/>
        </w:rPr>
      </w:pPr>
      <w:permStart w:id="752047120" w:edGrp="everyone"/>
      <w:r w:rsidRPr="00C92E09">
        <w:rPr>
          <w:rFonts w:ascii="Arial" w:eastAsia="Calibri" w:hAnsi="Arial" w:cs="Arial"/>
          <w:sz w:val="22"/>
          <w:szCs w:val="22"/>
          <w:lang w:eastAsia="en-US"/>
        </w:rPr>
        <w:t>TYPE YOUR TEXT HERE</w:t>
      </w: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5F95047C" w14:textId="77777777" w:rsidR="00C92E09" w:rsidRPr="00C92E09" w:rsidRDefault="00C92E09" w:rsidP="00C92E09">
      <w:pPr>
        <w:spacing w:after="160" w:line="259" w:lineRule="auto"/>
        <w:rPr>
          <w:rFonts w:ascii="Arial" w:eastAsia="Calibri" w:hAnsi="Arial" w:cs="Arial"/>
          <w:sz w:val="22"/>
          <w:szCs w:val="22"/>
          <w:lang w:eastAsia="en-US"/>
        </w:rPr>
      </w:pPr>
      <w:permStart w:id="329991609" w:edGrp="everyone"/>
      <w:r w:rsidRPr="00C92E09">
        <w:rPr>
          <w:rFonts w:ascii="Arial" w:eastAsia="Calibri" w:hAnsi="Arial" w:cs="Arial"/>
          <w:sz w:val="22"/>
          <w:szCs w:val="22"/>
          <w:lang w:eastAsia="en-US"/>
        </w:rPr>
        <w:t>TYPE YOUR TEXT HERE</w:t>
      </w:r>
    </w:p>
    <w:permEnd w:id="329991609"/>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&lt;ESMA_QUESTION_FOTF_21&gt;</w:t>
      </w:r>
    </w:p>
    <w:p w14:paraId="1E53C814" w14:textId="2985650D" w:rsidR="00C92E09" w:rsidRPr="00C92E09" w:rsidRDefault="00C92E09" w:rsidP="00C92E09">
      <w:pPr>
        <w:spacing w:after="160" w:line="259" w:lineRule="auto"/>
        <w:rPr>
          <w:rFonts w:ascii="Arial" w:eastAsia="Calibri" w:hAnsi="Arial" w:cs="Arial"/>
          <w:sz w:val="22"/>
          <w:szCs w:val="22"/>
          <w:lang w:eastAsia="en-US"/>
        </w:rPr>
      </w:pPr>
      <w:permStart w:id="2095270936" w:edGrp="everyone"/>
      <w:r w:rsidRPr="00C92E09">
        <w:rPr>
          <w:rFonts w:ascii="Arial" w:eastAsia="Calibri" w:hAnsi="Arial" w:cs="Arial"/>
          <w:sz w:val="22"/>
          <w:szCs w:val="22"/>
          <w:lang w:eastAsia="en-US"/>
        </w:rPr>
        <w:t>TYPE YOUR TEXT HERE</w:t>
      </w: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83D3" w14:textId="77777777" w:rsidR="002C1AAA" w:rsidRDefault="002C1AAA" w:rsidP="007E7997">
      <w:r>
        <w:separator/>
      </w:r>
    </w:p>
  </w:endnote>
  <w:endnote w:type="continuationSeparator" w:id="0">
    <w:p w14:paraId="7A93C302" w14:textId="77777777" w:rsidR="002C1AAA" w:rsidRDefault="002C1AAA" w:rsidP="007E7997">
      <w:r>
        <w:continuationSeparator/>
      </w:r>
    </w:p>
  </w:endnote>
  <w:endnote w:type="continuationNotice" w:id="1">
    <w:p w14:paraId="37B8D0B2" w14:textId="77777777" w:rsidR="002C1AAA" w:rsidRDefault="002C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48E0" w14:textId="77777777" w:rsidR="002C1AAA" w:rsidRDefault="002C1AAA" w:rsidP="007E7997">
      <w:r>
        <w:separator/>
      </w:r>
    </w:p>
  </w:footnote>
  <w:footnote w:type="continuationSeparator" w:id="0">
    <w:p w14:paraId="471042C1" w14:textId="77777777" w:rsidR="002C1AAA" w:rsidRDefault="002C1AAA" w:rsidP="007E7997">
      <w:r>
        <w:continuationSeparator/>
      </w:r>
    </w:p>
  </w:footnote>
  <w:footnote w:type="continuationNotice" w:id="1">
    <w:p w14:paraId="34E93E88" w14:textId="77777777" w:rsidR="002C1AAA" w:rsidRDefault="002C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A6CD2"/>
    <w:multiLevelType w:val="multilevel"/>
    <w:tmpl w:val="E8664A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7057D"/>
    <w:multiLevelType w:val="multilevel"/>
    <w:tmpl w:val="7BA25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3"/>
  </w:num>
  <w:num w:numId="5">
    <w:abstractNumId w:val="9"/>
  </w:num>
  <w:num w:numId="6">
    <w:abstractNumId w:val="13"/>
  </w:num>
  <w:num w:numId="7">
    <w:abstractNumId w:val="8"/>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4056"/>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AEF"/>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5DB"/>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8</TotalTime>
  <Pages>10</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Isabelle Van Acker</cp:lastModifiedBy>
  <cp:revision>4</cp:revision>
  <cp:lastPrinted>2017-07-24T14:47:00Z</cp:lastPrinted>
  <dcterms:created xsi:type="dcterms:W3CDTF">2020-11-25T14:50:00Z</dcterms:created>
  <dcterms:modified xsi:type="dcterms:W3CDTF">2020-11-25T14:59:00Z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