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145E7790"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MiFID II/ </w:t>
                </w:r>
                <w:proofErr w:type="spellStart"/>
                <w:r w:rsidRPr="00C92E09">
                  <w:rPr>
                    <w:rFonts w:cs="Arial"/>
                    <w:sz w:val="40"/>
                    <w:szCs w:val="40"/>
                  </w:rPr>
                  <w:t>MiFIR</w:t>
                </w:r>
                <w:proofErr w:type="spellEnd"/>
                <w:r w:rsidRPr="00C92E09">
                  <w:rPr>
                    <w:rFonts w:cs="Arial"/>
                    <w:sz w:val="40"/>
                    <w:szCs w:val="40"/>
                  </w:rPr>
                  <w:t xml:space="preserve"> review on the functioning </w:t>
                </w:r>
                <w:proofErr w:type="gramStart"/>
                <w:r w:rsidRPr="00C92E09">
                  <w:rPr>
                    <w:rFonts w:cs="Arial"/>
                    <w:sz w:val="40"/>
                    <w:szCs w:val="40"/>
                  </w:rPr>
                  <w:t xml:space="preserve">of </w:t>
                </w:r>
                <w:r w:rsidR="00C0651F" w:rsidRPr="00C0651F">
                  <w:rPr>
                    <w:rFonts w:asciiTheme="minorHAnsi" w:eastAsiaTheme="minorEastAsia" w:hAnsiTheme="minorHAnsi" w:cs="Arial"/>
                    <w:b w:val="0"/>
                    <w:color w:val="auto"/>
                    <w:spacing w:val="0"/>
                    <w:sz w:val="22"/>
                    <w:szCs w:val="20"/>
                    <w:lang w:eastAsia="en-US"/>
                  </w:rPr>
                  <w:t xml:space="preserve"> </w:t>
                </w:r>
                <w:r w:rsidR="00C0651F" w:rsidRPr="00C0651F">
                  <w:rPr>
                    <w:rFonts w:cs="Arial"/>
                    <w:sz w:val="40"/>
                    <w:szCs w:val="40"/>
                  </w:rPr>
                  <w:t>Organised</w:t>
                </w:r>
                <w:proofErr w:type="gramEnd"/>
                <w:r w:rsidR="00C0651F" w:rsidRPr="00C0651F">
                  <w:rPr>
                    <w:rFonts w:cs="Arial"/>
                    <w:sz w:val="40"/>
                    <w:szCs w:val="40"/>
                  </w:rPr>
                  <w:t xml:space="preserve"> Trading Facilities (OTF)</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proofErr w:type="gramStart"/>
          <w:r w:rsidRPr="00AB6157">
            <w:rPr>
              <w:rFonts w:asciiTheme="minorHAnsi" w:eastAsiaTheme="minorEastAsia" w:hAnsiTheme="minorHAnsi" w:cstheme="minorBidi"/>
              <w:sz w:val="22"/>
              <w:szCs w:val="20"/>
              <w:lang w:eastAsia="en-US"/>
            </w:rPr>
            <w:t>describe</w:t>
          </w:r>
          <w:proofErr w:type="gramEnd"/>
          <w:r w:rsidRPr="00AB6157">
            <w:rPr>
              <w:rFonts w:asciiTheme="minorHAnsi" w:eastAsiaTheme="minorEastAsia" w:hAnsiTheme="minorHAnsi" w:cstheme="minorBidi"/>
              <w:sz w:val="22"/>
              <w:szCs w:val="20"/>
              <w:lang w:eastAsia="en-US"/>
            </w:rPr>
            <w:t xml:space="preserve"> any alternatives ESMA should consider.</w:t>
          </w:r>
        </w:p>
        <w:p w14:paraId="09579D04" w14:textId="5ADF15E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C92E09">
            <w:rPr>
              <w:rFonts w:asciiTheme="minorHAnsi" w:eastAsiaTheme="minorEastAsia" w:hAnsiTheme="minorHAnsi" w:cstheme="minorBidi"/>
              <w:b/>
              <w:sz w:val="22"/>
              <w:szCs w:val="20"/>
              <w:lang w:eastAsia="en-US"/>
            </w:rPr>
            <w:t>25</w:t>
          </w:r>
          <w:r w:rsidR="009C223D" w:rsidRPr="0004778B">
            <w:rPr>
              <w:rFonts w:asciiTheme="minorHAnsi" w:eastAsiaTheme="minorEastAsia" w:hAnsiTheme="minorHAnsi" w:cstheme="minorBidi"/>
              <w:b/>
              <w:sz w:val="22"/>
              <w:szCs w:val="20"/>
              <w:lang w:eastAsia="en-US"/>
            </w:rPr>
            <w:t>/</w:t>
          </w:r>
          <w:r w:rsidR="00C92E09">
            <w:rPr>
              <w:rFonts w:asciiTheme="minorHAnsi" w:eastAsiaTheme="minorEastAsia" w:hAnsiTheme="minorHAnsi" w:cstheme="minorBidi"/>
              <w:b/>
              <w:sz w:val="22"/>
              <w:szCs w:val="20"/>
              <w:lang w:eastAsia="en-US"/>
            </w:rPr>
            <w:t>11</w:t>
          </w:r>
          <w:r w:rsidR="009C223D" w:rsidRPr="0004778B">
            <w:rPr>
              <w:rFonts w:asciiTheme="minorHAnsi" w:eastAsiaTheme="minorEastAsia" w:hAnsiTheme="minorHAnsi" w:cstheme="minorBidi"/>
              <w:b/>
              <w:sz w:val="22"/>
              <w:szCs w:val="20"/>
              <w:lang w:eastAsia="en-US"/>
            </w:rPr>
            <w:t>/2020</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D0AA40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C92E09">
            <w:rPr>
              <w:rFonts w:eastAsiaTheme="minorEastAsia" w:cstheme="minorBidi"/>
              <w:szCs w:val="20"/>
              <w:lang w:eastAsia="en-US"/>
            </w:rPr>
            <w:t>FOTF</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64ABB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14DFCC1C"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9F22E7" w:rsidRPr="009F22E7">
            <w:rPr>
              <w:rFonts w:eastAsiaTheme="minorEastAsia" w:cstheme="minorBidi"/>
              <w:szCs w:val="20"/>
              <w:lang w:eastAsia="en-US"/>
            </w:rPr>
            <w:t xml:space="preserve"> the functioning of the Organised Trading Facility regime</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 xml:space="preserve">Who should read this </w:t>
          </w:r>
          <w:proofErr w:type="gramStart"/>
          <w:r w:rsidRPr="00B8572C">
            <w:rPr>
              <w:rFonts w:asciiTheme="minorHAnsi" w:eastAsiaTheme="minorEastAsia" w:hAnsiTheme="minorHAnsi" w:cstheme="minorBidi"/>
              <w:b/>
              <w:sz w:val="22"/>
              <w:szCs w:val="20"/>
              <w:lang w:eastAsia="en-US"/>
            </w:rPr>
            <w:t>paper</w:t>
          </w:r>
          <w:proofErr w:type="gramEnd"/>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w:t>
          </w:r>
          <w:proofErr w:type="spellStart"/>
          <w:r w:rsidR="00647144">
            <w:rPr>
              <w:rFonts w:ascii="Arial" w:eastAsiaTheme="minorEastAsia" w:hAnsi="Arial" w:cs="Arial"/>
              <w:sz w:val="22"/>
              <w:szCs w:val="22"/>
              <w:lang w:eastAsia="ja-JP"/>
            </w:rPr>
            <w:t>i</w:t>
          </w:r>
          <w:proofErr w:type="spellEnd"/>
          <w:r w:rsidR="00647144">
            <w:rPr>
              <w:rFonts w:ascii="Arial" w:eastAsiaTheme="minorEastAsia" w:hAnsi="Arial" w:cs="Arial"/>
              <w:sz w:val="22"/>
              <w:szCs w:val="22"/>
              <w:lang w:eastAsia="ja-JP"/>
            </w:rPr>
            <w:t xml:space="preserve">)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w:t>
          </w:r>
          <w:proofErr w:type="spellStart"/>
          <w:r w:rsidR="00647144">
            <w:rPr>
              <w:rFonts w:ascii="Arial" w:eastAsiaTheme="minorEastAsia" w:hAnsi="Arial" w:cs="Arial"/>
              <w:sz w:val="22"/>
              <w:szCs w:val="22"/>
              <w:lang w:eastAsia="ja-JP"/>
            </w:rPr>
            <w:t>EuVECA</w:t>
          </w:r>
          <w:proofErr w:type="spellEnd"/>
          <w:r w:rsidR="00647144">
            <w:rPr>
              <w:rFonts w:ascii="Arial" w:eastAsiaTheme="minorEastAsia" w:hAnsi="Arial" w:cs="Arial"/>
              <w:sz w:val="22"/>
              <w:szCs w:val="22"/>
              <w:lang w:eastAsia="ja-JP"/>
            </w:rPr>
            <w:t xml:space="preserve"> managers and their trade associations, (ii) distributors of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as well as (iii) institutional and retail investors investing into UCITS, alternative investment funds, </w:t>
          </w:r>
          <w:proofErr w:type="spellStart"/>
          <w:r w:rsidR="00647144">
            <w:rPr>
              <w:rFonts w:ascii="Arial" w:eastAsiaTheme="minorEastAsia" w:hAnsi="Arial" w:cs="Arial"/>
              <w:sz w:val="22"/>
              <w:szCs w:val="22"/>
              <w:lang w:eastAsia="ja-JP"/>
            </w:rPr>
            <w:t>EuSEFs</w:t>
          </w:r>
          <w:proofErr w:type="spellEnd"/>
          <w:r w:rsidR="00647144">
            <w:rPr>
              <w:rFonts w:ascii="Arial" w:eastAsiaTheme="minorEastAsia" w:hAnsi="Arial" w:cs="Arial"/>
              <w:sz w:val="22"/>
              <w:szCs w:val="22"/>
              <w:lang w:eastAsia="ja-JP"/>
            </w:rPr>
            <w:t xml:space="preserve"> and/or </w:t>
          </w:r>
          <w:proofErr w:type="spellStart"/>
          <w:r w:rsidR="00647144">
            <w:rPr>
              <w:rFonts w:ascii="Arial" w:eastAsiaTheme="minorEastAsia" w:hAnsi="Arial" w:cs="Arial"/>
              <w:sz w:val="22"/>
              <w:szCs w:val="22"/>
              <w:lang w:eastAsia="ja-JP"/>
            </w:rPr>
            <w:t>EuVECAs</w:t>
          </w:r>
          <w:proofErr w:type="spellEnd"/>
          <w:r w:rsidR="00647144">
            <w:rPr>
              <w:rFonts w:ascii="Arial" w:eastAsiaTheme="minorEastAsia" w:hAnsi="Arial" w:cs="Arial"/>
              <w:sz w:val="22"/>
              <w:szCs w:val="22"/>
              <w:lang w:eastAsia="ja-JP"/>
            </w:rPr>
            <w:t xml:space="preserve">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46EFFF81" w:rsidR="00C85C8B" w:rsidRPr="00C85C8B" w:rsidRDefault="008E073E" w:rsidP="008E073E">
                <w:pPr>
                  <w:rPr>
                    <w:rFonts w:ascii="Arial" w:hAnsi="Arial" w:cs="Arial"/>
                    <w:color w:val="808080"/>
                    <w:sz w:val="20"/>
                    <w:lang w:eastAsia="de-DE"/>
                  </w:rPr>
                </w:pPr>
                <w:r>
                  <w:rPr>
                    <w:rFonts w:ascii="Arial" w:hAnsi="Arial" w:cs="Arial"/>
                    <w:color w:val="808080"/>
                    <w:sz w:val="20"/>
                    <w:lang w:eastAsia="de-DE"/>
                  </w:rPr>
                  <w:t>Bloomberg LP</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8C971B9" w:rsidR="00C85C8B" w:rsidRPr="00C85C8B" w:rsidRDefault="0061672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866D3">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0738647" w:rsidR="00C85C8B" w:rsidRPr="00C85C8B" w:rsidRDefault="008E073E"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2CFE1BD" w:rsidR="00C85C8B" w:rsidRPr="00C85C8B" w:rsidRDefault="008E073E"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08AE9D3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theme="minorBidi"/>
          <w:sz w:val="22"/>
          <w:szCs w:val="20"/>
          <w:lang w:eastAsia="en-US"/>
        </w:rPr>
        <w:t>FOTF</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2457CBD8"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C92E09">
        <w:rPr>
          <w:rFonts w:asciiTheme="minorHAnsi" w:eastAsiaTheme="minorEastAsia" w:hAnsiTheme="minorHAnsi" w:cs="Arial"/>
          <w:sz w:val="22"/>
          <w:szCs w:val="20"/>
          <w:lang w:eastAsia="en-US"/>
        </w:rPr>
        <w:t>FOTF</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bookmarkEnd w:id="0"/>
    <w:p w14:paraId="7190F722"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 What are your views about the current OTFs landscape in the EU? What is your initial assessment of the efficiency and usefulness of the OTF regime so far?</w:t>
      </w:r>
    </w:p>
    <w:p w14:paraId="6165C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186C579D" w14:textId="77777777" w:rsidR="00C92E09" w:rsidRPr="00C92E09" w:rsidRDefault="00C92E09" w:rsidP="00C92E09">
      <w:pPr>
        <w:spacing w:after="160" w:line="259" w:lineRule="auto"/>
        <w:rPr>
          <w:rFonts w:ascii="Arial" w:eastAsia="Calibri" w:hAnsi="Arial" w:cs="Arial"/>
          <w:sz w:val="22"/>
          <w:szCs w:val="22"/>
          <w:lang w:eastAsia="en-US"/>
        </w:rPr>
      </w:pPr>
      <w:permStart w:id="1805873418" w:edGrp="everyone"/>
      <w:r w:rsidRPr="00C92E09">
        <w:rPr>
          <w:rFonts w:ascii="Arial" w:eastAsia="Calibri" w:hAnsi="Arial" w:cs="Arial"/>
          <w:sz w:val="22"/>
          <w:szCs w:val="22"/>
          <w:lang w:eastAsia="en-US"/>
        </w:rPr>
        <w:t>TYPE YOUR TEXT HERE</w:t>
      </w:r>
    </w:p>
    <w:permEnd w:id="1805873418"/>
    <w:p w14:paraId="0F69E8E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&lt;ESMA_QUESTION_FOTF_1&gt;</w:t>
      </w:r>
    </w:p>
    <w:p w14:paraId="6D1952C4" w14:textId="77777777" w:rsidR="00C92E09" w:rsidRPr="00C92E09" w:rsidRDefault="00C92E09" w:rsidP="00C92E09">
      <w:pPr>
        <w:spacing w:after="160" w:line="259" w:lineRule="auto"/>
        <w:rPr>
          <w:rFonts w:ascii="Arial" w:eastAsia="Calibri" w:hAnsi="Arial" w:cs="Arial"/>
          <w:sz w:val="22"/>
          <w:szCs w:val="22"/>
          <w:lang w:eastAsia="en-US"/>
        </w:rPr>
      </w:pPr>
    </w:p>
    <w:p w14:paraId="7F89096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 Trading in OTFs has been fairly stable and concentrated in certain type of instruments throughout the application of MiFID II. How would you explain those findings? What in your view incentivizes market participants to trade on OTFs? How do you see the OTF landscape evolving in the near future?</w:t>
      </w:r>
    </w:p>
    <w:p w14:paraId="473AE3A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393D384B" w14:textId="77777777" w:rsidR="00C92E09" w:rsidRPr="00C92E09" w:rsidRDefault="00C92E09" w:rsidP="00C92E09">
      <w:pPr>
        <w:spacing w:after="160" w:line="259" w:lineRule="auto"/>
        <w:rPr>
          <w:rFonts w:ascii="Arial" w:eastAsia="Calibri" w:hAnsi="Arial" w:cs="Arial"/>
          <w:sz w:val="22"/>
          <w:szCs w:val="22"/>
          <w:lang w:eastAsia="en-US"/>
        </w:rPr>
      </w:pPr>
      <w:permStart w:id="1854082101" w:edGrp="everyone"/>
      <w:r w:rsidRPr="00C92E09">
        <w:rPr>
          <w:rFonts w:ascii="Arial" w:eastAsia="Calibri" w:hAnsi="Arial" w:cs="Arial"/>
          <w:sz w:val="22"/>
          <w:szCs w:val="22"/>
          <w:lang w:eastAsia="en-US"/>
        </w:rPr>
        <w:t>TYPE YOUR TEXT HERE</w:t>
      </w:r>
    </w:p>
    <w:permEnd w:id="1854082101"/>
    <w:p w14:paraId="7CA563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&lt;ESMA_QUESTION_FOTF_2&gt;</w:t>
      </w:r>
    </w:p>
    <w:p w14:paraId="6FF723EE" w14:textId="77777777" w:rsidR="00C92E09" w:rsidRPr="00C92E09" w:rsidRDefault="00C92E09" w:rsidP="00C92E09">
      <w:pPr>
        <w:spacing w:after="160" w:line="259" w:lineRule="auto"/>
        <w:rPr>
          <w:rFonts w:ascii="Arial" w:eastAsia="Calibri" w:hAnsi="Arial" w:cs="Arial"/>
          <w:sz w:val="22"/>
          <w:szCs w:val="22"/>
          <w:lang w:eastAsia="en-US"/>
        </w:rPr>
      </w:pPr>
    </w:p>
    <w:p w14:paraId="772A6183"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2FEBC8C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0DF86FFE" w14:textId="77777777" w:rsidR="008E073E" w:rsidRDefault="008E073E" w:rsidP="008E073E">
      <w:pPr>
        <w:rPr>
          <w:rFonts w:ascii="Arial" w:hAnsi="Arial" w:cs="Arial"/>
          <w:color w:val="004098"/>
        </w:rPr>
      </w:pPr>
      <w:permStart w:id="1801542831" w:edGrp="everyone"/>
      <w:r>
        <w:rPr>
          <w:rFonts w:ascii="Arial" w:hAnsi="Arial" w:cs="Arial"/>
          <w:color w:val="004098"/>
        </w:rPr>
        <w:t xml:space="preserve">We agree with ESMA’s proposal for the </w:t>
      </w:r>
      <w:proofErr w:type="gramStart"/>
      <w:r w:rsidRPr="00C3416B">
        <w:rPr>
          <w:rFonts w:ascii="Arial" w:hAnsi="Arial" w:cs="Arial"/>
          <w:color w:val="004098"/>
          <w:highlight w:val="yellow"/>
        </w:rPr>
        <w:t xml:space="preserve">requirement </w:t>
      </w:r>
      <w:r>
        <w:rPr>
          <w:rFonts w:ascii="Arial" w:hAnsi="Arial" w:cs="Arial"/>
          <w:color w:val="004098"/>
        </w:rPr>
        <w:t xml:space="preserve"> set</w:t>
      </w:r>
      <w:proofErr w:type="gramEnd"/>
      <w:r>
        <w:rPr>
          <w:rFonts w:ascii="Arial" w:hAnsi="Arial" w:cs="Arial"/>
          <w:color w:val="004098"/>
        </w:rPr>
        <w:t xml:space="preserve"> out in MiFID II in Article 1(7) to be moved into </w:t>
      </w:r>
      <w:proofErr w:type="spellStart"/>
      <w:r>
        <w:rPr>
          <w:rFonts w:ascii="Arial" w:hAnsi="Arial" w:cs="Arial"/>
          <w:color w:val="004098"/>
        </w:rPr>
        <w:t>MiFIR</w:t>
      </w:r>
      <w:proofErr w:type="spellEnd"/>
      <w:r>
        <w:rPr>
          <w:rFonts w:ascii="Arial" w:hAnsi="Arial" w:cs="Arial"/>
          <w:color w:val="004098"/>
        </w:rPr>
        <w:t xml:space="preserve">. However, we do not support the proposal for this </w:t>
      </w:r>
      <w:r w:rsidRPr="00C3416B">
        <w:rPr>
          <w:rFonts w:ascii="Arial" w:hAnsi="Arial" w:cs="Arial"/>
          <w:color w:val="004098"/>
          <w:highlight w:val="yellow"/>
        </w:rPr>
        <w:t xml:space="preserve">requirement </w:t>
      </w:r>
      <w:r>
        <w:rPr>
          <w:rFonts w:ascii="Arial" w:hAnsi="Arial" w:cs="Arial"/>
          <w:color w:val="004098"/>
        </w:rPr>
        <w:t xml:space="preserve">to be worded as a prohibition as this would risk overreach and unintended consequences. </w:t>
      </w:r>
    </w:p>
    <w:p w14:paraId="0EED163A" w14:textId="77777777" w:rsidR="008E073E" w:rsidRDefault="008E073E" w:rsidP="008E073E">
      <w:pPr>
        <w:rPr>
          <w:rFonts w:ascii="Arial" w:hAnsi="Arial" w:cs="Arial"/>
          <w:color w:val="004098"/>
        </w:rPr>
      </w:pPr>
    </w:p>
    <w:p w14:paraId="387A7654" w14:textId="16A47E99" w:rsidR="008E073E" w:rsidRPr="00BD20C6" w:rsidRDefault="008E073E" w:rsidP="008E073E">
      <w:pPr>
        <w:rPr>
          <w:rFonts w:ascii="Arial" w:hAnsi="Arial" w:cs="Arial"/>
          <w:color w:val="004098"/>
        </w:rPr>
      </w:pPr>
      <w:r>
        <w:rPr>
          <w:rFonts w:ascii="Arial" w:hAnsi="Arial" w:cs="Arial"/>
          <w:color w:val="004098"/>
        </w:rPr>
        <w:t xml:space="preserve">The proposed change to Level 1 would be too broad and </w:t>
      </w:r>
      <w:r w:rsidRPr="0024418E">
        <w:rPr>
          <w:rFonts w:ascii="Arial" w:hAnsi="Arial" w:cs="Arial"/>
          <w:color w:val="004098"/>
        </w:rPr>
        <w:t xml:space="preserve">could unintentionally capture </w:t>
      </w:r>
      <w:r>
        <w:rPr>
          <w:rFonts w:ascii="Arial" w:hAnsi="Arial" w:cs="Arial"/>
          <w:color w:val="004098"/>
        </w:rPr>
        <w:t xml:space="preserve">a range of </w:t>
      </w:r>
      <w:r w:rsidRPr="00BD20C6">
        <w:rPr>
          <w:rFonts w:ascii="Arial" w:hAnsi="Arial" w:cs="Arial"/>
          <w:color w:val="004098"/>
        </w:rPr>
        <w:t>financial technology providers</w:t>
      </w:r>
      <w:r w:rsidRPr="005D2DF4">
        <w:rPr>
          <w:rFonts w:ascii="Arial" w:hAnsi="Arial" w:cs="Arial"/>
          <w:color w:val="004098"/>
        </w:rPr>
        <w:t xml:space="preserve">, </w:t>
      </w:r>
      <w:r w:rsidRPr="00C3416B">
        <w:rPr>
          <w:rFonts w:ascii="Arial" w:hAnsi="Arial" w:cs="Arial"/>
          <w:color w:val="004098"/>
          <w:highlight w:val="yellow"/>
        </w:rPr>
        <w:t xml:space="preserve">such as order management systems, execution management systems </w:t>
      </w:r>
      <w:r w:rsidR="002866D3">
        <w:rPr>
          <w:rFonts w:ascii="Arial" w:hAnsi="Arial" w:cs="Arial"/>
          <w:color w:val="004098"/>
        </w:rPr>
        <w:t xml:space="preserve">and </w:t>
      </w:r>
      <w:r w:rsidRPr="00BD20C6">
        <w:rPr>
          <w:rFonts w:ascii="Arial" w:hAnsi="Arial" w:cs="Arial"/>
          <w:color w:val="004098"/>
        </w:rPr>
        <w:t>trade</w:t>
      </w:r>
      <w:r>
        <w:rPr>
          <w:rFonts w:ascii="Arial" w:hAnsi="Arial" w:cs="Arial"/>
          <w:color w:val="004098"/>
        </w:rPr>
        <w:t xml:space="preserve"> and </w:t>
      </w:r>
      <w:r w:rsidRPr="00C3416B">
        <w:rPr>
          <w:rFonts w:ascii="Arial" w:hAnsi="Arial" w:cs="Arial"/>
          <w:color w:val="004098"/>
          <w:highlight w:val="yellow"/>
        </w:rPr>
        <w:t>quote</w:t>
      </w:r>
      <w:r w:rsidRPr="00BD20C6">
        <w:rPr>
          <w:rFonts w:ascii="Arial" w:hAnsi="Arial" w:cs="Arial"/>
          <w:color w:val="004098"/>
        </w:rPr>
        <w:t xml:space="preserve"> generation systems.</w:t>
      </w:r>
      <w:r>
        <w:rPr>
          <w:rFonts w:ascii="Arial" w:hAnsi="Arial" w:cs="Arial"/>
          <w:color w:val="004098"/>
        </w:rPr>
        <w:t xml:space="preserve"> Such services would either have to reconfigure their business models t</w:t>
      </w:r>
      <w:r w:rsidRPr="00BD20C6">
        <w:rPr>
          <w:rFonts w:ascii="Arial" w:hAnsi="Arial" w:cs="Arial"/>
          <w:color w:val="004098"/>
        </w:rPr>
        <w:t xml:space="preserve">o fit the definition of trading venues </w:t>
      </w:r>
      <w:r>
        <w:rPr>
          <w:rFonts w:ascii="Arial" w:hAnsi="Arial" w:cs="Arial"/>
          <w:color w:val="004098"/>
        </w:rPr>
        <w:t xml:space="preserve">or they would have to stop </w:t>
      </w:r>
      <w:r w:rsidRPr="00BD20C6">
        <w:rPr>
          <w:rFonts w:ascii="Arial" w:hAnsi="Arial" w:cs="Arial"/>
          <w:color w:val="004098"/>
        </w:rPr>
        <w:t>providing their services.</w:t>
      </w:r>
    </w:p>
    <w:p w14:paraId="4D1A4464" w14:textId="77777777" w:rsidR="008E073E" w:rsidRPr="00BD20C6" w:rsidRDefault="008E073E" w:rsidP="008E073E">
      <w:pPr>
        <w:rPr>
          <w:rFonts w:ascii="Arial" w:hAnsi="Arial" w:cs="Arial"/>
          <w:color w:val="004098"/>
        </w:rPr>
      </w:pPr>
    </w:p>
    <w:p w14:paraId="0381C985" w14:textId="2751AFC3" w:rsidR="00C92E09" w:rsidRPr="008E073E" w:rsidRDefault="008E073E" w:rsidP="008E073E">
      <w:pPr>
        <w:rPr>
          <w:rFonts w:ascii="Arial" w:hAnsi="Arial" w:cs="Arial"/>
          <w:color w:val="004098"/>
        </w:rPr>
      </w:pPr>
      <w:r w:rsidRPr="009E2E08">
        <w:rPr>
          <w:rFonts w:ascii="Arial" w:hAnsi="Arial" w:cs="Arial"/>
          <w:color w:val="004098"/>
        </w:rPr>
        <w:t>Furthermore,</w:t>
      </w:r>
      <w:r>
        <w:rPr>
          <w:rFonts w:ascii="Arial" w:hAnsi="Arial" w:cs="Arial"/>
          <w:color w:val="004098"/>
        </w:rPr>
        <w:t xml:space="preserve"> </w:t>
      </w:r>
      <w:r w:rsidRPr="009E2E08">
        <w:rPr>
          <w:rFonts w:ascii="Arial" w:hAnsi="Arial" w:cs="Arial"/>
          <w:color w:val="004098"/>
        </w:rPr>
        <w:t xml:space="preserve">if the current proposal proceeds, we strongly believe that ESMA would have to become deeply involved in technical discussions defining the nature </w:t>
      </w:r>
      <w:r>
        <w:rPr>
          <w:rFonts w:ascii="Arial" w:hAnsi="Arial" w:cs="Arial"/>
          <w:color w:val="004098"/>
        </w:rPr>
        <w:t>of technology platforms on case-by-</w:t>
      </w:r>
      <w:r w:rsidRPr="009E2E08">
        <w:rPr>
          <w:rFonts w:ascii="Arial" w:hAnsi="Arial" w:cs="Arial"/>
          <w:color w:val="004098"/>
        </w:rPr>
        <w:t>case basis, such that ESMA would have to be the arbiter of wh</w:t>
      </w:r>
      <w:r>
        <w:rPr>
          <w:rFonts w:ascii="Arial" w:hAnsi="Arial" w:cs="Arial"/>
          <w:color w:val="004098"/>
        </w:rPr>
        <w:t>ich providers meet the criteria</w:t>
      </w:r>
      <w:r w:rsidRPr="00BD20C6">
        <w:rPr>
          <w:rFonts w:ascii="Arial" w:hAnsi="Arial" w:cs="Arial"/>
          <w:color w:val="004098"/>
        </w:rPr>
        <w:t>.</w:t>
      </w:r>
      <w:r w:rsidRPr="00134A51">
        <w:t xml:space="preserve"> </w:t>
      </w:r>
      <w:r w:rsidRPr="00134A51">
        <w:rPr>
          <w:rFonts w:ascii="Arial" w:hAnsi="Arial" w:cs="Arial"/>
          <w:color w:val="004098"/>
        </w:rPr>
        <w:t>We do not consider that ESMA’s role should change to that of a busi</w:t>
      </w:r>
      <w:r>
        <w:rPr>
          <w:rFonts w:ascii="Arial" w:hAnsi="Arial" w:cs="Arial"/>
          <w:color w:val="004098"/>
        </w:rPr>
        <w:t>ness consultant to financial technology providers. Indeed, w</w:t>
      </w:r>
      <w:r w:rsidRPr="005E7CC5">
        <w:rPr>
          <w:rFonts w:ascii="Arial" w:hAnsi="Arial" w:cs="Arial"/>
          <w:color w:val="004098"/>
        </w:rPr>
        <w:t xml:space="preserve">e would argue that </w:t>
      </w:r>
      <w:r>
        <w:rPr>
          <w:rFonts w:ascii="Arial" w:hAnsi="Arial" w:cs="Arial"/>
          <w:color w:val="004098"/>
        </w:rPr>
        <w:t>this would go</w:t>
      </w:r>
      <w:r w:rsidRPr="005E7CC5">
        <w:rPr>
          <w:rFonts w:ascii="Arial" w:hAnsi="Arial" w:cs="Arial"/>
          <w:color w:val="004098"/>
        </w:rPr>
        <w:t xml:space="preserve"> beyond the perimeter of the supervisory responsibilities of ESMA</w:t>
      </w:r>
      <w:r w:rsidRPr="00134A51">
        <w:rPr>
          <w:rFonts w:ascii="Arial" w:hAnsi="Arial" w:cs="Arial"/>
          <w:color w:val="004098"/>
        </w:rPr>
        <w:t>.</w:t>
      </w:r>
      <w:r>
        <w:rPr>
          <w:rFonts w:ascii="Arial" w:hAnsi="Arial" w:cs="Arial"/>
          <w:color w:val="004098"/>
        </w:rPr>
        <w:t xml:space="preserve"> It would likely also expose </w:t>
      </w:r>
      <w:r w:rsidRPr="00BD20C6">
        <w:rPr>
          <w:rFonts w:ascii="Arial" w:hAnsi="Arial" w:cs="Arial"/>
          <w:color w:val="004098"/>
        </w:rPr>
        <w:t xml:space="preserve">ESMA </w:t>
      </w:r>
      <w:r>
        <w:rPr>
          <w:rFonts w:ascii="Arial" w:hAnsi="Arial" w:cs="Arial"/>
          <w:color w:val="004098"/>
        </w:rPr>
        <w:t xml:space="preserve">to legal challenge as a result of the inevitable competitive implications that can be expected where ESMA would make any determination. </w:t>
      </w:r>
    </w:p>
    <w:permEnd w:id="1801542831"/>
    <w:p w14:paraId="251C9D47"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&lt;ESMA_QUESTION_FOTF_3&gt;</w:t>
      </w:r>
    </w:p>
    <w:p w14:paraId="55CA7BD7" w14:textId="77777777" w:rsidR="00C92E09" w:rsidRPr="00C92E09" w:rsidRDefault="00C92E09" w:rsidP="00C92E09">
      <w:pPr>
        <w:spacing w:after="160" w:line="259" w:lineRule="auto"/>
        <w:rPr>
          <w:rFonts w:ascii="Arial" w:eastAsia="Calibri" w:hAnsi="Arial" w:cs="Arial"/>
          <w:sz w:val="22"/>
          <w:szCs w:val="22"/>
          <w:lang w:eastAsia="en-US"/>
        </w:rPr>
      </w:pPr>
    </w:p>
    <w:p w14:paraId="53FDD92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Q4: Do you agree with ESMA’s two-step approach? If not, which alternative should ESMA consider?</w:t>
      </w:r>
    </w:p>
    <w:p w14:paraId="4C804BD0"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3C88F234" w14:textId="4CE85187" w:rsidR="008E073E" w:rsidRDefault="008E073E" w:rsidP="008E073E">
      <w:pPr>
        <w:rPr>
          <w:rFonts w:ascii="Arial" w:hAnsi="Arial" w:cs="Arial"/>
          <w:color w:val="004098"/>
        </w:rPr>
      </w:pPr>
      <w:permStart w:id="512113161" w:edGrp="everyone"/>
      <w:r>
        <w:rPr>
          <w:rFonts w:ascii="Arial" w:hAnsi="Arial" w:cs="Arial"/>
          <w:color w:val="004098"/>
        </w:rPr>
        <w:t>We do not agree with the proposal to further clarify the conditions under which a facility should request authorisation as a trading venue via an ESMA Opinion.</w:t>
      </w:r>
    </w:p>
    <w:p w14:paraId="6CC07C13" w14:textId="77777777" w:rsidR="008E073E" w:rsidRDefault="008E073E" w:rsidP="008E073E">
      <w:pPr>
        <w:rPr>
          <w:rFonts w:ascii="Arial" w:hAnsi="Arial" w:cs="Arial"/>
          <w:color w:val="004098"/>
        </w:rPr>
      </w:pPr>
    </w:p>
    <w:p w14:paraId="2F64C4D0" w14:textId="249C7DBB" w:rsidR="008E073E" w:rsidRDefault="008E073E" w:rsidP="008E073E">
      <w:pPr>
        <w:rPr>
          <w:rFonts w:ascii="Arial" w:hAnsi="Arial" w:cs="Arial"/>
          <w:color w:val="004098"/>
        </w:rPr>
      </w:pPr>
      <w:r>
        <w:rPr>
          <w:rFonts w:ascii="Arial" w:hAnsi="Arial" w:cs="Arial"/>
          <w:color w:val="004098"/>
        </w:rPr>
        <w:t xml:space="preserve">Opinions (and </w:t>
      </w:r>
      <w:r w:rsidRPr="00215A10">
        <w:rPr>
          <w:rFonts w:ascii="Arial" w:hAnsi="Arial" w:cs="Arial"/>
          <w:color w:val="004098"/>
        </w:rPr>
        <w:t>Level 3 measures</w:t>
      </w:r>
      <w:r>
        <w:rPr>
          <w:rFonts w:ascii="Arial" w:hAnsi="Arial" w:cs="Arial"/>
          <w:color w:val="004098"/>
        </w:rPr>
        <w:t>)</w:t>
      </w:r>
      <w:r w:rsidRPr="00215A10">
        <w:rPr>
          <w:rFonts w:ascii="Arial" w:hAnsi="Arial" w:cs="Arial"/>
          <w:color w:val="004098"/>
        </w:rPr>
        <w:t xml:space="preserve"> sh</w:t>
      </w:r>
      <w:r>
        <w:rPr>
          <w:rFonts w:ascii="Arial" w:hAnsi="Arial" w:cs="Arial"/>
          <w:color w:val="004098"/>
        </w:rPr>
        <w:t>ould be reserved for edge cases. They shou</w:t>
      </w:r>
      <w:r w:rsidR="002866D3">
        <w:rPr>
          <w:rFonts w:ascii="Arial" w:hAnsi="Arial" w:cs="Arial"/>
          <w:color w:val="004098"/>
        </w:rPr>
        <w:t xml:space="preserve">ld not risk redefining Level 1 </w:t>
      </w:r>
      <w:r>
        <w:rPr>
          <w:rFonts w:ascii="Arial" w:hAnsi="Arial" w:cs="Arial"/>
          <w:color w:val="004098"/>
        </w:rPr>
        <w:t xml:space="preserve">and impinging on the prerogative of the co-legislators.  </w:t>
      </w:r>
    </w:p>
    <w:p w14:paraId="47DF2638" w14:textId="77777777" w:rsidR="008E073E" w:rsidRDefault="008E073E" w:rsidP="008E073E">
      <w:pPr>
        <w:rPr>
          <w:rFonts w:ascii="Arial" w:hAnsi="Arial" w:cs="Arial"/>
          <w:color w:val="004098"/>
        </w:rPr>
      </w:pPr>
    </w:p>
    <w:p w14:paraId="56CA1732" w14:textId="77777777" w:rsidR="008E073E" w:rsidRDefault="008E073E" w:rsidP="008E073E">
      <w:pPr>
        <w:rPr>
          <w:rFonts w:ascii="Arial" w:hAnsi="Arial" w:cs="Arial"/>
          <w:color w:val="004098"/>
        </w:rPr>
      </w:pPr>
      <w:r>
        <w:rPr>
          <w:rFonts w:ascii="Arial" w:hAnsi="Arial" w:cs="Arial"/>
          <w:color w:val="004098"/>
        </w:rPr>
        <w:t xml:space="preserve">Furthermore, an Opinion does not give market participants sufficient opportunity to contribute to the process in the same way as a proposed RTS change accompanied by a public consultation. </w:t>
      </w:r>
    </w:p>
    <w:permEnd w:id="512113161"/>
    <w:p w14:paraId="419E41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&lt;ESMA_QUESTION_FOTF_4&gt;</w:t>
      </w:r>
    </w:p>
    <w:p w14:paraId="6F4FEE87" w14:textId="77777777" w:rsidR="00C92E09" w:rsidRPr="00C92E09" w:rsidRDefault="00C92E09" w:rsidP="00C92E09">
      <w:pPr>
        <w:spacing w:after="160" w:line="259" w:lineRule="auto"/>
        <w:rPr>
          <w:rFonts w:ascii="Arial" w:eastAsia="Calibri" w:hAnsi="Arial" w:cs="Arial"/>
          <w:sz w:val="22"/>
          <w:szCs w:val="22"/>
          <w:lang w:eastAsia="en-US"/>
        </w:rPr>
      </w:pPr>
    </w:p>
    <w:p w14:paraId="687E97B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Q5: Do you agree with ESMA’s proposal not to amend the OTF </w:t>
      </w:r>
      <w:proofErr w:type="spellStart"/>
      <w:r w:rsidRPr="00C92E09">
        <w:rPr>
          <w:rFonts w:ascii="Arial" w:hAnsi="Arial" w:cs="Arial"/>
          <w:b/>
          <w:sz w:val="22"/>
          <w:szCs w:val="22"/>
          <w:lang w:val="en-US" w:eastAsia="en-US"/>
        </w:rPr>
        <w:t>authorisation</w:t>
      </w:r>
      <w:proofErr w:type="spellEnd"/>
      <w:r w:rsidRPr="00C92E09">
        <w:rPr>
          <w:rFonts w:ascii="Arial" w:hAnsi="Arial" w:cs="Arial"/>
          <w:b/>
          <w:sz w:val="22"/>
          <w:szCs w:val="22"/>
          <w:lang w:val="en-US" w:eastAsia="en-US"/>
        </w:rPr>
        <w:t xml:space="preserve"> regime and not to exempt smaller entities? If not, based on which criteria should those smaller entities potentially subject to an OTF exemption be identified? </w:t>
      </w:r>
    </w:p>
    <w:p w14:paraId="5B8E5BC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7F64ED5C" w14:textId="23D25625" w:rsidR="00C92E09" w:rsidRPr="008E073E" w:rsidRDefault="008E073E" w:rsidP="008E073E">
      <w:pPr>
        <w:rPr>
          <w:rFonts w:ascii="Arial" w:hAnsi="Arial" w:cs="Arial"/>
          <w:color w:val="000000"/>
        </w:rPr>
      </w:pPr>
      <w:permStart w:id="145175905" w:edGrp="everyone"/>
      <w:r>
        <w:rPr>
          <w:rFonts w:ascii="Arial" w:hAnsi="Arial" w:cs="Arial"/>
          <w:color w:val="004098"/>
        </w:rPr>
        <w:t xml:space="preserve">We agree with ESMA’s proposal and support its effort to maintain a level playing field. </w:t>
      </w:r>
    </w:p>
    <w:permEnd w:id="145175905"/>
    <w:p w14:paraId="5DF2E878"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&lt;ESMA_QUESTION_FOTF_5&gt;</w:t>
      </w:r>
    </w:p>
    <w:p w14:paraId="4ACD1BC9" w14:textId="77777777" w:rsidR="00C92E09" w:rsidRPr="00C92E09" w:rsidRDefault="00C92E09" w:rsidP="00C92E09">
      <w:pPr>
        <w:spacing w:after="160" w:line="259" w:lineRule="auto"/>
        <w:rPr>
          <w:rFonts w:ascii="Arial" w:eastAsia="Calibri" w:hAnsi="Arial" w:cs="Arial"/>
          <w:sz w:val="22"/>
          <w:szCs w:val="22"/>
          <w:lang w:eastAsia="en-US"/>
        </w:rPr>
      </w:pPr>
    </w:p>
    <w:p w14:paraId="39AFBFD8"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Q6: Which provisions applicable to OTFs are particularly burdensome to apply for less sophisticated firms? Which Level 1 or Level 2 amendments would alleviate this regulatory burden without </w:t>
      </w:r>
      <w:proofErr w:type="spellStart"/>
      <w:r w:rsidRPr="00C92E09">
        <w:rPr>
          <w:rFonts w:ascii="Arial" w:hAnsi="Arial" w:cs="Arial"/>
          <w:b/>
          <w:sz w:val="22"/>
          <w:szCs w:val="22"/>
          <w:lang w:val="en-US" w:eastAsia="en-US"/>
        </w:rPr>
        <w:t>jeopardising</w:t>
      </w:r>
      <w:proofErr w:type="spellEnd"/>
      <w:r w:rsidRPr="00C92E09">
        <w:rPr>
          <w:rFonts w:ascii="Arial" w:hAnsi="Arial" w:cs="Arial"/>
          <w:b/>
          <w:sz w:val="22"/>
          <w:szCs w:val="22"/>
          <w:lang w:val="en-US" w:eastAsia="en-US"/>
        </w:rPr>
        <w:t xml:space="preserve"> the level playing field between OTFs and the convergent application of MiFID II/</w:t>
      </w:r>
      <w:proofErr w:type="spellStart"/>
      <w:r w:rsidRPr="00C92E09">
        <w:rPr>
          <w:rFonts w:ascii="Arial" w:hAnsi="Arial" w:cs="Arial"/>
          <w:b/>
          <w:sz w:val="22"/>
          <w:szCs w:val="22"/>
          <w:lang w:val="en-US" w:eastAsia="en-US"/>
        </w:rPr>
        <w:t>MiFIR</w:t>
      </w:r>
      <w:proofErr w:type="spellEnd"/>
      <w:r w:rsidRPr="00C92E09">
        <w:rPr>
          <w:rFonts w:ascii="Arial" w:hAnsi="Arial" w:cs="Arial"/>
          <w:b/>
          <w:sz w:val="22"/>
          <w:szCs w:val="22"/>
          <w:lang w:val="en-US" w:eastAsia="en-US"/>
        </w:rPr>
        <w:t xml:space="preserve"> rules in the EU?</w:t>
      </w:r>
    </w:p>
    <w:p w14:paraId="265F826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91BA24F" w14:textId="77777777" w:rsidR="00C92E09" w:rsidRPr="00C92E09" w:rsidRDefault="00C92E09" w:rsidP="00C92E09">
      <w:pPr>
        <w:spacing w:after="160" w:line="259" w:lineRule="auto"/>
        <w:rPr>
          <w:rFonts w:ascii="Arial" w:eastAsia="Calibri" w:hAnsi="Arial" w:cs="Arial"/>
          <w:sz w:val="22"/>
          <w:szCs w:val="22"/>
          <w:lang w:eastAsia="en-US"/>
        </w:rPr>
      </w:pPr>
      <w:permStart w:id="570434045" w:edGrp="everyone"/>
      <w:r w:rsidRPr="00C92E09">
        <w:rPr>
          <w:rFonts w:ascii="Arial" w:eastAsia="Calibri" w:hAnsi="Arial" w:cs="Arial"/>
          <w:sz w:val="22"/>
          <w:szCs w:val="22"/>
          <w:lang w:eastAsia="en-US"/>
        </w:rPr>
        <w:t>TYPE YOUR TEXT HERE</w:t>
      </w:r>
    </w:p>
    <w:permEnd w:id="570434045"/>
    <w:p w14:paraId="742E7D3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&lt;ESMA_QUESTION_FOTF_6&gt;</w:t>
      </w:r>
    </w:p>
    <w:p w14:paraId="3685F8D3" w14:textId="77777777" w:rsidR="00C92E09" w:rsidRPr="00C92E09" w:rsidRDefault="00C92E09" w:rsidP="00C92E09">
      <w:pPr>
        <w:spacing w:after="160" w:line="259" w:lineRule="auto"/>
        <w:rPr>
          <w:rFonts w:ascii="Arial" w:eastAsia="Calibri" w:hAnsi="Arial" w:cs="Arial"/>
          <w:sz w:val="22"/>
          <w:szCs w:val="22"/>
          <w:lang w:eastAsia="en-US"/>
        </w:rPr>
      </w:pPr>
    </w:p>
    <w:p w14:paraId="4CA794B0"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53FFFC34"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535224E1" w14:textId="77777777" w:rsidR="008E073E" w:rsidRDefault="008E073E" w:rsidP="008E073E">
      <w:pPr>
        <w:rPr>
          <w:rFonts w:ascii="Arial" w:hAnsi="Arial" w:cs="Arial"/>
          <w:color w:val="004098"/>
        </w:rPr>
      </w:pPr>
      <w:permStart w:id="513218818" w:edGrp="everyone"/>
      <w:r>
        <w:rPr>
          <w:rFonts w:ascii="Arial" w:hAnsi="Arial" w:cs="Arial"/>
          <w:color w:val="004098"/>
        </w:rPr>
        <w:t xml:space="preserve">As stated in response to Q5, we strongly believe that Level 3 measures should be reserved for </w:t>
      </w:r>
      <w:r w:rsidRPr="00134A51">
        <w:rPr>
          <w:rFonts w:ascii="Arial" w:hAnsi="Arial" w:cs="Arial"/>
          <w:color w:val="004098"/>
        </w:rPr>
        <w:t>clarifying interpretative</w:t>
      </w:r>
      <w:r>
        <w:rPr>
          <w:rFonts w:ascii="Arial" w:hAnsi="Arial" w:cs="Arial"/>
          <w:color w:val="004098"/>
        </w:rPr>
        <w:t xml:space="preserve"> edge cases. The difference between the operation of an OTF (or other multilateral systems) and other investment services is </w:t>
      </w:r>
      <w:r>
        <w:rPr>
          <w:rFonts w:ascii="Arial" w:hAnsi="Arial" w:cs="Arial"/>
          <w:color w:val="004098"/>
        </w:rPr>
        <w:lastRenderedPageBreak/>
        <w:t xml:space="preserve">not an edge case. The requirement should be clear from Level 1, supported by additional detail in Level 2. </w:t>
      </w:r>
    </w:p>
    <w:p w14:paraId="115DA67B" w14:textId="77777777" w:rsidR="008E073E" w:rsidRDefault="008E073E" w:rsidP="008E073E">
      <w:pPr>
        <w:rPr>
          <w:rFonts w:ascii="Arial" w:hAnsi="Arial" w:cs="Arial"/>
          <w:color w:val="004098"/>
        </w:rPr>
      </w:pPr>
    </w:p>
    <w:p w14:paraId="1E7B2FAF" w14:textId="5F2491C3" w:rsidR="00C92E09" w:rsidRPr="008E073E" w:rsidRDefault="008E073E" w:rsidP="008E073E">
      <w:pPr>
        <w:rPr>
          <w:rFonts w:cs="Arial"/>
          <w:color w:val="0000FF"/>
          <w:sz w:val="22"/>
        </w:rPr>
      </w:pPr>
      <w:r>
        <w:rPr>
          <w:rFonts w:ascii="Arial" w:hAnsi="Arial" w:cs="Arial"/>
          <w:color w:val="004098"/>
        </w:rPr>
        <w:t xml:space="preserve">This would provide maximum legal and business certainty, allow market participants to contribute to the process via a public consultation </w:t>
      </w:r>
      <w:r w:rsidR="002866D3">
        <w:rPr>
          <w:rFonts w:ascii="Arial" w:hAnsi="Arial" w:cs="Arial"/>
          <w:color w:val="004098"/>
        </w:rPr>
        <w:t>(</w:t>
      </w:r>
      <w:r>
        <w:rPr>
          <w:rFonts w:ascii="Arial" w:hAnsi="Arial" w:cs="Arial"/>
          <w:color w:val="004098"/>
        </w:rPr>
        <w:t>where any change in interpretative approach is under consideration</w:t>
      </w:r>
      <w:r w:rsidR="002866D3">
        <w:rPr>
          <w:rFonts w:ascii="Arial" w:hAnsi="Arial" w:cs="Arial"/>
          <w:color w:val="004098"/>
        </w:rPr>
        <w:t>)</w:t>
      </w:r>
      <w:r>
        <w:rPr>
          <w:rFonts w:ascii="Arial" w:hAnsi="Arial" w:cs="Arial"/>
          <w:color w:val="004098"/>
        </w:rPr>
        <w:t xml:space="preserve"> </w:t>
      </w:r>
      <w:r w:rsidRPr="00134A51">
        <w:rPr>
          <w:rFonts w:ascii="Arial" w:hAnsi="Arial" w:cs="Arial"/>
          <w:color w:val="004098"/>
        </w:rPr>
        <w:t xml:space="preserve">and also allow the </w:t>
      </w:r>
      <w:r w:rsidR="002866D3">
        <w:rPr>
          <w:rFonts w:ascii="Arial" w:hAnsi="Arial" w:cs="Arial"/>
          <w:color w:val="004098"/>
        </w:rPr>
        <w:t xml:space="preserve">European </w:t>
      </w:r>
      <w:r w:rsidRPr="00134A51">
        <w:rPr>
          <w:rFonts w:ascii="Arial" w:hAnsi="Arial" w:cs="Arial"/>
          <w:color w:val="004098"/>
        </w:rPr>
        <w:t xml:space="preserve">Commission and co-legislators to exercise </w:t>
      </w:r>
      <w:r w:rsidR="002866D3">
        <w:rPr>
          <w:rFonts w:ascii="Arial" w:hAnsi="Arial" w:cs="Arial"/>
          <w:color w:val="004098"/>
        </w:rPr>
        <w:t>their endorsement and scrutiny rights respectively</w:t>
      </w:r>
      <w:r w:rsidRPr="00134A51">
        <w:rPr>
          <w:rFonts w:ascii="Arial" w:hAnsi="Arial" w:cs="Arial"/>
          <w:color w:val="004098"/>
        </w:rPr>
        <w:t>.</w:t>
      </w:r>
      <w:r w:rsidRPr="00A74A10">
        <w:rPr>
          <w:rFonts w:cs="Arial"/>
          <w:color w:val="0000FF"/>
          <w:sz w:val="22"/>
        </w:rPr>
        <w:t xml:space="preserve"> </w:t>
      </w:r>
    </w:p>
    <w:permEnd w:id="513218818"/>
    <w:p w14:paraId="76E1096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&lt;ESMA_QUESTION_FOTF_7&gt;</w:t>
      </w:r>
    </w:p>
    <w:p w14:paraId="3233143B" w14:textId="77777777" w:rsidR="00C92E09" w:rsidRPr="00C92E09" w:rsidRDefault="00C92E09" w:rsidP="00C92E09">
      <w:pPr>
        <w:spacing w:after="160" w:line="259" w:lineRule="auto"/>
        <w:rPr>
          <w:rFonts w:ascii="Arial" w:eastAsia="Calibri" w:hAnsi="Arial" w:cs="Arial"/>
          <w:sz w:val="22"/>
          <w:szCs w:val="22"/>
          <w:lang w:eastAsia="en-US"/>
        </w:rPr>
      </w:pPr>
    </w:p>
    <w:p w14:paraId="6C9BE47C"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Q8: Do you consider that there are networks of SIs currently operating in such a way that it would in your view qualify as a multilateral system? Please give concrete examples.</w:t>
      </w:r>
    </w:p>
    <w:p w14:paraId="33996D1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1FFA277A" w14:textId="38973244" w:rsidR="00C92E09" w:rsidRPr="00C92E09" w:rsidRDefault="008E073E" w:rsidP="00C92E09">
      <w:pPr>
        <w:spacing w:after="160" w:line="259" w:lineRule="auto"/>
        <w:rPr>
          <w:rFonts w:ascii="Arial" w:eastAsia="Calibri" w:hAnsi="Arial" w:cs="Arial"/>
          <w:sz w:val="22"/>
          <w:szCs w:val="22"/>
          <w:lang w:eastAsia="en-US"/>
        </w:rPr>
      </w:pPr>
      <w:permStart w:id="1036202595" w:edGrp="everyone"/>
      <w:r>
        <w:rPr>
          <w:rFonts w:ascii="Arial" w:hAnsi="Arial" w:cs="Arial"/>
          <w:color w:val="004098"/>
        </w:rPr>
        <w:t>We support ESMA’s view that any arrangements operating without proper authorisation under MiFID II should be subject to NCA supervisory measures</w:t>
      </w:r>
      <w:r w:rsidR="002866D3">
        <w:rPr>
          <w:rFonts w:ascii="Arial" w:hAnsi="Arial" w:cs="Arial"/>
          <w:color w:val="004098"/>
        </w:rPr>
        <w:t>.</w:t>
      </w:r>
    </w:p>
    <w:permEnd w:id="1036202595"/>
    <w:p w14:paraId="5AC9484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&lt;ESMA_QUESTION_FOTF_8&gt;</w:t>
      </w:r>
    </w:p>
    <w:p w14:paraId="76E717F8" w14:textId="77777777" w:rsidR="00C92E09" w:rsidRPr="00C92E09" w:rsidRDefault="00C92E09" w:rsidP="00C92E09">
      <w:pPr>
        <w:spacing w:after="160" w:line="259" w:lineRule="auto"/>
        <w:rPr>
          <w:rFonts w:ascii="Arial" w:eastAsia="Calibri" w:hAnsi="Arial" w:cs="Arial"/>
          <w:sz w:val="22"/>
          <w:szCs w:val="22"/>
          <w:lang w:eastAsia="en-US"/>
        </w:rPr>
      </w:pPr>
    </w:p>
    <w:p w14:paraId="1A8F842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Q9: Do you agree that the line differentiating bilateral and multilateral trading in the context of SIs is sufficiently clear? Do you think there should be a Level 1 amendment?</w:t>
      </w:r>
    </w:p>
    <w:p w14:paraId="0ECE683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F811D30" w14:textId="77777777" w:rsidR="00C92E09" w:rsidRPr="00C92E09" w:rsidRDefault="00C92E09" w:rsidP="00C92E09">
      <w:pPr>
        <w:spacing w:after="160" w:line="259" w:lineRule="auto"/>
        <w:rPr>
          <w:rFonts w:ascii="Arial" w:eastAsia="Calibri" w:hAnsi="Arial" w:cs="Arial"/>
          <w:sz w:val="22"/>
          <w:szCs w:val="22"/>
          <w:lang w:eastAsia="en-US"/>
        </w:rPr>
      </w:pPr>
      <w:permStart w:id="1365582167" w:edGrp="everyone"/>
      <w:r w:rsidRPr="00C92E09">
        <w:rPr>
          <w:rFonts w:ascii="Arial" w:eastAsia="Calibri" w:hAnsi="Arial" w:cs="Arial"/>
          <w:sz w:val="22"/>
          <w:szCs w:val="22"/>
          <w:lang w:eastAsia="en-US"/>
        </w:rPr>
        <w:t>TYPE YOUR TEXT HERE</w:t>
      </w:r>
    </w:p>
    <w:permEnd w:id="1365582167"/>
    <w:p w14:paraId="3749830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&lt;ESMA_QUESTION_FOTF_9&gt;</w:t>
      </w:r>
    </w:p>
    <w:p w14:paraId="1A351736" w14:textId="77777777" w:rsidR="00C92E09" w:rsidRPr="00C92E09" w:rsidRDefault="00C92E09" w:rsidP="00C92E09">
      <w:pPr>
        <w:spacing w:after="160" w:line="259" w:lineRule="auto"/>
        <w:rPr>
          <w:rFonts w:ascii="Arial" w:eastAsia="Calibri" w:hAnsi="Arial" w:cs="Arial"/>
          <w:sz w:val="22"/>
          <w:szCs w:val="22"/>
          <w:lang w:eastAsia="en-US"/>
        </w:rPr>
      </w:pPr>
    </w:p>
    <w:p w14:paraId="01C840C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Q10: What are the main characteristics of software providers and how to </w:t>
      </w:r>
      <w:proofErr w:type="spellStart"/>
      <w:r w:rsidRPr="00C92E09">
        <w:rPr>
          <w:rFonts w:ascii="Arial" w:hAnsi="Arial" w:cs="Arial"/>
          <w:b/>
          <w:sz w:val="22"/>
          <w:szCs w:val="22"/>
          <w:lang w:val="en-US" w:eastAsia="en-US"/>
        </w:rPr>
        <w:t>categorise</w:t>
      </w:r>
      <w:proofErr w:type="spellEnd"/>
      <w:r w:rsidRPr="00C92E09">
        <w:rPr>
          <w:rFonts w:ascii="Arial" w:hAnsi="Arial" w:cs="Arial"/>
          <w:b/>
          <w:sz w:val="22"/>
          <w:szCs w:val="22"/>
          <w:lang w:val="en-US" w:eastAsia="en-US"/>
        </w:rPr>
        <w:t xml:space="preserve"> them? Amongst these business models of software providers, which are those that in your view constitute a multilateral system and should be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as such?</w:t>
      </w:r>
    </w:p>
    <w:p w14:paraId="7A698A59"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028F9E65" w14:textId="77777777" w:rsidR="008E073E" w:rsidRDefault="008E073E" w:rsidP="008E073E">
      <w:pPr>
        <w:rPr>
          <w:rFonts w:ascii="Arial" w:hAnsi="Arial" w:cs="Arial"/>
          <w:color w:val="004098"/>
        </w:rPr>
      </w:pPr>
      <w:permStart w:id="1941981821" w:edGrp="everyone"/>
      <w:r w:rsidRPr="006B0529">
        <w:rPr>
          <w:rFonts w:ascii="Arial" w:hAnsi="Arial" w:cs="Arial"/>
          <w:color w:val="004098"/>
        </w:rPr>
        <w:t xml:space="preserve">We welcome ESMA highlighting concerns about firms operating de-facto multilateral systems without being authorised as trading venues, and hence being subject to the relevant MiFID provisions. A key objective of MIFID was to increase transparency, but there is an enforcement/perimeter issue where software providers are </w:t>
      </w:r>
      <w:r w:rsidRPr="001407CC">
        <w:rPr>
          <w:rFonts w:ascii="Arial" w:hAnsi="Arial" w:cs="Arial"/>
          <w:color w:val="004098"/>
          <w:highlight w:val="yellow"/>
        </w:rPr>
        <w:t xml:space="preserve">operating systems where multiple third-party interests interact </w:t>
      </w:r>
      <w:r w:rsidRPr="006B0529">
        <w:rPr>
          <w:rFonts w:ascii="Arial" w:hAnsi="Arial" w:cs="Arial"/>
          <w:color w:val="004098"/>
        </w:rPr>
        <w:t xml:space="preserve">that result in off-venue transactions. </w:t>
      </w:r>
    </w:p>
    <w:p w14:paraId="5ABC3712" w14:textId="77777777" w:rsidR="008E073E" w:rsidRDefault="008E073E" w:rsidP="008E073E">
      <w:pPr>
        <w:rPr>
          <w:rFonts w:ascii="Arial" w:hAnsi="Arial" w:cs="Arial"/>
          <w:color w:val="004098"/>
        </w:rPr>
      </w:pPr>
    </w:p>
    <w:p w14:paraId="01999818" w14:textId="77777777" w:rsidR="008E073E" w:rsidRDefault="008E073E" w:rsidP="008E073E">
      <w:pPr>
        <w:rPr>
          <w:rFonts w:ascii="Arial" w:hAnsi="Arial" w:cs="Arial"/>
          <w:color w:val="004098"/>
        </w:rPr>
      </w:pPr>
      <w:r>
        <w:rPr>
          <w:rFonts w:ascii="Arial" w:hAnsi="Arial" w:cs="Arial"/>
          <w:color w:val="004098"/>
        </w:rPr>
        <w:t>Nevertheless, we would concur with ESMA that there are not major shortcomings in MiFID II/</w:t>
      </w:r>
      <w:proofErr w:type="spellStart"/>
      <w:r>
        <w:rPr>
          <w:rFonts w:ascii="Arial" w:hAnsi="Arial" w:cs="Arial"/>
          <w:color w:val="004098"/>
        </w:rPr>
        <w:t>MiFIR</w:t>
      </w:r>
      <w:proofErr w:type="spellEnd"/>
      <w:r>
        <w:rPr>
          <w:rFonts w:ascii="Arial" w:hAnsi="Arial" w:cs="Arial"/>
          <w:color w:val="004098"/>
        </w:rPr>
        <w:t xml:space="preserve"> itself. In reality, there are a very small number of firms (that are already well known to supervisors) who are de-facto operating multilateral systems without being authorised.</w:t>
      </w:r>
    </w:p>
    <w:p w14:paraId="7C6C8012" w14:textId="77777777" w:rsidR="008E073E" w:rsidRDefault="008E073E" w:rsidP="008E073E">
      <w:pPr>
        <w:rPr>
          <w:rFonts w:ascii="Arial" w:hAnsi="Arial" w:cs="Arial"/>
          <w:color w:val="004098"/>
        </w:rPr>
      </w:pPr>
    </w:p>
    <w:p w14:paraId="697A2AF3" w14:textId="77777777" w:rsidR="008E073E" w:rsidRPr="006B0529" w:rsidRDefault="008E073E" w:rsidP="008E073E">
      <w:pPr>
        <w:rPr>
          <w:rFonts w:ascii="Arial" w:hAnsi="Arial" w:cs="Arial"/>
          <w:color w:val="004098"/>
        </w:rPr>
      </w:pPr>
      <w:r w:rsidRPr="00D450EC">
        <w:rPr>
          <w:rFonts w:ascii="Arial" w:hAnsi="Arial" w:cs="Arial"/>
          <w:color w:val="004098"/>
        </w:rPr>
        <w:lastRenderedPageBreak/>
        <w:t xml:space="preserve">The solution to the identified policy gap should therefore </w:t>
      </w:r>
      <w:r>
        <w:rPr>
          <w:rFonts w:ascii="Arial" w:hAnsi="Arial" w:cs="Arial"/>
          <w:color w:val="004098"/>
        </w:rPr>
        <w:t>be proportionate. Any m</w:t>
      </w:r>
      <w:r w:rsidRPr="006B0529">
        <w:rPr>
          <w:rFonts w:ascii="Arial" w:hAnsi="Arial" w:cs="Arial"/>
          <w:color w:val="004098"/>
        </w:rPr>
        <w:t>odification to the legislation/enforcement action should address the policy objective, i.e. to capture where the resulting execution is off-venue.  The current ESMA proposal is too broad and extends the multilateral system definition to software provider</w:t>
      </w:r>
      <w:r>
        <w:rPr>
          <w:rFonts w:ascii="Arial" w:hAnsi="Arial" w:cs="Arial"/>
          <w:color w:val="004098"/>
        </w:rPr>
        <w:t>s</w:t>
      </w:r>
      <w:r w:rsidRPr="006B0529">
        <w:rPr>
          <w:rFonts w:ascii="Arial" w:hAnsi="Arial" w:cs="Arial"/>
          <w:color w:val="004098"/>
        </w:rPr>
        <w:t xml:space="preserve"> even where any execution takes place on a trading venue. This over-reach </w:t>
      </w:r>
      <w:r>
        <w:rPr>
          <w:rFonts w:ascii="Arial" w:hAnsi="Arial" w:cs="Arial"/>
          <w:color w:val="004098"/>
        </w:rPr>
        <w:t>would be</w:t>
      </w:r>
      <w:r w:rsidRPr="006B0529">
        <w:rPr>
          <w:rFonts w:ascii="Arial" w:hAnsi="Arial" w:cs="Arial"/>
          <w:color w:val="004098"/>
        </w:rPr>
        <w:t xml:space="preserve"> unduly rest</w:t>
      </w:r>
      <w:r>
        <w:rPr>
          <w:rFonts w:ascii="Arial" w:hAnsi="Arial" w:cs="Arial"/>
          <w:color w:val="004098"/>
        </w:rPr>
        <w:t xml:space="preserve">rictive and misaligned with </w:t>
      </w:r>
      <w:r w:rsidRPr="006B0529">
        <w:rPr>
          <w:rFonts w:ascii="Arial" w:hAnsi="Arial" w:cs="Arial"/>
          <w:color w:val="004098"/>
        </w:rPr>
        <w:t>addressing the policy gap (i.e. resulting executions taking place off-venue).  See overreach point at Q3 above.</w:t>
      </w:r>
    </w:p>
    <w:p w14:paraId="0ECE8DC3" w14:textId="77777777" w:rsidR="008E073E" w:rsidRPr="006B0529" w:rsidRDefault="008E073E" w:rsidP="008E073E">
      <w:pPr>
        <w:rPr>
          <w:rFonts w:ascii="Arial" w:hAnsi="Arial" w:cs="Arial"/>
          <w:color w:val="004098"/>
        </w:rPr>
      </w:pPr>
    </w:p>
    <w:p w14:paraId="3DED6ECC" w14:textId="56ED58FB" w:rsidR="00C92E09" w:rsidRPr="008E073E" w:rsidRDefault="002866D3" w:rsidP="008E073E">
      <w:pPr>
        <w:rPr>
          <w:rFonts w:ascii="Arial" w:hAnsi="Arial" w:cs="Arial"/>
          <w:color w:val="004098"/>
        </w:rPr>
      </w:pPr>
      <w:r>
        <w:rPr>
          <w:rFonts w:ascii="Arial" w:hAnsi="Arial" w:cs="Arial"/>
          <w:color w:val="004098"/>
        </w:rPr>
        <w:t xml:space="preserve">We </w:t>
      </w:r>
      <w:proofErr w:type="spellStart"/>
      <w:r>
        <w:rPr>
          <w:rFonts w:ascii="Arial" w:hAnsi="Arial" w:cs="Arial"/>
          <w:color w:val="004098"/>
        </w:rPr>
        <w:t>woold</w:t>
      </w:r>
      <w:proofErr w:type="spellEnd"/>
      <w:r>
        <w:rPr>
          <w:rFonts w:ascii="Arial" w:hAnsi="Arial" w:cs="Arial"/>
          <w:color w:val="004098"/>
        </w:rPr>
        <w:t xml:space="preserve"> note that s</w:t>
      </w:r>
      <w:r w:rsidR="008E073E">
        <w:rPr>
          <w:rFonts w:ascii="Arial" w:hAnsi="Arial" w:cs="Arial"/>
          <w:color w:val="004098"/>
        </w:rPr>
        <w:t>oftware providers that</w:t>
      </w:r>
      <w:r w:rsidR="008E073E" w:rsidRPr="00436D3C">
        <w:rPr>
          <w:rFonts w:ascii="Arial" w:hAnsi="Arial" w:cs="Arial"/>
          <w:color w:val="004098"/>
        </w:rPr>
        <w:t xml:space="preserve"> are providing a multilateral experience, without being authorised as a trading venue</w:t>
      </w:r>
      <w:r w:rsidR="008E073E">
        <w:rPr>
          <w:rFonts w:ascii="Arial" w:hAnsi="Arial" w:cs="Arial"/>
          <w:color w:val="004098"/>
        </w:rPr>
        <w:t xml:space="preserve">, </w:t>
      </w:r>
      <w:r w:rsidR="008E073E" w:rsidRPr="00976959">
        <w:rPr>
          <w:rFonts w:ascii="Arial" w:hAnsi="Arial" w:cs="Arial"/>
          <w:color w:val="004098"/>
        </w:rPr>
        <w:t xml:space="preserve">are not in a position to do so for classes of financial instruments that are subject to a Trading Obligation, e.g. IRS, CDS. Note that this extends beyond the universe of Trading Obligation instruments to the whole asset class as these software providers have no reasonably commercial product if they are only offering users a sub-set of the universe of instruments in an asset class, requiring users to bifurcate workflows and connect to multiple third parties in order to trade the asset class as a whole. Consequently, the scope of this issue </w:t>
      </w:r>
      <w:r w:rsidR="008E073E" w:rsidRPr="00FE1AB5">
        <w:rPr>
          <w:rFonts w:ascii="Arial" w:hAnsi="Arial" w:cs="Arial"/>
          <w:color w:val="004098"/>
        </w:rPr>
        <w:t xml:space="preserve">in fixed income markets </w:t>
      </w:r>
      <w:r w:rsidR="008E073E" w:rsidRPr="00976959">
        <w:rPr>
          <w:rFonts w:ascii="Arial" w:hAnsi="Arial" w:cs="Arial"/>
          <w:color w:val="004098"/>
        </w:rPr>
        <w:t>is primarily relevant to bonds.</w:t>
      </w:r>
    </w:p>
    <w:permEnd w:id="1941981821"/>
    <w:p w14:paraId="58C0594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&lt;ESMA_QUESTION_FOTF_10&gt;</w:t>
      </w:r>
    </w:p>
    <w:p w14:paraId="662D07F3" w14:textId="77777777" w:rsidR="00C92E09" w:rsidRPr="00C92E09" w:rsidRDefault="00C92E09" w:rsidP="00C92E09">
      <w:pPr>
        <w:spacing w:after="160" w:line="259" w:lineRule="auto"/>
        <w:rPr>
          <w:rFonts w:ascii="Arial" w:eastAsia="Calibri" w:hAnsi="Arial" w:cs="Arial"/>
          <w:sz w:val="22"/>
          <w:szCs w:val="22"/>
          <w:lang w:eastAsia="en-US"/>
        </w:rPr>
      </w:pPr>
    </w:p>
    <w:p w14:paraId="6896E05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Q11: Do you agree with the approach suggested by ESMA regarding software providers that pre-arranged transactions </w:t>
      </w:r>
      <w:proofErr w:type="spellStart"/>
      <w:r w:rsidRPr="00C92E09">
        <w:rPr>
          <w:rFonts w:ascii="Arial" w:hAnsi="Arial" w:cs="Arial"/>
          <w:b/>
          <w:sz w:val="22"/>
          <w:szCs w:val="22"/>
          <w:lang w:val="en-US" w:eastAsia="en-US"/>
        </w:rPr>
        <w:t>formalised</w:t>
      </w:r>
      <w:proofErr w:type="spellEnd"/>
      <w:r w:rsidRPr="00C92E09">
        <w:rPr>
          <w:rFonts w:ascii="Arial" w:hAnsi="Arial" w:cs="Arial"/>
          <w:b/>
          <w:sz w:val="22"/>
          <w:szCs w:val="22"/>
          <w:lang w:val="en-US" w:eastAsia="en-US"/>
        </w:rPr>
        <w:t xml:space="preserve"> on other </w:t>
      </w:r>
      <w:proofErr w:type="spellStart"/>
      <w:r w:rsidRPr="00C92E09">
        <w:rPr>
          <w:rFonts w:ascii="Arial" w:hAnsi="Arial" w:cs="Arial"/>
          <w:b/>
          <w:sz w:val="22"/>
          <w:szCs w:val="22"/>
          <w:lang w:val="en-US" w:eastAsia="en-US"/>
        </w:rPr>
        <w:t>authorised</w:t>
      </w:r>
      <w:proofErr w:type="spellEnd"/>
      <w:r w:rsidRPr="00C92E09">
        <w:rPr>
          <w:rFonts w:ascii="Arial" w:hAnsi="Arial" w:cs="Arial"/>
          <w:b/>
          <w:sz w:val="22"/>
          <w:szCs w:val="22"/>
          <w:lang w:val="en-US" w:eastAsia="en-US"/>
        </w:rPr>
        <w:t xml:space="preserve"> trading venues? Do you consider that this approach is sufficient to ensure a level playing field or do you think that ESMA should provide further clarifications or propose specific Level 1 amendments, and if so, which ones?</w:t>
      </w:r>
    </w:p>
    <w:p w14:paraId="7F29A5D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7BCB7447" w14:textId="5103FB1D" w:rsidR="00C92E09" w:rsidRPr="008E073E" w:rsidRDefault="008E073E" w:rsidP="008E073E">
      <w:pPr>
        <w:rPr>
          <w:rFonts w:ascii="Arial" w:hAnsi="Arial" w:cs="Arial"/>
          <w:color w:val="000000"/>
        </w:rPr>
      </w:pPr>
      <w:permStart w:id="1114264616" w:edGrp="everyone"/>
      <w:r>
        <w:rPr>
          <w:rFonts w:ascii="Arial" w:hAnsi="Arial" w:cs="Arial"/>
          <w:color w:val="004098"/>
        </w:rPr>
        <w:t xml:space="preserve">Please see our response to Q 10. </w:t>
      </w:r>
    </w:p>
    <w:permEnd w:id="1114264616"/>
    <w:p w14:paraId="4738C5E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&lt;ESMA_QUESTION_FOTF_11&gt;</w:t>
      </w:r>
    </w:p>
    <w:p w14:paraId="680CD701" w14:textId="77777777" w:rsidR="00C92E09" w:rsidRPr="00C92E09" w:rsidRDefault="00C92E09" w:rsidP="00C92E09">
      <w:pPr>
        <w:spacing w:after="160" w:line="259" w:lineRule="auto"/>
        <w:rPr>
          <w:rFonts w:ascii="Arial" w:eastAsia="Calibri" w:hAnsi="Arial" w:cs="Arial"/>
          <w:sz w:val="22"/>
          <w:szCs w:val="22"/>
          <w:lang w:eastAsia="en-US"/>
        </w:rPr>
      </w:pPr>
    </w:p>
    <w:p w14:paraId="4FA12205"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Q12: Do you agree with the principles suggested by ESMA to identify a bulletin board? If not, please elaborate. Do you agree to amend Level 1 to include a definition of bulletin board?</w:t>
      </w:r>
    </w:p>
    <w:p w14:paraId="73A2FFC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1C022EB5" w14:textId="0DE39A97" w:rsidR="008E073E" w:rsidRDefault="008E073E" w:rsidP="008E073E">
      <w:pPr>
        <w:rPr>
          <w:rFonts w:ascii="Arial" w:hAnsi="Arial" w:cs="Arial"/>
          <w:color w:val="004098"/>
        </w:rPr>
      </w:pPr>
      <w:permStart w:id="233254254" w:edGrp="everyone"/>
      <w:r>
        <w:rPr>
          <w:rFonts w:ascii="Arial" w:hAnsi="Arial" w:cs="Arial"/>
          <w:color w:val="004098"/>
        </w:rPr>
        <w:t xml:space="preserve">We believe that </w:t>
      </w:r>
      <w:r w:rsidRPr="00294A40">
        <w:rPr>
          <w:rFonts w:ascii="Arial" w:hAnsi="Arial" w:cs="Arial"/>
          <w:color w:val="004098"/>
        </w:rPr>
        <w:t xml:space="preserve">MiFID II is sufficiently clear on the fact that bulletin boards are not </w:t>
      </w:r>
      <w:r w:rsidRPr="00C3416B">
        <w:rPr>
          <w:rFonts w:ascii="Arial" w:hAnsi="Arial" w:cs="Arial"/>
          <w:color w:val="004098"/>
          <w:highlight w:val="yellow"/>
        </w:rPr>
        <w:t>multilateral systems</w:t>
      </w:r>
      <w:bookmarkStart w:id="1" w:name="_GoBack"/>
      <w:bookmarkEnd w:id="1"/>
      <w:r>
        <w:rPr>
          <w:rFonts w:ascii="Arial" w:hAnsi="Arial" w:cs="Arial"/>
          <w:color w:val="004098"/>
        </w:rPr>
        <w:t>.</w:t>
      </w:r>
      <w:r w:rsidRPr="00A55774">
        <w:t xml:space="preserve"> </w:t>
      </w:r>
    </w:p>
    <w:p w14:paraId="1AC6948C" w14:textId="77777777" w:rsidR="008E073E" w:rsidRDefault="008E073E" w:rsidP="008E073E">
      <w:pPr>
        <w:rPr>
          <w:rFonts w:ascii="Arial" w:hAnsi="Arial" w:cs="Arial"/>
          <w:color w:val="004098"/>
        </w:rPr>
      </w:pPr>
    </w:p>
    <w:p w14:paraId="4F3D7A94" w14:textId="77777777" w:rsidR="008E073E" w:rsidRDefault="008E073E" w:rsidP="008E073E">
      <w:pPr>
        <w:rPr>
          <w:rFonts w:ascii="Arial" w:hAnsi="Arial" w:cs="Arial"/>
          <w:color w:val="004098"/>
        </w:rPr>
      </w:pPr>
      <w:r>
        <w:rPr>
          <w:rFonts w:ascii="Arial" w:hAnsi="Arial" w:cs="Arial"/>
          <w:color w:val="004098"/>
        </w:rPr>
        <w:t xml:space="preserve">If ESMA considers there to be an issue, nonetheless, related to crowdfunding and crypto asset platforms, we would support ESMA’s observation that there needs to be wider discussions held independently of this proposal.  </w:t>
      </w:r>
    </w:p>
    <w:p w14:paraId="049450B1" w14:textId="77777777" w:rsidR="008E073E" w:rsidRDefault="008E073E" w:rsidP="008E073E">
      <w:pPr>
        <w:rPr>
          <w:rFonts w:ascii="Arial" w:hAnsi="Arial" w:cs="Arial"/>
          <w:color w:val="004098"/>
        </w:rPr>
      </w:pPr>
    </w:p>
    <w:p w14:paraId="4F3BF0C0" w14:textId="5DFAA8A5" w:rsidR="00C92E09" w:rsidRPr="008E073E" w:rsidRDefault="008E073E" w:rsidP="008E073E">
      <w:pPr>
        <w:rPr>
          <w:rFonts w:ascii="Arial" w:hAnsi="Arial" w:cs="Arial"/>
          <w:color w:val="004098"/>
        </w:rPr>
      </w:pPr>
      <w:r>
        <w:rPr>
          <w:rFonts w:ascii="Arial" w:hAnsi="Arial" w:cs="Arial"/>
          <w:color w:val="004098"/>
        </w:rPr>
        <w:t xml:space="preserve">Importantly, we do not believe that an interim step of amending legislation is necessary or advisable due to the risk of unintended consequences for other assets classes that are operating within the objectives of the legislation. </w:t>
      </w:r>
    </w:p>
    <w:permEnd w:id="233254254"/>
    <w:p w14:paraId="498FE611"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&lt;ESMA_QUESTION_FOTF_12&gt;</w:t>
      </w:r>
    </w:p>
    <w:p w14:paraId="3079FEBB" w14:textId="77777777" w:rsidR="00C92E09" w:rsidRPr="00C92E09" w:rsidRDefault="00C92E09" w:rsidP="00C92E09">
      <w:pPr>
        <w:spacing w:after="160" w:line="259" w:lineRule="auto"/>
        <w:rPr>
          <w:rFonts w:ascii="Arial" w:eastAsia="Calibri" w:hAnsi="Arial" w:cs="Arial"/>
          <w:sz w:val="22"/>
          <w:szCs w:val="22"/>
          <w:lang w:eastAsia="en-US"/>
        </w:rPr>
      </w:pPr>
    </w:p>
    <w:p w14:paraId="532E1CA1"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Q13: Are you aware of any facility operating as a bulletin board that would not comply with the principles identified above?</w:t>
      </w:r>
    </w:p>
    <w:p w14:paraId="2B0D3E6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361EECAD" w14:textId="77DC0E42" w:rsidR="00C92E09" w:rsidRPr="008E073E" w:rsidRDefault="008E073E" w:rsidP="008E073E">
      <w:pPr>
        <w:rPr>
          <w:rFonts w:ascii="Arial" w:hAnsi="Arial" w:cs="Arial"/>
          <w:color w:val="000000"/>
        </w:rPr>
      </w:pPr>
      <w:permStart w:id="535432319" w:edGrp="everyone"/>
      <w:r>
        <w:rPr>
          <w:rFonts w:ascii="Arial" w:hAnsi="Arial" w:cs="Arial"/>
          <w:color w:val="004098"/>
        </w:rPr>
        <w:t xml:space="preserve">Please see our response to Q12. </w:t>
      </w:r>
    </w:p>
    <w:permEnd w:id="535432319"/>
    <w:p w14:paraId="5B6A6FB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&lt;ESMA_QUESTION_FOTF_13&gt;</w:t>
      </w:r>
    </w:p>
    <w:p w14:paraId="1D4D2C55" w14:textId="77777777" w:rsidR="00C92E09" w:rsidRPr="00C92E09" w:rsidRDefault="00C92E09" w:rsidP="00C92E09">
      <w:pPr>
        <w:spacing w:after="160" w:line="259" w:lineRule="auto"/>
        <w:rPr>
          <w:rFonts w:ascii="Arial" w:eastAsia="Calibri" w:hAnsi="Arial" w:cs="Arial"/>
          <w:sz w:val="22"/>
          <w:szCs w:val="22"/>
          <w:lang w:eastAsia="en-US"/>
        </w:rPr>
      </w:pPr>
    </w:p>
    <w:p w14:paraId="34AA72B9"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Q14: Market participants that currently operate such systems are invited to share more detailed information on their crossing systems (scale of the activity, geographical coverage, instruments concerned, etc…), providing examples of such platforms and describing how much costs &amp; fees are saved this way as opposed to executing the relevant transactions via brokers or trading venues.</w:t>
      </w:r>
    </w:p>
    <w:p w14:paraId="0A0005BE"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3DE8F808" w14:textId="77777777" w:rsidR="00C92E09" w:rsidRPr="00C92E09" w:rsidRDefault="00C92E09" w:rsidP="00C92E09">
      <w:pPr>
        <w:spacing w:after="160" w:line="259" w:lineRule="auto"/>
        <w:rPr>
          <w:rFonts w:ascii="Arial" w:eastAsia="Calibri" w:hAnsi="Arial" w:cs="Arial"/>
          <w:sz w:val="22"/>
          <w:szCs w:val="22"/>
          <w:lang w:eastAsia="en-US"/>
        </w:rPr>
      </w:pPr>
      <w:permStart w:id="503937496" w:edGrp="everyone"/>
      <w:r w:rsidRPr="00C92E09">
        <w:rPr>
          <w:rFonts w:ascii="Arial" w:eastAsia="Calibri" w:hAnsi="Arial" w:cs="Arial"/>
          <w:sz w:val="22"/>
          <w:szCs w:val="22"/>
          <w:lang w:eastAsia="en-US"/>
        </w:rPr>
        <w:t>TYPE YOUR TEXT HERE</w:t>
      </w:r>
    </w:p>
    <w:permEnd w:id="503937496"/>
    <w:p w14:paraId="2D80129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&lt;ESMA_QUESTION_FOTF_14&gt;</w:t>
      </w:r>
    </w:p>
    <w:p w14:paraId="2556E45B" w14:textId="77777777" w:rsidR="00C92E09" w:rsidRPr="00C92E09" w:rsidRDefault="00C92E09" w:rsidP="00C92E09">
      <w:pPr>
        <w:spacing w:after="160" w:line="259" w:lineRule="auto"/>
        <w:rPr>
          <w:rFonts w:ascii="Arial" w:eastAsia="Calibri" w:hAnsi="Arial" w:cs="Arial"/>
          <w:sz w:val="22"/>
          <w:szCs w:val="22"/>
          <w:lang w:eastAsia="en-US"/>
        </w:rPr>
      </w:pPr>
    </w:p>
    <w:p w14:paraId="1183504D"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75AC5A4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&lt;ESMA_QUESTION_FOTF_15&gt;</w:t>
      </w:r>
    </w:p>
    <w:p w14:paraId="700F9055" w14:textId="77777777" w:rsidR="00C92E09" w:rsidRPr="00C92E09" w:rsidRDefault="00C92E09" w:rsidP="00C92E09">
      <w:pPr>
        <w:spacing w:after="160" w:line="259" w:lineRule="auto"/>
        <w:rPr>
          <w:rFonts w:ascii="Arial" w:eastAsia="Calibri" w:hAnsi="Arial" w:cs="Arial"/>
          <w:sz w:val="22"/>
          <w:szCs w:val="22"/>
          <w:lang w:eastAsia="en-US"/>
        </w:rPr>
      </w:pPr>
      <w:permStart w:id="165479820" w:edGrp="everyone"/>
      <w:r w:rsidRPr="00C92E09">
        <w:rPr>
          <w:rFonts w:ascii="Arial" w:eastAsia="Calibri" w:hAnsi="Arial" w:cs="Arial"/>
          <w:sz w:val="22"/>
          <w:szCs w:val="22"/>
          <w:lang w:eastAsia="en-US"/>
        </w:rPr>
        <w:t>TYPE YOUR TEXT HERE</w:t>
      </w:r>
    </w:p>
    <w:permEnd w:id="165479820"/>
    <w:p w14:paraId="2020FE8C" w14:textId="77777777" w:rsidR="00C92E09" w:rsidRPr="00C92E09" w:rsidRDefault="00C92E09" w:rsidP="00C92E09">
      <w:pPr>
        <w:spacing w:after="160" w:line="259" w:lineRule="auto"/>
        <w:rPr>
          <w:rFonts w:ascii="Arial" w:eastAsia="Calibri" w:hAnsi="Arial" w:cs="Arial"/>
          <w:sz w:val="22"/>
          <w:szCs w:val="22"/>
          <w:lang w:eastAsia="en-US"/>
        </w:rPr>
      </w:pPr>
    </w:p>
    <w:p w14:paraId="2CD20977"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Q16: Do you agree with the interpretation provided by ESMA regarding how discretion should be applied and do you think the concept of discretion should be further clarified?</w:t>
      </w:r>
    </w:p>
    <w:p w14:paraId="10C1F47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7BCB8790" w14:textId="77777777" w:rsidR="00C92E09" w:rsidRPr="00C92E09" w:rsidRDefault="00C92E09" w:rsidP="00C92E09">
      <w:pPr>
        <w:spacing w:after="160" w:line="259" w:lineRule="auto"/>
        <w:rPr>
          <w:rFonts w:ascii="Arial" w:eastAsia="Calibri" w:hAnsi="Arial" w:cs="Arial"/>
          <w:sz w:val="22"/>
          <w:szCs w:val="22"/>
          <w:lang w:eastAsia="en-US"/>
        </w:rPr>
      </w:pPr>
      <w:permStart w:id="386081243" w:edGrp="everyone"/>
      <w:r w:rsidRPr="00C92E09">
        <w:rPr>
          <w:rFonts w:ascii="Arial" w:eastAsia="Calibri" w:hAnsi="Arial" w:cs="Arial"/>
          <w:sz w:val="22"/>
          <w:szCs w:val="22"/>
          <w:lang w:eastAsia="en-US"/>
        </w:rPr>
        <w:t>TYPE YOUR TEXT HERE</w:t>
      </w:r>
    </w:p>
    <w:permEnd w:id="386081243"/>
    <w:p w14:paraId="4A1C8A7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&lt;ESMA_QUESTION_FOTF_16&gt;</w:t>
      </w:r>
    </w:p>
    <w:p w14:paraId="43F8A11E" w14:textId="77777777" w:rsidR="00C92E09" w:rsidRPr="00C92E09" w:rsidRDefault="00C92E09" w:rsidP="00C92E09">
      <w:pPr>
        <w:spacing w:after="160" w:line="259" w:lineRule="auto"/>
        <w:rPr>
          <w:rFonts w:ascii="Arial" w:eastAsia="Calibri" w:hAnsi="Arial" w:cs="Arial"/>
          <w:sz w:val="22"/>
          <w:szCs w:val="22"/>
          <w:lang w:eastAsia="en-US"/>
        </w:rPr>
      </w:pPr>
    </w:p>
    <w:p w14:paraId="3449C3FB"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Q17: For OTF operators: Do you apply discretion predominantly in placement of orders or in execution of orders? Does this depend on the type of trading system you operate? Please explain.</w:t>
      </w:r>
    </w:p>
    <w:p w14:paraId="0CF043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786CDF2E" w14:textId="77777777" w:rsidR="00C92E09" w:rsidRPr="00C92E09" w:rsidRDefault="00C92E09" w:rsidP="00C92E09">
      <w:pPr>
        <w:spacing w:after="160" w:line="259" w:lineRule="auto"/>
        <w:rPr>
          <w:rFonts w:ascii="Arial" w:eastAsia="Calibri" w:hAnsi="Arial" w:cs="Arial"/>
          <w:sz w:val="22"/>
          <w:szCs w:val="22"/>
          <w:lang w:eastAsia="en-US"/>
        </w:rPr>
      </w:pPr>
      <w:permStart w:id="1621327859" w:edGrp="everyone"/>
      <w:r w:rsidRPr="00C92E09">
        <w:rPr>
          <w:rFonts w:ascii="Arial" w:eastAsia="Calibri" w:hAnsi="Arial" w:cs="Arial"/>
          <w:sz w:val="22"/>
          <w:szCs w:val="22"/>
          <w:lang w:eastAsia="en-US"/>
        </w:rPr>
        <w:t>TYPE YOUR TEXT HERE</w:t>
      </w:r>
    </w:p>
    <w:permEnd w:id="1621327859"/>
    <w:p w14:paraId="03BAD03D"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&lt;ESMA_QUESTION_FOTF_17&gt;</w:t>
      </w:r>
    </w:p>
    <w:p w14:paraId="30D3769F" w14:textId="77777777" w:rsidR="00C92E09" w:rsidRPr="00C92E09" w:rsidRDefault="00C92E09" w:rsidP="00C92E09">
      <w:pPr>
        <w:spacing w:after="160" w:line="259" w:lineRule="auto"/>
        <w:rPr>
          <w:rFonts w:ascii="Arial" w:eastAsia="Calibri" w:hAnsi="Arial" w:cs="Arial"/>
          <w:sz w:val="22"/>
          <w:szCs w:val="22"/>
          <w:lang w:eastAsia="en-US"/>
        </w:rPr>
      </w:pPr>
    </w:p>
    <w:p w14:paraId="3B7A900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lastRenderedPageBreak/>
        <w:t>Q18: For OTF clients: Do you face any issue in the way OTF operators exercise discretion for order placement and order execution? If so, please explain. Does it appear to be used regularly in practice by OTF operators?</w:t>
      </w:r>
    </w:p>
    <w:p w14:paraId="67F3FCFC"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163D4257" w14:textId="77777777" w:rsidR="00C92E09" w:rsidRPr="00C92E09" w:rsidRDefault="00C92E09" w:rsidP="00C92E09">
      <w:pPr>
        <w:spacing w:after="160" w:line="259" w:lineRule="auto"/>
        <w:rPr>
          <w:rFonts w:ascii="Arial" w:eastAsia="Calibri" w:hAnsi="Arial" w:cs="Arial"/>
          <w:sz w:val="22"/>
          <w:szCs w:val="22"/>
          <w:lang w:eastAsia="en-US"/>
        </w:rPr>
      </w:pPr>
      <w:permStart w:id="1910249455" w:edGrp="everyone"/>
      <w:r w:rsidRPr="00C92E09">
        <w:rPr>
          <w:rFonts w:ascii="Arial" w:eastAsia="Calibri" w:hAnsi="Arial" w:cs="Arial"/>
          <w:sz w:val="22"/>
          <w:szCs w:val="22"/>
          <w:lang w:eastAsia="en-US"/>
        </w:rPr>
        <w:t>TYPE YOUR TEXT HERE</w:t>
      </w:r>
    </w:p>
    <w:permEnd w:id="1910249455"/>
    <w:p w14:paraId="4726C192"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&lt;ESMA_QUESTION_FOTF_18&gt;</w:t>
      </w:r>
    </w:p>
    <w:p w14:paraId="34DCE032" w14:textId="77777777" w:rsidR="00C92E09" w:rsidRPr="00C92E09" w:rsidRDefault="00C92E09" w:rsidP="00C92E09">
      <w:pPr>
        <w:spacing w:after="160" w:line="259" w:lineRule="auto"/>
        <w:rPr>
          <w:rFonts w:ascii="Arial" w:eastAsia="Calibri" w:hAnsi="Arial" w:cs="Arial"/>
          <w:sz w:val="22"/>
          <w:szCs w:val="22"/>
          <w:lang w:eastAsia="en-US"/>
        </w:rPr>
      </w:pPr>
    </w:p>
    <w:p w14:paraId="1891B60F"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Q19: Do you think ESMA should clarify any aspect in relation to MPT or that any specific measure in relation to MPT shall be recommended?</w:t>
      </w:r>
    </w:p>
    <w:p w14:paraId="29021366"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4FAF0180" w14:textId="77777777" w:rsidR="00C92E09" w:rsidRPr="00C92E09" w:rsidRDefault="00C92E09" w:rsidP="00C92E09">
      <w:pPr>
        <w:spacing w:after="160" w:line="259" w:lineRule="auto"/>
        <w:rPr>
          <w:rFonts w:ascii="Arial" w:eastAsia="Calibri" w:hAnsi="Arial" w:cs="Arial"/>
          <w:sz w:val="22"/>
          <w:szCs w:val="22"/>
          <w:lang w:eastAsia="en-US"/>
        </w:rPr>
      </w:pPr>
      <w:permStart w:id="752047120" w:edGrp="everyone"/>
      <w:r w:rsidRPr="00C92E09">
        <w:rPr>
          <w:rFonts w:ascii="Arial" w:eastAsia="Calibri" w:hAnsi="Arial" w:cs="Arial"/>
          <w:sz w:val="22"/>
          <w:szCs w:val="22"/>
          <w:lang w:eastAsia="en-US"/>
        </w:rPr>
        <w:t>TYPE YOUR TEXT HERE</w:t>
      </w:r>
    </w:p>
    <w:permEnd w:id="752047120"/>
    <w:p w14:paraId="07D9765A"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&lt;ESMA_QUESTION_FOTF_19&gt;</w:t>
      </w:r>
    </w:p>
    <w:p w14:paraId="3C9E0EEC" w14:textId="77777777" w:rsidR="00C92E09" w:rsidRPr="00C92E09" w:rsidRDefault="00C92E09" w:rsidP="00C92E09">
      <w:pPr>
        <w:spacing w:after="160" w:line="259" w:lineRule="auto"/>
        <w:rPr>
          <w:rFonts w:ascii="Arial" w:eastAsia="Calibri" w:hAnsi="Arial" w:cs="Arial"/>
          <w:sz w:val="22"/>
          <w:szCs w:val="22"/>
          <w:lang w:eastAsia="en-US"/>
        </w:rPr>
      </w:pPr>
    </w:p>
    <w:p w14:paraId="16AF3E5E"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Q20: In your view what is the difference between MPT and riskless principal trading and should this difference be clarified in Level 1</w:t>
      </w:r>
      <w:proofErr w:type="gramStart"/>
      <w:r w:rsidRPr="00C92E09">
        <w:rPr>
          <w:rFonts w:ascii="Arial" w:hAnsi="Arial" w:cs="Arial"/>
          <w:b/>
          <w:sz w:val="22"/>
          <w:szCs w:val="22"/>
          <w:lang w:val="en-US" w:eastAsia="en-US"/>
        </w:rPr>
        <w:t>?.</w:t>
      </w:r>
      <w:proofErr w:type="gramEnd"/>
      <w:r w:rsidRPr="00C92E09">
        <w:rPr>
          <w:rFonts w:ascii="Arial" w:hAnsi="Arial" w:cs="Arial"/>
          <w:b/>
          <w:sz w:val="22"/>
          <w:szCs w:val="22"/>
          <w:lang w:val="en-US" w:eastAsia="en-US"/>
        </w:rPr>
        <w:t xml:space="preserve"> In addition, what, in your view, incentivizes a firm to engage in MPT rather than in agency cross trades (i.e. trades where a broker arranges transactions between two of its clients but without interposing itself)?</w:t>
      </w:r>
    </w:p>
    <w:p w14:paraId="5BF84C53"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5F95047C" w14:textId="77777777" w:rsidR="00C92E09" w:rsidRPr="00C92E09" w:rsidRDefault="00C92E09" w:rsidP="00C92E09">
      <w:pPr>
        <w:spacing w:after="160" w:line="259" w:lineRule="auto"/>
        <w:rPr>
          <w:rFonts w:ascii="Arial" w:eastAsia="Calibri" w:hAnsi="Arial" w:cs="Arial"/>
          <w:sz w:val="22"/>
          <w:szCs w:val="22"/>
          <w:lang w:eastAsia="en-US"/>
        </w:rPr>
      </w:pPr>
      <w:permStart w:id="329991609" w:edGrp="everyone"/>
      <w:r w:rsidRPr="00C92E09">
        <w:rPr>
          <w:rFonts w:ascii="Arial" w:eastAsia="Calibri" w:hAnsi="Arial" w:cs="Arial"/>
          <w:sz w:val="22"/>
          <w:szCs w:val="22"/>
          <w:lang w:eastAsia="en-US"/>
        </w:rPr>
        <w:t>TYPE YOUR TEXT HERE</w:t>
      </w:r>
    </w:p>
    <w:permEnd w:id="329991609"/>
    <w:p w14:paraId="72D9FE4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&lt;ESMA_QUESTION_FOTF_20&gt;</w:t>
      </w:r>
    </w:p>
    <w:p w14:paraId="2FFE00CE" w14:textId="77777777" w:rsidR="00C92E09" w:rsidRPr="00C92E09" w:rsidRDefault="00C92E09" w:rsidP="00C92E09">
      <w:pPr>
        <w:spacing w:after="160" w:line="259" w:lineRule="auto"/>
        <w:rPr>
          <w:rFonts w:ascii="Arial" w:eastAsia="Calibri" w:hAnsi="Arial" w:cs="Arial"/>
          <w:sz w:val="22"/>
          <w:szCs w:val="22"/>
          <w:lang w:eastAsia="en-US"/>
        </w:rPr>
      </w:pPr>
    </w:p>
    <w:p w14:paraId="3E71AC16" w14:textId="77777777" w:rsidR="00C92E09" w:rsidRPr="00C92E09" w:rsidRDefault="00C92E09" w:rsidP="00C92E09">
      <w:pPr>
        <w:spacing w:after="250" w:line="276" w:lineRule="auto"/>
        <w:ind w:left="720" w:hanging="360"/>
        <w:contextualSpacing/>
        <w:jc w:val="both"/>
        <w:rPr>
          <w:rFonts w:ascii="Arial" w:hAnsi="Arial" w:cs="Arial"/>
          <w:b/>
          <w:sz w:val="22"/>
          <w:szCs w:val="22"/>
          <w:lang w:val="en-US" w:eastAsia="en-US"/>
        </w:rPr>
      </w:pPr>
      <w:r w:rsidRPr="00C92E09">
        <w:rPr>
          <w:rFonts w:ascii="Arial" w:hAnsi="Arial" w:cs="Arial"/>
          <w:b/>
          <w:sz w:val="22"/>
          <w:szCs w:val="22"/>
          <w:lang w:val="en-US" w:eastAsia="en-US"/>
        </w:rPr>
        <w:t xml:space="preserve">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 </w:t>
      </w:r>
    </w:p>
    <w:p w14:paraId="29E3AC3F"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1E53C814" w14:textId="2985650D" w:rsidR="00C92E09" w:rsidRPr="00C92E09" w:rsidRDefault="00C92E09" w:rsidP="00C92E09">
      <w:pPr>
        <w:spacing w:after="160" w:line="259" w:lineRule="auto"/>
        <w:rPr>
          <w:rFonts w:ascii="Arial" w:eastAsia="Calibri" w:hAnsi="Arial" w:cs="Arial"/>
          <w:sz w:val="22"/>
          <w:szCs w:val="22"/>
          <w:lang w:eastAsia="en-US"/>
        </w:rPr>
      </w:pPr>
      <w:permStart w:id="2095270936" w:edGrp="everyone"/>
      <w:r w:rsidRPr="00C92E09">
        <w:rPr>
          <w:rFonts w:ascii="Arial" w:eastAsia="Calibri" w:hAnsi="Arial" w:cs="Arial"/>
          <w:sz w:val="22"/>
          <w:szCs w:val="22"/>
          <w:lang w:eastAsia="en-US"/>
        </w:rPr>
        <w:t>TYPE YOUR TEXT HERE</w:t>
      </w:r>
    </w:p>
    <w:permEnd w:id="2095270936"/>
    <w:p w14:paraId="0F2F5CEB" w14:textId="77777777" w:rsidR="00C92E09" w:rsidRPr="00C92E09" w:rsidRDefault="00C92E09" w:rsidP="00C92E09">
      <w:pPr>
        <w:spacing w:after="160" w:line="259" w:lineRule="auto"/>
        <w:rPr>
          <w:rFonts w:ascii="Arial" w:eastAsia="Calibri" w:hAnsi="Arial" w:cs="Arial"/>
          <w:sz w:val="22"/>
          <w:szCs w:val="22"/>
          <w:lang w:eastAsia="en-US"/>
        </w:rPr>
      </w:pPr>
      <w:r w:rsidRPr="00C92E09">
        <w:rPr>
          <w:rFonts w:ascii="Arial" w:eastAsia="Calibri" w:hAnsi="Arial" w:cs="Arial"/>
          <w:sz w:val="22"/>
          <w:szCs w:val="22"/>
          <w:lang w:eastAsia="en-US"/>
        </w:rPr>
        <w:t>&lt;ESMA_QUESTION_FOTF_21&gt;</w:t>
      </w:r>
    </w:p>
    <w:p w14:paraId="0FF02D24" w14:textId="77777777" w:rsidR="002156A3" w:rsidRDefault="002156A3" w:rsidP="00C1698A">
      <w:pPr>
        <w:spacing w:line="276" w:lineRule="auto"/>
        <w:rPr>
          <w:rFonts w:asciiTheme="minorHAnsi" w:hAnsiTheme="minorHAnsi" w:cstheme="minorHAnsi"/>
          <w:b/>
          <w:sz w:val="28"/>
          <w:szCs w:val="28"/>
        </w:rPr>
      </w:pPr>
    </w:p>
    <w:sectPr w:rsidR="002156A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CE3A" w14:textId="77777777" w:rsidR="0061672D" w:rsidRDefault="0061672D" w:rsidP="007E7997">
      <w:r>
        <w:separator/>
      </w:r>
    </w:p>
  </w:endnote>
  <w:endnote w:type="continuationSeparator" w:id="0">
    <w:p w14:paraId="26E2AEF1" w14:textId="77777777" w:rsidR="0061672D" w:rsidRDefault="0061672D" w:rsidP="007E7997">
      <w:r>
        <w:continuationSeparator/>
      </w:r>
    </w:p>
  </w:endnote>
  <w:endnote w:type="continuationNotice" w:id="1">
    <w:p w14:paraId="71E6CAB1" w14:textId="77777777" w:rsidR="0061672D" w:rsidRDefault="0061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5B4E" w14:textId="77777777" w:rsidR="00E824DB" w:rsidRDefault="00E8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7CC2FC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C92E09">
      <w:rPr>
        <w:rFonts w:asciiTheme="majorHAnsi" w:hAnsiTheme="majorHAnsi"/>
        <w:color w:val="FFFFFF" w:themeColor="background1"/>
      </w:rPr>
      <w:t>25</w:t>
    </w:r>
    <w:r w:rsidR="00E35FC3" w:rsidRPr="0004778B">
      <w:rPr>
        <w:rFonts w:asciiTheme="majorHAnsi" w:hAnsiTheme="majorHAnsi"/>
        <w:color w:val="FFFFFF" w:themeColor="background1"/>
      </w:rPr>
      <w:t xml:space="preserve"> </w:t>
    </w:r>
    <w:r w:rsidR="00C92E09">
      <w:rPr>
        <w:rFonts w:asciiTheme="majorHAnsi" w:hAnsiTheme="majorHAnsi"/>
        <w:color w:val="FFFFFF" w:themeColor="background1"/>
      </w:rPr>
      <w:t xml:space="preserve">September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r w:rsidR="00E824DB">
        <w:rPr>
          <w:rFonts w:asciiTheme="majorHAnsi" w:hAnsiTheme="majorHAnsi"/>
          <w:color w:val="FFFFFF" w:themeColor="background1"/>
        </w:rPr>
        <w:t>3844</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41150018" w:rsidR="00E36813" w:rsidRDefault="00E36813">
        <w:pPr>
          <w:pStyle w:val="Footer"/>
          <w:jc w:val="center"/>
        </w:pPr>
        <w:r>
          <w:fldChar w:fldCharType="begin"/>
        </w:r>
        <w:r>
          <w:instrText xml:space="preserve"> PAGE   \* MERGEFORMAT </w:instrText>
        </w:r>
        <w:r>
          <w:fldChar w:fldCharType="separate"/>
        </w:r>
        <w:r w:rsidR="00BB5650">
          <w:rPr>
            <w:noProof/>
          </w:rPr>
          <w:t>9</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0B463" w14:textId="77777777" w:rsidR="0061672D" w:rsidRDefault="0061672D" w:rsidP="007E7997">
      <w:r>
        <w:separator/>
      </w:r>
    </w:p>
  </w:footnote>
  <w:footnote w:type="continuationSeparator" w:id="0">
    <w:p w14:paraId="514666A8" w14:textId="77777777" w:rsidR="0061672D" w:rsidRDefault="0061672D" w:rsidP="007E7997">
      <w:r>
        <w:continuationSeparator/>
      </w:r>
    </w:p>
  </w:footnote>
  <w:footnote w:type="continuationNotice" w:id="1">
    <w:p w14:paraId="025C4AD5" w14:textId="77777777" w:rsidR="0061672D" w:rsidRDefault="006167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8B80" w14:textId="77777777" w:rsidR="00E824DB" w:rsidRDefault="00E8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eastAsia="zh-CN"/>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eastAsia="zh-CN"/>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EA8F5D"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eastAsia="zh-CN"/>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66D3"/>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27E08"/>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72D"/>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073E"/>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B5650"/>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ESMA70-156-3844</_dlc_DocId>
    <TaxCatchAll xmlns="20fbe147-bbda-4e53-b6b1-7e8bbff3fe19">
      <Value>91</Value>
      <Value>662</Value>
      <Value>25</Value>
      <Value>484</Value>
      <Value>434</Value>
    </TaxCatchAll>
    <_dlc_DocIdUrl xmlns="20fbe147-bbda-4e53-b6b1-7e8bbff3fe19">
      <Url>https://sherpa.esma.europa.eu/sites/MKT/SMK/_layouts/15/DocIdRedir.aspx?ID=ESMA70-156-3844</Url>
      <Description>ESMA70-156-3844</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90(1)(a) MiFID-OTF</TermName>
          <TermId xmlns="http://schemas.microsoft.com/office/infopath/2007/PartnerControls">c745e34f-050d-4f13-85b9-fe2a7beb69f9</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78110BEF-8C48-47FF-93C8-71B84BE7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10</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jmchale21</cp:lastModifiedBy>
  <cp:revision>2</cp:revision>
  <cp:lastPrinted>2017-07-24T14:47:00Z</cp:lastPrinted>
  <dcterms:created xsi:type="dcterms:W3CDTF">2020-11-25T17:57:00Z</dcterms:created>
  <dcterms:modified xsi:type="dcterms:W3CDTF">2020-11-25T17:57:00Z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55120559-3b60-4927-9874-309a1b6a4403</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662;#MiFID reports - Article 90(1)(a) MiFID-OTF|c745e34f-050d-4f13-85b9-fe2a7beb69f9</vt:lpwstr>
  </property>
  <property fmtid="{D5CDD505-2E9C-101B-9397-08002B2CF9AE}" pid="18" name="TeamTopic">
    <vt:lpwstr>87;#Other Work|f1a52b52-917d-42ef-9667-945839604bb2</vt:lpwstr>
  </property>
</Properties>
</file>