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3527B7">
          <w:pPr>
            <w:pStyle w:val="Lijstalinea"/>
            <w:numPr>
              <w:ilvl w:val="0"/>
              <w:numId w:val="12"/>
            </w:numPr>
            <w:rPr>
              <w:lang w:eastAsia="en-US"/>
            </w:rPr>
          </w:pPr>
          <w:r w:rsidRPr="00C85C8B">
            <w:rPr>
              <w:lang w:eastAsia="en-US"/>
            </w:rPr>
            <w:t xml:space="preserve">Insert your responses to the questions in the Consultation Paper in the present response form. </w:t>
          </w:r>
        </w:p>
        <w:p w14:paraId="3B16398E" w14:textId="3D0AA406" w:rsidR="00C85C8B" w:rsidRPr="00C85C8B" w:rsidRDefault="00C85C8B" w:rsidP="003527B7">
          <w:pPr>
            <w:pStyle w:val="Lijstalinea"/>
            <w:numPr>
              <w:ilvl w:val="0"/>
              <w:numId w:val="12"/>
            </w:numPr>
            <w:rPr>
              <w:lang w:eastAsia="en-US"/>
            </w:rPr>
          </w:pPr>
          <w:r w:rsidRPr="00C85C8B">
            <w:rPr>
              <w:lang w:eastAsia="en-US"/>
            </w:rPr>
            <w:t>Please do not remove t</w:t>
          </w:r>
          <w:r>
            <w:rPr>
              <w:lang w:eastAsia="en-US"/>
            </w:rPr>
            <w:t>ags of the type &lt;ESMA_QUESTION_</w:t>
          </w:r>
          <w:r w:rsidR="00C92E09">
            <w:rPr>
              <w:lang w:eastAsia="en-US"/>
            </w:rPr>
            <w:t>FOTF</w:t>
          </w:r>
          <w:r w:rsidRPr="00C85C8B">
            <w:rPr>
              <w:lang w:eastAsia="en-US"/>
            </w:rPr>
            <w:t>_1&gt;. Your response to each question has to be framed by the two tags corresponding to the question.</w:t>
          </w:r>
        </w:p>
        <w:p w14:paraId="5CC57030" w14:textId="77777777" w:rsidR="00C85C8B" w:rsidRPr="00C85C8B" w:rsidRDefault="00C85C8B" w:rsidP="003527B7">
          <w:pPr>
            <w:pStyle w:val="Lijstalinea"/>
            <w:numPr>
              <w:ilvl w:val="0"/>
              <w:numId w:val="12"/>
            </w:numPr>
            <w:rPr>
              <w:lang w:eastAsia="en-US"/>
            </w:rPr>
          </w:pPr>
          <w:r w:rsidRPr="00C85C8B">
            <w:rPr>
              <w:lang w:eastAsia="en-US"/>
            </w:rPr>
            <w:t>If you do not wish to respond to a given question, please do not delete it but simply leave the text “TYPE YOUR TEXT HERE” between the tags.</w:t>
          </w:r>
        </w:p>
        <w:p w14:paraId="1876A4C8" w14:textId="7864ABBD" w:rsidR="00C85C8B" w:rsidRPr="00C85C8B" w:rsidRDefault="00C85C8B" w:rsidP="003527B7">
          <w:pPr>
            <w:pStyle w:val="Lijstalinea"/>
            <w:numPr>
              <w:ilvl w:val="0"/>
              <w:numId w:val="12"/>
            </w:numPr>
            <w:rPr>
              <w:lang w:eastAsia="en-US"/>
            </w:rPr>
          </w:pPr>
          <w:r w:rsidRPr="00C85C8B">
            <w:rPr>
              <w:lang w:eastAsia="en-US"/>
            </w:rPr>
            <w:t xml:space="preserve">When you have drafted your response, name your response form according to </w:t>
          </w:r>
          <w:r>
            <w:rPr>
              <w:lang w:eastAsia="en-US"/>
            </w:rPr>
            <w:t xml:space="preserve">the following convention: </w:t>
          </w:r>
          <w:proofErr w:type="spellStart"/>
          <w:r>
            <w:rPr>
              <w:lang w:eastAsia="en-US"/>
            </w:rPr>
            <w:t>ESMA_</w:t>
          </w:r>
          <w:r w:rsidR="00C92E09">
            <w:rPr>
              <w:lang w:eastAsia="en-US"/>
            </w:rPr>
            <w:t>FOTF</w:t>
          </w:r>
          <w:r w:rsidRPr="00C85C8B">
            <w:rPr>
              <w:lang w:eastAsia="en-US"/>
            </w:rPr>
            <w:t>_nameofrespondent_RESPONSEFORM</w:t>
          </w:r>
          <w:proofErr w:type="spellEnd"/>
          <w:r w:rsidRPr="00C85C8B">
            <w:rPr>
              <w:lang w:eastAsia="en-US"/>
            </w:rPr>
            <w:t>. For example, for a respondent named ABCD, the response</w:t>
          </w:r>
          <w:r>
            <w:rPr>
              <w:lang w:eastAsia="en-US"/>
            </w:rPr>
            <w:t xml:space="preserve"> form would be entitled ESMA_</w:t>
          </w:r>
          <w:r w:rsidR="00C92E09">
            <w:rPr>
              <w:lang w:eastAsia="en-US"/>
            </w:rPr>
            <w:t>FOTF</w:t>
          </w:r>
          <w:r w:rsidRPr="00C85C8B">
            <w:rPr>
              <w:lang w:eastAsia="en-US"/>
            </w:rPr>
            <w:t>_ABCD_RESPONSEFORM.</w:t>
          </w:r>
        </w:p>
        <w:p w14:paraId="1A9C59D6" w14:textId="14DFCC1C" w:rsidR="00C85C8B" w:rsidRPr="00C85C8B" w:rsidRDefault="00C85C8B" w:rsidP="003527B7">
          <w:pPr>
            <w:pStyle w:val="Lijstalinea"/>
            <w:numPr>
              <w:ilvl w:val="0"/>
              <w:numId w:val="12"/>
            </w:numPr>
            <w:rPr>
              <w:lang w:eastAsia="en-US"/>
            </w:rPr>
          </w:pPr>
          <w:r w:rsidRPr="00C85C8B">
            <w:rPr>
              <w:lang w:eastAsia="en-US"/>
            </w:rPr>
            <w:t>Upload the form containing your responses, in Word format, to ESMA’s website (</w:t>
          </w:r>
          <w:hyperlink r:id="rId19" w:history="1">
            <w:r w:rsidRPr="00C85C8B">
              <w:rPr>
                <w:lang w:eastAsia="en-US"/>
              </w:rPr>
              <w:t>www.esma.europa.eu</w:t>
            </w:r>
          </w:hyperlink>
          <w:r w:rsidRPr="00C85C8B">
            <w:rPr>
              <w:lang w:eastAsia="en-US"/>
            </w:rPr>
            <w:t xml:space="preserve"> under the heading “Your input – Open consultations” </w:t>
          </w:r>
          <w:r w:rsidRPr="00C85C8B">
            <w:rPr>
              <w:lang w:eastAsia="en-US"/>
            </w:rPr>
            <w:sym w:font="Wingdings" w:char="F0E0"/>
          </w:r>
          <w:r w:rsidRPr="00C85C8B">
            <w:rPr>
              <w:lang w:eastAsia="en-US"/>
            </w:rPr>
            <w:t xml:space="preserve"> “Consultation on</w:t>
          </w:r>
          <w:r w:rsidR="009F22E7" w:rsidRPr="009F22E7">
            <w:rPr>
              <w:lang w:eastAsia="en-US"/>
            </w:rPr>
            <w:t xml:space="preserve"> the functioning of the Organised Trading Facility regime</w:t>
          </w:r>
          <w:r w:rsidRPr="00C85C8B">
            <w:rPr>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lastRenderedPageBreak/>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w:t>
          </w:r>
          <w:proofErr w:type="spellStart"/>
          <w:r w:rsidR="00647144">
            <w:rPr>
              <w:rFonts w:ascii="Arial" w:eastAsiaTheme="minorEastAsia" w:hAnsi="Arial" w:cs="Arial"/>
              <w:sz w:val="22"/>
              <w:szCs w:val="22"/>
              <w:lang w:eastAsia="ja-JP"/>
            </w:rPr>
            <w:t>i</w:t>
          </w:r>
          <w:proofErr w:type="spellEnd"/>
          <w:r w:rsidR="00647144">
            <w:rPr>
              <w:rFonts w:ascii="Arial" w:eastAsiaTheme="minorEastAsia" w:hAnsi="Arial" w:cs="Arial"/>
              <w:sz w:val="22"/>
              <w:szCs w:val="22"/>
              <w:lang w:eastAsia="ja-JP"/>
            </w:rPr>
            <w:t xml:space="preserve">)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Kop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4DB3CEB" w:rsidR="00C85C8B" w:rsidRPr="00C85C8B" w:rsidRDefault="0039511B" w:rsidP="0039511B">
                <w:pPr>
                  <w:rPr>
                    <w:rFonts w:ascii="Arial" w:hAnsi="Arial" w:cs="Arial"/>
                    <w:color w:val="808080"/>
                    <w:sz w:val="20"/>
                    <w:lang w:eastAsia="de-DE"/>
                  </w:rPr>
                </w:pPr>
                <w:r>
                  <w:rPr>
                    <w:rFonts w:ascii="Arial" w:hAnsi="Arial" w:cs="Arial"/>
                    <w:color w:val="808080"/>
                    <w:sz w:val="20"/>
                    <w:lang w:eastAsia="de-DE"/>
                  </w:rPr>
                  <w:t>AFS Interest BV</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A847193" w:rsidR="00C85C8B" w:rsidRPr="00C85C8B" w:rsidRDefault="00886DD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9511B">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B8DE494" w:rsidR="00C85C8B" w:rsidRPr="00C85C8B" w:rsidRDefault="0039511B" w:rsidP="00C85C8B">
                <w:pPr>
                  <w:rPr>
                    <w:rFonts w:ascii="Arial" w:hAnsi="Arial" w:cs="Arial"/>
                    <w:sz w:val="20"/>
                    <w:lang w:eastAsia="de-DE"/>
                  </w:rPr>
                </w:pPr>
                <w:r>
                  <w:rPr>
                    <w:rFonts w:ascii="Arial" w:hAnsi="Arial" w:cs="Arial"/>
                    <w:sz w:val="20"/>
                    <w:lang w:eastAsia="de-DE"/>
                  </w:rPr>
                  <w:t>Netherlands</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14251344" w14:textId="04CD5D2D" w:rsidR="003527B7" w:rsidRDefault="00C92E09" w:rsidP="003527B7">
      <w:pPr>
        <w:spacing w:after="160" w:line="259" w:lineRule="auto"/>
        <w:rPr>
          <w:rFonts w:ascii="Arial" w:hAnsi="Arial" w:cs="Arial"/>
        </w:rPr>
      </w:pPr>
      <w:r w:rsidRPr="00C92E09">
        <w:rPr>
          <w:rFonts w:ascii="Arial" w:eastAsia="Calibri" w:hAnsi="Arial" w:cs="Arial"/>
          <w:sz w:val="22"/>
          <w:szCs w:val="22"/>
          <w:lang w:eastAsia="en-US"/>
        </w:rPr>
        <w:t>&lt;ESMA_QUESTION_FOTF_3&gt;</w:t>
      </w:r>
    </w:p>
    <w:p w14:paraId="206C9E98" w14:textId="77777777" w:rsidR="003527B7" w:rsidRDefault="003527B7" w:rsidP="003527B7">
      <w:pPr>
        <w:spacing w:line="360" w:lineRule="auto"/>
        <w:rPr>
          <w:rFonts w:ascii="Arial" w:hAnsi="Arial" w:cs="Arial"/>
          <w:lang w:val="en-US"/>
        </w:rPr>
      </w:pPr>
      <w:permStart w:id="1206137890" w:edGrp="everyone"/>
      <w:r>
        <w:rPr>
          <w:rFonts w:ascii="Arial" w:hAnsi="Arial" w:cs="Arial"/>
        </w:rPr>
        <w:t>AFS</w:t>
      </w:r>
      <w:r>
        <w:rPr>
          <w:rFonts w:ascii="Arial" w:hAnsi="Arial" w:cs="Arial"/>
          <w:lang w:val="en-US"/>
        </w:rPr>
        <w:t xml:space="preserve"> fully concurs with the definitions and clarifications regarding the requirement for all firms operating a multilateral system to seek authorization as a regulated market, MTF or OTF. The proposed Level 1 amendments would help sufficiently to synchronize local regulatory conditions and to avoid regulatory arbitrage. It appears that national regulatory oversight has applied these rules differently across different EU-jurisdictions, therefore jeopardizing the level playing field.  </w:t>
      </w:r>
    </w:p>
    <w:p w14:paraId="020CFDD8" w14:textId="77777777" w:rsidR="003527B7" w:rsidRDefault="003527B7" w:rsidP="003527B7">
      <w:pPr>
        <w:spacing w:line="360" w:lineRule="auto"/>
        <w:rPr>
          <w:rFonts w:ascii="Arial" w:hAnsi="Arial" w:cs="Arial"/>
          <w:lang w:val="en-US"/>
        </w:rPr>
      </w:pPr>
      <w:r>
        <w:rPr>
          <w:rFonts w:ascii="Arial" w:hAnsi="Arial" w:cs="Arial"/>
          <w:lang w:val="en-US"/>
        </w:rPr>
        <w:t xml:space="preserve">Amending the Level 1 text into a prohibition makes further clarification. It could be useful to provide further examples of what a multilateral system entails. Many firms seem not to think that a system is multilateral once a transaction is closed on a separate platform between two counterparties. The addition that a transaction does not have to be closed certainly helps to clarify the status of a multilateral system, however some brokerage firms use terms like ‘pre-negotiated trades’ which are smoke and mirrors for the fact that they operated a system on which with multiple buying and selling interests can interact before a transaction is closed on a separate </w:t>
      </w:r>
      <w:r>
        <w:rPr>
          <w:rFonts w:ascii="Arial" w:hAnsi="Arial" w:cs="Arial"/>
          <w:lang w:val="en-US"/>
        </w:rPr>
        <w:lastRenderedPageBreak/>
        <w:t xml:space="preserve">platform. Real pre-negotiated trades are trades that are truly intended to be bilateral (i.e. both counterparties were known from the outset prior to negotiations). </w:t>
      </w:r>
    </w:p>
    <w:p w14:paraId="23C5CCBF" w14:textId="3BC7FA34" w:rsidR="00542EEA" w:rsidRPr="00D90D77" w:rsidRDefault="003527B7" w:rsidP="005B0D37">
      <w:pPr>
        <w:spacing w:after="160" w:line="360" w:lineRule="auto"/>
        <w:rPr>
          <w:rFonts w:ascii="Arial" w:hAnsi="Arial" w:cs="Arial"/>
          <w:lang w:val="en-US"/>
        </w:rPr>
      </w:pPr>
      <w:r>
        <w:rPr>
          <w:rFonts w:ascii="Arial" w:hAnsi="Arial" w:cs="Arial"/>
          <w:lang w:val="en-US"/>
        </w:rPr>
        <w:t>For example, a brokerage firm that receives an order from a client to sell a financial instrument such as a corporate bond seeking to find an appropriate buyer by contacting multiple potential counterparties are operating a multilateral system.</w:t>
      </w:r>
      <w:permEnd w:id="1206137890"/>
    </w:p>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557C43F7" w14:textId="77777777" w:rsidR="003527B7" w:rsidRDefault="003527B7" w:rsidP="005B0D37">
      <w:pPr>
        <w:spacing w:after="160" w:line="360" w:lineRule="auto"/>
        <w:rPr>
          <w:rFonts w:ascii="Arial" w:hAnsi="Arial" w:cs="Arial"/>
          <w:lang w:val="en-US"/>
        </w:rPr>
      </w:pPr>
      <w:permStart w:id="1185896391" w:edGrp="everyone"/>
      <w:r>
        <w:rPr>
          <w:rFonts w:ascii="Arial" w:hAnsi="Arial" w:cs="Arial"/>
          <w:lang w:val="en-US"/>
        </w:rPr>
        <w:t>AFS agrees with the two-step approach. AFS finds it critical to clarify explicitly in what circumstances it is required to seek authorization as a trading venue. For example, brokers that are seeking to broker pre-negotiated trades in order to conclude a transaction on a different platform should seek authorization as a trading venue, being either a RM, MTF or OTF.</w:t>
      </w:r>
    </w:p>
    <w:permEnd w:id="1185896391"/>
    <w:p w14:paraId="419E41D2" w14:textId="1B48328D"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01D67276" w14:textId="77777777" w:rsidR="003527B7" w:rsidRDefault="003527B7" w:rsidP="005B0D37">
      <w:pPr>
        <w:spacing w:after="160" w:line="360" w:lineRule="auto"/>
        <w:rPr>
          <w:rFonts w:ascii="Arial" w:eastAsia="Calibri" w:hAnsi="Arial" w:cs="Arial"/>
          <w:sz w:val="22"/>
          <w:szCs w:val="22"/>
          <w:lang w:eastAsia="en-US"/>
        </w:rPr>
      </w:pPr>
      <w:permStart w:id="145175905" w:edGrp="everyone"/>
      <w:r w:rsidRPr="003527B7">
        <w:rPr>
          <w:rFonts w:ascii="Arial" w:eastAsia="Calibri" w:hAnsi="Arial" w:cs="Arial"/>
          <w:szCs w:val="22"/>
          <w:lang w:eastAsia="en-US"/>
        </w:rPr>
        <w:t xml:space="preserve">AFS agrees not to exempt smaller entities to maintain a full </w:t>
      </w:r>
      <w:r w:rsidR="00C3107C" w:rsidRPr="003527B7">
        <w:rPr>
          <w:rFonts w:ascii="Arial" w:eastAsia="Calibri" w:hAnsi="Arial" w:cs="Arial"/>
          <w:szCs w:val="22"/>
          <w:lang w:eastAsia="en-US"/>
        </w:rPr>
        <w:t xml:space="preserve">level playing </w:t>
      </w:r>
      <w:r w:rsidRPr="003527B7">
        <w:rPr>
          <w:rFonts w:ascii="Arial" w:eastAsia="Calibri" w:hAnsi="Arial" w:cs="Arial"/>
          <w:szCs w:val="22"/>
          <w:lang w:eastAsia="en-US"/>
        </w:rPr>
        <w:t>across the regulatory spectrum.</w:t>
      </w:r>
    </w:p>
    <w:permEnd w:id="145175905"/>
    <w:p w14:paraId="5DF2E878" w14:textId="1AF1DCFB"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27CC2296" w14:textId="3A3680E0" w:rsidR="003527B7" w:rsidRPr="00C92E09" w:rsidRDefault="003527B7" w:rsidP="005B0D37">
      <w:pPr>
        <w:spacing w:after="160" w:line="360" w:lineRule="auto"/>
        <w:rPr>
          <w:rFonts w:ascii="Arial" w:eastAsia="Calibri" w:hAnsi="Arial" w:cs="Arial"/>
          <w:sz w:val="22"/>
          <w:szCs w:val="22"/>
          <w:lang w:eastAsia="en-US"/>
        </w:rPr>
      </w:pPr>
      <w:permStart w:id="1237796940" w:edGrp="everyone"/>
      <w:r w:rsidRPr="00542EEA">
        <w:rPr>
          <w:rFonts w:ascii="Arial" w:hAnsi="Arial" w:cs="Arial"/>
          <w:lang w:val="en-US"/>
        </w:rPr>
        <w:t xml:space="preserve">OTFs that are used for Fixed Income products primarily transact on Match Principal Trading (MPT) usually operate under an all-in price concept. The particular requirement for ex ante price transparency is somewhat burdensome and has nearly no contribution. Some national regulators have suggested that the spread between </w:t>
      </w:r>
      <w:r w:rsidRPr="00542EEA">
        <w:rPr>
          <w:rFonts w:ascii="Arial" w:hAnsi="Arial" w:cs="Arial"/>
          <w:lang w:val="en-US"/>
        </w:rPr>
        <w:lastRenderedPageBreak/>
        <w:t>the two transactions is a cost and could be split over the two transactions. This seems an artificial way of applying ‘cost’. MPT-trading is defined as trading for one’s  own account, however allowed under the rules of an OTF. Therefore the principal of applying cost to a transaction for own account is not applicable, unless the OTF applies other cost such as venue transaction cost. It is particularly burdensome for an OTF in order to comply with cost transparency rules when in fact counterparties transact at an all-in cost basis. AFS would propose to relax the ex-ante cost transparency rules for execution on MPT basis under OTF venue rules, such that the all-in price must be known ex-ante and communicated on a durable medium.</w:t>
      </w:r>
    </w:p>
    <w:permEnd w:id="1237796940"/>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037878AB" w14:textId="77777777" w:rsidR="00C3107C" w:rsidRDefault="00C3107C" w:rsidP="00C3107C">
      <w:pPr>
        <w:spacing w:line="360" w:lineRule="auto"/>
        <w:rPr>
          <w:rFonts w:ascii="Arial" w:hAnsi="Arial" w:cs="Arial"/>
          <w:lang w:val="en-US"/>
        </w:rPr>
      </w:pPr>
      <w:permStart w:id="1250515652" w:edGrp="everyone"/>
      <w:r>
        <w:rPr>
          <w:rFonts w:ascii="Arial" w:hAnsi="Arial" w:cs="Arial"/>
          <w:lang w:val="en-US"/>
        </w:rPr>
        <w:t>AFS would like to see further guidance on differences between operating multilateral systems and other investment services such as reception and transmission of orders. Elements to be considered are:</w:t>
      </w:r>
    </w:p>
    <w:p w14:paraId="3FB9FCE8" w14:textId="77777777" w:rsidR="00C3107C" w:rsidRPr="003527B7" w:rsidRDefault="00C3107C" w:rsidP="003527B7">
      <w:pPr>
        <w:pStyle w:val="Lijstalinea"/>
        <w:spacing w:line="360" w:lineRule="auto"/>
        <w:rPr>
          <w:sz w:val="24"/>
          <w:lang w:val="en-US"/>
        </w:rPr>
      </w:pPr>
      <w:r w:rsidRPr="003527B7">
        <w:rPr>
          <w:sz w:val="24"/>
          <w:lang w:val="en-US"/>
        </w:rPr>
        <w:t xml:space="preserve">When are negotiations prior to settlement on another platform considered multilateral systems? </w:t>
      </w:r>
    </w:p>
    <w:p w14:paraId="5D282061" w14:textId="77777777" w:rsidR="00C3107C" w:rsidRPr="003527B7" w:rsidRDefault="00C3107C" w:rsidP="003527B7">
      <w:pPr>
        <w:pStyle w:val="Lijstalinea"/>
        <w:spacing w:line="360" w:lineRule="auto"/>
        <w:rPr>
          <w:sz w:val="24"/>
          <w:lang w:val="en-US"/>
        </w:rPr>
      </w:pPr>
      <w:r w:rsidRPr="003527B7">
        <w:rPr>
          <w:sz w:val="24"/>
          <w:lang w:val="en-US"/>
        </w:rPr>
        <w:t>What elements of a transaction should interact in a system to be considered multilateral? One could imagine that only essential elements such as price, volume, specific instrument are critical elements to be considered. Other elements may not necessarily constitute an interaction in a system. One can think of a pre-selection by a broker firm of counterparties to invite them on a bid to be placed on a MTF. Such pre selection of potential buyers will not likely constitute an interaction in a system.</w:t>
      </w:r>
    </w:p>
    <w:p w14:paraId="02E59580" w14:textId="41FA08EC" w:rsidR="00542EEA" w:rsidRPr="003527B7" w:rsidRDefault="003527B7" w:rsidP="003527B7">
      <w:pPr>
        <w:pStyle w:val="Lijstalinea"/>
        <w:spacing w:line="360" w:lineRule="auto"/>
        <w:rPr>
          <w:lang w:val="en-US"/>
        </w:rPr>
      </w:pPr>
      <w:r w:rsidRPr="003527B7">
        <w:rPr>
          <w:sz w:val="24"/>
          <w:lang w:val="en-US"/>
        </w:rPr>
        <w:t xml:space="preserve">When </w:t>
      </w:r>
      <w:r w:rsidR="00C3107C" w:rsidRPr="003527B7">
        <w:rPr>
          <w:sz w:val="24"/>
          <w:lang w:val="en-US"/>
        </w:rPr>
        <w:t xml:space="preserve">services are offered on execution only basis, what elements of the transaction can still be offered on a discretionary basis in order not to be considered a multilateral system? Is the choice of execution platform by the </w:t>
      </w:r>
      <w:r w:rsidR="00C3107C" w:rsidRPr="003527B7">
        <w:rPr>
          <w:sz w:val="24"/>
          <w:lang w:val="en-US"/>
        </w:rPr>
        <w:lastRenderedPageBreak/>
        <w:t>executing broker a choice of discretion or should that be considered as part of the specific instruction. In other words could the choice of execution platform lead to a multilateral system on which more buying and selling interest interact?</w:t>
      </w:r>
      <w:r w:rsidRPr="003527B7">
        <w:rPr>
          <w:lang w:val="en-US"/>
        </w:rPr>
        <w:t xml:space="preserve"> </w:t>
      </w:r>
      <w:permEnd w:id="1250515652"/>
      <w:r w:rsidR="00542EEA" w:rsidRPr="003527B7">
        <w:rPr>
          <w:lang w:val="en-US"/>
        </w:rPr>
        <w:t xml:space="preserve"> </w:t>
      </w:r>
    </w:p>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1FFA277A" w14:textId="77777777" w:rsidR="00C92E09" w:rsidRPr="00C92E09" w:rsidRDefault="00C92E09" w:rsidP="00C92E09">
      <w:pPr>
        <w:spacing w:after="160" w:line="259" w:lineRule="auto"/>
        <w:rPr>
          <w:rFonts w:ascii="Arial" w:eastAsia="Calibri" w:hAnsi="Arial" w:cs="Arial"/>
          <w:sz w:val="22"/>
          <w:szCs w:val="22"/>
          <w:lang w:eastAsia="en-US"/>
        </w:rPr>
      </w:pPr>
      <w:permStart w:id="1036202595" w:edGrp="everyone"/>
      <w:r w:rsidRPr="00C92E09">
        <w:rPr>
          <w:rFonts w:ascii="Arial" w:eastAsia="Calibri" w:hAnsi="Arial" w:cs="Arial"/>
          <w:sz w:val="22"/>
          <w:szCs w:val="22"/>
          <w:lang w:eastAsia="en-US"/>
        </w:rPr>
        <w:t>TYPE YOUR TEXT HERE</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F811D30" w14:textId="77777777" w:rsidR="00C92E09" w:rsidRPr="00C92E09" w:rsidRDefault="00C92E09" w:rsidP="00C92E09">
      <w:pPr>
        <w:spacing w:after="160" w:line="259" w:lineRule="auto"/>
        <w:rPr>
          <w:rFonts w:ascii="Arial" w:eastAsia="Calibri" w:hAnsi="Arial" w:cs="Arial"/>
          <w:sz w:val="22"/>
          <w:szCs w:val="22"/>
          <w:lang w:eastAsia="en-US"/>
        </w:rPr>
      </w:pPr>
      <w:permStart w:id="1365582167" w:edGrp="everyone"/>
      <w:r w:rsidRPr="00C92E09">
        <w:rPr>
          <w:rFonts w:ascii="Arial" w:eastAsia="Calibri" w:hAnsi="Arial" w:cs="Arial"/>
          <w:sz w:val="22"/>
          <w:szCs w:val="22"/>
          <w:lang w:eastAsia="en-US"/>
        </w:rPr>
        <w:t>TYPE YOUR TEXT HERE</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5C313A3D" w14:textId="08EA6416" w:rsidR="005B0D37" w:rsidRDefault="005B0D37" w:rsidP="005B0D37">
      <w:pPr>
        <w:spacing w:after="160" w:line="360" w:lineRule="auto"/>
        <w:rPr>
          <w:rFonts w:ascii="Arial" w:eastAsia="Calibri" w:hAnsi="Arial" w:cs="Arial"/>
          <w:sz w:val="22"/>
          <w:szCs w:val="22"/>
          <w:lang w:eastAsia="en-US"/>
        </w:rPr>
      </w:pPr>
      <w:permStart w:id="1941981821" w:edGrp="everyone"/>
      <w:r w:rsidRPr="005B0D37">
        <w:rPr>
          <w:rFonts w:ascii="Arial" w:eastAsia="Calibri" w:hAnsi="Arial" w:cs="Arial"/>
          <w:szCs w:val="22"/>
          <w:lang w:eastAsia="en-US"/>
        </w:rPr>
        <w:t xml:space="preserve">AFS is of the view that some of the new </w:t>
      </w:r>
      <w:proofErr w:type="spellStart"/>
      <w:r w:rsidRPr="005B0D37">
        <w:rPr>
          <w:rFonts w:ascii="Arial" w:eastAsia="Calibri" w:hAnsi="Arial" w:cs="Arial"/>
          <w:szCs w:val="22"/>
          <w:lang w:eastAsia="en-US"/>
        </w:rPr>
        <w:t>b</w:t>
      </w:r>
      <w:r w:rsidR="00C3107C" w:rsidRPr="005B0D37">
        <w:rPr>
          <w:rFonts w:ascii="Arial" w:eastAsia="Calibri" w:hAnsi="Arial" w:cs="Arial"/>
          <w:szCs w:val="22"/>
          <w:lang w:eastAsia="en-US"/>
        </w:rPr>
        <w:t>lockchain</w:t>
      </w:r>
      <w:proofErr w:type="spellEnd"/>
      <w:r w:rsidR="00C3107C" w:rsidRPr="005B0D37">
        <w:rPr>
          <w:rFonts w:ascii="Arial" w:eastAsia="Calibri" w:hAnsi="Arial" w:cs="Arial"/>
          <w:szCs w:val="22"/>
          <w:lang w:eastAsia="en-US"/>
        </w:rPr>
        <w:t xml:space="preserve"> development initiatives </w:t>
      </w:r>
      <w:r w:rsidRPr="005B0D37">
        <w:rPr>
          <w:rFonts w:ascii="Arial" w:eastAsia="Calibri" w:hAnsi="Arial" w:cs="Arial"/>
          <w:szCs w:val="22"/>
          <w:lang w:eastAsia="en-US"/>
        </w:rPr>
        <w:t xml:space="preserve">are potentially software providers that are </w:t>
      </w:r>
      <w:proofErr w:type="spellStart"/>
      <w:r w:rsidRPr="005B0D37">
        <w:rPr>
          <w:rFonts w:ascii="Arial" w:eastAsia="Calibri" w:hAnsi="Arial" w:cs="Arial"/>
          <w:szCs w:val="22"/>
          <w:lang w:eastAsia="en-US"/>
        </w:rPr>
        <w:t>multilaral</w:t>
      </w:r>
      <w:proofErr w:type="spellEnd"/>
      <w:r w:rsidRPr="005B0D37">
        <w:rPr>
          <w:rFonts w:ascii="Arial" w:eastAsia="Calibri" w:hAnsi="Arial" w:cs="Arial"/>
          <w:szCs w:val="22"/>
          <w:lang w:eastAsia="en-US"/>
        </w:rPr>
        <w:t xml:space="preserve"> in nature.</w:t>
      </w:r>
      <w:r w:rsidR="000475DC">
        <w:rPr>
          <w:rFonts w:ascii="Arial" w:eastAsia="Calibri" w:hAnsi="Arial" w:cs="Arial"/>
          <w:szCs w:val="22"/>
          <w:lang w:eastAsia="en-US"/>
        </w:rPr>
        <w:t xml:space="preserve"> Any software systems that allows multiple users to interact buy and sell interests such that a potential transaction may take place should classify as multilateral system.</w:t>
      </w:r>
    </w:p>
    <w:permEnd w:id="1941981821"/>
    <w:p w14:paraId="58C05941" w14:textId="6794172E"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3A5B0E31" w14:textId="77777777" w:rsidR="000475DC" w:rsidRDefault="000475DC" w:rsidP="00BF78EF">
      <w:pPr>
        <w:spacing w:line="360" w:lineRule="auto"/>
        <w:rPr>
          <w:rFonts w:ascii="Arial" w:hAnsi="Arial" w:cs="Arial"/>
          <w:lang w:val="en-US"/>
        </w:rPr>
      </w:pPr>
    </w:p>
    <w:p w14:paraId="315C3E79" w14:textId="58194714" w:rsidR="000475DC" w:rsidRDefault="000475DC" w:rsidP="000475DC">
      <w:pPr>
        <w:spacing w:after="160" w:line="360" w:lineRule="auto"/>
        <w:rPr>
          <w:rFonts w:ascii="Arial" w:hAnsi="Arial" w:cs="Arial"/>
          <w:lang w:val="en-US"/>
        </w:rPr>
      </w:pPr>
      <w:permStart w:id="1312190166" w:edGrp="everyone"/>
      <w:r>
        <w:rPr>
          <w:rFonts w:ascii="Arial" w:hAnsi="Arial" w:cs="Arial"/>
          <w:lang w:val="en-US"/>
        </w:rPr>
        <w:t>AFS concurs with the analysis by ESMA regarding software providers that pre-arranged transactions but formalize them on other venues are still to be authorized as trading venues. AFS would like to stipulate that this approach should be generalized and should not only be applicable to software providers. Any system maintained by intermediate parties, such as voice brokers with a sole license for reception and transmission of orders (RTO), that is multilateral in nature with the sole purpose to arrange transactions but finalize them on a different venue shall be authorized as a trading venue (OTF/MTF or RM). For the avoidance of doubt AFS maintains the view that a transaction closing system should then not be classified as multilateral by definition</w:t>
      </w:r>
      <w:r>
        <w:rPr>
          <w:rFonts w:ascii="Arial" w:hAnsi="Arial" w:cs="Arial"/>
          <w:lang w:val="en-US"/>
        </w:rPr>
        <w:t xml:space="preserve"> because it is </w:t>
      </w:r>
      <w:r>
        <w:rPr>
          <w:rFonts w:ascii="Arial" w:hAnsi="Arial" w:cs="Arial"/>
          <w:lang w:val="en-US"/>
        </w:rPr>
        <w:t>primarily bilateral in nature</w:t>
      </w:r>
      <w:r>
        <w:rPr>
          <w:rFonts w:ascii="Arial" w:hAnsi="Arial" w:cs="Arial"/>
          <w:lang w:val="en-US"/>
        </w:rPr>
        <w:t xml:space="preserve"> when such transaction are effectively arranged outside a transaction closing system</w:t>
      </w:r>
      <w:r>
        <w:rPr>
          <w:rFonts w:ascii="Arial" w:hAnsi="Arial" w:cs="Arial"/>
          <w:lang w:val="en-US"/>
        </w:rPr>
        <w:t>. ESMA could stipulate this in further guidance, which further indicates that MIFI</w:t>
      </w:r>
      <w:r>
        <w:rPr>
          <w:rFonts w:ascii="Arial" w:hAnsi="Arial" w:cs="Arial"/>
          <w:lang w:val="en-US"/>
        </w:rPr>
        <w:t>D II is technologically neutral.</w:t>
      </w:r>
    </w:p>
    <w:permEnd w:id="1312190166"/>
    <w:p w14:paraId="4738C5E6" w14:textId="3AD588B1"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71B7ADE1" w14:textId="77777777" w:rsidR="00DF5D7F" w:rsidRDefault="00C3107C" w:rsidP="00DF5D7F">
      <w:pPr>
        <w:spacing w:after="160" w:line="360" w:lineRule="auto"/>
        <w:rPr>
          <w:rFonts w:ascii="Arial" w:eastAsia="Calibri" w:hAnsi="Arial" w:cs="Arial"/>
          <w:sz w:val="22"/>
          <w:szCs w:val="22"/>
          <w:lang w:eastAsia="en-US"/>
        </w:rPr>
      </w:pPr>
      <w:permStart w:id="233254254" w:edGrp="everyone"/>
      <w:r w:rsidRPr="00DF5D7F">
        <w:rPr>
          <w:rFonts w:ascii="Arial" w:eastAsia="Calibri" w:hAnsi="Arial" w:cs="Arial"/>
          <w:szCs w:val="22"/>
          <w:lang w:eastAsia="en-US"/>
        </w:rPr>
        <w:t>AFS considers bulletin boards as multilateral. It is a system on which multiple buy and sell interests interact.</w:t>
      </w:r>
      <w:r w:rsidR="00DF5D7F" w:rsidRPr="00DF5D7F">
        <w:rPr>
          <w:rFonts w:ascii="Arial" w:eastAsia="Calibri" w:hAnsi="Arial" w:cs="Arial"/>
          <w:szCs w:val="22"/>
          <w:lang w:eastAsia="en-US"/>
        </w:rPr>
        <w:t xml:space="preserve"> News bulletin boards are obviously exempted from this, but any system that allows the interaction of multiple buy and sell interest should classify as multilateral. Names for systems such as ‘bulletin board’, ‘trade facility software’ or similar are diverting from the actual underlying facility of transactions.</w:t>
      </w:r>
    </w:p>
    <w:permEnd w:id="233254254"/>
    <w:p w14:paraId="498FE611" w14:textId="2E9689D3"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49015D22" w14:textId="77777777" w:rsidR="00F82E29" w:rsidRDefault="00F82E29" w:rsidP="00F82E29">
      <w:pPr>
        <w:spacing w:line="360" w:lineRule="auto"/>
        <w:rPr>
          <w:rFonts w:ascii="Arial" w:hAnsi="Arial" w:cs="Arial"/>
          <w:lang w:val="en-US"/>
        </w:rPr>
      </w:pPr>
      <w:permStart w:id="920919709" w:edGrp="everyone"/>
      <w:r>
        <w:rPr>
          <w:rFonts w:ascii="Arial" w:hAnsi="Arial" w:cs="Arial"/>
          <w:lang w:val="en-US"/>
        </w:rPr>
        <w:t xml:space="preserve">In reality there is no difference between MPT and riskless principal trading, although from a MIFID perspective there should be clarity on this concept. OTF operators may interpret the possibility to use MPT as an opportunity to apply riskless principal trading. The fact that MPT is classified as ‘trading for own account’ does not help in this interpretation. If ESMA classifies MPT as ‘trading for own account’, it should not be any different than riskless principal trading. If ESMA considers MPT as a brokerage methodology by which the broker only interposes itself it should not be classified as ‘trading for own account’. Consequently there could be no spread between the buy and the sell side of the transaction, however that is the basis of MPT bond transactions. </w:t>
      </w:r>
    </w:p>
    <w:p w14:paraId="545EC0CF" w14:textId="77777777" w:rsidR="00F82E29" w:rsidRDefault="00F82E29" w:rsidP="00F82E29">
      <w:pPr>
        <w:spacing w:line="360" w:lineRule="auto"/>
        <w:rPr>
          <w:rFonts w:ascii="Arial" w:hAnsi="Arial" w:cs="Arial"/>
          <w:lang w:val="en-US"/>
        </w:rPr>
      </w:pPr>
      <w:r>
        <w:rPr>
          <w:rFonts w:ascii="Arial" w:hAnsi="Arial" w:cs="Arial"/>
          <w:lang w:val="en-US"/>
        </w:rPr>
        <w:t xml:space="preserve">The main incentive for an OTF bond facility to use MPT is to engage in an all-in pricing methodology. It provides clear pricing to clients and members and therefore maximum cost transparency. However ex-ante price transparency requirements are inconsistent with ‘trading for own account’ principals and somewhat burdensome on the OTF operator. ESMA should give guidance on how to apply the cost transparency requirement in relation to MPT being in principal a proprietary trading methodology as according to the license classification. Applying a ‘fee-structure’ to transactions that are principally done at your own risk does not make a lot of sense. </w:t>
      </w:r>
    </w:p>
    <w:p w14:paraId="5217AEC6" w14:textId="77777777" w:rsidR="00F82E29" w:rsidRDefault="00F82E29" w:rsidP="00F82E29">
      <w:pPr>
        <w:spacing w:line="360" w:lineRule="auto"/>
        <w:rPr>
          <w:rFonts w:ascii="Arial" w:hAnsi="Arial" w:cs="Arial"/>
          <w:lang w:val="en-US"/>
        </w:rPr>
      </w:pPr>
      <w:bookmarkStart w:id="1" w:name="_GoBack"/>
      <w:bookmarkEnd w:id="1"/>
    </w:p>
    <w:p w14:paraId="43C87D1C" w14:textId="77777777" w:rsidR="00F82E29" w:rsidRDefault="00F82E29" w:rsidP="00F82E29">
      <w:pPr>
        <w:spacing w:after="160" w:line="360" w:lineRule="auto"/>
        <w:rPr>
          <w:rFonts w:ascii="Arial" w:eastAsia="Calibri" w:hAnsi="Arial" w:cs="Arial"/>
          <w:sz w:val="22"/>
          <w:szCs w:val="22"/>
          <w:lang w:val="en-US" w:eastAsia="en-US"/>
        </w:rPr>
      </w:pPr>
      <w:r w:rsidRPr="00BF78EF">
        <w:rPr>
          <w:rFonts w:ascii="Arial" w:hAnsi="Arial" w:cs="Arial"/>
          <w:lang w:val="en-US"/>
        </w:rPr>
        <w:t xml:space="preserve">Some national regulators have suggested that the spread between the two transactions is a cost and could be split over the two transactions. This seems an artificial way of applying ‘cost’. MPT-trading is defined as trading for one’s own account, however allowed under the rules of an OTF. Therefore the principal of </w:t>
      </w:r>
      <w:r w:rsidRPr="00BF78EF">
        <w:rPr>
          <w:rFonts w:ascii="Arial" w:hAnsi="Arial" w:cs="Arial"/>
          <w:lang w:val="en-US"/>
        </w:rPr>
        <w:lastRenderedPageBreak/>
        <w:t>applying cost to a MPT transaction should not be applicable, unless the OTF applies other cost such as venue transaction cost. It is particularly burdensome for an OTF in order to comply with cost transparency rules when in fact counterparties transact at an all-in cost basis. AFS would propose to relax the cost transparency rules for execution on MPT basis under OTF venue rules, such that the all-in price must be known to the client or member on ex-ante basis and communicated on a durable medium.</w:t>
      </w:r>
    </w:p>
    <w:permEnd w:id="920919709"/>
    <w:p w14:paraId="72D9FE4F" w14:textId="7D748245"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4C5B6" w14:textId="77777777" w:rsidR="00886DDE" w:rsidRDefault="00886DDE" w:rsidP="007E7997">
      <w:r>
        <w:separator/>
      </w:r>
    </w:p>
  </w:endnote>
  <w:endnote w:type="continuationSeparator" w:id="0">
    <w:p w14:paraId="16193FB8" w14:textId="77777777" w:rsidR="00886DDE" w:rsidRDefault="00886DDE" w:rsidP="007E7997">
      <w:r>
        <w:continuationSeparator/>
      </w:r>
    </w:p>
  </w:endnote>
  <w:endnote w:type="continuationNotice" w:id="1">
    <w:p w14:paraId="72EC8F84" w14:textId="77777777" w:rsidR="00886DDE" w:rsidRDefault="00886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5B4E" w14:textId="77777777" w:rsidR="00E824DB" w:rsidRDefault="00E824D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E36813" w:rsidRDefault="00E36813">
        <w:pPr>
          <w:pStyle w:val="Voetteks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7CC2FC07" w:rsidR="00E36813" w:rsidRDefault="00E36813" w:rsidP="007A160F">
    <w:pPr>
      <w:pStyle w:val="Voettekst"/>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E36813" w:rsidRDefault="00E36813">
        <w:pPr>
          <w:pStyle w:val="Voettekst"/>
          <w:jc w:val="center"/>
        </w:pPr>
        <w:r>
          <w:fldChar w:fldCharType="begin"/>
        </w:r>
        <w:r>
          <w:instrText xml:space="preserve"> PAGE   \* MERGEFORMAT </w:instrText>
        </w:r>
        <w:r>
          <w:fldChar w:fldCharType="separate"/>
        </w:r>
        <w:r w:rsidR="00F82E29">
          <w:rPr>
            <w:noProof/>
          </w:rPr>
          <w:t>11</w:t>
        </w:r>
        <w:r>
          <w:rPr>
            <w:noProof/>
          </w:rPr>
          <w:fldChar w:fldCharType="end"/>
        </w:r>
      </w:p>
    </w:sdtContent>
  </w:sdt>
  <w:p w14:paraId="5EAB6EC7" w14:textId="1F85019A" w:rsidR="00E36813" w:rsidRDefault="00E36813" w:rsidP="00FB24ED">
    <w:pPr>
      <w:pStyle w:val="Voet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EFEE7" w14:textId="77777777" w:rsidR="00886DDE" w:rsidRDefault="00886DDE" w:rsidP="007E7997">
      <w:r>
        <w:separator/>
      </w:r>
    </w:p>
  </w:footnote>
  <w:footnote w:type="continuationSeparator" w:id="0">
    <w:p w14:paraId="47A90CA2" w14:textId="77777777" w:rsidR="00886DDE" w:rsidRDefault="00886DDE" w:rsidP="007E7997">
      <w:r>
        <w:continuationSeparator/>
      </w:r>
    </w:p>
  </w:footnote>
  <w:footnote w:type="continuationNotice" w:id="1">
    <w:p w14:paraId="7D7680F0" w14:textId="77777777" w:rsidR="00886DDE" w:rsidRDefault="00886D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78B80" w14:textId="77777777" w:rsidR="00E824DB" w:rsidRDefault="00E824D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E36813" w:rsidRDefault="00E36813">
    <w:pPr>
      <w:pStyle w:val="Koptekst"/>
    </w:pPr>
  </w:p>
  <w:p w14:paraId="59FA3C9D" w14:textId="77777777" w:rsidR="00E36813" w:rsidRDefault="00E3681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E36813" w:rsidRDefault="00E36813">
    <w:pPr>
      <w:pStyle w:val="Koptekst"/>
    </w:pPr>
    <w:r>
      <w:rPr>
        <w:noProof/>
        <w:lang w:val="nl-NL" w:eastAsia="nl-NL"/>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E36813" w:rsidRDefault="00E36813" w:rsidP="00B50534">
    <w:pPr>
      <w:pStyle w:val="Koptekst"/>
      <w:jc w:val="right"/>
      <w:rPr>
        <w:b/>
        <w:color w:val="FF0000"/>
      </w:rPr>
    </w:pPr>
    <w:r w:rsidRPr="008D5F86">
      <w:rPr>
        <w:rFonts w:ascii="Arial" w:hAnsi="Arial" w:cs="Arial"/>
        <w:noProof/>
        <w:lang w:val="nl-NL" w:eastAsia="nl-NL"/>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Koptekst"/>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nl-NL" w:eastAsia="nl-NL"/>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tekst"/>
      <w:jc w:val="right"/>
      <w:rPr>
        <w:color w:val="2F5496" w:themeColor="accent5" w:themeShade="BF"/>
        <w:sz w:val="20"/>
      </w:rPr>
    </w:pPr>
  </w:p>
  <w:p w14:paraId="5EAB6EC6" w14:textId="77777777" w:rsidR="00E36813" w:rsidRPr="00B50534" w:rsidRDefault="00E36813" w:rsidP="00B50534">
    <w:pPr>
      <w:pStyle w:val="Koptekst"/>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0771D2"/>
    <w:multiLevelType w:val="hybridMultilevel"/>
    <w:tmpl w:val="C3CAD35C"/>
    <w:lvl w:ilvl="0" w:tplc="0B90E20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Kop1"/>
      <w:lvlText w:val="%1."/>
      <w:lvlJc w:val="righ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8"/>
  </w:num>
  <w:num w:numId="6">
    <w:abstractNumId w:val="12"/>
  </w:num>
  <w:num w:numId="7">
    <w:abstractNumId w:val="7"/>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5DC"/>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27B7"/>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9511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847"/>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2EEA"/>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0D37"/>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86DDE"/>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528"/>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BF78EF"/>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07C"/>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5D7F"/>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82E29"/>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Kop1">
    <w:name w:val="heading 1"/>
    <w:basedOn w:val="Standaard"/>
    <w:next w:val="Standaard"/>
    <w:link w:val="Kop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Kop3">
    <w:name w:val="heading 3"/>
    <w:basedOn w:val="Standaard"/>
    <w:next w:val="Standaard"/>
    <w:link w:val="Kop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Kop4">
    <w:name w:val="heading 4"/>
    <w:basedOn w:val="Standaard"/>
    <w:next w:val="Standaard"/>
    <w:link w:val="Kop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Kop6">
    <w:name w:val="heading 6"/>
    <w:basedOn w:val="Standaard"/>
    <w:next w:val="Standaard"/>
    <w:link w:val="Kop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rsid w:val="00020300"/>
    <w:rPr>
      <w:rFonts w:asciiTheme="majorHAnsi" w:eastAsiaTheme="majorEastAsia" w:hAnsiTheme="majorHAnsi" w:cstheme="majorBidi"/>
      <w:sz w:val="24"/>
      <w:szCs w:val="22"/>
      <w:lang w:val="en-GB" w:eastAsia="en-GB"/>
    </w:rPr>
  </w:style>
  <w:style w:type="character" w:customStyle="1" w:styleId="Kop3Char">
    <w:name w:val="Kop 3 Char"/>
    <w:basedOn w:val="Standaardalinea-lettertype"/>
    <w:link w:val="Kop3"/>
    <w:rsid w:val="00020300"/>
    <w:rPr>
      <w:rFonts w:asciiTheme="majorHAnsi" w:eastAsiaTheme="majorEastAsia" w:hAnsiTheme="majorHAnsi" w:cstheme="majorBidi"/>
      <w:sz w:val="24"/>
      <w:szCs w:val="24"/>
      <w:lang w:val="en-GB" w:eastAsia="en-GB"/>
    </w:rPr>
  </w:style>
  <w:style w:type="character" w:customStyle="1" w:styleId="Kop1Char">
    <w:name w:val="Kop 1 Char"/>
    <w:basedOn w:val="Standaardalinea-lettertype"/>
    <w:link w:val="Kop1"/>
    <w:rsid w:val="00FE0BD8"/>
    <w:rPr>
      <w:rFonts w:asciiTheme="majorHAnsi" w:eastAsiaTheme="majorEastAsia" w:hAnsiTheme="majorHAnsi" w:cstheme="majorBidi"/>
      <w:b/>
      <w:sz w:val="32"/>
      <w:szCs w:val="32"/>
      <w:lang w:val="en-GB" w:eastAsia="en-GB"/>
    </w:rPr>
  </w:style>
  <w:style w:type="character" w:customStyle="1" w:styleId="Kop2Char">
    <w:name w:val="Kop 2 Char"/>
    <w:basedOn w:val="Standaardalinea-lettertype"/>
    <w:link w:val="Kop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autoRedefine/>
    <w:rsid w:val="002574D1"/>
    <w:pPr>
      <w:numPr>
        <w:numId w:val="2"/>
      </w:numPr>
    </w:pPr>
    <w:rPr>
      <w:b/>
      <w:sz w:val="28"/>
    </w:rPr>
  </w:style>
  <w:style w:type="character" w:customStyle="1" w:styleId="Title1Char">
    <w:name w:val="Title 1 Char"/>
    <w:basedOn w:val="Standaardalinea-lettertype"/>
    <w:link w:val="Title1"/>
    <w:rsid w:val="003C4EB5"/>
    <w:rPr>
      <w:rFonts w:eastAsiaTheme="majorEastAsia" w:cstheme="minorHAnsi"/>
      <w:b/>
      <w:sz w:val="28"/>
      <w:szCs w:val="22"/>
      <w:lang w:val="en-GB" w:eastAsia="en-GB"/>
    </w:rPr>
  </w:style>
  <w:style w:type="paragraph" w:styleId="Lijstalinea">
    <w:name w:val="List Paragraph"/>
    <w:aliases w:val="Paragraphe EI,Paragraphe de liste1,EC,Paragraphe de liste,Normal Nivel 1,List Paragraph Main,List first level,List Paragraph_Sections"/>
    <w:basedOn w:val="Standaard"/>
    <w:link w:val="LijstalineaChar"/>
    <w:autoRedefine/>
    <w:uiPriority w:val="34"/>
    <w:qFormat/>
    <w:rsid w:val="003527B7"/>
    <w:pPr>
      <w:numPr>
        <w:numId w:val="18"/>
      </w:numPr>
      <w:tabs>
        <w:tab w:val="left" w:pos="0"/>
        <w:tab w:val="left" w:pos="142"/>
        <w:tab w:val="left" w:pos="284"/>
        <w:tab w:val="left" w:pos="567"/>
      </w:tabs>
      <w:autoSpaceDE w:val="0"/>
      <w:autoSpaceDN w:val="0"/>
      <w:adjustRightInd w:val="0"/>
      <w:spacing w:after="160" w:line="259" w:lineRule="auto"/>
      <w:jc w:val="both"/>
    </w:pPr>
    <w:rPr>
      <w:rFonts w:asciiTheme="minorHAnsi" w:eastAsiaTheme="majorEastAsia" w:hAnsiTheme="minorHAnsi" w:cstheme="minorHAnsi"/>
      <w:sz w:val="22"/>
      <w:szCs w:val="22"/>
    </w:rPr>
  </w:style>
  <w:style w:type="paragraph" w:customStyle="1" w:styleId="Title3">
    <w:name w:val="Title 3"/>
    <w:basedOn w:val="Lijstalinea"/>
    <w:link w:val="Title3Char"/>
    <w:autoRedefine/>
    <w:rsid w:val="002574D1"/>
    <w:pPr>
      <w:numPr>
        <w:ilvl w:val="3"/>
        <w:numId w:val="2"/>
      </w:numPr>
    </w:pPr>
  </w:style>
  <w:style w:type="character" w:customStyle="1" w:styleId="Title3Char">
    <w:name w:val="Title 3 Char"/>
    <w:basedOn w:val="Standaardalinea-lettertype"/>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ardalinea-lettertype"/>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sz w:val="24"/>
      <w:szCs w:val="22"/>
      <w:lang w:val="en-GB" w:eastAsia="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ard"/>
    <w:next w:val="Standaard"/>
    <w:link w:val="Titel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Char">
    <w:name w:val="Titel Char"/>
    <w:basedOn w:val="Standaardalinea-lettertype"/>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Ondertitel">
    <w:name w:val="Subtitle"/>
    <w:basedOn w:val="Standaard"/>
    <w:next w:val="Standaard"/>
    <w:link w:val="OndertitelChar"/>
    <w:uiPriority w:val="11"/>
    <w:qFormat/>
    <w:rsid w:val="00366D42"/>
    <w:pPr>
      <w:numPr>
        <w:ilvl w:val="1"/>
      </w:numPr>
    </w:pPr>
    <w:rPr>
      <w:rFonts w:asciiTheme="majorHAnsi" w:eastAsiaTheme="majorEastAsia" w:hAnsiTheme="majorHAnsi" w:cstheme="majorBidi"/>
      <w:b/>
      <w:sz w:val="28"/>
    </w:rPr>
  </w:style>
  <w:style w:type="character" w:customStyle="1" w:styleId="OndertitelChar">
    <w:name w:val="Ondertitel Char"/>
    <w:basedOn w:val="Standaardalinea-lettertype"/>
    <w:link w:val="Ondertitel"/>
    <w:uiPriority w:val="11"/>
    <w:rsid w:val="00366D42"/>
    <w:rPr>
      <w:rFonts w:asciiTheme="majorHAnsi" w:eastAsiaTheme="majorEastAsia" w:hAnsiTheme="majorHAnsi" w:cstheme="majorBidi"/>
      <w:b/>
      <w:sz w:val="28"/>
      <w:szCs w:val="24"/>
      <w:lang w:val="en-GB"/>
    </w:rPr>
  </w:style>
  <w:style w:type="character" w:customStyle="1" w:styleId="Kop7Char">
    <w:name w:val="Kop 7 Char"/>
    <w:basedOn w:val="Standaardalinea-lettertype"/>
    <w:link w:val="Kop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Kop8Char">
    <w:name w:val="Kop 8 Char"/>
    <w:basedOn w:val="Standaardalinea-lettertype"/>
    <w:link w:val="Kop8"/>
    <w:rsid w:val="00AA054E"/>
    <w:rPr>
      <w:rFonts w:asciiTheme="majorHAnsi" w:eastAsiaTheme="majorEastAsia" w:hAnsiTheme="majorHAnsi" w:cstheme="majorBidi"/>
      <w:b/>
      <w:bCs/>
      <w:color w:val="44546A" w:themeColor="text2"/>
      <w:sz w:val="24"/>
      <w:szCs w:val="24"/>
      <w:lang w:val="en-GB" w:eastAsia="en-GB"/>
    </w:rPr>
  </w:style>
  <w:style w:type="character" w:customStyle="1" w:styleId="Kop9Char">
    <w:name w:val="Kop 9 Char"/>
    <w:basedOn w:val="Standaardalinea-lettertype"/>
    <w:link w:val="Kop9"/>
    <w:rsid w:val="00AA054E"/>
    <w:rPr>
      <w:rFonts w:asciiTheme="majorHAnsi" w:eastAsiaTheme="majorEastAsia" w:hAnsiTheme="majorHAnsi" w:cstheme="majorBidi"/>
      <w:b/>
      <w:bCs/>
      <w:i/>
      <w:iCs/>
      <w:color w:val="44546A" w:themeColor="text2"/>
      <w:sz w:val="24"/>
      <w:szCs w:val="24"/>
      <w:lang w:val="en-GB" w:eastAsia="en-GB"/>
    </w:rPr>
  </w:style>
  <w:style w:type="paragraph" w:styleId="Bijschrift">
    <w:name w:val="caption"/>
    <w:basedOn w:val="Standaard"/>
    <w:next w:val="Standaard"/>
    <w:uiPriority w:val="35"/>
    <w:semiHidden/>
    <w:unhideWhenUsed/>
    <w:qFormat/>
    <w:rsid w:val="00AA054E"/>
    <w:rPr>
      <w:b/>
      <w:bCs/>
      <w:smallCaps/>
      <w:color w:val="595959"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AA054E"/>
    <w:rPr>
      <w:i/>
      <w:iCs/>
      <w:color w:val="404040"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5B9BD5" w:themeColor="accent1"/>
      <w:sz w:val="28"/>
      <w:szCs w:val="28"/>
    </w:rPr>
  </w:style>
  <w:style w:type="character" w:styleId="Subtielebenadrukking">
    <w:name w:val="Subtle Emphasis"/>
    <w:aliases w:val="Text,Emphase pâle,Diskret betoning"/>
    <w:basedOn w:val="Standaardalinea-lettertype"/>
    <w:uiPriority w:val="19"/>
    <w:qFormat/>
    <w:rsid w:val="00287C8F"/>
    <w:rPr>
      <w:rFonts w:asciiTheme="majorHAnsi" w:hAnsiTheme="majorHAnsi"/>
      <w:i/>
      <w:iCs/>
      <w:color w:val="auto"/>
      <w:sz w:val="22"/>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AA054E"/>
    <w:p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rsid w:val="007E7997"/>
    <w:pPr>
      <w:tabs>
        <w:tab w:val="center" w:pos="4536"/>
        <w:tab w:val="right" w:pos="9072"/>
      </w:tabs>
    </w:pPr>
  </w:style>
  <w:style w:type="character" w:customStyle="1" w:styleId="KoptekstChar">
    <w:name w:val="Koptekst Char"/>
    <w:basedOn w:val="Standaardalinea-lettertype"/>
    <w:link w:val="Koptekst"/>
    <w:uiPriority w:val="99"/>
    <w:rsid w:val="007E7997"/>
    <w:rPr>
      <w:sz w:val="22"/>
    </w:rPr>
  </w:style>
  <w:style w:type="paragraph" w:styleId="Voettekst">
    <w:name w:val="footer"/>
    <w:basedOn w:val="Standaard"/>
    <w:link w:val="VoettekstChar"/>
    <w:uiPriority w:val="99"/>
    <w:unhideWhenUsed/>
    <w:rsid w:val="007E7997"/>
    <w:pPr>
      <w:tabs>
        <w:tab w:val="center" w:pos="4536"/>
        <w:tab w:val="right" w:pos="9072"/>
      </w:tabs>
    </w:pPr>
  </w:style>
  <w:style w:type="character" w:customStyle="1" w:styleId="VoettekstChar">
    <w:name w:val="Voettekst Char"/>
    <w:basedOn w:val="Standaardalinea-lettertype"/>
    <w:link w:val="Voettekst"/>
    <w:uiPriority w:val="99"/>
    <w:rsid w:val="007E7997"/>
    <w:rPr>
      <w:sz w:val="22"/>
    </w:rPr>
  </w:style>
  <w:style w:type="paragraph" w:customStyle="1" w:styleId="00aPagenumber">
    <w:name w:val="00a_Page number"/>
    <w:basedOn w:val="Standaard"/>
    <w:rsid w:val="007E7997"/>
    <w:pPr>
      <w:spacing w:line="280" w:lineRule="atLeast"/>
      <w:jc w:val="right"/>
    </w:pPr>
    <w:rPr>
      <w:rFonts w:ascii="Georgia" w:hAnsi="Georgia"/>
      <w:color w:val="000000"/>
      <w:lang w:eastAsia="de-DE"/>
    </w:rPr>
  </w:style>
  <w:style w:type="paragraph" w:customStyle="1" w:styleId="02Date">
    <w:name w:val="02_Date"/>
    <w:basedOn w:val="Standaard"/>
    <w:rsid w:val="00636E02"/>
    <w:pPr>
      <w:spacing w:line="220" w:lineRule="exact"/>
    </w:pPr>
    <w:rPr>
      <w:rFonts w:ascii="Georgia" w:hAnsi="Georgia"/>
      <w:sz w:val="17"/>
      <w:lang w:eastAsia="de-DE"/>
    </w:rPr>
  </w:style>
  <w:style w:type="paragraph" w:styleId="Inhopg1">
    <w:name w:val="toc 1"/>
    <w:basedOn w:val="Standaard"/>
    <w:next w:val="Standaard"/>
    <w:autoRedefine/>
    <w:uiPriority w:val="39"/>
    <w:unhideWhenUsed/>
    <w:rsid w:val="00B81A44"/>
    <w:pPr>
      <w:tabs>
        <w:tab w:val="left" w:pos="440"/>
        <w:tab w:val="right" w:leader="dot" w:pos="9062"/>
      </w:tabs>
      <w:spacing w:after="100"/>
    </w:pPr>
  </w:style>
  <w:style w:type="paragraph" w:styleId="Inhopg2">
    <w:name w:val="toc 2"/>
    <w:basedOn w:val="Standaard"/>
    <w:next w:val="Standaard"/>
    <w:autoRedefine/>
    <w:uiPriority w:val="39"/>
    <w:unhideWhenUsed/>
    <w:rsid w:val="00BC422A"/>
    <w:pPr>
      <w:spacing w:after="100"/>
      <w:ind w:left="220"/>
    </w:pPr>
  </w:style>
  <w:style w:type="paragraph" w:styleId="Inhopg3">
    <w:name w:val="toc 3"/>
    <w:basedOn w:val="Standaard"/>
    <w:next w:val="Standaard"/>
    <w:autoRedefine/>
    <w:uiPriority w:val="39"/>
    <w:unhideWhenUsed/>
    <w:rsid w:val="00BC422A"/>
    <w:pPr>
      <w:spacing w:after="100"/>
      <w:ind w:left="440"/>
    </w:pPr>
  </w:style>
  <w:style w:type="character" w:styleId="Hyperlink">
    <w:name w:val="Hyperlink"/>
    <w:basedOn w:val="Standaardalinea-lettertype"/>
    <w:uiPriority w:val="99"/>
    <w:unhideWhenUsed/>
    <w:rsid w:val="00BC422A"/>
    <w:rPr>
      <w:color w:val="0563C1" w:themeColor="hyperlink"/>
      <w:u w:val="single"/>
    </w:rPr>
  </w:style>
  <w:style w:type="paragraph" w:customStyle="1" w:styleId="Questionstyle">
    <w:name w:val="Question style"/>
    <w:basedOn w:val="Standaard"/>
    <w:next w:val="Standa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Standaardalinea-lettertype"/>
    <w:link w:val="Questionstyle"/>
    <w:rsid w:val="00F77851"/>
    <w:rPr>
      <w:rFonts w:eastAsia="Times New Roman" w:cstheme="minorHAnsi"/>
      <w:sz w:val="22"/>
      <w:szCs w:val="22"/>
      <w:lang w:val="en-GB" w:eastAsia="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50534"/>
  </w:style>
  <w:style w:type="character" w:customStyle="1" w:styleId="EindnoottekstChar">
    <w:name w:val="Eindnoottekst Char"/>
    <w:basedOn w:val="Standaardalinea-lettertype"/>
    <w:link w:val="Eindnoottekst"/>
    <w:uiPriority w:val="99"/>
    <w:semiHidden/>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semiHidden/>
    <w:unhideWhenUsed/>
    <w:qFormat/>
    <w:rsid w:val="006F53E8"/>
    <w:rPr>
      <w:sz w:val="16"/>
    </w:rPr>
  </w:style>
  <w:style w:type="character" w:customStyle="1" w:styleId="VoetnoottekstChar">
    <w:name w:val="Voetnoottekst Char"/>
    <w:basedOn w:val="Standaardalinea-lettertype"/>
    <w:link w:val="Voetnoottekst"/>
    <w:uiPriority w:val="99"/>
    <w:semiHidden/>
    <w:rsid w:val="006F53E8"/>
    <w:rPr>
      <w:sz w:val="16"/>
      <w:lang w:val="en-GB"/>
    </w:rPr>
  </w:style>
  <w:style w:type="character" w:styleId="Voetnootmarkering">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ardalinea-lettertype"/>
    <w:uiPriority w:val="99"/>
    <w:unhideWhenUsed/>
    <w:qFormat/>
    <w:rsid w:val="00A91D91"/>
    <w:rPr>
      <w:rFonts w:asciiTheme="majorHAnsi" w:hAnsiTheme="majorHAnsi"/>
      <w:sz w:val="16"/>
      <w:vertAlign w:val="superscript"/>
    </w:rPr>
  </w:style>
  <w:style w:type="paragraph" w:customStyle="1" w:styleId="Footnote">
    <w:name w:val="Footnote"/>
    <w:basedOn w:val="Voetnoottekst"/>
    <w:link w:val="FootnoteChar"/>
    <w:rsid w:val="00B50534"/>
    <w:rPr>
      <w:lang w:val="nl-BE"/>
    </w:rPr>
  </w:style>
  <w:style w:type="character" w:customStyle="1" w:styleId="FootnoteChar">
    <w:name w:val="Footnote Char"/>
    <w:basedOn w:val="VoetnoottekstChar"/>
    <w:link w:val="Footnote"/>
    <w:rsid w:val="00B50534"/>
    <w:rPr>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ard"/>
    <w:rsid w:val="00287C8F"/>
    <w:pPr>
      <w:numPr>
        <w:numId w:val="5"/>
      </w:numPr>
      <w:tabs>
        <w:tab w:val="clear" w:pos="284"/>
        <w:tab w:val="num" w:pos="567"/>
      </w:tabs>
      <w:ind w:left="567" w:hanging="454"/>
    </w:pPr>
    <w:rPr>
      <w:rFonts w:ascii="Georgia" w:hAnsi="Georgia"/>
      <w:sz w:val="20"/>
      <w:lang w:eastAsia="de-DE"/>
    </w:rPr>
  </w:style>
  <w:style w:type="paragraph" w:styleId="Ballontekst">
    <w:name w:val="Balloon Text"/>
    <w:basedOn w:val="Standaard"/>
    <w:link w:val="BallontekstChar"/>
    <w:uiPriority w:val="99"/>
    <w:semiHidden/>
    <w:unhideWhenUsed/>
    <w:rsid w:val="003C167E"/>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67E"/>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FA2400"/>
    <w:rPr>
      <w:sz w:val="16"/>
      <w:szCs w:val="16"/>
    </w:rPr>
  </w:style>
  <w:style w:type="paragraph" w:styleId="Tekstopmerking">
    <w:name w:val="annotation text"/>
    <w:basedOn w:val="Standaard"/>
    <w:link w:val="TekstopmerkingChar"/>
    <w:uiPriority w:val="99"/>
    <w:unhideWhenUsed/>
    <w:rsid w:val="00FA2400"/>
    <w:rPr>
      <w:sz w:val="20"/>
    </w:rPr>
  </w:style>
  <w:style w:type="character" w:customStyle="1" w:styleId="TekstopmerkingChar">
    <w:name w:val="Tekst opmerking Char"/>
    <w:basedOn w:val="Standaardalinea-lettertype"/>
    <w:link w:val="Tekstopmerking"/>
    <w:uiPriority w:val="99"/>
    <w:rsid w:val="00FA2400"/>
    <w:rPr>
      <w:lang w:val="en-GB"/>
    </w:rPr>
  </w:style>
  <w:style w:type="paragraph" w:styleId="Onderwerpvanopmerking">
    <w:name w:val="annotation subject"/>
    <w:basedOn w:val="Tekstopmerking"/>
    <w:next w:val="Tekstopmerking"/>
    <w:link w:val="OnderwerpvanopmerkingChar"/>
    <w:uiPriority w:val="99"/>
    <w:semiHidden/>
    <w:unhideWhenUsed/>
    <w:rsid w:val="00FA2400"/>
    <w:rPr>
      <w:b/>
      <w:bCs/>
    </w:rPr>
  </w:style>
  <w:style w:type="character" w:customStyle="1" w:styleId="OnderwerpvanopmerkingChar">
    <w:name w:val="Onderwerp van opmerking Char"/>
    <w:basedOn w:val="TekstopmerkingChar"/>
    <w:link w:val="Onderwerpvanopmerking"/>
    <w:uiPriority w:val="99"/>
    <w:semiHidden/>
    <w:rsid w:val="00FA2400"/>
    <w:rPr>
      <w:b/>
      <w:bCs/>
      <w:lang w:val="en-GB"/>
    </w:rPr>
  </w:style>
  <w:style w:type="paragraph" w:styleId="Revisi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GevolgdeHyperlink">
    <w:name w:val="FollowedHyperlink"/>
    <w:basedOn w:val="Standaardalinea-lettertype"/>
    <w:uiPriority w:val="99"/>
    <w:semiHidden/>
    <w:unhideWhenUsed/>
    <w:rsid w:val="007B354B"/>
    <w:rPr>
      <w:color w:val="954F72" w:themeColor="followedHyperlink"/>
      <w:u w:val="single"/>
    </w:rPr>
  </w:style>
  <w:style w:type="paragraph" w:styleId="Normaalweb">
    <w:name w:val="Normal (Web)"/>
    <w:basedOn w:val="Standaard"/>
    <w:uiPriority w:val="99"/>
    <w:semiHidden/>
    <w:unhideWhenUsed/>
    <w:rsid w:val="00B424F5"/>
    <w:pPr>
      <w:spacing w:before="100" w:beforeAutospacing="1" w:after="100" w:afterAutospacing="1"/>
    </w:pPr>
  </w:style>
  <w:style w:type="character" w:customStyle="1" w:styleId="outputecliaff">
    <w:name w:val="outputecliaff"/>
    <w:basedOn w:val="Standaardalinea-lettertype"/>
    <w:rsid w:val="00595F08"/>
  </w:style>
  <w:style w:type="paragraph" w:customStyle="1" w:styleId="05HeadlinenoIndex">
    <w:name w:val="05_Headline no Index"/>
    <w:basedOn w:val="Standaard"/>
    <w:rsid w:val="005C7E1F"/>
    <w:pPr>
      <w:spacing w:after="250" w:line="300" w:lineRule="exact"/>
      <w:jc w:val="both"/>
    </w:pPr>
    <w:rPr>
      <w:rFonts w:ascii="Georgia" w:hAnsi="Georgia"/>
      <w:b/>
      <w:lang w:eastAsia="de-DE"/>
    </w:rPr>
  </w:style>
  <w:style w:type="paragraph" w:customStyle="1" w:styleId="04BodyText">
    <w:name w:val="04_Body Text"/>
    <w:basedOn w:val="Standa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aragraphe EI Char,Paragraphe de liste1 Char,EC Char,Paragraphe de liste Char,Normal Nivel 1 Char,List Paragraph Main Char,List first level Char,List Paragraph_Sections Char"/>
    <w:basedOn w:val="Standaardalinea-lettertype"/>
    <w:link w:val="Lijstalinea"/>
    <w:uiPriority w:val="34"/>
    <w:rsid w:val="003527B7"/>
    <w:rPr>
      <w:rFonts w:eastAsiaTheme="majorEastAsia" w:cstheme="minorHAnsi"/>
      <w:sz w:val="22"/>
      <w:szCs w:val="22"/>
      <w:lang w:val="en-GB" w:eastAsia="en-GB"/>
    </w:rPr>
  </w:style>
  <w:style w:type="table" w:customStyle="1" w:styleId="TableGrid3">
    <w:name w:val="Table Grid3"/>
    <w:basedOn w:val="Standaardtabe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ESMA70-156-3844</_dlc_DocId>
    <TaxCatchAll xmlns="20fbe147-bbda-4e53-b6b1-7e8bbff3fe19">
      <Value>91</Value>
      <Value>662</Value>
      <Value>25</Value>
      <Value>484</Value>
      <Value>434</Value>
    </TaxCatchAll>
    <_dlc_DocIdUrl xmlns="20fbe147-bbda-4e53-b6b1-7e8bbff3fe19">
      <Url>https://sherpa.esma.europa.eu/sites/MKT/SMK/_layouts/15/DocIdRedir.aspx?ID=ESMA70-156-3844</Url>
      <Description>ESMA70-156-3844</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63F11010-0684-40B8-AA1B-CC59C413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63</TotalTime>
  <Pages>12</Pages>
  <Words>2810</Words>
  <Characters>15460</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michael sewalt</cp:lastModifiedBy>
  <cp:revision>11</cp:revision>
  <cp:lastPrinted>2017-07-24T14:47:00Z</cp:lastPrinted>
  <dcterms:created xsi:type="dcterms:W3CDTF">2020-11-24T15:27:00Z</dcterms:created>
  <dcterms:modified xsi:type="dcterms:W3CDTF">2020-11-25T08:54:00Z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