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hAnsiTheme="minorHAnsi" w:cstheme="minorHAnsi"/>
        </w:rPr>
        <w:id w:val="-973058580"/>
        <w:docPartObj>
          <w:docPartGallery w:val="Cover Pages"/>
          <w:docPartUnique/>
        </w:docPartObj>
      </w:sdtPr>
      <w:sdtEndPr>
        <w:rPr>
          <w:highlight w:val="yellow"/>
        </w:rPr>
      </w:sdtEndPr>
      <w:sdtContent>
        <w:p w14:paraId="03C57839" w14:textId="77777777" w:rsidR="00AF2EF7" w:rsidRPr="00B8572C" w:rsidRDefault="00AF2EF7" w:rsidP="00AF2EF7">
          <w:pPr>
            <w:spacing w:line="276" w:lineRule="auto"/>
            <w:rPr>
              <w:rFonts w:asciiTheme="minorHAnsi" w:hAnsiTheme="minorHAnsi" w:cstheme="minorHAnsi"/>
              <w:color w:val="FF0000"/>
            </w:rPr>
          </w:pPr>
        </w:p>
        <w:p w14:paraId="49A1E70B" w14:textId="77777777" w:rsidR="00AF2EF7" w:rsidRPr="00B8572C" w:rsidRDefault="00AF2EF7" w:rsidP="00AF2EF7">
          <w:pPr>
            <w:spacing w:after="120" w:line="276" w:lineRule="auto"/>
            <w:rPr>
              <w:rFonts w:asciiTheme="minorHAnsi" w:hAnsiTheme="minorHAnsi" w:cstheme="minorHAnsi"/>
            </w:rPr>
          </w:pPr>
        </w:p>
        <w:p w14:paraId="63295DA5" w14:textId="77777777" w:rsidR="00AF2EF7" w:rsidRPr="00B8572C" w:rsidRDefault="00AF2EF7" w:rsidP="00AF2EF7">
          <w:pPr>
            <w:spacing w:line="276" w:lineRule="auto"/>
            <w:rPr>
              <w:rFonts w:asciiTheme="minorHAnsi" w:hAnsiTheme="minorHAnsi" w:cstheme="minorHAnsi"/>
            </w:rPr>
          </w:pPr>
        </w:p>
        <w:p w14:paraId="44FA7C2D" w14:textId="77777777" w:rsidR="00AF2EF7" w:rsidRPr="00B8572C" w:rsidRDefault="00AF2EF7" w:rsidP="00AF2EF7">
          <w:pPr>
            <w:spacing w:line="276" w:lineRule="auto"/>
            <w:rPr>
              <w:rFonts w:asciiTheme="minorHAnsi" w:hAnsiTheme="minorHAnsi" w:cstheme="minorHAnsi"/>
            </w:rPr>
          </w:pPr>
        </w:p>
        <w:p w14:paraId="587AA024"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705" w:type="dxa"/>
            <w:tblLayout w:type="fixed"/>
            <w:tblCellMar>
              <w:left w:w="0" w:type="dxa"/>
              <w:right w:w="0" w:type="dxa"/>
            </w:tblCellMar>
            <w:tblLook w:val="01E0" w:firstRow="1" w:lastRow="1" w:firstColumn="1" w:lastColumn="1" w:noHBand="0" w:noVBand="0"/>
          </w:tblPr>
          <w:tblGrid>
            <w:gridCol w:w="10705"/>
          </w:tblGrid>
          <w:tr w:rsidR="00C92E09" w:rsidRPr="00B8572C" w14:paraId="064C9078" w14:textId="77777777" w:rsidTr="00C0651F">
            <w:trPr>
              <w:trHeight w:hRule="exact" w:val="2407"/>
            </w:trPr>
            <w:tc>
              <w:tcPr>
                <w:tcW w:w="10705" w:type="dxa"/>
              </w:tcPr>
              <w:p w14:paraId="735E5E17" w14:textId="77777777" w:rsidR="00C92E09" w:rsidRPr="00C92E09" w:rsidRDefault="00C92E09" w:rsidP="00C92E09">
                <w:pPr>
                  <w:pStyle w:val="Titel"/>
                  <w:spacing w:line="276" w:lineRule="auto"/>
                  <w:ind w:right="854"/>
                  <w:rPr>
                    <w:rFonts w:asciiTheme="minorHAnsi" w:hAnsiTheme="minorHAnsi" w:cstheme="minorHAnsi"/>
                    <w:sz w:val="40"/>
                    <w:szCs w:val="40"/>
                  </w:rPr>
                </w:pPr>
                <w:r w:rsidRPr="00C92E09">
                  <w:rPr>
                    <w:rFonts w:cs="Arial"/>
                    <w:sz w:val="40"/>
                    <w:szCs w:val="40"/>
                  </w:rPr>
                  <w:t>Reply form for the</w:t>
                </w:r>
                <w:r w:rsidRPr="00C92E09">
                  <w:rPr>
                    <w:sz w:val="40"/>
                    <w:szCs w:val="40"/>
                  </w:rPr>
                  <w:t xml:space="preserve"> </w:t>
                </w:r>
                <w:r w:rsidRPr="00C92E09">
                  <w:rPr>
                    <w:rFonts w:cs="Arial"/>
                    <w:sz w:val="40"/>
                    <w:szCs w:val="40"/>
                  </w:rPr>
                  <w:t xml:space="preserve">Consultation Paper on MiFID II/ </w:t>
                </w:r>
                <w:proofErr w:type="spellStart"/>
                <w:r w:rsidRPr="00C92E09">
                  <w:rPr>
                    <w:rFonts w:cs="Arial"/>
                    <w:sz w:val="40"/>
                    <w:szCs w:val="40"/>
                  </w:rPr>
                  <w:t>MiFIR</w:t>
                </w:r>
                <w:proofErr w:type="spellEnd"/>
                <w:r w:rsidRPr="00C92E09">
                  <w:rPr>
                    <w:rFonts w:cs="Arial"/>
                    <w:sz w:val="40"/>
                    <w:szCs w:val="40"/>
                  </w:rPr>
                  <w:t xml:space="preserve"> review on the functioning of </w:t>
                </w:r>
                <w:r w:rsidR="00C0651F" w:rsidRPr="00C0651F">
                  <w:rPr>
                    <w:rFonts w:asciiTheme="minorHAnsi" w:eastAsiaTheme="minorEastAsia" w:hAnsiTheme="minorHAnsi" w:cs="Arial"/>
                    <w:b w:val="0"/>
                    <w:color w:val="auto"/>
                    <w:spacing w:val="0"/>
                    <w:sz w:val="22"/>
                    <w:szCs w:val="20"/>
                    <w:lang w:eastAsia="en-US"/>
                  </w:rPr>
                  <w:t xml:space="preserve"> </w:t>
                </w:r>
                <w:r w:rsidR="00C0651F" w:rsidRPr="00C0651F">
                  <w:rPr>
                    <w:rFonts w:cs="Arial"/>
                    <w:sz w:val="40"/>
                    <w:szCs w:val="40"/>
                  </w:rPr>
                  <w:t>Organised Trading Facilities (OTF)</w:t>
                </w:r>
              </w:p>
            </w:tc>
          </w:tr>
        </w:tbl>
        <w:p w14:paraId="424F05AA" w14:textId="77777777" w:rsidR="00AF2EF7" w:rsidRPr="00B8572C" w:rsidRDefault="00AF2EF7" w:rsidP="00AF2EF7">
          <w:pPr>
            <w:spacing w:line="276" w:lineRule="auto"/>
            <w:rPr>
              <w:rFonts w:asciiTheme="minorHAnsi" w:hAnsiTheme="minorHAnsi" w:cstheme="minorHAnsi"/>
            </w:rPr>
          </w:pPr>
        </w:p>
        <w:p w14:paraId="6C991BD4"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48CD8263"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0F0FD8E0" w14:textId="77777777" w:rsidR="00AF2EF7" w:rsidRPr="00B8572C" w:rsidRDefault="00AF2EF7" w:rsidP="00333811">
          <w:pPr>
            <w:numPr>
              <w:ilvl w:val="1"/>
              <w:numId w:val="0"/>
            </w:numPr>
            <w:tabs>
              <w:tab w:val="left" w:pos="5426"/>
            </w:tabs>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r w:rsidR="00333811">
            <w:rPr>
              <w:rFonts w:asciiTheme="majorHAnsi" w:eastAsiaTheme="majorEastAsia" w:hAnsiTheme="majorHAnsi" w:cstheme="majorBidi"/>
              <w:b/>
              <w:sz w:val="28"/>
              <w:lang w:eastAsia="en-US"/>
            </w:rPr>
            <w:tab/>
          </w:r>
        </w:p>
        <w:p w14:paraId="6DFFB2BC"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0578BA54"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0390EEE1"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6A28D05A"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3ACE09C0"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D58EAA9"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C92E09">
            <w:rPr>
              <w:rFonts w:asciiTheme="minorHAnsi" w:eastAsiaTheme="minorEastAsia" w:hAnsiTheme="minorHAnsi" w:cstheme="minorBidi"/>
              <w:b/>
              <w:sz w:val="22"/>
              <w:szCs w:val="20"/>
              <w:lang w:eastAsia="en-US"/>
            </w:rPr>
            <w:t>25</w:t>
          </w:r>
          <w:r w:rsidR="009C223D" w:rsidRPr="0004778B">
            <w:rPr>
              <w:rFonts w:asciiTheme="minorHAnsi" w:eastAsiaTheme="minorEastAsia" w:hAnsiTheme="minorHAnsi" w:cstheme="minorBidi"/>
              <w:b/>
              <w:sz w:val="22"/>
              <w:szCs w:val="20"/>
              <w:lang w:eastAsia="en-US"/>
            </w:rPr>
            <w:t>/</w:t>
          </w:r>
          <w:r w:rsidR="00C92E09">
            <w:rPr>
              <w:rFonts w:asciiTheme="minorHAnsi" w:eastAsiaTheme="minorEastAsia" w:hAnsiTheme="minorHAnsi" w:cstheme="minorBidi"/>
              <w:b/>
              <w:sz w:val="22"/>
              <w:szCs w:val="20"/>
              <w:lang w:eastAsia="en-US"/>
            </w:rPr>
            <w:t>11</w:t>
          </w:r>
          <w:r w:rsidR="009C223D" w:rsidRPr="0004778B">
            <w:rPr>
              <w:rFonts w:asciiTheme="minorHAnsi" w:eastAsiaTheme="minorEastAsia" w:hAnsiTheme="minorHAnsi" w:cstheme="minorBidi"/>
              <w:b/>
              <w:sz w:val="22"/>
              <w:szCs w:val="20"/>
              <w:lang w:eastAsia="en-US"/>
            </w:rPr>
            <w:t>/2020</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272F1C0E"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55540393"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131A0AFA"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6923D3DD" w14:textId="77777777" w:rsidR="00C85C8B" w:rsidRPr="00C85C8B" w:rsidRDefault="00C85C8B" w:rsidP="00E7297E">
          <w:pPr>
            <w:pStyle w:val="Listeafsni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1E83A439" w14:textId="77777777" w:rsidR="00C85C8B" w:rsidRPr="00C85C8B" w:rsidRDefault="00C85C8B" w:rsidP="00C85C8B">
          <w:pPr>
            <w:pStyle w:val="Listeafsni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C92E09">
            <w:rPr>
              <w:rFonts w:eastAsiaTheme="minorEastAsia" w:cstheme="minorBidi"/>
              <w:szCs w:val="20"/>
              <w:lang w:eastAsia="en-US"/>
            </w:rPr>
            <w:t>FOTF</w:t>
          </w:r>
          <w:r w:rsidRPr="00C85C8B">
            <w:rPr>
              <w:rFonts w:eastAsiaTheme="minorEastAsia" w:cstheme="minorBidi"/>
              <w:szCs w:val="20"/>
              <w:lang w:eastAsia="en-US"/>
            </w:rPr>
            <w:t>_1&gt;. Your response to each question has to be framed by the two tags corresponding to the question.</w:t>
          </w:r>
        </w:p>
        <w:p w14:paraId="3B3FD781" w14:textId="77777777" w:rsidR="00C85C8B" w:rsidRPr="00C85C8B" w:rsidRDefault="00C85C8B" w:rsidP="00C85C8B">
          <w:pPr>
            <w:pStyle w:val="Listeafsni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B3B3D91" w14:textId="77777777" w:rsidR="00C85C8B" w:rsidRPr="00C85C8B" w:rsidRDefault="00C85C8B" w:rsidP="00C85C8B">
          <w:pPr>
            <w:pStyle w:val="Listeafsni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 xml:space="preserve">the following convention: </w:t>
          </w:r>
          <w:proofErr w:type="spellStart"/>
          <w:r>
            <w:rPr>
              <w:rFonts w:eastAsiaTheme="minorEastAsia" w:cstheme="minorBidi"/>
              <w:szCs w:val="20"/>
              <w:lang w:eastAsia="en-US"/>
            </w:rPr>
            <w:t>ESMA_</w:t>
          </w:r>
          <w:r w:rsidR="00C92E09">
            <w:rPr>
              <w:rFonts w:eastAsiaTheme="minorEastAsia" w:cstheme="minorBidi"/>
              <w:szCs w:val="20"/>
              <w:lang w:eastAsia="en-US"/>
            </w:rPr>
            <w:t>FOTF</w:t>
          </w:r>
          <w:r w:rsidRPr="00C85C8B">
            <w:rPr>
              <w:rFonts w:eastAsiaTheme="minorEastAsia" w:cstheme="minorBidi"/>
              <w:szCs w:val="20"/>
              <w:lang w:eastAsia="en-US"/>
            </w:rPr>
            <w:t>_nameofrespondent_RESPONSEFORM</w:t>
          </w:r>
          <w:proofErr w:type="spellEnd"/>
          <w:r w:rsidRPr="00C85C8B">
            <w:rPr>
              <w:rFonts w:eastAsiaTheme="minorEastAsia" w:cstheme="minorBidi"/>
              <w:szCs w:val="20"/>
              <w:lang w:eastAsia="en-US"/>
            </w:rPr>
            <w:t>. For example, for a respondent named ABCD, the response</w:t>
          </w:r>
          <w:r>
            <w:rPr>
              <w:rFonts w:eastAsiaTheme="minorEastAsia" w:cstheme="minorBidi"/>
              <w:szCs w:val="20"/>
              <w:lang w:eastAsia="en-US"/>
            </w:rPr>
            <w:t xml:space="preserve"> form would be entitled ESMA_</w:t>
          </w:r>
          <w:r w:rsidR="00C92E09">
            <w:rPr>
              <w:rFonts w:eastAsiaTheme="minorEastAsia" w:cstheme="minorBidi"/>
              <w:szCs w:val="20"/>
              <w:lang w:eastAsia="en-US"/>
            </w:rPr>
            <w:t>FOTF</w:t>
          </w:r>
          <w:r w:rsidRPr="00C85C8B">
            <w:rPr>
              <w:rFonts w:eastAsiaTheme="minorEastAsia" w:cstheme="minorBidi"/>
              <w:szCs w:val="20"/>
              <w:lang w:eastAsia="en-US"/>
            </w:rPr>
            <w:t>_ABCD_RESPONSEFORM.</w:t>
          </w:r>
        </w:p>
        <w:p w14:paraId="4AB5A503" w14:textId="77777777" w:rsidR="00C85C8B" w:rsidRPr="00C85C8B" w:rsidRDefault="00C85C8B" w:rsidP="00C85C8B">
          <w:pPr>
            <w:pStyle w:val="Listeafsni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9"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w:t>
          </w:r>
          <w:r w:rsidR="009F22E7" w:rsidRPr="009F22E7">
            <w:rPr>
              <w:rFonts w:eastAsiaTheme="minorEastAsia" w:cstheme="minorBidi"/>
              <w:szCs w:val="20"/>
              <w:lang w:eastAsia="en-US"/>
            </w:rPr>
            <w:t xml:space="preserve"> the functioning of the Organised Trading Facility regime</w:t>
          </w:r>
          <w:r w:rsidRPr="00C85C8B">
            <w:rPr>
              <w:rFonts w:eastAsiaTheme="minorEastAsia" w:cstheme="minorBidi"/>
              <w:szCs w:val="20"/>
              <w:lang w:eastAsia="en-US"/>
            </w:rPr>
            <w:t>”).</w:t>
          </w:r>
        </w:p>
        <w:p w14:paraId="35884CEA" w14:textId="77777777"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48FB8B44" w14:textId="77777777"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751A9CDF"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190109CE"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57E1E1CD"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received will be published following the close of the consultation, unless you request otherwise. Please clearly and prominently indicate in your submission any part you do not wish to be </w:t>
          </w:r>
          <w:proofErr w:type="spellStart"/>
          <w:r w:rsidRPr="00AB6157">
            <w:rPr>
              <w:rFonts w:asciiTheme="minorHAnsi" w:eastAsiaTheme="minorEastAsia" w:hAnsiTheme="minorHAnsi" w:cstheme="minorBidi"/>
              <w:sz w:val="22"/>
              <w:szCs w:val="20"/>
              <w:lang w:eastAsia="en-US"/>
            </w:rPr>
            <w:t>publically</w:t>
          </w:r>
          <w:proofErr w:type="spellEnd"/>
          <w:r w:rsidRPr="00AB6157">
            <w:rPr>
              <w:rFonts w:asciiTheme="minorHAnsi" w:eastAsiaTheme="minorEastAsia" w:hAnsiTheme="minorHAnsi" w:cstheme="minorBidi"/>
              <w:sz w:val="22"/>
              <w:szCs w:val="20"/>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0FA057A2"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54E9362"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20"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1"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0278CC8E"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6F4C0EAB" w14:textId="77777777" w:rsidR="00AF2EF7" w:rsidRPr="00B8572C" w:rsidRDefault="001F23C9" w:rsidP="001F23C9">
          <w:pPr>
            <w:spacing w:after="250" w:line="276" w:lineRule="auto"/>
            <w:jc w:val="both"/>
            <w:rPr>
              <w:rFonts w:asciiTheme="minorHAnsi" w:hAnsiTheme="minorHAnsi" w:cstheme="minorHAnsi"/>
            </w:rPr>
          </w:pPr>
          <w:r w:rsidRPr="001F23C9">
            <w:rPr>
              <w:rFonts w:ascii="Arial" w:hAnsi="Arial" w:cs="Arial"/>
              <w:sz w:val="22"/>
              <w:szCs w:val="22"/>
              <w:lang w:eastAsia="it-IT"/>
            </w:rPr>
            <w:t>This document will be of interest to</w:t>
          </w:r>
          <w:r w:rsidR="00647144" w:rsidRPr="00647144">
            <w:rPr>
              <w:rFonts w:ascii="Arial" w:eastAsiaTheme="minorEastAsia" w:hAnsi="Arial" w:cs="Arial"/>
              <w:sz w:val="22"/>
              <w:szCs w:val="22"/>
              <w:lang w:eastAsia="ja-JP"/>
            </w:rPr>
            <w:t xml:space="preserve"> </w:t>
          </w:r>
          <w:r w:rsidR="00647144">
            <w:rPr>
              <w:rFonts w:ascii="Arial" w:eastAsiaTheme="minorEastAsia" w:hAnsi="Arial" w:cs="Arial"/>
              <w:sz w:val="22"/>
              <w:szCs w:val="22"/>
              <w:lang w:eastAsia="ja-JP"/>
            </w:rPr>
            <w:t xml:space="preserve">(i) </w:t>
          </w:r>
          <w:r w:rsidR="00647144" w:rsidRPr="00647144">
            <w:rPr>
              <w:rFonts w:ascii="Arial" w:eastAsiaTheme="minorEastAsia" w:hAnsi="Arial" w:cs="Arial"/>
              <w:sz w:val="22"/>
              <w:szCs w:val="22"/>
              <w:lang w:eastAsia="ja-JP"/>
            </w:rPr>
            <w:t>alternative investment fund</w:t>
          </w:r>
          <w:r w:rsidR="00647144">
            <w:rPr>
              <w:rFonts w:ascii="Arial" w:eastAsiaTheme="minorEastAsia" w:hAnsi="Arial" w:cs="Arial"/>
              <w:sz w:val="22"/>
              <w:szCs w:val="22"/>
              <w:lang w:eastAsia="ja-JP"/>
            </w:rPr>
            <w:t xml:space="preserve"> managers, UCITS management companies, EUSEF managers and/or </w:t>
          </w:r>
          <w:proofErr w:type="spellStart"/>
          <w:r w:rsidR="00647144">
            <w:rPr>
              <w:rFonts w:ascii="Arial" w:eastAsiaTheme="minorEastAsia" w:hAnsi="Arial" w:cs="Arial"/>
              <w:sz w:val="22"/>
              <w:szCs w:val="22"/>
              <w:lang w:eastAsia="ja-JP"/>
            </w:rPr>
            <w:t>EuVECA</w:t>
          </w:r>
          <w:proofErr w:type="spellEnd"/>
          <w:r w:rsidR="00647144">
            <w:rPr>
              <w:rFonts w:ascii="Arial" w:eastAsiaTheme="minorEastAsia" w:hAnsi="Arial" w:cs="Arial"/>
              <w:sz w:val="22"/>
              <w:szCs w:val="22"/>
              <w:lang w:eastAsia="ja-JP"/>
            </w:rPr>
            <w:t xml:space="preserve"> managers and their trade associations, (ii) distributors of UCITS, alternative investment funds, </w:t>
          </w:r>
          <w:proofErr w:type="spellStart"/>
          <w:r w:rsidR="00647144">
            <w:rPr>
              <w:rFonts w:ascii="Arial" w:eastAsiaTheme="minorEastAsia" w:hAnsi="Arial" w:cs="Arial"/>
              <w:sz w:val="22"/>
              <w:szCs w:val="22"/>
              <w:lang w:eastAsia="ja-JP"/>
            </w:rPr>
            <w:t>EuSEFs</w:t>
          </w:r>
          <w:proofErr w:type="spellEnd"/>
          <w:r w:rsidR="00647144">
            <w:rPr>
              <w:rFonts w:ascii="Arial" w:eastAsiaTheme="minorEastAsia" w:hAnsi="Arial" w:cs="Arial"/>
              <w:sz w:val="22"/>
              <w:szCs w:val="22"/>
              <w:lang w:eastAsia="ja-JP"/>
            </w:rPr>
            <w:t xml:space="preserve"> and </w:t>
          </w:r>
          <w:proofErr w:type="spellStart"/>
          <w:r w:rsidR="00647144">
            <w:rPr>
              <w:rFonts w:ascii="Arial" w:eastAsiaTheme="minorEastAsia" w:hAnsi="Arial" w:cs="Arial"/>
              <w:sz w:val="22"/>
              <w:szCs w:val="22"/>
              <w:lang w:eastAsia="ja-JP"/>
            </w:rPr>
            <w:t>EuVECAs</w:t>
          </w:r>
          <w:proofErr w:type="spellEnd"/>
          <w:r w:rsidR="00647144">
            <w:rPr>
              <w:rFonts w:ascii="Arial" w:eastAsiaTheme="minorEastAsia" w:hAnsi="Arial" w:cs="Arial"/>
              <w:sz w:val="22"/>
              <w:szCs w:val="22"/>
              <w:lang w:eastAsia="ja-JP"/>
            </w:rPr>
            <w:t xml:space="preserve">, as well as (iii) institutional and retail investors investing into UCITS, alternative investment funds, </w:t>
          </w:r>
          <w:proofErr w:type="spellStart"/>
          <w:r w:rsidR="00647144">
            <w:rPr>
              <w:rFonts w:ascii="Arial" w:eastAsiaTheme="minorEastAsia" w:hAnsi="Arial" w:cs="Arial"/>
              <w:sz w:val="22"/>
              <w:szCs w:val="22"/>
              <w:lang w:eastAsia="ja-JP"/>
            </w:rPr>
            <w:t>EuSEFs</w:t>
          </w:r>
          <w:proofErr w:type="spellEnd"/>
          <w:r w:rsidR="00647144">
            <w:rPr>
              <w:rFonts w:ascii="Arial" w:eastAsiaTheme="minorEastAsia" w:hAnsi="Arial" w:cs="Arial"/>
              <w:sz w:val="22"/>
              <w:szCs w:val="22"/>
              <w:lang w:eastAsia="ja-JP"/>
            </w:rPr>
            <w:t xml:space="preserve"> and/or </w:t>
          </w:r>
          <w:proofErr w:type="spellStart"/>
          <w:r w:rsidR="00647144">
            <w:rPr>
              <w:rFonts w:ascii="Arial" w:eastAsiaTheme="minorEastAsia" w:hAnsi="Arial" w:cs="Arial"/>
              <w:sz w:val="22"/>
              <w:szCs w:val="22"/>
              <w:lang w:eastAsia="ja-JP"/>
            </w:rPr>
            <w:t>EuVECAs</w:t>
          </w:r>
          <w:proofErr w:type="spellEnd"/>
          <w:r w:rsidR="00647144">
            <w:rPr>
              <w:rFonts w:ascii="Arial" w:eastAsiaTheme="minorEastAsia" w:hAnsi="Arial" w:cs="Arial"/>
              <w:sz w:val="22"/>
              <w:szCs w:val="22"/>
              <w:lang w:eastAsia="ja-JP"/>
            </w:rPr>
            <w:t xml:space="preserve"> and their associations.</w:t>
          </w:r>
          <w:r w:rsidRPr="001F23C9">
            <w:rPr>
              <w:rFonts w:ascii="Arial" w:hAnsi="Arial" w:cs="Arial"/>
              <w:sz w:val="22"/>
              <w:szCs w:val="22"/>
              <w:lang w:eastAsia="it-IT"/>
            </w:rPr>
            <w:t>.</w:t>
          </w:r>
        </w:p>
      </w:sdtContent>
    </w:sdt>
    <w:p w14:paraId="53DBA0F8" w14:textId="77777777" w:rsidR="00AF2EF7" w:rsidRPr="00B8572C" w:rsidRDefault="00AF2EF7" w:rsidP="00AF2EF7">
      <w:pPr>
        <w:spacing w:after="120" w:line="276" w:lineRule="auto"/>
        <w:rPr>
          <w:rFonts w:asciiTheme="minorHAnsi" w:hAnsiTheme="minorHAnsi" w:cstheme="minorHAnsi"/>
        </w:rPr>
      </w:pPr>
    </w:p>
    <w:p w14:paraId="2BBB3BC3" w14:textId="77777777" w:rsidR="00AF2EF7" w:rsidRPr="00B8572C" w:rsidRDefault="00AF2EF7" w:rsidP="00AF2EF7">
      <w:pPr>
        <w:spacing w:after="120" w:line="276" w:lineRule="auto"/>
        <w:rPr>
          <w:rFonts w:asciiTheme="minorHAnsi" w:hAnsiTheme="minorHAnsi" w:cstheme="minorHAnsi"/>
        </w:rPr>
      </w:pPr>
    </w:p>
    <w:p w14:paraId="48F0705F" w14:textId="77777777" w:rsidR="00AF2EF7" w:rsidRPr="00C1698A" w:rsidRDefault="00AF2EF7" w:rsidP="00C1698A">
      <w:pPr>
        <w:pStyle w:val="Overskrift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4B13BFC2" w14:textId="77777777" w:rsidR="00C85C8B" w:rsidRDefault="00C85C8B" w:rsidP="00C1698A">
      <w:pPr>
        <w:spacing w:line="276" w:lineRule="auto"/>
        <w:rPr>
          <w:rFonts w:asciiTheme="minorHAnsi" w:hAnsiTheme="minorHAnsi" w:cstheme="minorHAnsi"/>
          <w:b/>
          <w:sz w:val="28"/>
          <w:szCs w:val="28"/>
        </w:rPr>
      </w:pPr>
      <w:bookmarkStart w:id="0" w:name="_Toc515564428"/>
    </w:p>
    <w:p w14:paraId="4FB047BF" w14:textId="77777777" w:rsidR="00C85C8B" w:rsidRDefault="00C85C8B" w:rsidP="00C1698A">
      <w:pPr>
        <w:spacing w:line="276" w:lineRule="auto"/>
        <w:rPr>
          <w:rFonts w:asciiTheme="minorHAnsi" w:hAnsiTheme="minorHAnsi" w:cstheme="minorHAnsi"/>
          <w:b/>
          <w:sz w:val="28"/>
          <w:szCs w:val="28"/>
        </w:rPr>
      </w:pPr>
    </w:p>
    <w:p w14:paraId="38BD5529" w14:textId="77777777" w:rsidR="00C85C8B" w:rsidRDefault="00C85C8B" w:rsidP="00C1698A">
      <w:pPr>
        <w:spacing w:line="276" w:lineRule="auto"/>
        <w:rPr>
          <w:rFonts w:asciiTheme="minorHAnsi" w:hAnsiTheme="minorHAnsi" w:cstheme="minorHAnsi"/>
          <w:b/>
          <w:sz w:val="28"/>
          <w:szCs w:val="28"/>
        </w:rPr>
      </w:pPr>
    </w:p>
    <w:p w14:paraId="5278D984"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078A7973" w14:textId="77777777" w:rsidTr="00B76FB7">
        <w:tc>
          <w:tcPr>
            <w:tcW w:w="3929" w:type="dxa"/>
            <w:shd w:val="clear" w:color="auto" w:fill="auto"/>
          </w:tcPr>
          <w:p w14:paraId="013D6BB5" w14:textId="77777777" w:rsidR="00C85C8B" w:rsidRPr="00C85C8B" w:rsidRDefault="00C85C8B" w:rsidP="00C85C8B">
            <w:pPr>
              <w:rPr>
                <w:rFonts w:ascii="Arial" w:hAnsi="Arial" w:cs="Arial"/>
                <w:sz w:val="22"/>
                <w:lang w:eastAsia="de-DE"/>
              </w:rPr>
            </w:pPr>
            <w:permStart w:id="1390629384"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2C59AE8F" w14:textId="562F3165" w:rsidR="00C85C8B" w:rsidRPr="00C85C8B" w:rsidRDefault="00A06EF4" w:rsidP="00C85C8B">
                <w:pPr>
                  <w:rPr>
                    <w:rFonts w:ascii="Arial" w:hAnsi="Arial" w:cs="Arial"/>
                    <w:color w:val="808080"/>
                    <w:sz w:val="20"/>
                    <w:lang w:eastAsia="de-DE"/>
                  </w:rPr>
                </w:pPr>
                <w:r>
                  <w:rPr>
                    <w:rFonts w:ascii="Arial" w:hAnsi="Arial" w:cs="Arial"/>
                    <w:color w:val="808080"/>
                    <w:sz w:val="20"/>
                    <w:lang w:eastAsia="de-DE"/>
                  </w:rPr>
                  <w:t>ACI – Financial Markets Association</w:t>
                </w:r>
              </w:p>
            </w:tc>
          </w:sdtContent>
        </w:sdt>
      </w:tr>
      <w:tr w:rsidR="00C85C8B" w:rsidRPr="00C85C8B" w14:paraId="3393D30A" w14:textId="77777777" w:rsidTr="00B76FB7">
        <w:tc>
          <w:tcPr>
            <w:tcW w:w="3929" w:type="dxa"/>
            <w:shd w:val="clear" w:color="auto" w:fill="auto"/>
          </w:tcPr>
          <w:p w14:paraId="6661D30E" w14:textId="77777777" w:rsidR="00C85C8B" w:rsidRPr="00C85C8B" w:rsidRDefault="00C85C8B" w:rsidP="00C85C8B">
            <w:pPr>
              <w:rPr>
                <w:rFonts w:ascii="Arial" w:hAnsi="Arial" w:cs="Arial"/>
                <w:sz w:val="22"/>
                <w:lang w:eastAsia="de-DE"/>
              </w:rPr>
            </w:pPr>
            <w:permStart w:id="2127432597" w:edGrp="everyone" w:colFirst="1" w:colLast="1"/>
            <w:permEnd w:id="1390629384"/>
            <w:r w:rsidRPr="00C85C8B">
              <w:rPr>
                <w:rFonts w:ascii="Arial" w:hAnsi="Arial" w:cs="Arial"/>
                <w:sz w:val="22"/>
                <w:lang w:eastAsia="de-DE"/>
              </w:rPr>
              <w:t>Activity</w:t>
            </w:r>
          </w:p>
        </w:tc>
        <w:tc>
          <w:tcPr>
            <w:tcW w:w="5595" w:type="dxa"/>
            <w:shd w:val="clear" w:color="auto" w:fill="auto"/>
          </w:tcPr>
          <w:p w14:paraId="51EAB0F7" w14:textId="310DC8DB" w:rsidR="00C85C8B" w:rsidRPr="00C85C8B" w:rsidRDefault="00C24619"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06EF4">
                  <w:rPr>
                    <w:rFonts w:ascii="Arial" w:hAnsi="Arial" w:cs="Arial"/>
                    <w:sz w:val="20"/>
                    <w:lang w:eastAsia="de-DE"/>
                  </w:rPr>
                  <w:t>Banking sector</w:t>
                </w:r>
              </w:sdtContent>
            </w:sdt>
          </w:p>
        </w:tc>
      </w:tr>
      <w:tr w:rsidR="00C85C8B" w:rsidRPr="00C85C8B" w14:paraId="08C32E42" w14:textId="77777777" w:rsidTr="00B76FB7">
        <w:tc>
          <w:tcPr>
            <w:tcW w:w="3929" w:type="dxa"/>
            <w:shd w:val="clear" w:color="auto" w:fill="auto"/>
          </w:tcPr>
          <w:p w14:paraId="49140245" w14:textId="77777777" w:rsidR="00C85C8B" w:rsidRPr="00C85C8B" w:rsidRDefault="00C85C8B" w:rsidP="00C85C8B">
            <w:pPr>
              <w:rPr>
                <w:rFonts w:ascii="Arial" w:hAnsi="Arial" w:cs="Arial"/>
                <w:sz w:val="22"/>
                <w:lang w:eastAsia="de-DE"/>
              </w:rPr>
            </w:pPr>
            <w:permStart w:id="711224905" w:edGrp="everyone" w:colFirst="1" w:colLast="1"/>
            <w:permEnd w:id="2127432597"/>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1FA7F087" w14:textId="4CD5A63B" w:rsidR="00C85C8B" w:rsidRPr="00C85C8B" w:rsidRDefault="00A06EF4"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0A0D86C8" w14:textId="77777777" w:rsidTr="00B76FB7">
        <w:tc>
          <w:tcPr>
            <w:tcW w:w="3929" w:type="dxa"/>
            <w:shd w:val="clear" w:color="auto" w:fill="auto"/>
          </w:tcPr>
          <w:p w14:paraId="42D24AD4" w14:textId="77777777" w:rsidR="00C85C8B" w:rsidRPr="00C85C8B" w:rsidRDefault="00C85C8B" w:rsidP="00C85C8B">
            <w:pPr>
              <w:rPr>
                <w:rFonts w:ascii="Arial" w:hAnsi="Arial" w:cs="Arial"/>
                <w:sz w:val="22"/>
                <w:lang w:eastAsia="de-DE"/>
              </w:rPr>
            </w:pPr>
            <w:permStart w:id="474315791" w:edGrp="everyone" w:colFirst="1" w:colLast="1"/>
            <w:permEnd w:id="711224905"/>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88D9157" w14:textId="57927EB9" w:rsidR="00C85C8B" w:rsidRPr="00C85C8B" w:rsidRDefault="00A06EF4" w:rsidP="00C85C8B">
                <w:pPr>
                  <w:rPr>
                    <w:rFonts w:ascii="Arial" w:hAnsi="Arial" w:cs="Arial"/>
                    <w:sz w:val="20"/>
                    <w:lang w:eastAsia="de-DE"/>
                  </w:rPr>
                </w:pPr>
                <w:r>
                  <w:rPr>
                    <w:rFonts w:ascii="Arial" w:hAnsi="Arial" w:cs="Arial"/>
                    <w:sz w:val="20"/>
                    <w:lang w:eastAsia="de-DE"/>
                  </w:rPr>
                  <w:t>Europe</w:t>
                </w:r>
              </w:p>
            </w:tc>
          </w:sdtContent>
        </w:sdt>
      </w:tr>
      <w:permEnd w:id="474315791"/>
    </w:tbl>
    <w:p w14:paraId="43F867C5"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2BB1C47D"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DCBB3AB"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6AB8932A"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45F2AF9D"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A47EF75"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C92E09">
        <w:rPr>
          <w:rFonts w:asciiTheme="minorHAnsi" w:eastAsiaTheme="minorEastAsia" w:hAnsiTheme="minorHAnsi" w:cstheme="minorBidi"/>
          <w:sz w:val="22"/>
          <w:szCs w:val="20"/>
          <w:lang w:eastAsia="en-US"/>
        </w:rPr>
        <w:t>FOTF</w:t>
      </w:r>
      <w:r w:rsidRPr="00C85C8B">
        <w:rPr>
          <w:rFonts w:asciiTheme="minorHAnsi" w:eastAsiaTheme="minorEastAsia" w:hAnsiTheme="minorHAnsi" w:cstheme="minorBidi"/>
          <w:sz w:val="22"/>
          <w:szCs w:val="20"/>
          <w:lang w:eastAsia="en-US"/>
        </w:rPr>
        <w:t>_1&gt;</w:t>
      </w:r>
    </w:p>
    <w:p w14:paraId="396548D1" w14:textId="77777777" w:rsidR="00CC1CD6" w:rsidRPr="00775950" w:rsidRDefault="00CC1CD6" w:rsidP="00CC1CD6">
      <w:pPr>
        <w:spacing w:after="393"/>
        <w:ind w:left="24"/>
        <w:rPr>
          <w:i/>
          <w:iCs/>
          <w:color w:val="0070C0"/>
          <w:sz w:val="32"/>
          <w:szCs w:val="32"/>
          <w:lang w:val="en-US" w:eastAsia="da-DK"/>
        </w:rPr>
      </w:pPr>
      <w:permStart w:id="1070803431" w:edGrp="everyone"/>
      <w:r w:rsidRPr="00775950">
        <w:rPr>
          <w:i/>
          <w:iCs/>
          <w:color w:val="0070C0"/>
          <w:sz w:val="32"/>
          <w:szCs w:val="32"/>
          <w:u w:val="single" w:color="000000"/>
          <w:lang w:val="en-US" w:eastAsia="da-DK"/>
        </w:rPr>
        <w:t>About ACI FMA:</w:t>
      </w:r>
    </w:p>
    <w:p w14:paraId="7DA73A49" w14:textId="77777777" w:rsidR="00CC1CD6" w:rsidRPr="00775950" w:rsidRDefault="00CC1CD6" w:rsidP="00CC1CD6">
      <w:pPr>
        <w:spacing w:after="249" w:line="216" w:lineRule="auto"/>
        <w:ind w:left="14" w:right="43" w:firstLine="4"/>
        <w:jc w:val="both"/>
        <w:rPr>
          <w:color w:val="0070C0"/>
          <w:sz w:val="22"/>
          <w:szCs w:val="22"/>
          <w:lang w:val="en-US" w:eastAsia="da-DK"/>
        </w:rPr>
      </w:pPr>
      <w:r w:rsidRPr="00775950">
        <w:rPr>
          <w:color w:val="0070C0"/>
          <w:sz w:val="22"/>
          <w:szCs w:val="22"/>
          <w:lang w:val="en-US" w:eastAsia="da-DK"/>
        </w:rPr>
        <w:t>ACI — Financial Markets Association ("ACI FMA") is a global non-political, non-profit association of wholesale financial market participants. ACI FMA was established under the French Law of 1901 and based on mutual recognition of markets professionals, with the objective of developing the profession, without discrimination of any sort.</w:t>
      </w:r>
    </w:p>
    <w:p w14:paraId="137403D9" w14:textId="77777777" w:rsidR="00CC1CD6" w:rsidRPr="00775950" w:rsidRDefault="00CC1CD6" w:rsidP="00CC1CD6">
      <w:pPr>
        <w:spacing w:after="249" w:line="216" w:lineRule="auto"/>
        <w:ind w:left="14" w:right="43" w:firstLine="4"/>
        <w:jc w:val="both"/>
        <w:rPr>
          <w:color w:val="0070C0"/>
          <w:sz w:val="22"/>
          <w:szCs w:val="22"/>
          <w:lang w:val="en-US" w:eastAsia="da-DK"/>
        </w:rPr>
      </w:pPr>
      <w:r w:rsidRPr="00775950">
        <w:rPr>
          <w:color w:val="0070C0"/>
          <w:sz w:val="22"/>
          <w:szCs w:val="22"/>
          <w:lang w:val="en-US" w:eastAsia="da-DK"/>
        </w:rPr>
        <w:t xml:space="preserve">Its main mission is to be a leading, global association of wholesale financial markets professionals, contributing to market development through education, best market practices, technical </w:t>
      </w:r>
      <w:proofErr w:type="gramStart"/>
      <w:r w:rsidRPr="00775950">
        <w:rPr>
          <w:color w:val="0070C0"/>
          <w:sz w:val="22"/>
          <w:szCs w:val="22"/>
          <w:lang w:val="en-US" w:eastAsia="da-DK"/>
        </w:rPr>
        <w:t>advice</w:t>
      </w:r>
      <w:proofErr w:type="gramEnd"/>
      <w:r w:rsidRPr="00775950">
        <w:rPr>
          <w:color w:val="0070C0"/>
          <w:sz w:val="22"/>
          <w:szCs w:val="22"/>
          <w:lang w:val="en-US" w:eastAsia="da-DK"/>
        </w:rPr>
        <w:t xml:space="preserve"> and networking events.</w:t>
      </w:r>
    </w:p>
    <w:p w14:paraId="64C46316" w14:textId="70F1DE61" w:rsidR="00CC1CD6" w:rsidRPr="00775950" w:rsidRDefault="00CC1CD6" w:rsidP="00CC1CD6">
      <w:pPr>
        <w:spacing w:after="249" w:line="216" w:lineRule="auto"/>
        <w:ind w:left="14" w:right="43" w:firstLine="4"/>
        <w:jc w:val="both"/>
        <w:rPr>
          <w:color w:val="0070C0"/>
          <w:sz w:val="22"/>
          <w:szCs w:val="22"/>
          <w:lang w:val="en-US" w:eastAsia="da-DK"/>
        </w:rPr>
      </w:pPr>
      <w:r w:rsidRPr="00775950">
        <w:rPr>
          <w:color w:val="0070C0"/>
          <w:sz w:val="22"/>
          <w:szCs w:val="22"/>
          <w:lang w:val="en-US" w:eastAsia="da-DK"/>
        </w:rPr>
        <w:t>Since 1955, ACI FMA has represented the interests of individuals in professional trading, broking, operations, regulatory and compliance activities in global financial markets.</w:t>
      </w:r>
    </w:p>
    <w:p w14:paraId="5D1A393A" w14:textId="77777777" w:rsidR="00CC1CD6" w:rsidRPr="00775950" w:rsidRDefault="00CC1CD6" w:rsidP="00CC1CD6">
      <w:pPr>
        <w:spacing w:after="293" w:line="216" w:lineRule="auto"/>
        <w:ind w:left="14" w:right="43" w:firstLine="4"/>
        <w:jc w:val="both"/>
        <w:rPr>
          <w:color w:val="0070C0"/>
          <w:sz w:val="22"/>
          <w:szCs w:val="22"/>
          <w:lang w:val="en-US" w:eastAsia="da-DK"/>
        </w:rPr>
      </w:pPr>
      <w:r w:rsidRPr="00775950">
        <w:rPr>
          <w:color w:val="0070C0"/>
          <w:sz w:val="22"/>
          <w:szCs w:val="22"/>
          <w:lang w:val="en-US" w:eastAsia="da-DK"/>
        </w:rPr>
        <w:t>Focused on three core values of Membership, Education and Ethical Conduct, ACI FMA is committed to supporting market participants to operate at the highest standards of ethical conduct and best market practice. Specifically, these values represent:</w:t>
      </w:r>
    </w:p>
    <w:p w14:paraId="52125809" w14:textId="77777777" w:rsidR="00CC1CD6" w:rsidRPr="00775950" w:rsidRDefault="00CC1CD6" w:rsidP="00CC1CD6">
      <w:pPr>
        <w:spacing w:after="308" w:line="216" w:lineRule="auto"/>
        <w:ind w:left="566" w:right="43" w:hanging="552"/>
        <w:jc w:val="both"/>
        <w:rPr>
          <w:color w:val="0070C0"/>
          <w:sz w:val="22"/>
          <w:szCs w:val="22"/>
          <w:lang w:val="en-US" w:eastAsia="da-DK"/>
        </w:rPr>
      </w:pPr>
      <w:r w:rsidRPr="00775950">
        <w:rPr>
          <w:noProof/>
          <w:color w:val="0070C0"/>
          <w:sz w:val="22"/>
          <w:szCs w:val="22"/>
          <w:lang w:eastAsia="da-DK"/>
        </w:rPr>
        <mc:AlternateContent>
          <mc:Choice Requires="wpg">
            <w:drawing>
              <wp:anchor distT="0" distB="0" distL="114300" distR="114300" simplePos="0" relativeHeight="251664384" behindDoc="0" locked="0" layoutInCell="1" allowOverlap="1" wp14:anchorId="54A63DA6" wp14:editId="0897E911">
                <wp:simplePos x="0" y="0"/>
                <wp:positionH relativeFrom="page">
                  <wp:posOffset>423701</wp:posOffset>
                </wp:positionH>
                <wp:positionV relativeFrom="page">
                  <wp:posOffset>9766720</wp:posOffset>
                </wp:positionV>
                <wp:extent cx="6632894" cy="9145"/>
                <wp:effectExtent l="0" t="0" r="0" b="0"/>
                <wp:wrapTopAndBottom/>
                <wp:docPr id="15671" name="Group 15671"/>
                <wp:cNvGraphicFramePr/>
                <a:graphic xmlns:a="http://schemas.openxmlformats.org/drawingml/2006/main">
                  <a:graphicData uri="http://schemas.microsoft.com/office/word/2010/wordprocessingGroup">
                    <wpg:wgp>
                      <wpg:cNvGrpSpPr/>
                      <wpg:grpSpPr>
                        <a:xfrm>
                          <a:off x="0" y="0"/>
                          <a:ext cx="6632894" cy="9145"/>
                          <a:chOff x="0" y="0"/>
                          <a:chExt cx="6632894" cy="9145"/>
                        </a:xfrm>
                      </wpg:grpSpPr>
                      <wps:wsp>
                        <wps:cNvPr id="15670" name="Shape 15670"/>
                        <wps:cNvSpPr/>
                        <wps:spPr>
                          <a:xfrm>
                            <a:off x="0" y="0"/>
                            <a:ext cx="6632894" cy="9145"/>
                          </a:xfrm>
                          <a:custGeom>
                            <a:avLst/>
                            <a:gdLst/>
                            <a:ahLst/>
                            <a:cxnLst/>
                            <a:rect l="0" t="0" r="0" b="0"/>
                            <a:pathLst>
                              <a:path w="6632894" h="9145">
                                <a:moveTo>
                                  <a:pt x="0" y="4573"/>
                                </a:moveTo>
                                <a:lnTo>
                                  <a:pt x="6632894" y="4573"/>
                                </a:lnTo>
                              </a:path>
                            </a:pathLst>
                          </a:custGeom>
                          <a:noFill/>
                          <a:ln w="9145" cap="flat" cmpd="sng" algn="ctr">
                            <a:solidFill>
                              <a:srgbClr val="000000"/>
                            </a:solidFill>
                            <a:prstDash val="solid"/>
                            <a:miter lim="100000"/>
                          </a:ln>
                          <a:effectLst/>
                        </wps:spPr>
                        <wps:bodyPr/>
                      </wps:wsp>
                    </wpg:wgp>
                  </a:graphicData>
                </a:graphic>
              </wp:anchor>
            </w:drawing>
          </mc:Choice>
          <mc:Fallback>
            <w:pict>
              <v:group w14:anchorId="74984950" id="Group 15671" o:spid="_x0000_s1026" style="position:absolute;margin-left:33.35pt;margin-top:769.05pt;width:522.3pt;height:.7pt;z-index:251664384;mso-position-horizontal-relative:page;mso-position-vertical-relative:page" coordsize="663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">
                <v:shape id="Shape 15670" o:spid="_x0000_s1027" style="position:absolute;width:66328;height:91;visibility:visible;mso-wrap-style:square;v-text-anchor:top" coordsize="6632894,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" path="m,4573r6632894,e" filled="f" strokeweight=".25403mm">
                  <v:stroke miterlimit="1" joinstyle="miter"/>
                  <v:path arrowok="t" textboxrect="0,0,6632894,9145"/>
                </v:shape>
                <w10:wrap type="topAndBottom" anchorx="page" anchory="page"/>
              </v:group>
            </w:pict>
          </mc:Fallback>
        </mc:AlternateContent>
      </w:r>
      <w:r w:rsidRPr="00775950">
        <w:rPr>
          <w:noProof/>
          <w:color w:val="0070C0"/>
          <w:sz w:val="22"/>
          <w:szCs w:val="22"/>
          <w:lang w:eastAsia="da-DK"/>
        </w:rPr>
        <w:drawing>
          <wp:inline distT="0" distB="0" distL="0" distR="0" wp14:anchorId="46D4E9E5" wp14:editId="711DE349">
            <wp:extent cx="106687" cy="97546"/>
            <wp:effectExtent l="0" t="0" r="0" b="0"/>
            <wp:docPr id="9062" name="Picture 9062"/>
            <wp:cNvGraphicFramePr/>
            <a:graphic xmlns:a="http://schemas.openxmlformats.org/drawingml/2006/main">
              <a:graphicData uri="http://schemas.openxmlformats.org/drawingml/2006/picture">
                <pic:pic xmlns:pic="http://schemas.openxmlformats.org/drawingml/2006/picture">
                  <pic:nvPicPr>
                    <pic:cNvPr id="9062" name="Picture 9062"/>
                    <pic:cNvPicPr/>
                  </pic:nvPicPr>
                  <pic:blipFill>
                    <a:blip r:embed="rId22"/>
                    <a:stretch>
                      <a:fillRect/>
                    </a:stretch>
                  </pic:blipFill>
                  <pic:spPr>
                    <a:xfrm>
                      <a:off x="0" y="0"/>
                      <a:ext cx="106687" cy="97546"/>
                    </a:xfrm>
                    <a:prstGeom prst="rect">
                      <a:avLst/>
                    </a:prstGeom>
                  </pic:spPr>
                </pic:pic>
              </a:graphicData>
            </a:graphic>
          </wp:inline>
        </w:drawing>
      </w:r>
      <w:r w:rsidRPr="00775950">
        <w:rPr>
          <w:color w:val="0070C0"/>
          <w:sz w:val="22"/>
          <w:szCs w:val="22"/>
          <w:lang w:val="en-US" w:eastAsia="da-DK"/>
        </w:rPr>
        <w:t xml:space="preserve"> Membership: ACI FMA counts over 8,000 individual members representing 60 National Associations </w:t>
      </w:r>
      <w:proofErr w:type="gramStart"/>
      <w:r w:rsidRPr="00775950">
        <w:rPr>
          <w:color w:val="0070C0"/>
          <w:sz w:val="22"/>
          <w:szCs w:val="22"/>
          <w:lang w:val="en-US" w:eastAsia="da-DK"/>
        </w:rPr>
        <w:t>globally;</w:t>
      </w:r>
      <w:proofErr w:type="gramEnd"/>
    </w:p>
    <w:p w14:paraId="24C835AD" w14:textId="77777777" w:rsidR="00CC1CD6" w:rsidRPr="00775950" w:rsidRDefault="00CC1CD6" w:rsidP="00CC1CD6">
      <w:pPr>
        <w:spacing w:after="309" w:line="216" w:lineRule="auto"/>
        <w:ind w:left="571" w:right="43" w:hanging="557"/>
        <w:jc w:val="both"/>
        <w:rPr>
          <w:color w:val="0070C0"/>
          <w:sz w:val="22"/>
          <w:szCs w:val="22"/>
          <w:lang w:val="en-US" w:eastAsia="da-DK"/>
        </w:rPr>
      </w:pPr>
      <w:r w:rsidRPr="00775950">
        <w:rPr>
          <w:noProof/>
          <w:color w:val="0070C0"/>
          <w:sz w:val="22"/>
          <w:szCs w:val="22"/>
          <w:lang w:eastAsia="da-DK"/>
        </w:rPr>
        <w:drawing>
          <wp:inline distT="0" distB="0" distL="0" distR="0" wp14:anchorId="22A55358" wp14:editId="3B7B1922">
            <wp:extent cx="103639" cy="97545"/>
            <wp:effectExtent l="0" t="0" r="0" b="0"/>
            <wp:docPr id="9063" name="Picture 9063"/>
            <wp:cNvGraphicFramePr/>
            <a:graphic xmlns:a="http://schemas.openxmlformats.org/drawingml/2006/main">
              <a:graphicData uri="http://schemas.openxmlformats.org/drawingml/2006/picture">
                <pic:pic xmlns:pic="http://schemas.openxmlformats.org/drawingml/2006/picture">
                  <pic:nvPicPr>
                    <pic:cNvPr id="9063" name="Picture 9063"/>
                    <pic:cNvPicPr/>
                  </pic:nvPicPr>
                  <pic:blipFill>
                    <a:blip r:embed="rId23"/>
                    <a:stretch>
                      <a:fillRect/>
                    </a:stretch>
                  </pic:blipFill>
                  <pic:spPr>
                    <a:xfrm>
                      <a:off x="0" y="0"/>
                      <a:ext cx="103639" cy="97545"/>
                    </a:xfrm>
                    <a:prstGeom prst="rect">
                      <a:avLst/>
                    </a:prstGeom>
                  </pic:spPr>
                </pic:pic>
              </a:graphicData>
            </a:graphic>
          </wp:inline>
        </w:drawing>
      </w:r>
      <w:r w:rsidRPr="00775950">
        <w:rPr>
          <w:color w:val="0070C0"/>
          <w:sz w:val="22"/>
          <w:szCs w:val="22"/>
          <w:lang w:val="en-US" w:eastAsia="da-DK"/>
        </w:rPr>
        <w:t xml:space="preserve"> Education: Accredited, portable qualification and certification of professional and ethical standards to market participants </w:t>
      </w:r>
      <w:proofErr w:type="gramStart"/>
      <w:r w:rsidRPr="00775950">
        <w:rPr>
          <w:color w:val="0070C0"/>
          <w:sz w:val="22"/>
          <w:szCs w:val="22"/>
          <w:lang w:val="en-US" w:eastAsia="da-DK"/>
        </w:rPr>
        <w:t>worldwide;</w:t>
      </w:r>
      <w:proofErr w:type="gramEnd"/>
    </w:p>
    <w:p w14:paraId="2FBFF09C" w14:textId="5C631704" w:rsidR="00CC1CD6" w:rsidRPr="00775950" w:rsidRDefault="00CC1CD6" w:rsidP="00CC1CD6">
      <w:pPr>
        <w:spacing w:after="526" w:line="216" w:lineRule="auto"/>
        <w:ind w:left="576" w:right="43" w:hanging="562"/>
        <w:jc w:val="both"/>
        <w:rPr>
          <w:color w:val="0070C0"/>
          <w:sz w:val="22"/>
          <w:szCs w:val="22"/>
          <w:lang w:val="en-US" w:eastAsia="da-DK"/>
        </w:rPr>
      </w:pPr>
      <w:r w:rsidRPr="00775950">
        <w:rPr>
          <w:noProof/>
          <w:color w:val="0070C0"/>
          <w:sz w:val="22"/>
          <w:szCs w:val="22"/>
          <w:lang w:eastAsia="da-DK"/>
        </w:rPr>
        <w:drawing>
          <wp:inline distT="0" distB="0" distL="0" distR="0" wp14:anchorId="7C7FEFBC" wp14:editId="531CFCF3">
            <wp:extent cx="103639" cy="97545"/>
            <wp:effectExtent l="0" t="0" r="0" b="0"/>
            <wp:docPr id="9064" name="Picture 9064"/>
            <wp:cNvGraphicFramePr/>
            <a:graphic xmlns:a="http://schemas.openxmlformats.org/drawingml/2006/main">
              <a:graphicData uri="http://schemas.openxmlformats.org/drawingml/2006/picture">
                <pic:pic xmlns:pic="http://schemas.openxmlformats.org/drawingml/2006/picture">
                  <pic:nvPicPr>
                    <pic:cNvPr id="9064" name="Picture 9064"/>
                    <pic:cNvPicPr/>
                  </pic:nvPicPr>
                  <pic:blipFill>
                    <a:blip r:embed="rId24"/>
                    <a:stretch>
                      <a:fillRect/>
                    </a:stretch>
                  </pic:blipFill>
                  <pic:spPr>
                    <a:xfrm>
                      <a:off x="0" y="0"/>
                      <a:ext cx="103639" cy="97545"/>
                    </a:xfrm>
                    <a:prstGeom prst="rect">
                      <a:avLst/>
                    </a:prstGeom>
                  </pic:spPr>
                </pic:pic>
              </a:graphicData>
            </a:graphic>
          </wp:inline>
        </w:drawing>
      </w:r>
      <w:r w:rsidRPr="00775950">
        <w:rPr>
          <w:color w:val="0070C0"/>
          <w:sz w:val="22"/>
          <w:szCs w:val="22"/>
          <w:lang w:val="en-US" w:eastAsia="da-DK"/>
        </w:rPr>
        <w:t xml:space="preserve"> Ethical Conduct: ACI FMA members are expected to maintain the highest ethical conduct in adherence with global codes relevant to them.</w:t>
      </w:r>
    </w:p>
    <w:p w14:paraId="2CD88345" w14:textId="77777777" w:rsidR="006A11AA" w:rsidRDefault="006A11AA" w:rsidP="00CC1CD6">
      <w:pPr>
        <w:spacing w:after="202" w:line="216" w:lineRule="auto"/>
        <w:ind w:left="14" w:right="43" w:firstLine="4"/>
        <w:jc w:val="both"/>
        <w:rPr>
          <w:color w:val="0070C0"/>
          <w:sz w:val="22"/>
          <w:szCs w:val="22"/>
          <w:lang w:val="en-US" w:eastAsia="da-DK"/>
        </w:rPr>
      </w:pPr>
    </w:p>
    <w:p w14:paraId="2DBCF49D" w14:textId="77777777" w:rsidR="006A11AA" w:rsidRDefault="006A11AA" w:rsidP="00CC1CD6">
      <w:pPr>
        <w:spacing w:after="202" w:line="216" w:lineRule="auto"/>
        <w:ind w:left="14" w:right="43" w:firstLine="4"/>
        <w:jc w:val="both"/>
        <w:rPr>
          <w:color w:val="0070C0"/>
          <w:sz w:val="22"/>
          <w:szCs w:val="22"/>
          <w:lang w:val="en-US" w:eastAsia="da-DK"/>
        </w:rPr>
      </w:pPr>
    </w:p>
    <w:p w14:paraId="717E6470" w14:textId="0930BC85" w:rsidR="00CC1CD6" w:rsidRPr="00775950" w:rsidRDefault="00CC1CD6" w:rsidP="00CC1CD6">
      <w:pPr>
        <w:spacing w:after="202" w:line="216" w:lineRule="auto"/>
        <w:ind w:left="14" w:right="43" w:firstLine="4"/>
        <w:jc w:val="both"/>
        <w:rPr>
          <w:color w:val="0070C0"/>
          <w:sz w:val="22"/>
          <w:szCs w:val="22"/>
          <w:lang w:val="en-US" w:eastAsia="da-DK"/>
        </w:rPr>
      </w:pPr>
      <w:r w:rsidRPr="00775950">
        <w:rPr>
          <w:color w:val="0070C0"/>
          <w:sz w:val="22"/>
          <w:szCs w:val="22"/>
          <w:lang w:val="en-US" w:eastAsia="da-DK"/>
        </w:rPr>
        <w:t>ACI FMA members are proud to represent individual responsibility, and benefit from a network of global peers who place great emphasis on the best possible practices in our profession, in the same way as modern regulatory regimes and industry codes.</w:t>
      </w:r>
    </w:p>
    <w:p w14:paraId="18E01FBD" w14:textId="77777777" w:rsidR="00CC1CD6" w:rsidRPr="00775950" w:rsidRDefault="00CC1CD6" w:rsidP="00CC1CD6">
      <w:pPr>
        <w:spacing w:after="249" w:line="216" w:lineRule="auto"/>
        <w:ind w:left="14" w:right="43" w:firstLine="4"/>
        <w:jc w:val="both"/>
        <w:rPr>
          <w:color w:val="0070C0"/>
          <w:sz w:val="22"/>
          <w:szCs w:val="22"/>
          <w:lang w:val="en-US" w:eastAsia="da-DK"/>
        </w:rPr>
      </w:pPr>
      <w:r w:rsidRPr="00775950">
        <w:rPr>
          <w:color w:val="0070C0"/>
          <w:sz w:val="22"/>
          <w:szCs w:val="22"/>
          <w:lang w:val="en-US" w:eastAsia="da-DK"/>
        </w:rPr>
        <w:t>Through cooperation with ACI FMA, an entity is able to demonstrate that concrete steps are being taken to ensure all the staff have been trained to the highest ethical standards of conduct, and that they understand their individual obligation.</w:t>
      </w:r>
    </w:p>
    <w:p w14:paraId="692E63A9" w14:textId="32471FE6" w:rsidR="00CC1CD6" w:rsidRPr="00775950" w:rsidRDefault="00CC1CD6" w:rsidP="00CC1CD6">
      <w:pPr>
        <w:spacing w:after="249" w:line="216" w:lineRule="auto"/>
        <w:ind w:left="14" w:right="43" w:firstLine="4"/>
        <w:jc w:val="both"/>
        <w:rPr>
          <w:color w:val="0070C0"/>
          <w:sz w:val="22"/>
          <w:szCs w:val="22"/>
          <w:lang w:val="en-US" w:eastAsia="da-DK"/>
        </w:rPr>
      </w:pPr>
      <w:r w:rsidRPr="00775950">
        <w:rPr>
          <w:color w:val="0070C0"/>
          <w:sz w:val="22"/>
          <w:szCs w:val="22"/>
          <w:lang w:val="en-US" w:eastAsia="da-DK"/>
        </w:rPr>
        <w:t>ACI FMA are longstanding proponents and influencers of ethical conduct and good market practices to financial markets professionals.</w:t>
      </w:r>
    </w:p>
    <w:p w14:paraId="5B5C0D7B" w14:textId="788BCEBB" w:rsidR="00775950" w:rsidRDefault="00775950" w:rsidP="00CC1CD6">
      <w:pPr>
        <w:spacing w:after="249" w:line="216" w:lineRule="auto"/>
        <w:ind w:left="14" w:right="43" w:firstLine="4"/>
        <w:jc w:val="both"/>
        <w:rPr>
          <w:color w:val="000000"/>
          <w:sz w:val="20"/>
          <w:szCs w:val="20"/>
          <w:lang w:val="en-US" w:eastAsia="da-DK"/>
        </w:rPr>
      </w:pPr>
    </w:p>
    <w:p w14:paraId="2686E641" w14:textId="203C0B14" w:rsidR="00721428" w:rsidRDefault="00721428" w:rsidP="00CC1CD6">
      <w:pPr>
        <w:spacing w:after="249" w:line="216" w:lineRule="auto"/>
        <w:ind w:left="14" w:right="43" w:firstLine="4"/>
        <w:jc w:val="both"/>
        <w:rPr>
          <w:color w:val="000000"/>
          <w:sz w:val="20"/>
          <w:szCs w:val="20"/>
          <w:lang w:val="en-US" w:eastAsia="da-DK"/>
        </w:rPr>
      </w:pPr>
    </w:p>
    <w:p w14:paraId="3A81D256" w14:textId="77777777" w:rsidR="00721428" w:rsidRPr="00775950" w:rsidRDefault="00721428" w:rsidP="00CC1CD6">
      <w:pPr>
        <w:spacing w:after="249" w:line="216" w:lineRule="auto"/>
        <w:ind w:left="14" w:right="43" w:firstLine="4"/>
        <w:jc w:val="both"/>
        <w:rPr>
          <w:color w:val="000000"/>
          <w:sz w:val="20"/>
          <w:szCs w:val="20"/>
          <w:lang w:val="en-US" w:eastAsia="da-DK"/>
        </w:rPr>
      </w:pPr>
    </w:p>
    <w:p w14:paraId="00AEF230" w14:textId="17FAF228" w:rsidR="00013A94" w:rsidRPr="00775950" w:rsidRDefault="00013A94" w:rsidP="00013A94">
      <w:pPr>
        <w:pStyle w:val="Ingenafstand"/>
        <w:rPr>
          <w:i/>
          <w:iCs/>
          <w:color w:val="0070C0"/>
          <w:sz w:val="32"/>
          <w:szCs w:val="32"/>
          <w:u w:val="single"/>
        </w:rPr>
      </w:pPr>
      <w:r w:rsidRPr="00775950">
        <w:rPr>
          <w:i/>
          <w:iCs/>
          <w:color w:val="0070C0"/>
          <w:sz w:val="32"/>
          <w:szCs w:val="32"/>
          <w:u w:val="single"/>
        </w:rPr>
        <w:t>ACI FMA response to ESMA Consultation on the use of OTFs:</w:t>
      </w:r>
    </w:p>
    <w:p w14:paraId="528DD701" w14:textId="77777777" w:rsidR="00013A94" w:rsidRPr="00764AB4" w:rsidRDefault="00013A94" w:rsidP="00013A94">
      <w:pPr>
        <w:pStyle w:val="Ingenafstand"/>
      </w:pPr>
    </w:p>
    <w:p w14:paraId="61F8D9BF" w14:textId="706676ED" w:rsidR="00775950" w:rsidRDefault="00013A94" w:rsidP="00775950">
      <w:pPr>
        <w:rPr>
          <w:color w:val="0070C0"/>
          <w:lang w:val="en-US"/>
        </w:rPr>
      </w:pPr>
      <w:r w:rsidRPr="00775950">
        <w:rPr>
          <w:color w:val="0070C0"/>
        </w:rPr>
        <w:t>ACI Financial Markets Association (ACI FMA) is a leading global trade association representing the interests of professional</w:t>
      </w:r>
      <w:r w:rsidR="006E68E8">
        <w:rPr>
          <w:color w:val="0070C0"/>
        </w:rPr>
        <w:t>s</w:t>
      </w:r>
      <w:r w:rsidR="00A0163F">
        <w:rPr>
          <w:color w:val="0070C0"/>
        </w:rPr>
        <w:t xml:space="preserve"> in the </w:t>
      </w:r>
      <w:r w:rsidRPr="00775950">
        <w:rPr>
          <w:color w:val="0070C0"/>
        </w:rPr>
        <w:t xml:space="preserve">wholesale financial markets community. Established in 1955, ACI FMA is focused on enhancing best market practice and supporting market participants to adhere to principles of ethical conduct. </w:t>
      </w:r>
      <w:r w:rsidR="00775950" w:rsidRPr="00775950">
        <w:rPr>
          <w:color w:val="0070C0"/>
          <w:lang w:val="en-US"/>
        </w:rPr>
        <w:t>ACI FMA is the international association with 60 National Associations worldwide representing over 8,000 members.</w:t>
      </w:r>
    </w:p>
    <w:p w14:paraId="035705A1" w14:textId="3C7F98C0" w:rsidR="006E68E8" w:rsidRDefault="006E68E8" w:rsidP="00775950">
      <w:pPr>
        <w:rPr>
          <w:color w:val="0070C0"/>
          <w:lang w:val="en-US"/>
        </w:rPr>
      </w:pPr>
    </w:p>
    <w:p w14:paraId="51397C41" w14:textId="77777777" w:rsidR="00013A94" w:rsidRPr="00775950" w:rsidRDefault="00013A94" w:rsidP="00013A94">
      <w:pPr>
        <w:pStyle w:val="Ingenafstand"/>
        <w:rPr>
          <w:rFonts w:ascii="Times New Roman" w:hAnsi="Times New Roman" w:cs="Times New Roman"/>
          <w:color w:val="0070C0"/>
          <w:sz w:val="24"/>
          <w:szCs w:val="24"/>
        </w:rPr>
      </w:pPr>
    </w:p>
    <w:p w14:paraId="04BA11AE" w14:textId="21C7DCCE" w:rsidR="00C85C8B" w:rsidRPr="00C85C8B" w:rsidRDefault="00013A94" w:rsidP="00775950">
      <w:pPr>
        <w:pStyle w:val="Ingenafstand"/>
        <w:rPr>
          <w:rFonts w:ascii="Arial" w:hAnsi="Arial" w:cs="Arial"/>
          <w:sz w:val="22"/>
        </w:rPr>
      </w:pPr>
      <w:r w:rsidRPr="00775950">
        <w:rPr>
          <w:rFonts w:ascii="Times New Roman" w:hAnsi="Times New Roman" w:cs="Times New Roman"/>
          <w:color w:val="0070C0"/>
          <w:sz w:val="24"/>
          <w:szCs w:val="24"/>
        </w:rPr>
        <w:t>The ACI FMA welcomes the opportunity to respond to ESMA’s consultation on the “functioning of the Organised Trading Facility regime”. This response has been produced through the collaboration of the ACI FX Committee and the ACI Regulatory Working Group whose memberships encompass buy-side and sell-side investment firms, trading venues, and software and technology providers. While ACI members are engaged in financial trading or sales environments, in the global wholesale financial markets, representing a variety of asset classes including foreign exchange, interest rate products and other securities, banknotes, precious metals and commodities and derivatives from both a buy and sell-side perspective; the majority of the members are predominantly engaged in the FX markets. Therefore, unless otherwise specified, the ACI’s responses to this consultation concerning market microstructure, etc. apply to the FX markets. Additionally, while we acknowledge the comprehensive nature of the consultation questionnaire and will endeavour to respond accordingly, the ACI proposes to respond to the questions, which we believe have the most pertinence for the FX asset class while representing the broad spectrum of our members' views.</w:t>
      </w:r>
    </w:p>
    <w:permEnd w:id="1070803431"/>
    <w:p w14:paraId="5B0F2E69" w14:textId="18496BCC" w:rsidR="00C85C8B" w:rsidRDefault="00C85C8B" w:rsidP="00775950">
      <w:pPr>
        <w:spacing w:after="250" w:line="276" w:lineRule="auto"/>
        <w:jc w:val="both"/>
        <w:rPr>
          <w:rFonts w:asciiTheme="minorHAnsi" w:hAnsiTheme="minorHAnsi" w:cstheme="minorHAnsi"/>
          <w:b/>
          <w:sz w:val="28"/>
          <w:szCs w:val="28"/>
        </w:rPr>
      </w:pPr>
      <w:r w:rsidRPr="00C85C8B">
        <w:rPr>
          <w:rFonts w:asciiTheme="minorHAnsi" w:eastAsiaTheme="minorEastAsia" w:hAnsiTheme="minorHAnsi" w:cstheme="minorBidi"/>
          <w:sz w:val="22"/>
          <w:szCs w:val="20"/>
          <w:lang w:eastAsia="en-US"/>
        </w:rPr>
        <w:t>&lt;ESMA_COMMENT_</w:t>
      </w:r>
      <w:r w:rsidR="00C92E09">
        <w:rPr>
          <w:rFonts w:asciiTheme="minorHAnsi" w:eastAsiaTheme="minorEastAsia" w:hAnsiTheme="minorHAnsi" w:cs="Arial"/>
          <w:sz w:val="22"/>
          <w:szCs w:val="20"/>
          <w:lang w:eastAsia="en-US"/>
        </w:rPr>
        <w:t>FOTF</w:t>
      </w:r>
      <w:r w:rsidRPr="00C85C8B">
        <w:rPr>
          <w:rFonts w:asciiTheme="minorHAnsi" w:eastAsiaTheme="minorEastAsia" w:hAnsiTheme="minorHAnsi" w:cstheme="minorBidi"/>
          <w:sz w:val="22"/>
          <w:szCs w:val="20"/>
          <w:lang w:eastAsia="en-US"/>
        </w:rPr>
        <w:t>_1&gt;</w:t>
      </w:r>
    </w:p>
    <w:p w14:paraId="707455CC"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12555635" w14:textId="77777777" w:rsidR="006A11AA" w:rsidRDefault="006A11AA" w:rsidP="00C1698A">
      <w:pPr>
        <w:spacing w:line="276" w:lineRule="auto"/>
        <w:rPr>
          <w:rFonts w:asciiTheme="minorHAnsi" w:hAnsiTheme="minorHAnsi" w:cstheme="minorHAnsi"/>
          <w:b/>
          <w:sz w:val="28"/>
          <w:szCs w:val="28"/>
        </w:rPr>
      </w:pPr>
    </w:p>
    <w:p w14:paraId="3A0C6347" w14:textId="68B2117A"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t xml:space="preserve">Questions </w:t>
      </w:r>
    </w:p>
    <w:p w14:paraId="0849717D" w14:textId="77777777" w:rsidR="00AB6157" w:rsidRDefault="00AB6157" w:rsidP="00C1698A">
      <w:pPr>
        <w:spacing w:line="276" w:lineRule="auto"/>
        <w:rPr>
          <w:rFonts w:asciiTheme="minorHAnsi" w:hAnsiTheme="minorHAnsi" w:cstheme="minorHAnsi"/>
          <w:b/>
          <w:sz w:val="28"/>
          <w:szCs w:val="28"/>
        </w:rPr>
      </w:pPr>
    </w:p>
    <w:bookmarkEnd w:id="0"/>
    <w:p w14:paraId="049381F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 What are your views about the current OTFs landscape in the EU? What is your initial assessment of the efficiency and usefulness of the OTF regime so far?</w:t>
      </w:r>
    </w:p>
    <w:p w14:paraId="29ED5AA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&lt;ESMA_QUESTION_FOTF_1&gt;</w:t>
      </w:r>
    </w:p>
    <w:p w14:paraId="30DCDDA3" w14:textId="5CBF84C1" w:rsidR="00A06EF4" w:rsidRPr="00A37146" w:rsidRDefault="0089257F" w:rsidP="00C92E09">
      <w:pPr>
        <w:spacing w:after="160" w:line="259" w:lineRule="auto"/>
        <w:rPr>
          <w:rFonts w:ascii="Arial" w:eastAsia="Calibri" w:hAnsi="Arial" w:cs="Arial"/>
          <w:color w:val="0070C0"/>
          <w:sz w:val="22"/>
          <w:szCs w:val="22"/>
          <w:lang w:eastAsia="en-US"/>
        </w:rPr>
      </w:pPr>
      <w:permStart w:id="1232681452" w:edGrp="everyone"/>
      <w:r w:rsidRPr="00A37146">
        <w:rPr>
          <w:color w:val="0070C0"/>
          <w:lang w:val="en-US"/>
        </w:rPr>
        <w:t xml:space="preserve">The BIS 2019 Triennial Central Bank Survey confirms that, despite the overall trend towards increased electronification, inter-dealer trading of FX swaps has remained heavily voice-reliant, while dealer-to-customer trading has moved towards greater use of electronic execution methods. There are several interrelated reasons for voice retaining a higher, evidenced share in FX swaps. e.g. potential large size of notional amounts, institution internal and balance sheet considerations, pricing component sourcing, price discovery, internalisation, credit risk management, and mitigation. (Source: BIS Quarterly Review; 08 December 2019 by Andreas Schrimpf and Vladyslav </w:t>
      </w:r>
      <w:proofErr w:type="spellStart"/>
      <w:r w:rsidRPr="00A37146">
        <w:rPr>
          <w:color w:val="0070C0"/>
          <w:lang w:val="en-US"/>
        </w:rPr>
        <w:t>Sushko</w:t>
      </w:r>
      <w:proofErr w:type="spellEnd"/>
      <w:r w:rsidRPr="00A37146">
        <w:rPr>
          <w:color w:val="0070C0"/>
          <w:lang w:val="en-US"/>
        </w:rPr>
        <w:t>).  Therefore, the ACI FMA would propose that the introduction of the OTF regime under MiFID II has proven to be positively supportive, useful, and effective in the currency markets in that it provided specific regulatory requirements, differentiation, and recognition of the pure ‘voice’ and hybrid ‘voice/electronic’, as opposed to pure electronic execution methods.</w:t>
      </w:r>
    </w:p>
    <w:permEnd w:id="1232681452"/>
    <w:p w14:paraId="71165F75"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&lt;ESMA_QUESTION_FOTF_1&gt;</w:t>
      </w:r>
    </w:p>
    <w:p w14:paraId="0258ECEA" w14:textId="77777777" w:rsidR="00C92E09" w:rsidRPr="00C92E09" w:rsidRDefault="00C92E09" w:rsidP="00C92E09">
      <w:pPr>
        <w:spacing w:after="160" w:line="259" w:lineRule="auto"/>
        <w:rPr>
          <w:rFonts w:ascii="Arial" w:eastAsia="Calibri" w:hAnsi="Arial" w:cs="Arial"/>
          <w:sz w:val="22"/>
          <w:szCs w:val="22"/>
          <w:lang w:eastAsia="en-US"/>
        </w:rPr>
      </w:pPr>
    </w:p>
    <w:p w14:paraId="28858595"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Q2: Trading in OTFs has been fairly stable and concentrated in certain type of instruments throughout the application of MiFID II. How would you explain those findings? What in your view incentivizes market participants to trade on OTFs? How do you see the OTF landscape evolving in the near future?</w:t>
      </w:r>
    </w:p>
    <w:p w14:paraId="25625DEE"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&lt;ESMA_QUESTION_FOTF_2&gt;</w:t>
      </w:r>
    </w:p>
    <w:p w14:paraId="49BA31CD" w14:textId="5CE96CDE" w:rsidR="00C92E09" w:rsidRPr="00183AFE" w:rsidRDefault="0089257F" w:rsidP="00C92E09">
      <w:pPr>
        <w:spacing w:after="160" w:line="259" w:lineRule="auto"/>
        <w:rPr>
          <w:rFonts w:ascii="Arial" w:eastAsia="Calibri" w:hAnsi="Arial" w:cs="Arial"/>
          <w:color w:val="0070C0"/>
          <w:sz w:val="22"/>
          <w:szCs w:val="22"/>
          <w:lang w:eastAsia="en-US"/>
        </w:rPr>
      </w:pPr>
      <w:permStart w:id="348281802" w:edGrp="everyone"/>
      <w:r w:rsidRPr="00183AFE">
        <w:rPr>
          <w:color w:val="0070C0"/>
          <w:lang w:val="en-US"/>
        </w:rPr>
        <w:t xml:space="preserve">As mentioned in the Q 1 response, there are many reasons why certain sectors of the FX Swap market have remained heavily voice or ‘hybrid’ model reliant. However, specifically from a price component, price discovery, credit risk mitigation standpoint, and facilitation, the OTF model underpins/supports the FX Swaps inter-dealer market and further facilitates MIFID II transparency obligations. The OTF model incentivizes market participants in as far as it lends itself by structure to existing trading models. Concerning the future evolution of the OTF landscape, </w:t>
      </w:r>
      <w:r w:rsidRPr="00183AFE">
        <w:rPr>
          <w:color w:val="0070C0"/>
        </w:rPr>
        <w:t>the BIS 2019 Triennial Central Bank Survey shows that while volumes have increased since 2016, turnover rose by more than a third to $3.2 trillion per day and accounted for almost half of global FX trading, trade execution has undergone rapid change, with more diverse participants and new technologies driving increased complexity and fragmentation. Therefore, while we would potentially envisage an increase in the level of OTF registrations, given the current low stated level (4%), there will also potentially be the adoption of other models.</w:t>
      </w:r>
    </w:p>
    <w:permEnd w:id="348281802"/>
    <w:p w14:paraId="0715641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&lt;ESMA_QUESTION_FOTF_2&gt;</w:t>
      </w:r>
    </w:p>
    <w:p w14:paraId="5AAE4975" w14:textId="3D58A356" w:rsidR="00C92E09" w:rsidRDefault="00C92E09" w:rsidP="00C92E09">
      <w:pPr>
        <w:spacing w:after="160" w:line="259" w:lineRule="auto"/>
        <w:rPr>
          <w:rFonts w:ascii="Arial" w:eastAsia="Calibri" w:hAnsi="Arial" w:cs="Arial"/>
          <w:sz w:val="22"/>
          <w:szCs w:val="22"/>
          <w:lang w:eastAsia="en-US"/>
        </w:rPr>
      </w:pPr>
    </w:p>
    <w:p w14:paraId="0C7EF13D" w14:textId="7CF96036" w:rsidR="00286FAC" w:rsidRDefault="00286FAC" w:rsidP="00C92E09">
      <w:pPr>
        <w:spacing w:after="160" w:line="259" w:lineRule="auto"/>
        <w:rPr>
          <w:rFonts w:ascii="Arial" w:eastAsia="Calibri" w:hAnsi="Arial" w:cs="Arial"/>
          <w:sz w:val="22"/>
          <w:szCs w:val="22"/>
          <w:lang w:eastAsia="en-US"/>
        </w:rPr>
      </w:pPr>
    </w:p>
    <w:p w14:paraId="05ECFA85" w14:textId="77777777" w:rsidR="00286FAC" w:rsidRPr="00C92E09" w:rsidRDefault="00286FAC" w:rsidP="00C92E09">
      <w:pPr>
        <w:spacing w:after="160" w:line="259" w:lineRule="auto"/>
        <w:rPr>
          <w:rFonts w:ascii="Arial" w:eastAsia="Calibri" w:hAnsi="Arial" w:cs="Arial"/>
          <w:sz w:val="22"/>
          <w:szCs w:val="22"/>
          <w:lang w:eastAsia="en-US"/>
        </w:rPr>
      </w:pPr>
    </w:p>
    <w:p w14:paraId="6B44EBB0"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Q3: Do you concur with ESMA’s clarifications above regarding the application of Article 1(7) and Article 4(19) of MiFID II? If yes, do you agree with the ESMA proposed amendment of Level 1? Which other amendment of the Level 1 text would you consider to be necessary?</w:t>
      </w:r>
    </w:p>
    <w:p w14:paraId="4E12A524"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&lt;ESMA_QUESTION_FOTF_3&gt;</w:t>
      </w:r>
    </w:p>
    <w:p w14:paraId="3C5626A0" w14:textId="3A54CD22" w:rsidR="00C92E09" w:rsidRPr="00183AFE" w:rsidRDefault="0089257F" w:rsidP="00D73245">
      <w:pPr>
        <w:pBdr>
          <w:top w:val="nil"/>
          <w:left w:val="nil"/>
          <w:bottom w:val="nil"/>
          <w:right w:val="nil"/>
          <w:between w:val="nil"/>
        </w:pBdr>
        <w:rPr>
          <w:color w:val="0070C0"/>
        </w:rPr>
      </w:pPr>
      <w:permStart w:id="315822768" w:edGrp="everyone"/>
      <w:r w:rsidRPr="00183AFE">
        <w:rPr>
          <w:color w:val="0070C0"/>
        </w:rPr>
        <w:t xml:space="preserve">The ACI FMA is unable to concur with either ESMA’s clarifications or the proposed amendment in its current form. However, we do believe that there is a need for clarification concerning the definition of trading venues and the regulatory parameters thereof as the current ESMA stated interpretation appears to lack exactness and may not only foster confusion among market participants but also inadvertently pull into scope software providers and other fintech companies. These may be part of the day to day trade lifecycle activity; however, they are not regarded as trading venues. Therefore, the system design, role, purpose, precise utilisation of, interaction with any other systems would need to be evaluated to determine the requirement for regulatory registration and compliance within the scope and application of Article 1(7) and Article 4(19) of MiFID II. Furthermore, we would envisage this adjudication should fall within the remit of the NCA where the ‘company’ is domiciled to determine whether such a ‘company’ should fall within the requirements of registration. </w:t>
      </w:r>
      <w:r w:rsidRPr="00183AFE">
        <w:rPr>
          <w:rFonts w:eastAsia="Calibri"/>
          <w:color w:val="0070C0"/>
        </w:rPr>
        <w:t>The consequences of inappropriate regulation on, for example, software providers could be most detrimental from a standpoint of innovation, competition, and growth within this sector in the EU and could ultimately cause offshoring of both the innovation and the access to it with the ensuing economic and market impacts.   Fintech companies have a choice on where to locate themselves, funding is precious and allocated as close as possible to 100% on the particular innovation they are pursuing, meaning any regulatory burden not common across jurisdictions will cause a negative selection both at inception and as the company matures resulting in them only entering markets when the incremental new business can afford any regulatory burden.  Resulting in the potential for local Banks and Venues not receiving access to a particular innovation until last and at a higher unit cost.</w:t>
      </w:r>
    </w:p>
    <w:permEnd w:id="315822768"/>
    <w:p w14:paraId="5014AC14"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&lt;ESMA_QUESTION_FOTF_3&gt;</w:t>
      </w:r>
    </w:p>
    <w:p w14:paraId="441A60F2" w14:textId="6FC3C8B3" w:rsidR="00C92E09" w:rsidRDefault="00C92E09" w:rsidP="00C92E09">
      <w:pPr>
        <w:spacing w:after="160" w:line="259" w:lineRule="auto"/>
        <w:rPr>
          <w:rFonts w:ascii="Arial" w:eastAsia="Calibri" w:hAnsi="Arial" w:cs="Arial"/>
          <w:sz w:val="22"/>
          <w:szCs w:val="22"/>
          <w:lang w:eastAsia="en-US"/>
        </w:rPr>
      </w:pPr>
    </w:p>
    <w:p w14:paraId="44F7778F" w14:textId="77777777" w:rsidR="006A11AA" w:rsidRPr="00C92E09" w:rsidRDefault="006A11AA" w:rsidP="00C92E09">
      <w:pPr>
        <w:spacing w:after="160" w:line="259" w:lineRule="auto"/>
        <w:rPr>
          <w:rFonts w:ascii="Arial" w:eastAsia="Calibri" w:hAnsi="Arial" w:cs="Arial"/>
          <w:sz w:val="22"/>
          <w:szCs w:val="22"/>
          <w:lang w:eastAsia="en-US"/>
        </w:rPr>
      </w:pPr>
    </w:p>
    <w:p w14:paraId="4305EA0C"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Q4: Do you agree with ESMA’s two-step approach? If not, which alternative should ESMA consider?</w:t>
      </w:r>
    </w:p>
    <w:p w14:paraId="54F0A8C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&lt;ESMA_QUESTION_FOTF_4&gt;</w:t>
      </w:r>
    </w:p>
    <w:p w14:paraId="2F887D2A" w14:textId="047636EA" w:rsidR="00C92E09" w:rsidRPr="00183AFE" w:rsidRDefault="00D73245" w:rsidP="00C92E09">
      <w:pPr>
        <w:spacing w:after="160" w:line="259" w:lineRule="auto"/>
        <w:rPr>
          <w:rFonts w:ascii="Arial" w:eastAsia="Calibri" w:hAnsi="Arial" w:cs="Arial"/>
          <w:color w:val="0070C0"/>
          <w:sz w:val="22"/>
          <w:szCs w:val="22"/>
          <w:lang w:eastAsia="en-US"/>
        </w:rPr>
      </w:pPr>
      <w:permStart w:id="334122472" w:edGrp="everyone"/>
      <w:r w:rsidRPr="00183AFE">
        <w:rPr>
          <w:color w:val="0070C0"/>
        </w:rPr>
        <w:t>As proposed in Question 2, the ACI FMA believes that greater clarification concerning the definition of what constitutes a trading venue and the regulatory parameters thereof is needed. This is an issue of great complexity and requires, in our opinion, greater interface and discussion with the broader range of market participants.</w:t>
      </w:r>
    </w:p>
    <w:permEnd w:id="334122472"/>
    <w:p w14:paraId="2236930B"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&lt;ESMA_QUESTION_FOTF_4&gt;</w:t>
      </w:r>
    </w:p>
    <w:p w14:paraId="22B3DE38" w14:textId="4500EAA6" w:rsidR="00C92E09" w:rsidRDefault="00C92E09" w:rsidP="00C92E09">
      <w:pPr>
        <w:spacing w:after="160" w:line="259" w:lineRule="auto"/>
        <w:rPr>
          <w:rFonts w:ascii="Arial" w:eastAsia="Calibri" w:hAnsi="Arial" w:cs="Arial"/>
          <w:sz w:val="22"/>
          <w:szCs w:val="22"/>
          <w:lang w:eastAsia="en-US"/>
        </w:rPr>
      </w:pPr>
    </w:p>
    <w:p w14:paraId="4F36C44F" w14:textId="0315FB05" w:rsidR="006A11AA" w:rsidRDefault="006A11AA" w:rsidP="00C92E09">
      <w:pPr>
        <w:spacing w:after="160" w:line="259" w:lineRule="auto"/>
        <w:rPr>
          <w:rFonts w:ascii="Arial" w:eastAsia="Calibri" w:hAnsi="Arial" w:cs="Arial"/>
          <w:sz w:val="22"/>
          <w:szCs w:val="22"/>
          <w:lang w:eastAsia="en-US"/>
        </w:rPr>
      </w:pPr>
    </w:p>
    <w:p w14:paraId="7D4BAD01" w14:textId="5B38F66D" w:rsidR="006A11AA" w:rsidRDefault="006A11AA" w:rsidP="00C92E09">
      <w:pPr>
        <w:spacing w:after="160" w:line="259" w:lineRule="auto"/>
        <w:rPr>
          <w:rFonts w:ascii="Arial" w:eastAsia="Calibri" w:hAnsi="Arial" w:cs="Arial"/>
          <w:sz w:val="22"/>
          <w:szCs w:val="22"/>
          <w:lang w:eastAsia="en-US"/>
        </w:rPr>
      </w:pPr>
    </w:p>
    <w:p w14:paraId="33529621" w14:textId="0256445D" w:rsidR="006A11AA" w:rsidRDefault="006A11AA" w:rsidP="00C92E09">
      <w:pPr>
        <w:spacing w:after="160" w:line="259" w:lineRule="auto"/>
        <w:rPr>
          <w:rFonts w:ascii="Arial" w:eastAsia="Calibri" w:hAnsi="Arial" w:cs="Arial"/>
          <w:sz w:val="22"/>
          <w:szCs w:val="22"/>
          <w:lang w:eastAsia="en-US"/>
        </w:rPr>
      </w:pPr>
    </w:p>
    <w:p w14:paraId="42894521" w14:textId="77777777" w:rsidR="006A11AA" w:rsidRPr="00C92E09" w:rsidRDefault="006A11AA" w:rsidP="00C92E09">
      <w:pPr>
        <w:spacing w:after="160" w:line="259" w:lineRule="auto"/>
        <w:rPr>
          <w:rFonts w:ascii="Arial" w:eastAsia="Calibri" w:hAnsi="Arial" w:cs="Arial"/>
          <w:sz w:val="22"/>
          <w:szCs w:val="22"/>
          <w:lang w:eastAsia="en-US"/>
        </w:rPr>
      </w:pPr>
    </w:p>
    <w:p w14:paraId="6960E049"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Q5: Do you agree with ESMA’s proposal not to amend the OTF </w:t>
      </w:r>
      <w:proofErr w:type="spellStart"/>
      <w:r w:rsidRPr="00C92E09">
        <w:rPr>
          <w:rFonts w:ascii="Arial" w:hAnsi="Arial" w:cs="Arial"/>
          <w:b/>
          <w:sz w:val="22"/>
          <w:szCs w:val="22"/>
          <w:lang w:val="en-US" w:eastAsia="en-US"/>
        </w:rPr>
        <w:t>authorisation</w:t>
      </w:r>
      <w:proofErr w:type="spellEnd"/>
      <w:r w:rsidRPr="00C92E09">
        <w:rPr>
          <w:rFonts w:ascii="Arial" w:hAnsi="Arial" w:cs="Arial"/>
          <w:b/>
          <w:sz w:val="22"/>
          <w:szCs w:val="22"/>
          <w:lang w:val="en-US" w:eastAsia="en-US"/>
        </w:rPr>
        <w:t xml:space="preserve"> regime and not to exempt smaller entities? If not, based on which criteria should those smaller entities potentially subject to an OTF exemption be identified? </w:t>
      </w:r>
    </w:p>
    <w:p w14:paraId="44893779"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&lt;ESMA_QUESTION_FOTF_5&gt;</w:t>
      </w:r>
    </w:p>
    <w:p w14:paraId="5F21E676" w14:textId="18330BAD" w:rsidR="00C92E09" w:rsidRPr="00183AFE" w:rsidRDefault="00D73245" w:rsidP="00C92E09">
      <w:pPr>
        <w:spacing w:after="160" w:line="259" w:lineRule="auto"/>
        <w:rPr>
          <w:rFonts w:ascii="Arial" w:eastAsia="Calibri" w:hAnsi="Arial" w:cs="Arial"/>
          <w:color w:val="0070C0"/>
          <w:sz w:val="22"/>
          <w:szCs w:val="22"/>
          <w:lang w:eastAsia="en-US"/>
        </w:rPr>
      </w:pPr>
      <w:permStart w:id="1915693905" w:edGrp="everyone"/>
      <w:r w:rsidRPr="00183AFE">
        <w:rPr>
          <w:color w:val="0070C0"/>
        </w:rPr>
        <w:t>The ACI FMA concurs with ESMA’s proposal to neither amend the OTF authorisation regime and nor to exempt smaller entities.</w:t>
      </w:r>
      <w:r w:rsidR="00CC1CD6" w:rsidRPr="00183AFE">
        <w:rPr>
          <w:rFonts w:ascii="Arial" w:eastAsia="Calibri" w:hAnsi="Arial" w:cs="Arial"/>
          <w:color w:val="0070C0"/>
          <w:sz w:val="22"/>
          <w:szCs w:val="22"/>
          <w:lang w:eastAsia="en-US"/>
        </w:rPr>
        <w:t xml:space="preserve"> </w:t>
      </w:r>
    </w:p>
    <w:permEnd w:id="1915693905"/>
    <w:p w14:paraId="32931DF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&lt;ESMA_QUESTION_FOTF_5&gt;</w:t>
      </w:r>
    </w:p>
    <w:p w14:paraId="50F1C2E1" w14:textId="64B27E97" w:rsidR="00C92E09" w:rsidRDefault="00C92E09" w:rsidP="00C92E09">
      <w:pPr>
        <w:spacing w:after="160" w:line="259" w:lineRule="auto"/>
        <w:rPr>
          <w:rFonts w:ascii="Arial" w:eastAsia="Calibri" w:hAnsi="Arial" w:cs="Arial"/>
          <w:sz w:val="22"/>
          <w:szCs w:val="22"/>
          <w:lang w:eastAsia="en-US"/>
        </w:rPr>
      </w:pPr>
    </w:p>
    <w:p w14:paraId="2EAF584C" w14:textId="77777777" w:rsidR="006A11AA" w:rsidRPr="00C92E09" w:rsidRDefault="006A11AA" w:rsidP="00C92E09">
      <w:pPr>
        <w:spacing w:after="160" w:line="259" w:lineRule="auto"/>
        <w:rPr>
          <w:rFonts w:ascii="Arial" w:eastAsia="Calibri" w:hAnsi="Arial" w:cs="Arial"/>
          <w:sz w:val="22"/>
          <w:szCs w:val="22"/>
          <w:lang w:eastAsia="en-US"/>
        </w:rPr>
      </w:pPr>
    </w:p>
    <w:p w14:paraId="65CE2161"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Q6: Which provisions applicable to OTFs are particularly burdensome to apply for less sophisticated firms? Which Level 1 or Level 2 amendments would alleviate this regulatory burden without </w:t>
      </w:r>
      <w:proofErr w:type="spellStart"/>
      <w:r w:rsidRPr="00C92E09">
        <w:rPr>
          <w:rFonts w:ascii="Arial" w:hAnsi="Arial" w:cs="Arial"/>
          <w:b/>
          <w:sz w:val="22"/>
          <w:szCs w:val="22"/>
          <w:lang w:val="en-US" w:eastAsia="en-US"/>
        </w:rPr>
        <w:t>jeopardising</w:t>
      </w:r>
      <w:proofErr w:type="spellEnd"/>
      <w:r w:rsidRPr="00C92E09">
        <w:rPr>
          <w:rFonts w:ascii="Arial" w:hAnsi="Arial" w:cs="Arial"/>
          <w:b/>
          <w:sz w:val="22"/>
          <w:szCs w:val="22"/>
          <w:lang w:val="en-US" w:eastAsia="en-US"/>
        </w:rPr>
        <w:t xml:space="preserve"> the level playing field between OTFs and the convergent application of MiFID II/</w:t>
      </w:r>
      <w:proofErr w:type="spellStart"/>
      <w:r w:rsidRPr="00C92E09">
        <w:rPr>
          <w:rFonts w:ascii="Arial" w:hAnsi="Arial" w:cs="Arial"/>
          <w:b/>
          <w:sz w:val="22"/>
          <w:szCs w:val="22"/>
          <w:lang w:val="en-US" w:eastAsia="en-US"/>
        </w:rPr>
        <w:t>MiFIR</w:t>
      </w:r>
      <w:proofErr w:type="spellEnd"/>
      <w:r w:rsidRPr="00C92E09">
        <w:rPr>
          <w:rFonts w:ascii="Arial" w:hAnsi="Arial" w:cs="Arial"/>
          <w:b/>
          <w:sz w:val="22"/>
          <w:szCs w:val="22"/>
          <w:lang w:val="en-US" w:eastAsia="en-US"/>
        </w:rPr>
        <w:t xml:space="preserve"> rules in the EU?</w:t>
      </w:r>
    </w:p>
    <w:p w14:paraId="2FE378CE"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&lt;ESMA_QUESTION_FOTF_6&gt;</w:t>
      </w:r>
    </w:p>
    <w:p w14:paraId="3D7C294F" w14:textId="6677B88A" w:rsidR="00D73245" w:rsidRPr="00183AFE" w:rsidRDefault="00D73245" w:rsidP="00D73245">
      <w:pPr>
        <w:rPr>
          <w:color w:val="0070C0"/>
        </w:rPr>
      </w:pPr>
      <w:permStart w:id="939406974" w:edGrp="everyone"/>
      <w:r w:rsidRPr="00183AFE">
        <w:rPr>
          <w:color w:val="0070C0"/>
        </w:rPr>
        <w:t>While the provision and utilisation of a rate card is a standard practice/requirement for equity broker-dealers interfacing with clients via a matched principal model (MPT) or Agency Cross model, this is not necessarily a normal market convention for the FX markets participants operating a principal book. The ACI FMA would propose that RTS 10 Article 3 while endeavouring to ensure transparency through a fair and non-discriminatory fee structure, does not take into consideration differing volatility and liquidity between liquid and illiquid currency pairs, which may impact the execution and pricing of the order/transaction. We note that FX as an asset class is regarded by ESMA as illiquid. Furthermore, the requirement that trading venues should charge the same fee and provide the same conditions to all users of the same type of services based on objective criteria (RTS10 Article 3 (1)) creates an onerous burden regarding client contract re-papering or a barrier to entry for prospective OTF operators.</w:t>
      </w:r>
    </w:p>
    <w:permEnd w:id="939406974"/>
    <w:p w14:paraId="06FA4080"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&lt;ESMA_QUESTION_FOTF_6&gt;</w:t>
      </w:r>
    </w:p>
    <w:p w14:paraId="49891EE7" w14:textId="77777777" w:rsidR="00C92E09" w:rsidRPr="00C92E09" w:rsidRDefault="00C92E09" w:rsidP="00C92E09">
      <w:pPr>
        <w:spacing w:after="160" w:line="259" w:lineRule="auto"/>
        <w:rPr>
          <w:rFonts w:ascii="Arial" w:eastAsia="Calibri" w:hAnsi="Arial" w:cs="Arial"/>
          <w:sz w:val="22"/>
          <w:szCs w:val="22"/>
          <w:lang w:eastAsia="en-US"/>
        </w:rPr>
      </w:pPr>
    </w:p>
    <w:p w14:paraId="2C736ACC"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Q7: Do you consider that ESMA should publish further guidance on the difference between the operation of an OTF, or other multilateral systems, and other investment services (primarily Reception and Transmission of Orders and Execution of orders on behalf of clients)? If yes, what elements should be considered to differentiate between the operation of multilateral systems and these other investment services?</w:t>
      </w:r>
    </w:p>
    <w:p w14:paraId="62D4D6A5"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&lt;ESMA_QUESTION_FOTF_7&gt;</w:t>
      </w:r>
    </w:p>
    <w:p w14:paraId="1B4FAC40" w14:textId="65F2A6BC" w:rsidR="00183AFE" w:rsidRDefault="00D73245" w:rsidP="00D73245">
      <w:pPr>
        <w:rPr>
          <w:color w:val="44546A" w:themeColor="text2"/>
        </w:rPr>
      </w:pPr>
      <w:permStart w:id="202657677" w:edGrp="everyone"/>
      <w:r w:rsidRPr="00183AFE">
        <w:rPr>
          <w:color w:val="0070C0"/>
        </w:rPr>
        <w:t>The ACI FMA does not currently see a requirement for further guidance regarding this.</w:t>
      </w:r>
    </w:p>
    <w:permEnd w:id="202657677"/>
    <w:p w14:paraId="727223AB" w14:textId="474043F1" w:rsidR="00C92E09" w:rsidRPr="00C92E09" w:rsidRDefault="00C92E09" w:rsidP="00D73245">
      <w:pPr>
        <w:rPr>
          <w:rFonts w:ascii="Arial" w:eastAsia="Calibri" w:hAnsi="Arial" w:cs="Arial"/>
          <w:sz w:val="22"/>
          <w:szCs w:val="22"/>
          <w:lang w:eastAsia="en-US"/>
        </w:rPr>
      </w:pPr>
      <w:r w:rsidRPr="00C92E09">
        <w:rPr>
          <w:rFonts w:ascii="Arial" w:eastAsia="Calibri" w:hAnsi="Arial" w:cs="Arial"/>
          <w:sz w:val="22"/>
          <w:szCs w:val="22"/>
          <w:lang w:eastAsia="en-US"/>
        </w:rPr>
        <w:t>&lt;ESMA_QUESTION_FOTF_7&gt;</w:t>
      </w:r>
    </w:p>
    <w:p w14:paraId="1FCF4A4A" w14:textId="272DD650" w:rsidR="00C92E09" w:rsidRDefault="00C92E09" w:rsidP="00C92E09">
      <w:pPr>
        <w:spacing w:after="160" w:line="259" w:lineRule="auto"/>
        <w:rPr>
          <w:rFonts w:ascii="Arial" w:eastAsia="Calibri" w:hAnsi="Arial" w:cs="Arial"/>
          <w:sz w:val="22"/>
          <w:szCs w:val="22"/>
          <w:lang w:eastAsia="en-US"/>
        </w:rPr>
      </w:pPr>
    </w:p>
    <w:p w14:paraId="248384F2" w14:textId="648FEF22" w:rsidR="006A11AA" w:rsidRDefault="006A11AA" w:rsidP="00C92E09">
      <w:pPr>
        <w:spacing w:after="160" w:line="259" w:lineRule="auto"/>
        <w:rPr>
          <w:rFonts w:ascii="Arial" w:eastAsia="Calibri" w:hAnsi="Arial" w:cs="Arial"/>
          <w:sz w:val="22"/>
          <w:szCs w:val="22"/>
          <w:lang w:eastAsia="en-US"/>
        </w:rPr>
      </w:pPr>
    </w:p>
    <w:p w14:paraId="2F209E0E" w14:textId="77777777" w:rsidR="006A11AA" w:rsidRPr="00C92E09" w:rsidRDefault="006A11AA" w:rsidP="00C92E09">
      <w:pPr>
        <w:spacing w:after="160" w:line="259" w:lineRule="auto"/>
        <w:rPr>
          <w:rFonts w:ascii="Arial" w:eastAsia="Calibri" w:hAnsi="Arial" w:cs="Arial"/>
          <w:sz w:val="22"/>
          <w:szCs w:val="22"/>
          <w:lang w:eastAsia="en-US"/>
        </w:rPr>
      </w:pPr>
    </w:p>
    <w:p w14:paraId="6E61B36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Q8: Do you consider that there are networks of SIs currently operating in such a way that it would in your view qualify as a multilateral system? Please give concrete examples.</w:t>
      </w:r>
    </w:p>
    <w:p w14:paraId="352C4AF0"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&lt;ESMA_QUESTION_FOTF_8&gt;</w:t>
      </w:r>
    </w:p>
    <w:p w14:paraId="7F43AED4" w14:textId="696BBC56" w:rsidR="00C92E09" w:rsidRPr="00183AFE" w:rsidRDefault="00D73245" w:rsidP="00C92E09">
      <w:pPr>
        <w:spacing w:after="160" w:line="259" w:lineRule="auto"/>
        <w:rPr>
          <w:rFonts w:ascii="Arial" w:eastAsia="Calibri" w:hAnsi="Arial" w:cs="Arial"/>
          <w:color w:val="0070C0"/>
          <w:sz w:val="22"/>
          <w:szCs w:val="22"/>
          <w:lang w:eastAsia="en-US"/>
        </w:rPr>
      </w:pPr>
      <w:permStart w:id="985535620" w:edGrp="everyone"/>
      <w:r w:rsidRPr="00183AFE">
        <w:rPr>
          <w:color w:val="0070C0"/>
        </w:rPr>
        <w:t>The ACI FMA is not aware of such networks operating in the FX markets.</w:t>
      </w:r>
    </w:p>
    <w:permEnd w:id="985535620"/>
    <w:p w14:paraId="6296EC75"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&lt;ESMA_QUESTION_FOTF_8&gt;</w:t>
      </w:r>
    </w:p>
    <w:p w14:paraId="52FA1EA4" w14:textId="77777777" w:rsidR="00C92E09" w:rsidRPr="00C92E09" w:rsidRDefault="00C92E09" w:rsidP="00C92E09">
      <w:pPr>
        <w:spacing w:after="160" w:line="259" w:lineRule="auto"/>
        <w:rPr>
          <w:rFonts w:ascii="Arial" w:eastAsia="Calibri" w:hAnsi="Arial" w:cs="Arial"/>
          <w:sz w:val="22"/>
          <w:szCs w:val="22"/>
          <w:lang w:eastAsia="en-US"/>
        </w:rPr>
      </w:pPr>
    </w:p>
    <w:p w14:paraId="6076671F"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Q9: Do you agree that the line differentiating bilateral and multilateral trading in the context of SIs is sufficiently clear? Do you think there should be a Level 1 amendment?</w:t>
      </w:r>
    </w:p>
    <w:p w14:paraId="395EFF88"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&lt;ESMA_QUESTION_FOTF_9&gt;</w:t>
      </w:r>
    </w:p>
    <w:p w14:paraId="70B2A478" w14:textId="28F36320" w:rsidR="00D73245" w:rsidRDefault="00D73245" w:rsidP="00D73245">
      <w:pPr>
        <w:pStyle w:val="Ingenafstand"/>
        <w:rPr>
          <w:color w:val="44546A" w:themeColor="text2"/>
        </w:rPr>
      </w:pPr>
      <w:permStart w:id="309746924" w:edGrp="everyone"/>
      <w:r w:rsidRPr="00183AFE">
        <w:rPr>
          <w:rFonts w:ascii="Times New Roman" w:hAnsi="Times New Roman" w:cs="Times New Roman"/>
          <w:color w:val="0070C0"/>
          <w:sz w:val="24"/>
          <w:szCs w:val="24"/>
        </w:rPr>
        <w:t>ACI FMA believes that the line differentiating bilateral and multilateral trading in the context of SIs is sufficiently clear and we would not advocate a Level 1 amendment.</w:t>
      </w:r>
    </w:p>
    <w:permEnd w:id="309746924"/>
    <w:p w14:paraId="523FDA04" w14:textId="252AA96E" w:rsidR="00C92E09" w:rsidRPr="00C92E09" w:rsidRDefault="00C92E09" w:rsidP="00D73245">
      <w:pPr>
        <w:pStyle w:val="Ingenafstand"/>
        <w:rPr>
          <w:rFonts w:ascii="Arial" w:eastAsia="Calibri" w:hAnsi="Arial" w:cs="Arial"/>
          <w:sz w:val="22"/>
          <w:szCs w:val="22"/>
        </w:rPr>
      </w:pPr>
      <w:r w:rsidRPr="00C92E09">
        <w:rPr>
          <w:rFonts w:ascii="Arial" w:eastAsia="Calibri" w:hAnsi="Arial" w:cs="Arial"/>
          <w:sz w:val="22"/>
          <w:szCs w:val="22"/>
        </w:rPr>
        <w:t>&lt;ESMA_QUESTION_FOTF_9&gt;</w:t>
      </w:r>
    </w:p>
    <w:p w14:paraId="769BB819" w14:textId="63C13EF2" w:rsidR="00C92E09" w:rsidRDefault="00C92E09" w:rsidP="00C92E09">
      <w:pPr>
        <w:spacing w:after="160" w:line="259" w:lineRule="auto"/>
        <w:rPr>
          <w:rFonts w:ascii="Arial" w:eastAsia="Calibri" w:hAnsi="Arial" w:cs="Arial"/>
          <w:sz w:val="22"/>
          <w:szCs w:val="22"/>
          <w:lang w:eastAsia="en-US"/>
        </w:rPr>
      </w:pPr>
    </w:p>
    <w:p w14:paraId="4EF27F75"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Q10: What are the main characteristics of software providers and how to </w:t>
      </w:r>
      <w:proofErr w:type="spellStart"/>
      <w:r w:rsidRPr="00C92E09">
        <w:rPr>
          <w:rFonts w:ascii="Arial" w:hAnsi="Arial" w:cs="Arial"/>
          <w:b/>
          <w:sz w:val="22"/>
          <w:szCs w:val="22"/>
          <w:lang w:val="en-US" w:eastAsia="en-US"/>
        </w:rPr>
        <w:t>categorise</w:t>
      </w:r>
      <w:proofErr w:type="spellEnd"/>
      <w:r w:rsidRPr="00C92E09">
        <w:rPr>
          <w:rFonts w:ascii="Arial" w:hAnsi="Arial" w:cs="Arial"/>
          <w:b/>
          <w:sz w:val="22"/>
          <w:szCs w:val="22"/>
          <w:lang w:val="en-US" w:eastAsia="en-US"/>
        </w:rPr>
        <w:t xml:space="preserve"> them? Amongst these business models of software providers, which are those that in your view constitute a multilateral system and should be </w:t>
      </w:r>
      <w:proofErr w:type="spellStart"/>
      <w:r w:rsidRPr="00C92E09">
        <w:rPr>
          <w:rFonts w:ascii="Arial" w:hAnsi="Arial" w:cs="Arial"/>
          <w:b/>
          <w:sz w:val="22"/>
          <w:szCs w:val="22"/>
          <w:lang w:val="en-US" w:eastAsia="en-US"/>
        </w:rPr>
        <w:t>authorised</w:t>
      </w:r>
      <w:proofErr w:type="spellEnd"/>
      <w:r w:rsidRPr="00C92E09">
        <w:rPr>
          <w:rFonts w:ascii="Arial" w:hAnsi="Arial" w:cs="Arial"/>
          <w:b/>
          <w:sz w:val="22"/>
          <w:szCs w:val="22"/>
          <w:lang w:val="en-US" w:eastAsia="en-US"/>
        </w:rPr>
        <w:t xml:space="preserve"> as such?</w:t>
      </w:r>
    </w:p>
    <w:p w14:paraId="48108664"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&lt;ESMA_QUESTION_FOTF_10&gt;</w:t>
      </w:r>
    </w:p>
    <w:p w14:paraId="2ACF2FD3" w14:textId="77777777" w:rsidR="00D73245" w:rsidRPr="00183AFE" w:rsidRDefault="00D73245" w:rsidP="00D73245">
      <w:pPr>
        <w:pStyle w:val="Ingenafstand"/>
        <w:rPr>
          <w:rFonts w:ascii="Times New Roman" w:hAnsi="Times New Roman" w:cs="Times New Roman"/>
          <w:color w:val="0070C0"/>
          <w:sz w:val="24"/>
          <w:szCs w:val="24"/>
        </w:rPr>
      </w:pPr>
      <w:permStart w:id="1957984667" w:edGrp="everyone"/>
      <w:r w:rsidRPr="00183AFE">
        <w:rPr>
          <w:rFonts w:ascii="Times New Roman" w:hAnsi="Times New Roman" w:cs="Times New Roman"/>
          <w:color w:val="0070C0"/>
          <w:sz w:val="24"/>
          <w:szCs w:val="24"/>
        </w:rPr>
        <w:t xml:space="preserve">As stated in the ESMA Questions and Answers On MiFID II and </w:t>
      </w:r>
      <w:proofErr w:type="spellStart"/>
      <w:r w:rsidRPr="00183AFE">
        <w:rPr>
          <w:rFonts w:ascii="Times New Roman" w:hAnsi="Times New Roman" w:cs="Times New Roman"/>
          <w:color w:val="0070C0"/>
          <w:sz w:val="24"/>
          <w:szCs w:val="24"/>
        </w:rPr>
        <w:t>MiFIR</w:t>
      </w:r>
      <w:proofErr w:type="spellEnd"/>
      <w:r w:rsidRPr="00183AFE">
        <w:rPr>
          <w:rFonts w:ascii="Times New Roman" w:hAnsi="Times New Roman" w:cs="Times New Roman"/>
          <w:color w:val="0070C0"/>
          <w:sz w:val="24"/>
          <w:szCs w:val="24"/>
        </w:rPr>
        <w:t xml:space="preserve"> market structures topics:  29 May 2020 | ESMA70-872942901-38,’ ESMA is of the view that an entity should seek authorisation to operate an OTF where the three following conditions are met: </w:t>
      </w:r>
    </w:p>
    <w:p w14:paraId="696A8B57" w14:textId="77777777" w:rsidR="00D73245" w:rsidRPr="00183AFE" w:rsidRDefault="00D73245" w:rsidP="00D73245">
      <w:pPr>
        <w:pStyle w:val="Ingenafstand"/>
        <w:rPr>
          <w:rFonts w:ascii="Times New Roman" w:hAnsi="Times New Roman" w:cs="Times New Roman"/>
          <w:color w:val="0070C0"/>
          <w:sz w:val="24"/>
          <w:szCs w:val="24"/>
        </w:rPr>
      </w:pPr>
      <w:r w:rsidRPr="00183AFE">
        <w:rPr>
          <w:rFonts w:ascii="Times New Roman" w:hAnsi="Times New Roman" w:cs="Times New Roman"/>
          <w:color w:val="0070C0"/>
          <w:sz w:val="24"/>
          <w:szCs w:val="24"/>
        </w:rPr>
        <w:t xml:space="preserve">a) trading is conducted on a multilateral basis, </w:t>
      </w:r>
    </w:p>
    <w:p w14:paraId="377072B4" w14:textId="77777777" w:rsidR="00D73245" w:rsidRPr="00183AFE" w:rsidRDefault="00D73245" w:rsidP="00D73245">
      <w:pPr>
        <w:pStyle w:val="Ingenafstand"/>
        <w:rPr>
          <w:rFonts w:ascii="Times New Roman" w:hAnsi="Times New Roman" w:cs="Times New Roman"/>
          <w:color w:val="0070C0"/>
          <w:sz w:val="24"/>
          <w:szCs w:val="24"/>
        </w:rPr>
      </w:pPr>
      <w:r w:rsidRPr="00183AFE">
        <w:rPr>
          <w:rFonts w:ascii="Times New Roman" w:hAnsi="Times New Roman" w:cs="Times New Roman"/>
          <w:color w:val="0070C0"/>
          <w:sz w:val="24"/>
          <w:szCs w:val="24"/>
        </w:rPr>
        <w:t xml:space="preserve">b) the trading arrangements in place have the characteristics of a system, and </w:t>
      </w:r>
    </w:p>
    <w:p w14:paraId="6FED4505" w14:textId="77777777" w:rsidR="00D73245" w:rsidRPr="00183AFE" w:rsidRDefault="00D73245" w:rsidP="00D73245">
      <w:pPr>
        <w:pStyle w:val="Ingenafstand"/>
        <w:rPr>
          <w:rFonts w:ascii="Times New Roman" w:hAnsi="Times New Roman" w:cs="Times New Roman"/>
          <w:color w:val="0070C0"/>
          <w:sz w:val="24"/>
          <w:szCs w:val="24"/>
        </w:rPr>
      </w:pPr>
      <w:r w:rsidRPr="00183AFE">
        <w:rPr>
          <w:rFonts w:ascii="Times New Roman" w:hAnsi="Times New Roman" w:cs="Times New Roman"/>
          <w:color w:val="0070C0"/>
          <w:sz w:val="24"/>
          <w:szCs w:val="24"/>
        </w:rPr>
        <w:t>c) the execution of the orders takes place on a discretionary basis through the systems or under the rules of the system.</w:t>
      </w:r>
    </w:p>
    <w:p w14:paraId="7C7DC4A7" w14:textId="77777777" w:rsidR="00D73245" w:rsidRPr="00183AFE" w:rsidRDefault="00D73245" w:rsidP="00D73245">
      <w:pPr>
        <w:pStyle w:val="Ingenafstand"/>
        <w:rPr>
          <w:rFonts w:ascii="Times New Roman" w:hAnsi="Times New Roman" w:cs="Times New Roman"/>
          <w:color w:val="0070C0"/>
          <w:sz w:val="24"/>
          <w:szCs w:val="24"/>
        </w:rPr>
      </w:pPr>
    </w:p>
    <w:p w14:paraId="7FEE33F9" w14:textId="77777777" w:rsidR="00D73245" w:rsidRPr="00183AFE" w:rsidRDefault="00D73245" w:rsidP="00D73245">
      <w:pPr>
        <w:pStyle w:val="Ingenafstand"/>
        <w:rPr>
          <w:rFonts w:ascii="Times New Roman" w:hAnsi="Times New Roman" w:cs="Times New Roman"/>
          <w:color w:val="0070C0"/>
          <w:sz w:val="24"/>
          <w:szCs w:val="24"/>
        </w:rPr>
      </w:pPr>
      <w:r w:rsidRPr="00183AFE">
        <w:rPr>
          <w:rFonts w:ascii="Times New Roman" w:hAnsi="Times New Roman" w:cs="Times New Roman"/>
          <w:color w:val="0070C0"/>
          <w:sz w:val="24"/>
          <w:szCs w:val="24"/>
        </w:rPr>
        <w:t xml:space="preserve">While it may well be the case that some software providers advertise their product offerings using terminology that is very close to the business of a trading venue e.g. “electronic trading solutions”, “execution management systems”, “e-trading solutions” or even “trading systems” and this could be interpreted that the software provider might still require authorisation as a trading venue, in the FX markets, software interaction is generally on a bilateral basis, not on a “many to many” basis. </w:t>
      </w:r>
    </w:p>
    <w:p w14:paraId="704CDAA7" w14:textId="77777777" w:rsidR="00D73245" w:rsidRPr="00183AFE" w:rsidRDefault="00D73245" w:rsidP="00D73245">
      <w:pPr>
        <w:pStyle w:val="Ingenafstand"/>
        <w:rPr>
          <w:rFonts w:ascii="Times New Roman" w:hAnsi="Times New Roman" w:cs="Times New Roman"/>
          <w:color w:val="0070C0"/>
          <w:sz w:val="24"/>
          <w:szCs w:val="24"/>
        </w:rPr>
      </w:pPr>
      <w:r w:rsidRPr="00183AFE">
        <w:rPr>
          <w:rFonts w:ascii="Times New Roman" w:hAnsi="Times New Roman" w:cs="Times New Roman"/>
          <w:color w:val="0070C0"/>
          <w:sz w:val="24"/>
          <w:szCs w:val="24"/>
        </w:rPr>
        <w:t>Therefore, the ACI FMA would not envisage that the individual market technology or modes of communication e.g. EMS, OMS, RFQ, software, routers, billboards, e-mail, IM, voice, chat should be deemed to be included in the definition of a trading venue unless automation facilitates a “trading decision”, which is generally not the case as this decision lies within the decision mandate of the trader (who is generally a member of a regulated firm)</w:t>
      </w:r>
    </w:p>
    <w:p w14:paraId="4F6D3AF8" w14:textId="77777777" w:rsidR="00D73245" w:rsidRPr="00183AFE" w:rsidRDefault="00D73245" w:rsidP="00D73245">
      <w:pPr>
        <w:pStyle w:val="Ingenafstand"/>
        <w:rPr>
          <w:rFonts w:ascii="Times New Roman" w:hAnsi="Times New Roman" w:cs="Times New Roman"/>
          <w:color w:val="0070C0"/>
          <w:sz w:val="24"/>
          <w:szCs w:val="24"/>
        </w:rPr>
      </w:pPr>
    </w:p>
    <w:p w14:paraId="2C7C1124" w14:textId="68DE6AFD" w:rsidR="00D73245" w:rsidRDefault="00D73245" w:rsidP="00D73245">
      <w:pPr>
        <w:pStyle w:val="Ingenafstand"/>
        <w:rPr>
          <w:rFonts w:ascii="Times New Roman" w:hAnsi="Times New Roman" w:cs="Times New Roman"/>
          <w:color w:val="0070C0"/>
          <w:sz w:val="24"/>
          <w:szCs w:val="24"/>
        </w:rPr>
      </w:pPr>
      <w:r w:rsidRPr="00183AFE">
        <w:rPr>
          <w:rFonts w:ascii="Times New Roman" w:hAnsi="Times New Roman" w:cs="Times New Roman"/>
          <w:color w:val="0070C0"/>
          <w:sz w:val="24"/>
          <w:szCs w:val="24"/>
        </w:rPr>
        <w:t xml:space="preserve">However, should the software provider facilitate aggregation of bilateral interests to form a multilateral venue then the appropriate regulatory authorisations must be sought. </w:t>
      </w:r>
    </w:p>
    <w:p w14:paraId="37BB6AEA" w14:textId="77777777" w:rsidR="006A11AA" w:rsidRPr="00183AFE" w:rsidRDefault="006A11AA" w:rsidP="00D73245">
      <w:pPr>
        <w:pStyle w:val="Ingenafstand"/>
        <w:rPr>
          <w:rFonts w:ascii="Times New Roman" w:hAnsi="Times New Roman" w:cs="Times New Roman"/>
          <w:color w:val="0070C0"/>
          <w:sz w:val="24"/>
          <w:szCs w:val="24"/>
        </w:rPr>
      </w:pPr>
    </w:p>
    <w:p w14:paraId="2EAA4BC6" w14:textId="77777777" w:rsidR="00D73245" w:rsidRPr="00183AFE" w:rsidRDefault="00D73245" w:rsidP="00D73245">
      <w:pPr>
        <w:pStyle w:val="Ingenafstand"/>
        <w:rPr>
          <w:rFonts w:ascii="Times New Roman" w:hAnsi="Times New Roman" w:cs="Times New Roman"/>
          <w:color w:val="0070C0"/>
          <w:sz w:val="24"/>
          <w:szCs w:val="24"/>
        </w:rPr>
      </w:pPr>
    </w:p>
    <w:p w14:paraId="5629BF86" w14:textId="77777777" w:rsidR="00D73245" w:rsidRPr="00183AFE" w:rsidRDefault="00D73245" w:rsidP="00D73245">
      <w:pPr>
        <w:pStyle w:val="Ingenafstand"/>
        <w:rPr>
          <w:rFonts w:ascii="Times New Roman" w:hAnsi="Times New Roman" w:cs="Times New Roman"/>
          <w:color w:val="0070C0"/>
          <w:sz w:val="24"/>
          <w:szCs w:val="24"/>
        </w:rPr>
      </w:pPr>
      <w:r w:rsidRPr="00183AFE">
        <w:rPr>
          <w:rFonts w:ascii="Times New Roman" w:hAnsi="Times New Roman" w:cs="Times New Roman"/>
          <w:color w:val="0070C0"/>
          <w:sz w:val="24"/>
          <w:szCs w:val="24"/>
        </w:rPr>
        <w:t xml:space="preserve">Furthermore, the ACI FMA is concerned that any mandatory requirement for such FX software providers to seek regulatory authorisation as either an MTF or OTF without due consideration and evaluation of the system design, role, purpose, precise utilisation of, interaction with any other systems, could stymie innovation within the EU and, as mentioned in Answer 3, cause offshoring with the ensuing economic and market impacts. </w:t>
      </w:r>
    </w:p>
    <w:p w14:paraId="1AA5544B" w14:textId="77777777" w:rsidR="00D73245" w:rsidRPr="00183AFE" w:rsidRDefault="00D73245" w:rsidP="00D73245">
      <w:pPr>
        <w:pStyle w:val="Ingenafstand"/>
        <w:rPr>
          <w:rFonts w:ascii="Times New Roman" w:hAnsi="Times New Roman" w:cs="Times New Roman"/>
          <w:color w:val="0070C0"/>
          <w:sz w:val="24"/>
          <w:szCs w:val="24"/>
        </w:rPr>
      </w:pPr>
    </w:p>
    <w:p w14:paraId="539F8834" w14:textId="77777777" w:rsidR="00D73245" w:rsidRPr="00183AFE" w:rsidRDefault="00D73245" w:rsidP="00D73245">
      <w:pPr>
        <w:pStyle w:val="Ingenafstand"/>
        <w:rPr>
          <w:rFonts w:ascii="Times New Roman" w:hAnsi="Times New Roman" w:cs="Times New Roman"/>
          <w:color w:val="0070C0"/>
          <w:sz w:val="24"/>
          <w:szCs w:val="24"/>
        </w:rPr>
      </w:pPr>
      <w:r w:rsidRPr="00183AFE">
        <w:rPr>
          <w:rFonts w:ascii="Times New Roman" w:hAnsi="Times New Roman" w:cs="Times New Roman"/>
          <w:color w:val="0070C0"/>
          <w:sz w:val="24"/>
          <w:szCs w:val="24"/>
        </w:rPr>
        <w:t>The diagram below illustrates, in our interpretation, the different types of protocols in regulated vs unregulated markets.</w:t>
      </w:r>
    </w:p>
    <w:p w14:paraId="2A390D41" w14:textId="77777777" w:rsidR="00D73245" w:rsidRPr="000C0B3A" w:rsidRDefault="00D73245" w:rsidP="00D73245">
      <w:pPr>
        <w:pStyle w:val="Ingenafstand"/>
        <w:rPr>
          <w:color w:val="44546A" w:themeColor="text2"/>
        </w:rPr>
      </w:pPr>
    </w:p>
    <w:p w14:paraId="69BE52B3" w14:textId="77777777" w:rsidR="00D73245" w:rsidRDefault="00D73245" w:rsidP="00D73245">
      <w:pPr>
        <w:spacing w:after="250"/>
        <w:ind w:left="720" w:hanging="360"/>
        <w:contextualSpacing/>
        <w:jc w:val="both"/>
        <w:rPr>
          <w:rFonts w:ascii="Arial" w:hAnsi="Arial" w:cs="Arial"/>
          <w:b/>
          <w:lang w:val="en-US"/>
        </w:rPr>
      </w:pPr>
      <w:r>
        <w:rPr>
          <w:rFonts w:ascii="Arial" w:hAnsi="Arial" w:cs="Arial"/>
          <w:b/>
          <w:noProof/>
        </w:rPr>
        <w:drawing>
          <wp:inline distT="0" distB="0" distL="0" distR="0" wp14:anchorId="384CD3F3" wp14:editId="766BE678">
            <wp:extent cx="5731510" cy="2975054"/>
            <wp:effectExtent l="0" t="0" r="2540" b="0"/>
            <wp:docPr id="1" name="Picture 1" descr="C:\Users\Anne-Maria\Documents\Trade Organisations\MIFID II REview OTF\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e-Maria\Documents\Trade Organisations\MIFID II REview OTF\image004.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2975054"/>
                    </a:xfrm>
                    <a:prstGeom prst="rect">
                      <a:avLst/>
                    </a:prstGeom>
                    <a:noFill/>
                    <a:ln>
                      <a:noFill/>
                    </a:ln>
                  </pic:spPr>
                </pic:pic>
              </a:graphicData>
            </a:graphic>
          </wp:inline>
        </w:drawing>
      </w:r>
    </w:p>
    <w:p w14:paraId="0BB54D8A" w14:textId="77777777" w:rsidR="008823EE" w:rsidRPr="00C92E09" w:rsidRDefault="008823EE" w:rsidP="00D73245">
      <w:pPr>
        <w:pStyle w:val="Ingenafstand"/>
        <w:rPr>
          <w:rFonts w:ascii="Arial" w:eastAsia="Calibri" w:hAnsi="Arial" w:cs="Arial"/>
          <w:sz w:val="22"/>
          <w:szCs w:val="22"/>
        </w:rPr>
      </w:pPr>
    </w:p>
    <w:permEnd w:id="1957984667"/>
    <w:p w14:paraId="59C10170"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&lt;ESMA_QUESTION_FOTF_10&gt;</w:t>
      </w:r>
    </w:p>
    <w:p w14:paraId="5C60F928" w14:textId="77777777" w:rsidR="00C92E09" w:rsidRPr="00C92E09" w:rsidRDefault="00C92E09" w:rsidP="00C92E09">
      <w:pPr>
        <w:spacing w:after="160" w:line="259" w:lineRule="auto"/>
        <w:rPr>
          <w:rFonts w:ascii="Arial" w:eastAsia="Calibri" w:hAnsi="Arial" w:cs="Arial"/>
          <w:sz w:val="22"/>
          <w:szCs w:val="22"/>
          <w:lang w:eastAsia="en-US"/>
        </w:rPr>
      </w:pPr>
    </w:p>
    <w:p w14:paraId="0F435AB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Q11: Do you agree with the approach suggested by ESMA regarding software providers that pre-arranged transactions </w:t>
      </w:r>
      <w:proofErr w:type="spellStart"/>
      <w:r w:rsidRPr="00C92E09">
        <w:rPr>
          <w:rFonts w:ascii="Arial" w:hAnsi="Arial" w:cs="Arial"/>
          <w:b/>
          <w:sz w:val="22"/>
          <w:szCs w:val="22"/>
          <w:lang w:val="en-US" w:eastAsia="en-US"/>
        </w:rPr>
        <w:t>formalised</w:t>
      </w:r>
      <w:proofErr w:type="spellEnd"/>
      <w:r w:rsidRPr="00C92E09">
        <w:rPr>
          <w:rFonts w:ascii="Arial" w:hAnsi="Arial" w:cs="Arial"/>
          <w:b/>
          <w:sz w:val="22"/>
          <w:szCs w:val="22"/>
          <w:lang w:val="en-US" w:eastAsia="en-US"/>
        </w:rPr>
        <w:t xml:space="preserve"> on other </w:t>
      </w:r>
      <w:proofErr w:type="spellStart"/>
      <w:r w:rsidRPr="00C92E09">
        <w:rPr>
          <w:rFonts w:ascii="Arial" w:hAnsi="Arial" w:cs="Arial"/>
          <w:b/>
          <w:sz w:val="22"/>
          <w:szCs w:val="22"/>
          <w:lang w:val="en-US" w:eastAsia="en-US"/>
        </w:rPr>
        <w:t>authorised</w:t>
      </w:r>
      <w:proofErr w:type="spellEnd"/>
      <w:r w:rsidRPr="00C92E09">
        <w:rPr>
          <w:rFonts w:ascii="Arial" w:hAnsi="Arial" w:cs="Arial"/>
          <w:b/>
          <w:sz w:val="22"/>
          <w:szCs w:val="22"/>
          <w:lang w:val="en-US" w:eastAsia="en-US"/>
        </w:rPr>
        <w:t xml:space="preserve"> trading venues? Do you consider that this approach is sufficient to ensure a level playing field or do you think that ESMA should provide further clarifications or propose specific Level 1 amendments, and if so, which ones?</w:t>
      </w:r>
    </w:p>
    <w:p w14:paraId="25FBB02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&lt;ESMA_QUESTION_FOTF_11&gt;</w:t>
      </w:r>
    </w:p>
    <w:p w14:paraId="1CCE1DB4" w14:textId="1C2E7A86" w:rsidR="008823EE" w:rsidRPr="00C92E09" w:rsidRDefault="008823EE" w:rsidP="008823EE">
      <w:pPr>
        <w:pStyle w:val="Ingenafstand"/>
        <w:rPr>
          <w:rFonts w:ascii="Arial" w:eastAsia="Calibri" w:hAnsi="Arial" w:cs="Arial"/>
          <w:sz w:val="22"/>
          <w:szCs w:val="22"/>
        </w:rPr>
      </w:pPr>
      <w:permStart w:id="1028285874" w:edGrp="everyone"/>
      <w:r w:rsidRPr="00183AFE">
        <w:rPr>
          <w:rFonts w:ascii="Times New Roman" w:hAnsi="Times New Roman" w:cs="Times New Roman"/>
          <w:color w:val="0070C0"/>
          <w:sz w:val="24"/>
          <w:szCs w:val="24"/>
          <w:lang w:val="en-US"/>
        </w:rPr>
        <w:t xml:space="preserve">As advocated by the ACI FMA in Response 10, should the software provider facilitate aggregation of bilateral interests to form a multilateral venue then the appropriate regulatory trading venue </w:t>
      </w:r>
      <w:proofErr w:type="spellStart"/>
      <w:r w:rsidRPr="00183AFE">
        <w:rPr>
          <w:rFonts w:ascii="Times New Roman" w:hAnsi="Times New Roman" w:cs="Times New Roman"/>
          <w:color w:val="0070C0"/>
          <w:sz w:val="24"/>
          <w:szCs w:val="24"/>
          <w:lang w:val="en-US"/>
        </w:rPr>
        <w:t>authorisations</w:t>
      </w:r>
      <w:proofErr w:type="spellEnd"/>
      <w:r w:rsidRPr="00183AFE">
        <w:rPr>
          <w:rFonts w:ascii="Times New Roman" w:hAnsi="Times New Roman" w:cs="Times New Roman"/>
          <w:color w:val="0070C0"/>
          <w:sz w:val="24"/>
          <w:szCs w:val="24"/>
          <w:lang w:val="en-US"/>
        </w:rPr>
        <w:t xml:space="preserve"> must be sought. While the ACI FMA appreciates ESMA’s desire that new business models are appropriately regulated to ensure an appropriate level of protection for investors and to reinforce the resilience of EU markets as well as establish a level playing between all firms operating in the EU. It is our opinion that the pre-arranging of transactions e.g. RTO in relation to one or more financial instruments should remain a distinct licensable activity. Furthermore, if submitted to an </w:t>
      </w:r>
      <w:proofErr w:type="spellStart"/>
      <w:r w:rsidRPr="00183AFE">
        <w:rPr>
          <w:rFonts w:ascii="Times New Roman" w:hAnsi="Times New Roman" w:cs="Times New Roman"/>
          <w:color w:val="0070C0"/>
          <w:sz w:val="24"/>
          <w:szCs w:val="24"/>
          <w:lang w:val="en-US"/>
        </w:rPr>
        <w:t>authorised</w:t>
      </w:r>
      <w:proofErr w:type="spellEnd"/>
      <w:r w:rsidRPr="00183AFE">
        <w:rPr>
          <w:rFonts w:ascii="Times New Roman" w:hAnsi="Times New Roman" w:cs="Times New Roman"/>
          <w:color w:val="0070C0"/>
          <w:sz w:val="24"/>
          <w:szCs w:val="24"/>
          <w:lang w:val="en-US"/>
        </w:rPr>
        <w:t xml:space="preserve"> trading venue, such trades would be subject to the trading venue “rule book”.</w:t>
      </w:r>
    </w:p>
    <w:permEnd w:id="1028285874"/>
    <w:p w14:paraId="3B4CBA8C" w14:textId="115C4AFE" w:rsid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&lt;ESMA_QUESTION_FOTF_11&gt;</w:t>
      </w:r>
    </w:p>
    <w:p w14:paraId="099D71F1" w14:textId="77777777" w:rsidR="00C92E09" w:rsidRPr="00C92E09" w:rsidRDefault="00C92E09" w:rsidP="00C92E09">
      <w:pPr>
        <w:spacing w:after="160" w:line="259" w:lineRule="auto"/>
        <w:rPr>
          <w:rFonts w:ascii="Arial" w:eastAsia="Calibri" w:hAnsi="Arial" w:cs="Arial"/>
          <w:sz w:val="22"/>
          <w:szCs w:val="22"/>
          <w:lang w:eastAsia="en-US"/>
        </w:rPr>
      </w:pPr>
    </w:p>
    <w:p w14:paraId="7828DF4C"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Q12: Do you agree with the principles suggested by ESMA to identify a bulletin board? If not, please elaborate. Do you agree to amend Level 1 to include a definition of bulletin board?</w:t>
      </w:r>
    </w:p>
    <w:p w14:paraId="530B6204"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&lt;ESMA_QUESTION_FOTF_12&gt;</w:t>
      </w:r>
    </w:p>
    <w:p w14:paraId="685DB6E9" w14:textId="4D20E0D6" w:rsidR="00183AFE" w:rsidRPr="00183AFE" w:rsidRDefault="008823EE" w:rsidP="008823EE">
      <w:pPr>
        <w:pStyle w:val="Ingenafstand"/>
        <w:rPr>
          <w:rFonts w:ascii="Arial" w:eastAsia="Calibri" w:hAnsi="Arial" w:cs="Arial"/>
          <w:color w:val="0070C0"/>
          <w:sz w:val="22"/>
          <w:szCs w:val="22"/>
        </w:rPr>
      </w:pPr>
      <w:permStart w:id="1475612561" w:edGrp="everyone"/>
      <w:r w:rsidRPr="00183AFE">
        <w:rPr>
          <w:rFonts w:ascii="Times New Roman" w:hAnsi="Times New Roman" w:cs="Times New Roman"/>
          <w:color w:val="0070C0"/>
          <w:sz w:val="24"/>
          <w:szCs w:val="24"/>
          <w:lang w:val="en-US"/>
        </w:rPr>
        <w:t xml:space="preserve">In the FX markets, a bulletin board is an electronic notification system, which </w:t>
      </w:r>
      <w:r w:rsidRPr="00183AFE">
        <w:rPr>
          <w:rFonts w:ascii="Times New Roman" w:hAnsi="Times New Roman" w:cs="Times New Roman"/>
          <w:color w:val="0070C0"/>
          <w:sz w:val="24"/>
          <w:szCs w:val="24"/>
        </w:rPr>
        <w:t>aggregates and broadcasts buying and selling interests in currencies. However, does not facilitate execution, which occurs bi-laterally outside the bulletin-board. It should not allow for communication or negotiation between advertising parties, nor allow notification of any potential match between buying and selling interests in the system. The ACI FMA concurs with ESMA’s view that the concept of bulletin board should be further clarified given developments in the crypto-asset space. The display of contact information is, from a security standpoint, not prudent. Furthermore, since the execution of an FX derivative instrument (not the purchase of an FXO) requires credit limits between the counterparties and KYC/ counterparty trading authorisation, verification checks and correct documentation needs to be in place, contact details would exist between counterparties.</w:t>
      </w:r>
    </w:p>
    <w:permEnd w:id="1475612561"/>
    <w:p w14:paraId="28483D0E"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&lt;ESMA_QUESTION_FOTF_12&gt;</w:t>
      </w:r>
    </w:p>
    <w:p w14:paraId="765B1AB9" w14:textId="09EDE553" w:rsidR="00C92E09" w:rsidRDefault="00C92E09" w:rsidP="00C92E09">
      <w:pPr>
        <w:spacing w:after="160" w:line="259" w:lineRule="auto"/>
        <w:rPr>
          <w:rFonts w:ascii="Arial" w:eastAsia="Calibri" w:hAnsi="Arial" w:cs="Arial"/>
          <w:sz w:val="22"/>
          <w:szCs w:val="22"/>
          <w:lang w:eastAsia="en-US"/>
        </w:rPr>
      </w:pPr>
    </w:p>
    <w:p w14:paraId="06836A49" w14:textId="77777777" w:rsidR="006A11AA" w:rsidRPr="00C92E09" w:rsidRDefault="006A11AA" w:rsidP="00C92E09">
      <w:pPr>
        <w:spacing w:after="160" w:line="259" w:lineRule="auto"/>
        <w:rPr>
          <w:rFonts w:ascii="Arial" w:eastAsia="Calibri" w:hAnsi="Arial" w:cs="Arial"/>
          <w:sz w:val="22"/>
          <w:szCs w:val="22"/>
          <w:lang w:eastAsia="en-US"/>
        </w:rPr>
      </w:pPr>
    </w:p>
    <w:p w14:paraId="201D26D7"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Q13: Are you aware of any facility operating as a bulletin board that would not comply with the principles identified above?</w:t>
      </w:r>
    </w:p>
    <w:p w14:paraId="1967D4D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&lt;ESMA_QUESTION_FOTF_13&gt;</w:t>
      </w:r>
    </w:p>
    <w:p w14:paraId="5BCE33B7" w14:textId="015E5613" w:rsidR="008823EE" w:rsidRPr="00183AFE" w:rsidRDefault="008823EE" w:rsidP="008823EE">
      <w:pPr>
        <w:pStyle w:val="Ingenafstand"/>
        <w:rPr>
          <w:rFonts w:ascii="Times New Roman" w:hAnsi="Times New Roman" w:cs="Times New Roman"/>
          <w:color w:val="0070C0"/>
          <w:sz w:val="24"/>
          <w:szCs w:val="24"/>
        </w:rPr>
      </w:pPr>
      <w:permStart w:id="1878884329" w:edGrp="everyone"/>
      <w:r w:rsidRPr="00183AFE">
        <w:rPr>
          <w:rFonts w:ascii="Times New Roman" w:hAnsi="Times New Roman" w:cs="Times New Roman"/>
          <w:color w:val="0070C0"/>
          <w:sz w:val="24"/>
          <w:szCs w:val="24"/>
        </w:rPr>
        <w:t>We are not aware of any facility operating as a bulletin board that would not comply with the principles identified above.</w:t>
      </w:r>
    </w:p>
    <w:permEnd w:id="1878884329"/>
    <w:p w14:paraId="0791D411"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&lt;ESMA_QUESTION_FOTF_13&gt;</w:t>
      </w:r>
    </w:p>
    <w:p w14:paraId="00814D52" w14:textId="7A9130C8" w:rsidR="00C92E09" w:rsidRDefault="00C92E09" w:rsidP="00C92E09">
      <w:pPr>
        <w:spacing w:after="160" w:line="259" w:lineRule="auto"/>
        <w:rPr>
          <w:rFonts w:ascii="Arial" w:eastAsia="Calibri" w:hAnsi="Arial" w:cs="Arial"/>
          <w:sz w:val="22"/>
          <w:szCs w:val="22"/>
          <w:lang w:eastAsia="en-US"/>
        </w:rPr>
      </w:pPr>
    </w:p>
    <w:p w14:paraId="2F0966B0" w14:textId="16B5357F" w:rsidR="006A11AA" w:rsidRDefault="006A11AA" w:rsidP="00C92E09">
      <w:pPr>
        <w:spacing w:after="160" w:line="259" w:lineRule="auto"/>
        <w:rPr>
          <w:rFonts w:ascii="Arial" w:eastAsia="Calibri" w:hAnsi="Arial" w:cs="Arial"/>
          <w:sz w:val="22"/>
          <w:szCs w:val="22"/>
          <w:lang w:eastAsia="en-US"/>
        </w:rPr>
      </w:pPr>
    </w:p>
    <w:p w14:paraId="40D20E85" w14:textId="77777777" w:rsidR="006A11AA" w:rsidRPr="00C92E09" w:rsidRDefault="006A11AA" w:rsidP="00C92E09">
      <w:pPr>
        <w:spacing w:after="160" w:line="259" w:lineRule="auto"/>
        <w:rPr>
          <w:rFonts w:ascii="Arial" w:eastAsia="Calibri" w:hAnsi="Arial" w:cs="Arial"/>
          <w:sz w:val="22"/>
          <w:szCs w:val="22"/>
          <w:lang w:eastAsia="en-US"/>
        </w:rPr>
      </w:pPr>
    </w:p>
    <w:p w14:paraId="7B7FFEA7"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Q14: Market participants that currently operate such systems are invited to share more detailed information on their crossing systems (scale of the activity, geographical coverage, instruments concerned, </w:t>
      </w:r>
      <w:proofErr w:type="spellStart"/>
      <w:r w:rsidRPr="00C92E09">
        <w:rPr>
          <w:rFonts w:ascii="Arial" w:hAnsi="Arial" w:cs="Arial"/>
          <w:b/>
          <w:sz w:val="22"/>
          <w:szCs w:val="22"/>
          <w:lang w:val="en-US" w:eastAsia="en-US"/>
        </w:rPr>
        <w:t>etc</w:t>
      </w:r>
      <w:proofErr w:type="spellEnd"/>
      <w:r w:rsidRPr="00C92E09">
        <w:rPr>
          <w:rFonts w:ascii="Arial" w:hAnsi="Arial" w:cs="Arial"/>
          <w:b/>
          <w:sz w:val="22"/>
          <w:szCs w:val="22"/>
          <w:lang w:val="en-US" w:eastAsia="en-US"/>
        </w:rPr>
        <w:t>…), providing examples of such platforms and describing how much costs &amp; fees are saved this way as opposed to executing the relevant transactions via brokers or trading venues.</w:t>
      </w:r>
    </w:p>
    <w:p w14:paraId="785951E3"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&lt;ESMA_QUESTION_FOTF_14&gt;</w:t>
      </w:r>
    </w:p>
    <w:p w14:paraId="09AE75B6" w14:textId="7485953E" w:rsidR="00A37146" w:rsidRDefault="00A37146" w:rsidP="00A37146">
      <w:pPr>
        <w:pStyle w:val="Ingenafstand"/>
        <w:rPr>
          <w:rFonts w:ascii="Times New Roman" w:hAnsi="Times New Roman" w:cs="Times New Roman"/>
          <w:color w:val="0070C0"/>
          <w:sz w:val="24"/>
          <w:szCs w:val="24"/>
        </w:rPr>
      </w:pPr>
      <w:permStart w:id="369167794" w:edGrp="everyone"/>
      <w:r w:rsidRPr="00183AFE">
        <w:rPr>
          <w:rFonts w:ascii="Times New Roman" w:hAnsi="Times New Roman" w:cs="Times New Roman"/>
          <w:color w:val="0070C0"/>
          <w:sz w:val="24"/>
          <w:szCs w:val="24"/>
        </w:rPr>
        <w:t xml:space="preserve">While the majority of ACI members are predominantly engaged in the FX markets, our members do represent a variety of asset classes including foreign exchange, interest rate products, securities, banknotes, precious metals and commodities and derivatives from both a buy and sell-side Therefore, while internal crossing systems are more pertinent to the “Buy-side”/Asset management FI or equity markets, rather than the FX markets, we deem it appropriate to respond to this question, albeit briefly and simply. </w:t>
      </w:r>
    </w:p>
    <w:p w14:paraId="43BB5326" w14:textId="1E2776B9" w:rsidR="006A11AA" w:rsidRDefault="006A11AA" w:rsidP="00A37146">
      <w:pPr>
        <w:pStyle w:val="Ingenafstand"/>
        <w:rPr>
          <w:rFonts w:ascii="Times New Roman" w:hAnsi="Times New Roman" w:cs="Times New Roman"/>
          <w:color w:val="0070C0"/>
          <w:sz w:val="24"/>
          <w:szCs w:val="24"/>
        </w:rPr>
      </w:pPr>
    </w:p>
    <w:p w14:paraId="6B026641" w14:textId="37877361" w:rsidR="006A11AA" w:rsidRDefault="006A11AA" w:rsidP="00A37146">
      <w:pPr>
        <w:pStyle w:val="Ingenafstand"/>
        <w:rPr>
          <w:rFonts w:ascii="Times New Roman" w:hAnsi="Times New Roman" w:cs="Times New Roman"/>
          <w:color w:val="0070C0"/>
          <w:sz w:val="24"/>
          <w:szCs w:val="24"/>
        </w:rPr>
      </w:pPr>
    </w:p>
    <w:p w14:paraId="62621C24" w14:textId="77777777" w:rsidR="006A11AA" w:rsidRPr="00183AFE" w:rsidRDefault="006A11AA" w:rsidP="00A37146">
      <w:pPr>
        <w:pStyle w:val="Ingenafstand"/>
        <w:rPr>
          <w:rFonts w:ascii="Times New Roman" w:hAnsi="Times New Roman" w:cs="Times New Roman"/>
          <w:color w:val="0070C0"/>
          <w:sz w:val="24"/>
          <w:szCs w:val="24"/>
        </w:rPr>
      </w:pPr>
    </w:p>
    <w:p w14:paraId="04E67CC5" w14:textId="77777777" w:rsidR="00A37146" w:rsidRPr="00183AFE" w:rsidRDefault="00A37146" w:rsidP="00A37146">
      <w:pPr>
        <w:pStyle w:val="Ingenafstand"/>
        <w:rPr>
          <w:rFonts w:ascii="Times New Roman" w:hAnsi="Times New Roman" w:cs="Times New Roman"/>
          <w:color w:val="0070C0"/>
          <w:sz w:val="24"/>
          <w:szCs w:val="24"/>
        </w:rPr>
      </w:pPr>
      <w:r w:rsidRPr="00183AFE">
        <w:rPr>
          <w:rFonts w:ascii="Times New Roman" w:hAnsi="Times New Roman" w:cs="Times New Roman"/>
          <w:color w:val="0070C0"/>
          <w:sz w:val="24"/>
          <w:szCs w:val="24"/>
        </w:rPr>
        <w:t>When an asset manager's fund is buying what another one of its funds is selling, crossing that trade internally is beneficial to both the fund's investors and the investment manager for many reasons:</w:t>
      </w:r>
    </w:p>
    <w:p w14:paraId="194D4725" w14:textId="77777777" w:rsidR="00A37146" w:rsidRPr="00183AFE" w:rsidRDefault="00A37146" w:rsidP="00A37146">
      <w:pPr>
        <w:pStyle w:val="Ingenafstand"/>
        <w:numPr>
          <w:ilvl w:val="0"/>
          <w:numId w:val="18"/>
        </w:numPr>
        <w:rPr>
          <w:rFonts w:ascii="Times New Roman" w:hAnsi="Times New Roman" w:cs="Times New Roman"/>
          <w:color w:val="0070C0"/>
          <w:sz w:val="24"/>
          <w:szCs w:val="24"/>
        </w:rPr>
      </w:pPr>
      <w:r w:rsidRPr="00183AFE">
        <w:rPr>
          <w:rFonts w:ascii="Times New Roman" w:hAnsi="Times New Roman" w:cs="Times New Roman"/>
          <w:color w:val="0070C0"/>
          <w:sz w:val="24"/>
          <w:szCs w:val="24"/>
        </w:rPr>
        <w:t>Execution/transaction cost savings/optimisation</w:t>
      </w:r>
    </w:p>
    <w:p w14:paraId="44AF050C" w14:textId="77777777" w:rsidR="00A37146" w:rsidRPr="00183AFE" w:rsidRDefault="00A37146" w:rsidP="00A37146">
      <w:pPr>
        <w:pStyle w:val="Ingenafstand"/>
        <w:numPr>
          <w:ilvl w:val="0"/>
          <w:numId w:val="18"/>
        </w:numPr>
        <w:rPr>
          <w:rFonts w:ascii="Times New Roman" w:hAnsi="Times New Roman" w:cs="Times New Roman"/>
          <w:color w:val="0070C0"/>
          <w:sz w:val="24"/>
          <w:szCs w:val="24"/>
        </w:rPr>
      </w:pPr>
      <w:r w:rsidRPr="00183AFE">
        <w:rPr>
          <w:rFonts w:ascii="Times New Roman" w:hAnsi="Times New Roman" w:cs="Times New Roman"/>
          <w:color w:val="0070C0"/>
          <w:sz w:val="24"/>
          <w:szCs w:val="24"/>
        </w:rPr>
        <w:t>Better pricing as execution is generally at mid of the Bid-Offer spread</w:t>
      </w:r>
    </w:p>
    <w:p w14:paraId="09617674" w14:textId="77777777" w:rsidR="00A37146" w:rsidRPr="00183AFE" w:rsidRDefault="00A37146" w:rsidP="00A37146">
      <w:pPr>
        <w:pStyle w:val="Ingenafstand"/>
        <w:numPr>
          <w:ilvl w:val="0"/>
          <w:numId w:val="18"/>
        </w:numPr>
        <w:rPr>
          <w:rFonts w:ascii="Times New Roman" w:hAnsi="Times New Roman" w:cs="Times New Roman"/>
          <w:color w:val="0070C0"/>
          <w:sz w:val="24"/>
          <w:szCs w:val="24"/>
        </w:rPr>
      </w:pPr>
      <w:r w:rsidRPr="00183AFE">
        <w:rPr>
          <w:rFonts w:ascii="Times New Roman" w:hAnsi="Times New Roman" w:cs="Times New Roman"/>
          <w:color w:val="0070C0"/>
          <w:sz w:val="24"/>
          <w:szCs w:val="24"/>
        </w:rPr>
        <w:t>Facilitates delivery of Best-execution remit on the part of the investment manager</w:t>
      </w:r>
    </w:p>
    <w:p w14:paraId="7B09F27D" w14:textId="77777777" w:rsidR="00A37146" w:rsidRPr="00183AFE" w:rsidRDefault="00A37146" w:rsidP="00A37146">
      <w:pPr>
        <w:pStyle w:val="Ingenafstand"/>
        <w:numPr>
          <w:ilvl w:val="0"/>
          <w:numId w:val="18"/>
        </w:numPr>
        <w:rPr>
          <w:rFonts w:ascii="Times New Roman" w:hAnsi="Times New Roman" w:cs="Times New Roman"/>
          <w:color w:val="0070C0"/>
          <w:sz w:val="24"/>
          <w:szCs w:val="24"/>
        </w:rPr>
      </w:pPr>
      <w:r w:rsidRPr="00183AFE">
        <w:rPr>
          <w:rFonts w:ascii="Times New Roman" w:hAnsi="Times New Roman" w:cs="Times New Roman"/>
          <w:color w:val="0070C0"/>
          <w:sz w:val="24"/>
          <w:szCs w:val="24"/>
        </w:rPr>
        <w:t xml:space="preserve">No or limited external market exposure/impact </w:t>
      </w:r>
      <w:proofErr w:type="gramStart"/>
      <w:r w:rsidRPr="00183AFE">
        <w:rPr>
          <w:rFonts w:ascii="Times New Roman" w:hAnsi="Times New Roman" w:cs="Times New Roman"/>
          <w:color w:val="0070C0"/>
          <w:sz w:val="24"/>
          <w:szCs w:val="24"/>
        </w:rPr>
        <w:t>( depends</w:t>
      </w:r>
      <w:proofErr w:type="gramEnd"/>
      <w:r w:rsidRPr="00183AFE">
        <w:rPr>
          <w:rFonts w:ascii="Times New Roman" w:hAnsi="Times New Roman" w:cs="Times New Roman"/>
          <w:color w:val="0070C0"/>
          <w:sz w:val="24"/>
          <w:szCs w:val="24"/>
        </w:rPr>
        <w:t xml:space="preserve"> on the size and ability to match blocks and asset types)</w:t>
      </w:r>
    </w:p>
    <w:p w14:paraId="15A77B90" w14:textId="4ADC0179" w:rsidR="00C92E09" w:rsidRPr="00183AFE" w:rsidRDefault="00A37146" w:rsidP="00A37146">
      <w:pPr>
        <w:pStyle w:val="Ingenafstand"/>
        <w:rPr>
          <w:rFonts w:ascii="Times New Roman" w:eastAsia="Calibri" w:hAnsi="Times New Roman" w:cs="Times New Roman"/>
          <w:sz w:val="24"/>
          <w:szCs w:val="24"/>
        </w:rPr>
      </w:pPr>
      <w:r w:rsidRPr="00183AFE">
        <w:rPr>
          <w:rFonts w:ascii="Times New Roman" w:hAnsi="Times New Roman" w:cs="Times New Roman"/>
          <w:color w:val="0070C0"/>
          <w:sz w:val="24"/>
          <w:szCs w:val="24"/>
        </w:rPr>
        <w:t>Ultimately, these internal crossing systems and the ensuing derived efficiencies can also facilitate an improvement in the net investment performance of the investment manager for his/her managed funds.</w:t>
      </w:r>
    </w:p>
    <w:permEnd w:id="369167794"/>
    <w:p w14:paraId="553BEDC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&lt;ESMA_QUESTION_FOTF_14&gt;</w:t>
      </w:r>
    </w:p>
    <w:p w14:paraId="771E8492" w14:textId="77777777" w:rsidR="00C92E09" w:rsidRPr="00C92E09" w:rsidRDefault="00C92E09" w:rsidP="00C92E09">
      <w:pPr>
        <w:spacing w:after="160" w:line="259" w:lineRule="auto"/>
        <w:rPr>
          <w:rFonts w:ascii="Arial" w:eastAsia="Calibri" w:hAnsi="Arial" w:cs="Arial"/>
          <w:sz w:val="22"/>
          <w:szCs w:val="22"/>
          <w:lang w:eastAsia="en-US"/>
        </w:rPr>
      </w:pPr>
    </w:p>
    <w:p w14:paraId="68D0D098"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Q15: Do you consider that internal crossing systems allowing different fund managers within the same group to transact between themselves should be in scope of MiFID II or regarded as an investment management function covered under the AIFMD and UCITS? Please explain. In your view, should the regulatory treatment of these internal crossing system be clarified via a Level 1 change?</w:t>
      </w:r>
    </w:p>
    <w:p w14:paraId="2DDF454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&lt;ESMA_QUESTION_FOTF_15&gt;</w:t>
      </w:r>
    </w:p>
    <w:p w14:paraId="52980495" w14:textId="42A1774C" w:rsidR="00A37146" w:rsidRPr="00183AFE" w:rsidRDefault="00A37146" w:rsidP="00013A94">
      <w:pPr>
        <w:spacing w:after="250"/>
        <w:contextualSpacing/>
        <w:jc w:val="both"/>
        <w:rPr>
          <w:rFonts w:eastAsia="Calibri"/>
          <w:color w:val="0070C0"/>
          <w:lang w:eastAsia="en-US"/>
        </w:rPr>
      </w:pPr>
      <w:permStart w:id="1944543371" w:edGrp="everyone"/>
      <w:r w:rsidRPr="00183AFE">
        <w:rPr>
          <w:color w:val="0070C0"/>
        </w:rPr>
        <w:t>The ACI FMA does not agree that internal crossing systems allowing different fund managers within the same group to transact between themselves should be in the scope of MiFID II or regarded as an investment management function covered under the AIFMD and UCITS. The internal crossing systems are part of the workflow management of the investment manager, which has definite benefits, as mentioned above, for both the investors and the investment manager. We do not consider that these internal crossing systems constitute any form of multilateral trading and imposing OTF obligations would increase costs, diminish efficiencies, and ultimately potentially impact investment performance.</w:t>
      </w:r>
      <w:r w:rsidR="00013A94">
        <w:rPr>
          <w:color w:val="0070C0"/>
        </w:rPr>
        <w:t xml:space="preserve"> </w:t>
      </w:r>
      <w:r w:rsidRPr="00183AFE">
        <w:rPr>
          <w:color w:val="0070C0"/>
        </w:rPr>
        <w:t>The ACI FMA concurs that no further clarification is required. Therefore, a Level 1 clarification is not needed.</w:t>
      </w:r>
    </w:p>
    <w:permEnd w:id="1944543371"/>
    <w:p w14:paraId="45432A91" w14:textId="20BC8FF6" w:rsidR="00A37146" w:rsidRDefault="00A37146" w:rsidP="00A37146">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w:t>
      </w:r>
      <w:r>
        <w:rPr>
          <w:rFonts w:ascii="Arial" w:eastAsia="Calibri" w:hAnsi="Arial" w:cs="Arial"/>
          <w:sz w:val="22"/>
          <w:szCs w:val="22"/>
          <w:lang w:eastAsia="en-US"/>
        </w:rPr>
        <w:t>5</w:t>
      </w:r>
      <w:r w:rsidRPr="00C92E09">
        <w:rPr>
          <w:rFonts w:ascii="Arial" w:eastAsia="Calibri" w:hAnsi="Arial" w:cs="Arial"/>
          <w:sz w:val="22"/>
          <w:szCs w:val="22"/>
          <w:lang w:eastAsia="en-US"/>
        </w:rPr>
        <w:t>&gt;</w:t>
      </w:r>
    </w:p>
    <w:p w14:paraId="7CEB97EC" w14:textId="7530247A" w:rsidR="00A37146" w:rsidRDefault="00A37146" w:rsidP="00A37146">
      <w:pPr>
        <w:spacing w:after="160" w:line="259" w:lineRule="auto"/>
        <w:rPr>
          <w:rFonts w:ascii="Arial" w:eastAsia="Calibri" w:hAnsi="Arial" w:cs="Arial"/>
          <w:sz w:val="22"/>
          <w:szCs w:val="22"/>
          <w:lang w:eastAsia="en-US"/>
        </w:rPr>
      </w:pPr>
    </w:p>
    <w:p w14:paraId="54BED321" w14:textId="77777777" w:rsidR="00C92E09" w:rsidRPr="00C92E09" w:rsidRDefault="00C92E09" w:rsidP="00C92E09">
      <w:pPr>
        <w:spacing w:after="160" w:line="259" w:lineRule="auto"/>
        <w:rPr>
          <w:rFonts w:ascii="Arial" w:eastAsia="Calibri" w:hAnsi="Arial" w:cs="Arial"/>
          <w:sz w:val="22"/>
          <w:szCs w:val="22"/>
          <w:lang w:eastAsia="en-US"/>
        </w:rPr>
      </w:pPr>
    </w:p>
    <w:p w14:paraId="37B67FA4"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Q16: Do you agree with the interpretation provided by ESMA regarding how discretion should be applied and do you think the concept of discretion should be further clarified?</w:t>
      </w:r>
    </w:p>
    <w:p w14:paraId="6F4B8A9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&lt;ESMA_QUESTION_FOTF_16&gt;</w:t>
      </w:r>
    </w:p>
    <w:p w14:paraId="400FF4A1" w14:textId="476A75AD" w:rsidR="00C92E09" w:rsidRPr="00C92E09" w:rsidRDefault="00A37146" w:rsidP="00A37146">
      <w:pPr>
        <w:spacing w:after="250"/>
        <w:contextualSpacing/>
        <w:jc w:val="both"/>
        <w:rPr>
          <w:rFonts w:ascii="Arial" w:eastAsia="Calibri" w:hAnsi="Arial" w:cs="Arial"/>
          <w:sz w:val="22"/>
          <w:szCs w:val="22"/>
          <w:lang w:eastAsia="en-US"/>
        </w:rPr>
      </w:pPr>
      <w:permStart w:id="644228062" w:edGrp="everyone"/>
      <w:r w:rsidRPr="00183AFE">
        <w:rPr>
          <w:color w:val="0070C0"/>
          <w:lang w:val="en-US"/>
        </w:rPr>
        <w:t>The ACI FMA concurs with ESMA’s interpretation and sees no need for further clarification.</w:t>
      </w:r>
    </w:p>
    <w:permEnd w:id="644228062"/>
    <w:p w14:paraId="3F28AC6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&lt;ESMA_QUESTION_FOTF_16&gt;</w:t>
      </w:r>
    </w:p>
    <w:p w14:paraId="166B35E1" w14:textId="5583E5CC" w:rsidR="00C92E09" w:rsidRDefault="00C92E09" w:rsidP="00C92E09">
      <w:pPr>
        <w:spacing w:after="160" w:line="259" w:lineRule="auto"/>
        <w:rPr>
          <w:rFonts w:ascii="Arial" w:eastAsia="Calibri" w:hAnsi="Arial" w:cs="Arial"/>
          <w:sz w:val="22"/>
          <w:szCs w:val="22"/>
          <w:lang w:eastAsia="en-US"/>
        </w:rPr>
      </w:pPr>
    </w:p>
    <w:p w14:paraId="4013A903" w14:textId="4D47B321" w:rsidR="006A11AA" w:rsidRDefault="006A11AA" w:rsidP="00C92E09">
      <w:pPr>
        <w:spacing w:after="160" w:line="259" w:lineRule="auto"/>
        <w:rPr>
          <w:rFonts w:ascii="Arial" w:eastAsia="Calibri" w:hAnsi="Arial" w:cs="Arial"/>
          <w:sz w:val="22"/>
          <w:szCs w:val="22"/>
          <w:lang w:eastAsia="en-US"/>
        </w:rPr>
      </w:pPr>
    </w:p>
    <w:p w14:paraId="52AFC710" w14:textId="3C7494FE" w:rsidR="006A11AA" w:rsidRDefault="006A11AA" w:rsidP="00C92E09">
      <w:pPr>
        <w:spacing w:after="160" w:line="259" w:lineRule="auto"/>
        <w:rPr>
          <w:rFonts w:ascii="Arial" w:eastAsia="Calibri" w:hAnsi="Arial" w:cs="Arial"/>
          <w:sz w:val="22"/>
          <w:szCs w:val="22"/>
          <w:lang w:eastAsia="en-US"/>
        </w:rPr>
      </w:pPr>
    </w:p>
    <w:p w14:paraId="5F84A87E" w14:textId="7F40C9E7" w:rsidR="006A11AA" w:rsidRDefault="006A11AA" w:rsidP="00C92E09">
      <w:pPr>
        <w:spacing w:after="160" w:line="259" w:lineRule="auto"/>
        <w:rPr>
          <w:rFonts w:ascii="Arial" w:eastAsia="Calibri" w:hAnsi="Arial" w:cs="Arial"/>
          <w:sz w:val="22"/>
          <w:szCs w:val="22"/>
          <w:lang w:eastAsia="en-US"/>
        </w:rPr>
      </w:pPr>
    </w:p>
    <w:p w14:paraId="738EA4D7" w14:textId="4256CB1C" w:rsidR="006A11AA" w:rsidRDefault="006A11AA" w:rsidP="00C92E09">
      <w:pPr>
        <w:spacing w:after="160" w:line="259" w:lineRule="auto"/>
        <w:rPr>
          <w:rFonts w:ascii="Arial" w:eastAsia="Calibri" w:hAnsi="Arial" w:cs="Arial"/>
          <w:sz w:val="22"/>
          <w:szCs w:val="22"/>
          <w:lang w:eastAsia="en-US"/>
        </w:rPr>
      </w:pPr>
    </w:p>
    <w:p w14:paraId="16BAC685" w14:textId="77777777" w:rsidR="006A11AA" w:rsidRPr="00C92E09" w:rsidRDefault="006A11AA" w:rsidP="00C92E09">
      <w:pPr>
        <w:spacing w:after="160" w:line="259" w:lineRule="auto"/>
        <w:rPr>
          <w:rFonts w:ascii="Arial" w:eastAsia="Calibri" w:hAnsi="Arial" w:cs="Arial"/>
          <w:sz w:val="22"/>
          <w:szCs w:val="22"/>
          <w:lang w:eastAsia="en-US"/>
        </w:rPr>
      </w:pPr>
    </w:p>
    <w:p w14:paraId="29FEA44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Q17: For OTF operators: Do you apply discretion predominantly in placement of orders or in execution of orders? Does this depend on the type of trading system you operate? Please explain.</w:t>
      </w:r>
    </w:p>
    <w:p w14:paraId="28F0D95D"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&lt;ESMA_QUESTION_FOTF_17&gt;</w:t>
      </w:r>
    </w:p>
    <w:p w14:paraId="3ACF86A6" w14:textId="3CB4397E" w:rsidR="00C92E09" w:rsidRPr="00013A94" w:rsidRDefault="00A37146" w:rsidP="00A37146">
      <w:pPr>
        <w:spacing w:after="250"/>
        <w:contextualSpacing/>
        <w:jc w:val="both"/>
        <w:rPr>
          <w:rFonts w:ascii="Arial" w:eastAsia="Calibri" w:hAnsi="Arial" w:cs="Arial"/>
          <w:color w:val="0070C0"/>
          <w:lang w:eastAsia="en-US"/>
        </w:rPr>
      </w:pPr>
      <w:permStart w:id="71390216" w:edGrp="everyone"/>
      <w:r w:rsidRPr="00013A94">
        <w:rPr>
          <w:color w:val="0070C0"/>
        </w:rPr>
        <w:t>Concerning discretion in the FX markets, many factors may impact execution and pricing including, but not limited to, the nature of the transaction, the relationship between the counterparty and the institution, and the market conditions prevailing at the time pricing is determined. As such, different prices may be offered to different counterparties for the same or substantially similar transactions. A counterparty may also give instructions regarding orders e.g. FX Forwards - FX Forward Limit Order, or regarding FX Options – Price Target orders, Benchmark Fixing order, Volatility based orders.</w:t>
      </w:r>
    </w:p>
    <w:permEnd w:id="71390216"/>
    <w:p w14:paraId="466D5B2E"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&lt;ESMA_QUESTION_FOTF_17&gt;</w:t>
      </w:r>
    </w:p>
    <w:p w14:paraId="6C4FDB7C" w14:textId="77777777" w:rsidR="00C92E09" w:rsidRPr="00C92E09" w:rsidRDefault="00C92E09" w:rsidP="00C92E09">
      <w:pPr>
        <w:spacing w:after="160" w:line="259" w:lineRule="auto"/>
        <w:rPr>
          <w:rFonts w:ascii="Arial" w:eastAsia="Calibri" w:hAnsi="Arial" w:cs="Arial"/>
          <w:sz w:val="22"/>
          <w:szCs w:val="22"/>
          <w:lang w:eastAsia="en-US"/>
        </w:rPr>
      </w:pPr>
    </w:p>
    <w:p w14:paraId="4EA413D7"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Q18: For OTF clients: Do you face any issue in the way OTF operators exercise discretion for order placement and order execution? If so, please explain. Does it appear to be used regularly in practice by OTF operators?</w:t>
      </w:r>
    </w:p>
    <w:p w14:paraId="0799F93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&lt;ESMA_QUESTION_FOTF_18&gt;</w:t>
      </w:r>
    </w:p>
    <w:p w14:paraId="38FBAD12" w14:textId="5A314A3C" w:rsidR="00C92E09" w:rsidRPr="00183AFE" w:rsidRDefault="00A37146" w:rsidP="00A37146">
      <w:pPr>
        <w:spacing w:after="250"/>
        <w:contextualSpacing/>
        <w:jc w:val="both"/>
        <w:rPr>
          <w:rFonts w:ascii="Arial" w:eastAsia="Calibri" w:hAnsi="Arial" w:cs="Arial"/>
          <w:color w:val="0070C0"/>
          <w:sz w:val="22"/>
          <w:szCs w:val="22"/>
          <w:lang w:eastAsia="en-US"/>
        </w:rPr>
      </w:pPr>
      <w:permStart w:id="348743610" w:edGrp="everyone"/>
      <w:r w:rsidRPr="00183AFE">
        <w:rPr>
          <w:color w:val="0070C0"/>
        </w:rPr>
        <w:t xml:space="preserve">The OTF rulebook, Order Execution Policy (OEP), Best Execution, FX handling documentation, and/or FX Disclosure documentation should clearly inform the client/counterparty how the OTF operates concerning discretion and discretionary orders and its approach to providing Best Execution under the Markets in Financial Instruments Directive II (“MiFID”) (and the Financial Conduct Authority’s Conduct of Business Sourcebook (“COBS”) if applicable) when executing client orders or quotes on behalf of clients. MiFID and COBS require investment firms when executing certain transactions on behalf of clients, to take all sufficient steps to obtain the best possible result for clients consistently, </w:t>
      </w:r>
      <w:proofErr w:type="gramStart"/>
      <w:r w:rsidRPr="00183AFE">
        <w:rPr>
          <w:color w:val="0070C0"/>
        </w:rPr>
        <w:t>taking into account</w:t>
      </w:r>
      <w:proofErr w:type="gramEnd"/>
      <w:r w:rsidRPr="00183AFE">
        <w:rPr>
          <w:color w:val="0070C0"/>
        </w:rPr>
        <w:t xml:space="preserve"> the factors set out in Q17. This requirement is known as the Best Execution obligation. Certainly, the OEP/BEX policy should be on the OTF website/in the OTF rulebook or both and freely available to client/counterparties.</w:t>
      </w:r>
    </w:p>
    <w:permEnd w:id="348743610"/>
    <w:p w14:paraId="2A2B547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&lt;ESMA_QUESTION_FOTF_18&gt;</w:t>
      </w:r>
    </w:p>
    <w:p w14:paraId="5B536923" w14:textId="77777777" w:rsidR="00C92E09" w:rsidRPr="00C92E09" w:rsidRDefault="00C92E09" w:rsidP="00C92E09">
      <w:pPr>
        <w:spacing w:after="160" w:line="259" w:lineRule="auto"/>
        <w:rPr>
          <w:rFonts w:ascii="Arial" w:eastAsia="Calibri" w:hAnsi="Arial" w:cs="Arial"/>
          <w:sz w:val="22"/>
          <w:szCs w:val="22"/>
          <w:lang w:eastAsia="en-US"/>
        </w:rPr>
      </w:pPr>
    </w:p>
    <w:p w14:paraId="29F547BF"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Q19: Do you think ESMA should clarify any aspect in relation to MPT or that any specific measure in relation to MPT shall be recommended?</w:t>
      </w:r>
    </w:p>
    <w:p w14:paraId="41CE30AB"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&lt;ESMA_QUESTION_FOTF_19&gt;</w:t>
      </w:r>
    </w:p>
    <w:p w14:paraId="1E2DF880" w14:textId="2FF9B837" w:rsidR="00C92E09" w:rsidRPr="00C92E09" w:rsidRDefault="00A37146" w:rsidP="00A37146">
      <w:pPr>
        <w:spacing w:after="250"/>
        <w:contextualSpacing/>
        <w:jc w:val="both"/>
        <w:rPr>
          <w:rFonts w:ascii="Arial" w:eastAsia="Calibri" w:hAnsi="Arial" w:cs="Arial"/>
          <w:sz w:val="22"/>
          <w:szCs w:val="22"/>
          <w:lang w:eastAsia="en-US"/>
        </w:rPr>
      </w:pPr>
      <w:permStart w:id="1328153755" w:edGrp="everyone"/>
      <w:r w:rsidRPr="00183AFE">
        <w:rPr>
          <w:color w:val="0070C0"/>
        </w:rPr>
        <w:t>The ACI FMA sees no requirement for further clarification regarding MPT.</w:t>
      </w:r>
    </w:p>
    <w:permEnd w:id="1328153755"/>
    <w:p w14:paraId="64A2FAF3"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&lt;ESMA_QUESTION_FOTF_19&gt;</w:t>
      </w:r>
    </w:p>
    <w:p w14:paraId="5B821BCF" w14:textId="165E8B86" w:rsidR="00C92E09" w:rsidRDefault="00C92E09" w:rsidP="00C92E09">
      <w:pPr>
        <w:spacing w:after="160" w:line="259" w:lineRule="auto"/>
        <w:rPr>
          <w:rFonts w:ascii="Arial" w:eastAsia="Calibri" w:hAnsi="Arial" w:cs="Arial"/>
          <w:sz w:val="22"/>
          <w:szCs w:val="22"/>
          <w:lang w:eastAsia="en-US"/>
        </w:rPr>
      </w:pPr>
    </w:p>
    <w:p w14:paraId="441B57CA" w14:textId="6803BE7E" w:rsidR="006A11AA" w:rsidRDefault="006A11AA" w:rsidP="00C92E09">
      <w:pPr>
        <w:spacing w:after="160" w:line="259" w:lineRule="auto"/>
        <w:rPr>
          <w:rFonts w:ascii="Arial" w:eastAsia="Calibri" w:hAnsi="Arial" w:cs="Arial"/>
          <w:sz w:val="22"/>
          <w:szCs w:val="22"/>
          <w:lang w:eastAsia="en-US"/>
        </w:rPr>
      </w:pPr>
    </w:p>
    <w:p w14:paraId="72AFC701" w14:textId="5C726C65" w:rsidR="006A11AA" w:rsidRDefault="006A11AA" w:rsidP="00C92E09">
      <w:pPr>
        <w:spacing w:after="160" w:line="259" w:lineRule="auto"/>
        <w:rPr>
          <w:rFonts w:ascii="Arial" w:eastAsia="Calibri" w:hAnsi="Arial" w:cs="Arial"/>
          <w:sz w:val="22"/>
          <w:szCs w:val="22"/>
          <w:lang w:eastAsia="en-US"/>
        </w:rPr>
      </w:pPr>
    </w:p>
    <w:p w14:paraId="2CB5426C" w14:textId="40C1FA02" w:rsidR="006A11AA" w:rsidRDefault="006A11AA" w:rsidP="00C92E09">
      <w:pPr>
        <w:spacing w:after="160" w:line="259" w:lineRule="auto"/>
        <w:rPr>
          <w:rFonts w:ascii="Arial" w:eastAsia="Calibri" w:hAnsi="Arial" w:cs="Arial"/>
          <w:sz w:val="22"/>
          <w:szCs w:val="22"/>
          <w:lang w:eastAsia="en-US"/>
        </w:rPr>
      </w:pPr>
    </w:p>
    <w:p w14:paraId="6CA0F138" w14:textId="7552F105" w:rsidR="006A11AA" w:rsidRDefault="006A11AA" w:rsidP="00C92E09">
      <w:pPr>
        <w:spacing w:after="160" w:line="259" w:lineRule="auto"/>
        <w:rPr>
          <w:rFonts w:ascii="Arial" w:eastAsia="Calibri" w:hAnsi="Arial" w:cs="Arial"/>
          <w:sz w:val="22"/>
          <w:szCs w:val="22"/>
          <w:lang w:eastAsia="en-US"/>
        </w:rPr>
      </w:pPr>
    </w:p>
    <w:p w14:paraId="09F53A71" w14:textId="3BFCD514" w:rsidR="006A11AA" w:rsidRDefault="006A11AA" w:rsidP="00C92E09">
      <w:pPr>
        <w:spacing w:after="160" w:line="259" w:lineRule="auto"/>
        <w:rPr>
          <w:rFonts w:ascii="Arial" w:eastAsia="Calibri" w:hAnsi="Arial" w:cs="Arial"/>
          <w:sz w:val="22"/>
          <w:szCs w:val="22"/>
          <w:lang w:eastAsia="en-US"/>
        </w:rPr>
      </w:pPr>
    </w:p>
    <w:p w14:paraId="6D872439" w14:textId="77777777" w:rsidR="006A11AA" w:rsidRPr="00C92E09" w:rsidRDefault="006A11AA" w:rsidP="00C92E09">
      <w:pPr>
        <w:spacing w:after="160" w:line="259" w:lineRule="auto"/>
        <w:rPr>
          <w:rFonts w:ascii="Arial" w:eastAsia="Calibri" w:hAnsi="Arial" w:cs="Arial"/>
          <w:sz w:val="22"/>
          <w:szCs w:val="22"/>
          <w:lang w:eastAsia="en-US"/>
        </w:rPr>
      </w:pPr>
    </w:p>
    <w:p w14:paraId="2971C4BE"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Q20: In your view what is the difference between MPT and riskless principal trading and should this difference be clarified in Level 1?. In addition, what, in your view, incentivizes a firm to engage in MPT rather than in agency cross trades (i.e. trades where a broker arranges transactions between two of its clients but without interposing itself)?</w:t>
      </w:r>
    </w:p>
    <w:p w14:paraId="0C95801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&lt;ESMA_QUESTION_FOTF_20&gt;</w:t>
      </w:r>
    </w:p>
    <w:p w14:paraId="5E60E998" w14:textId="1D9C8D2F" w:rsidR="00C92E09" w:rsidRPr="00183AFE" w:rsidRDefault="00A37146" w:rsidP="00A37146">
      <w:pPr>
        <w:spacing w:after="250"/>
        <w:contextualSpacing/>
        <w:jc w:val="both"/>
        <w:rPr>
          <w:rFonts w:ascii="Arial" w:eastAsia="Calibri" w:hAnsi="Arial" w:cs="Arial"/>
          <w:color w:val="0070C0"/>
          <w:lang w:eastAsia="en-US"/>
        </w:rPr>
      </w:pPr>
      <w:permStart w:id="443628368" w:edGrp="everyone"/>
      <w:r w:rsidRPr="00183AFE">
        <w:rPr>
          <w:color w:val="0070C0"/>
          <w:lang w:val="en-US"/>
        </w:rPr>
        <w:t>For the client, the incentive is anonymity and a clear fee structure, for the institution it is the fees and lack of market risk?</w:t>
      </w:r>
    </w:p>
    <w:permEnd w:id="443628368"/>
    <w:p w14:paraId="46EE5F3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&lt;ESMA_QUESTION_FOTF_20&gt;</w:t>
      </w:r>
    </w:p>
    <w:p w14:paraId="41C853AB" w14:textId="1FCFAAA3" w:rsidR="00C92E09" w:rsidRDefault="00C92E09" w:rsidP="00C92E09">
      <w:pPr>
        <w:spacing w:after="160" w:line="259" w:lineRule="auto"/>
        <w:rPr>
          <w:rFonts w:ascii="Arial" w:eastAsia="Calibri" w:hAnsi="Arial" w:cs="Arial"/>
          <w:sz w:val="22"/>
          <w:szCs w:val="22"/>
          <w:lang w:eastAsia="en-US"/>
        </w:rPr>
      </w:pPr>
    </w:p>
    <w:p w14:paraId="2630DF8C" w14:textId="77777777" w:rsidR="006A11AA" w:rsidRPr="00C92E09" w:rsidRDefault="006A11AA" w:rsidP="00C92E09">
      <w:pPr>
        <w:spacing w:after="160" w:line="259" w:lineRule="auto"/>
        <w:rPr>
          <w:rFonts w:ascii="Arial" w:eastAsia="Calibri" w:hAnsi="Arial" w:cs="Arial"/>
          <w:sz w:val="22"/>
          <w:szCs w:val="22"/>
          <w:lang w:eastAsia="en-US"/>
        </w:rPr>
      </w:pPr>
    </w:p>
    <w:p w14:paraId="3D3E9CEA"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Q21: Do you agree with ESMA’s proposal to clarify that the prohibition of investment firms or market operators operating an MTF to execute client orders against proprietary capital or to engage in matched principal trading only applies to the MTF they operate, in line with the same wording as applicable to regulated markets? </w:t>
      </w:r>
    </w:p>
    <w:p w14:paraId="26169606"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&lt;ESMA_QUESTION_FOTF_21&gt;</w:t>
      </w:r>
    </w:p>
    <w:p w14:paraId="4B8635ED" w14:textId="1A1CD659" w:rsidR="00C92E09" w:rsidRPr="00183AFE" w:rsidRDefault="00A37146" w:rsidP="00A37146">
      <w:pPr>
        <w:pStyle w:val="Ingenafstand"/>
        <w:rPr>
          <w:rFonts w:ascii="Times New Roman" w:eastAsia="Calibri" w:hAnsi="Times New Roman" w:cs="Times New Roman"/>
          <w:color w:val="0070C0"/>
          <w:sz w:val="24"/>
          <w:szCs w:val="24"/>
        </w:rPr>
      </w:pPr>
      <w:permStart w:id="106175462" w:edGrp="everyone"/>
      <w:r w:rsidRPr="00183AFE">
        <w:rPr>
          <w:rFonts w:ascii="Times New Roman" w:hAnsi="Times New Roman" w:cs="Times New Roman"/>
          <w:color w:val="0070C0"/>
          <w:sz w:val="24"/>
          <w:szCs w:val="24"/>
          <w:lang w:val="en-US"/>
        </w:rPr>
        <w:t>The ACI FMA would welcome further clarification by ESMA regarding the prohibition of investment firms or market operators operating an MTF to execute client orders against proprietary capital or to engage in matched principal trading.</w:t>
      </w:r>
    </w:p>
    <w:permEnd w:id="106175462"/>
    <w:p w14:paraId="76CFA574"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&lt;ESMA_QUESTION_FOTF_21&gt;</w:t>
      </w:r>
    </w:p>
    <w:p w14:paraId="170B439C" w14:textId="77777777" w:rsidR="002156A3" w:rsidRDefault="002156A3" w:rsidP="00C1698A">
      <w:pPr>
        <w:spacing w:line="276" w:lineRule="auto"/>
        <w:rPr>
          <w:rFonts w:asciiTheme="minorHAnsi" w:hAnsiTheme="minorHAnsi" w:cstheme="minorHAnsi"/>
          <w:b/>
          <w:sz w:val="28"/>
          <w:szCs w:val="28"/>
        </w:rPr>
      </w:pPr>
    </w:p>
    <w:sectPr w:rsidR="002156A3" w:rsidSect="00C85C8B">
      <w:headerReference w:type="default" r:id="rId26"/>
      <w:footerReference w:type="default" r:id="rId2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F11ED" w14:textId="77777777" w:rsidR="00682D6F" w:rsidRDefault="00682D6F" w:rsidP="007E7997">
      <w:r>
        <w:separator/>
      </w:r>
    </w:p>
  </w:endnote>
  <w:endnote w:type="continuationSeparator" w:id="0">
    <w:p w14:paraId="04F9709C" w14:textId="77777777" w:rsidR="00682D6F" w:rsidRDefault="00682D6F" w:rsidP="007E7997">
      <w:r>
        <w:continuationSeparator/>
      </w:r>
    </w:p>
  </w:endnote>
  <w:endnote w:type="continuationNotice" w:id="1">
    <w:p w14:paraId="72BCEB51" w14:textId="77777777" w:rsidR="00682D6F" w:rsidRDefault="00682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D44D" w14:textId="77777777" w:rsidR="00E824DB" w:rsidRDefault="00E824D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752671"/>
      <w:docPartObj>
        <w:docPartGallery w:val="Page Numbers (Bottom of Page)"/>
        <w:docPartUnique/>
      </w:docPartObj>
    </w:sdtPr>
    <w:sdtEndPr>
      <w:rPr>
        <w:noProof/>
      </w:rPr>
    </w:sdtEndPr>
    <w:sdtContent>
      <w:p w14:paraId="00B075B0" w14:textId="77777777" w:rsidR="00E36813" w:rsidRDefault="00E36813">
        <w:pPr>
          <w:pStyle w:val="Sidefod"/>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0C9F9A90" w14:textId="77777777" w:rsidR="00E36813" w:rsidRDefault="00E3681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209A6" w14:textId="77777777" w:rsidR="00E36813" w:rsidRDefault="00E36813" w:rsidP="007A160F">
    <w:pPr>
      <w:pStyle w:val="Sidefod"/>
    </w:pPr>
    <w:r>
      <w:rPr>
        <w:rFonts w:asciiTheme="majorHAnsi" w:hAnsiTheme="majorHAnsi"/>
        <w:color w:val="FFFFFF" w:themeColor="background1"/>
      </w:rPr>
      <w:tab/>
    </w:r>
    <w:r>
      <w:rPr>
        <w:rFonts w:asciiTheme="majorHAnsi" w:hAnsiTheme="majorHAnsi"/>
        <w:color w:val="FFFFFF" w:themeColor="background1"/>
      </w:rPr>
      <w:tab/>
    </w:r>
    <w:r w:rsidR="00C92E09">
      <w:rPr>
        <w:rFonts w:asciiTheme="majorHAnsi" w:hAnsiTheme="majorHAnsi"/>
        <w:color w:val="FFFFFF" w:themeColor="background1"/>
      </w:rPr>
      <w:t>25</w:t>
    </w:r>
    <w:r w:rsidR="00E35FC3" w:rsidRPr="0004778B">
      <w:rPr>
        <w:rFonts w:asciiTheme="majorHAnsi" w:hAnsiTheme="majorHAnsi"/>
        <w:color w:val="FFFFFF" w:themeColor="background1"/>
      </w:rPr>
      <w:t xml:space="preserve"> </w:t>
    </w:r>
    <w:r w:rsidR="00C92E09">
      <w:rPr>
        <w:rFonts w:asciiTheme="majorHAnsi" w:hAnsiTheme="majorHAnsi"/>
        <w:color w:val="FFFFFF" w:themeColor="background1"/>
      </w:rPr>
      <w:t xml:space="preserve">September </w:t>
    </w:r>
    <w:r w:rsidR="00333811" w:rsidRPr="0004778B">
      <w:rPr>
        <w:rFonts w:asciiTheme="majorHAnsi" w:hAnsiTheme="majorHAnsi"/>
        <w:color w:val="FFFFFF" w:themeColor="background1"/>
      </w:rPr>
      <w:t>2020</w:t>
    </w:r>
    <w:r w:rsidR="00E824DB">
      <w:rPr>
        <w:rFonts w:asciiTheme="majorHAnsi" w:hAnsiTheme="majorHAnsi"/>
        <w:color w:val="FFFFFF" w:themeColor="background1"/>
      </w:rPr>
      <w:t xml:space="preserve"> | </w:t>
    </w:r>
    <w:hyperlink r:id="rId1" w:history="1">
      <w:r w:rsidR="00E824DB" w:rsidRPr="001B0B7E">
        <w:rPr>
          <w:rFonts w:asciiTheme="majorHAnsi" w:hAnsiTheme="majorHAnsi"/>
          <w:color w:val="FFFFFF" w:themeColor="background1"/>
        </w:rPr>
        <w:t>ESMA70-156-</w:t>
      </w:r>
      <w:r w:rsidR="00E824DB">
        <w:rPr>
          <w:rFonts w:asciiTheme="majorHAnsi" w:hAnsiTheme="majorHAnsi"/>
          <w:color w:val="FFFFFF" w:themeColor="background1"/>
        </w:rPr>
        <w:t>3844</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752247"/>
      <w:docPartObj>
        <w:docPartGallery w:val="Page Numbers (Bottom of Page)"/>
        <w:docPartUnique/>
      </w:docPartObj>
    </w:sdtPr>
    <w:sdtEndPr>
      <w:rPr>
        <w:noProof/>
      </w:rPr>
    </w:sdtEndPr>
    <w:sdtContent>
      <w:p w14:paraId="2A6E9E90" w14:textId="77777777" w:rsidR="00E36813" w:rsidRDefault="00E36813">
        <w:pPr>
          <w:pStyle w:val="Sidefod"/>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70C5C9A9" w14:textId="77777777" w:rsidR="00E36813" w:rsidRDefault="00E36813" w:rsidP="00FB24ED">
    <w:pPr>
      <w:pStyle w:val="Sidefo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D83E0" w14:textId="77777777" w:rsidR="00682D6F" w:rsidRDefault="00682D6F" w:rsidP="007E7997">
      <w:r>
        <w:separator/>
      </w:r>
    </w:p>
  </w:footnote>
  <w:footnote w:type="continuationSeparator" w:id="0">
    <w:p w14:paraId="2DB73BA1" w14:textId="77777777" w:rsidR="00682D6F" w:rsidRDefault="00682D6F" w:rsidP="007E7997">
      <w:r>
        <w:continuationSeparator/>
      </w:r>
    </w:p>
  </w:footnote>
  <w:footnote w:type="continuationNotice" w:id="1">
    <w:p w14:paraId="249AB27E" w14:textId="77777777" w:rsidR="00682D6F" w:rsidRDefault="00682D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B337B" w14:textId="77777777" w:rsidR="00E824DB" w:rsidRDefault="00E824D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16F48" w14:textId="77777777" w:rsidR="00E36813" w:rsidRDefault="00E36813">
    <w:pPr>
      <w:pStyle w:val="Sidehoved"/>
    </w:pPr>
  </w:p>
  <w:p w14:paraId="7966EEAD" w14:textId="77777777" w:rsidR="00E36813" w:rsidRDefault="00E3681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64CA3" w14:textId="77777777" w:rsidR="00E36813" w:rsidRDefault="00E36813">
    <w:pPr>
      <w:pStyle w:val="Sidehoved"/>
    </w:pPr>
    <w:r>
      <w:rPr>
        <w:noProof/>
      </w:rPr>
      <w:drawing>
        <wp:anchor distT="0" distB="0" distL="114300" distR="114300" simplePos="0" relativeHeight="251658752" behindDoc="0" locked="0" layoutInCell="1" allowOverlap="1" wp14:anchorId="7A37BBCA" wp14:editId="472C1F88">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2C274A9" wp14:editId="7902191C">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D7E81" w14:textId="77777777" w:rsidR="00E36813" w:rsidRDefault="00E36813" w:rsidP="00B50534">
    <w:pPr>
      <w:pStyle w:val="Sidehoved"/>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608A3D56" wp14:editId="325FE7E1">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18A26"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487AFD9E" w14:textId="77777777" w:rsidR="00E36813" w:rsidRPr="00D13661" w:rsidRDefault="00E36813" w:rsidP="00B50534">
    <w:pPr>
      <w:pStyle w:val="Sidehoved"/>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244F8233" wp14:editId="1942A1BE">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31607FAD" w14:textId="77777777" w:rsidR="00E36813" w:rsidRPr="00C3170E" w:rsidRDefault="00E36813" w:rsidP="00B50534">
    <w:pPr>
      <w:pStyle w:val="Sidehoved"/>
      <w:jc w:val="right"/>
      <w:rPr>
        <w:color w:val="2F5496" w:themeColor="accent5" w:themeShade="BF"/>
        <w:sz w:val="20"/>
      </w:rPr>
    </w:pPr>
  </w:p>
  <w:p w14:paraId="5E0ECB30" w14:textId="77777777" w:rsidR="00E36813" w:rsidRPr="00B50534" w:rsidRDefault="00E36813" w:rsidP="00B50534">
    <w:pPr>
      <w:pStyle w:val="Sidehoved"/>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64" o:spid="_x0000_i1026" type="#_x0000_t75" style="width:25.5pt;height:24pt;visibility:visible;mso-wrap-style:square" o:bullet="t">
        <v:imagedata r:id="rId1" o:title=""/>
      </v:shape>
    </w:pict>
  </w:numPicBullet>
  <w:abstractNum w:abstractNumId="0" w15:restartNumberingAfterBreak="0">
    <w:nsid w:val="029B260E"/>
    <w:multiLevelType w:val="hybridMultilevel"/>
    <w:tmpl w:val="66B0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E089E"/>
    <w:multiLevelType w:val="hybridMultilevel"/>
    <w:tmpl w:val="87960D64"/>
    <w:lvl w:ilvl="0" w:tplc="4F30587E">
      <w:start w:val="1"/>
      <w:numFmt w:val="lowerLetter"/>
      <w:pStyle w:val="Oversk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D181D69"/>
    <w:multiLevelType w:val="hybridMultilevel"/>
    <w:tmpl w:val="0A189E10"/>
    <w:lvl w:ilvl="0" w:tplc="52DE78C0">
      <w:start w:val="1"/>
      <w:numFmt w:val="upperLetter"/>
      <w:pStyle w:val="Listeafsnit"/>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BAD1101"/>
    <w:multiLevelType w:val="multilevel"/>
    <w:tmpl w:val="766C753E"/>
    <w:lvl w:ilvl="0">
      <w:start w:val="1"/>
      <w:numFmt w:val="upperRoman"/>
      <w:pStyle w:val="Overskrift1"/>
      <w:lvlText w:val="%1."/>
      <w:lvlJc w:val="righ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1"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
  </w:num>
  <w:num w:numId="3">
    <w:abstractNumId w:val="10"/>
  </w:num>
  <w:num w:numId="4">
    <w:abstractNumId w:val="2"/>
  </w:num>
  <w:num w:numId="5">
    <w:abstractNumId w:val="8"/>
  </w:num>
  <w:num w:numId="6">
    <w:abstractNumId w:val="12"/>
  </w:num>
  <w:num w:numId="7">
    <w:abstractNumId w:val="7"/>
  </w:num>
  <w:num w:numId="8">
    <w:abstractNumId w:val="3"/>
  </w:num>
  <w:num w:numId="9">
    <w:abstractNumId w:val="6"/>
  </w:num>
  <w:num w:numId="10">
    <w:abstractNumId w:val="5"/>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num>
  <w:num w:numId="16">
    <w:abstractNumId w:val="1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3A94"/>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78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6C2A"/>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3AFE"/>
    <w:rsid w:val="001862A5"/>
    <w:rsid w:val="00186A70"/>
    <w:rsid w:val="00191035"/>
    <w:rsid w:val="001918E5"/>
    <w:rsid w:val="00192A7A"/>
    <w:rsid w:val="001958B9"/>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6FAC"/>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1AAA"/>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48B2"/>
    <w:rsid w:val="00307397"/>
    <w:rsid w:val="003101EF"/>
    <w:rsid w:val="00312BDD"/>
    <w:rsid w:val="00314117"/>
    <w:rsid w:val="00317EDF"/>
    <w:rsid w:val="003279E7"/>
    <w:rsid w:val="00327B62"/>
    <w:rsid w:val="00331FE9"/>
    <w:rsid w:val="0033324D"/>
    <w:rsid w:val="00333811"/>
    <w:rsid w:val="0033587C"/>
    <w:rsid w:val="00336BF9"/>
    <w:rsid w:val="003371E8"/>
    <w:rsid w:val="00337471"/>
    <w:rsid w:val="0034151D"/>
    <w:rsid w:val="00342B5B"/>
    <w:rsid w:val="00343532"/>
    <w:rsid w:val="00345469"/>
    <w:rsid w:val="003454ED"/>
    <w:rsid w:val="00345EB9"/>
    <w:rsid w:val="0035030F"/>
    <w:rsid w:val="00350DD1"/>
    <w:rsid w:val="003519DD"/>
    <w:rsid w:val="00353C4B"/>
    <w:rsid w:val="003545A6"/>
    <w:rsid w:val="00356C60"/>
    <w:rsid w:val="003578D1"/>
    <w:rsid w:val="00363639"/>
    <w:rsid w:val="00366D42"/>
    <w:rsid w:val="0036748C"/>
    <w:rsid w:val="00372615"/>
    <w:rsid w:val="00372EA3"/>
    <w:rsid w:val="00373A3C"/>
    <w:rsid w:val="003750F3"/>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7A2"/>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06B0"/>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8799B"/>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4FB4"/>
    <w:rsid w:val="00606683"/>
    <w:rsid w:val="00613BF6"/>
    <w:rsid w:val="00616D27"/>
    <w:rsid w:val="006234FE"/>
    <w:rsid w:val="00623840"/>
    <w:rsid w:val="006255EC"/>
    <w:rsid w:val="00625A25"/>
    <w:rsid w:val="0062736A"/>
    <w:rsid w:val="0063565E"/>
    <w:rsid w:val="00636E02"/>
    <w:rsid w:val="00641DB1"/>
    <w:rsid w:val="00642297"/>
    <w:rsid w:val="00644A34"/>
    <w:rsid w:val="0064714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2D6F"/>
    <w:rsid w:val="00687BF0"/>
    <w:rsid w:val="006904CF"/>
    <w:rsid w:val="006912FB"/>
    <w:rsid w:val="00695AF2"/>
    <w:rsid w:val="00696A2B"/>
    <w:rsid w:val="00696BD5"/>
    <w:rsid w:val="006A04AE"/>
    <w:rsid w:val="006A0AE4"/>
    <w:rsid w:val="006A11AA"/>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8E8"/>
    <w:rsid w:val="006E6C50"/>
    <w:rsid w:val="006E7A69"/>
    <w:rsid w:val="006E7DE4"/>
    <w:rsid w:val="006F53E8"/>
    <w:rsid w:val="006F5FB8"/>
    <w:rsid w:val="0070017B"/>
    <w:rsid w:val="0070427E"/>
    <w:rsid w:val="00704D53"/>
    <w:rsid w:val="007056C3"/>
    <w:rsid w:val="00706072"/>
    <w:rsid w:val="00713644"/>
    <w:rsid w:val="00721256"/>
    <w:rsid w:val="00721428"/>
    <w:rsid w:val="007217AD"/>
    <w:rsid w:val="00723BA1"/>
    <w:rsid w:val="00724A1B"/>
    <w:rsid w:val="00730C44"/>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5950"/>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6BC3"/>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23EE"/>
    <w:rsid w:val="008842F7"/>
    <w:rsid w:val="00885B94"/>
    <w:rsid w:val="0089075A"/>
    <w:rsid w:val="00890F80"/>
    <w:rsid w:val="0089257F"/>
    <w:rsid w:val="00892BFD"/>
    <w:rsid w:val="0089338A"/>
    <w:rsid w:val="00894199"/>
    <w:rsid w:val="008948BE"/>
    <w:rsid w:val="008A1E27"/>
    <w:rsid w:val="008A2A0B"/>
    <w:rsid w:val="008A2C86"/>
    <w:rsid w:val="008A6000"/>
    <w:rsid w:val="008A70A8"/>
    <w:rsid w:val="008A7FAC"/>
    <w:rsid w:val="008B1D7F"/>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2663"/>
    <w:rsid w:val="00987A75"/>
    <w:rsid w:val="00991A8A"/>
    <w:rsid w:val="00992611"/>
    <w:rsid w:val="00994303"/>
    <w:rsid w:val="0099526D"/>
    <w:rsid w:val="00996C8B"/>
    <w:rsid w:val="009A0054"/>
    <w:rsid w:val="009A0F6E"/>
    <w:rsid w:val="009A371D"/>
    <w:rsid w:val="009A5548"/>
    <w:rsid w:val="009B25C1"/>
    <w:rsid w:val="009B7B79"/>
    <w:rsid w:val="009C0383"/>
    <w:rsid w:val="009C145B"/>
    <w:rsid w:val="009C223D"/>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22E7"/>
    <w:rsid w:val="00A0163F"/>
    <w:rsid w:val="00A02199"/>
    <w:rsid w:val="00A026A4"/>
    <w:rsid w:val="00A04044"/>
    <w:rsid w:val="00A06EF4"/>
    <w:rsid w:val="00A0779E"/>
    <w:rsid w:val="00A11D0C"/>
    <w:rsid w:val="00A16579"/>
    <w:rsid w:val="00A24843"/>
    <w:rsid w:val="00A26D48"/>
    <w:rsid w:val="00A31C7C"/>
    <w:rsid w:val="00A367AA"/>
    <w:rsid w:val="00A37146"/>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A4D70"/>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368"/>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3DA"/>
    <w:rsid w:val="00BF75CD"/>
    <w:rsid w:val="00C00F1C"/>
    <w:rsid w:val="00C0346D"/>
    <w:rsid w:val="00C0358F"/>
    <w:rsid w:val="00C03BB0"/>
    <w:rsid w:val="00C041CF"/>
    <w:rsid w:val="00C0651F"/>
    <w:rsid w:val="00C0696A"/>
    <w:rsid w:val="00C12034"/>
    <w:rsid w:val="00C1396B"/>
    <w:rsid w:val="00C1698A"/>
    <w:rsid w:val="00C17E6C"/>
    <w:rsid w:val="00C24619"/>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2E09"/>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1CD6"/>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665BE"/>
    <w:rsid w:val="00D73245"/>
    <w:rsid w:val="00D73338"/>
    <w:rsid w:val="00D775F3"/>
    <w:rsid w:val="00D77868"/>
    <w:rsid w:val="00D77F25"/>
    <w:rsid w:val="00D84599"/>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B55FA"/>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0690"/>
    <w:rsid w:val="00E240F5"/>
    <w:rsid w:val="00E30004"/>
    <w:rsid w:val="00E333AC"/>
    <w:rsid w:val="00E3456B"/>
    <w:rsid w:val="00E35C16"/>
    <w:rsid w:val="00E35FC3"/>
    <w:rsid w:val="00E36085"/>
    <w:rsid w:val="00E36813"/>
    <w:rsid w:val="00E42382"/>
    <w:rsid w:val="00E603DF"/>
    <w:rsid w:val="00E63745"/>
    <w:rsid w:val="00E6699F"/>
    <w:rsid w:val="00E67B40"/>
    <w:rsid w:val="00E703AE"/>
    <w:rsid w:val="00E72373"/>
    <w:rsid w:val="00E76AF9"/>
    <w:rsid w:val="00E824DB"/>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14F3"/>
    <w:rsid w:val="00F72AEE"/>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65C9B3"/>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Overskrift1">
    <w:name w:val="heading 1"/>
    <w:basedOn w:val="Normal"/>
    <w:next w:val="Normal"/>
    <w:link w:val="Overskrift1Teg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Overskrift2">
    <w:name w:val="heading 2"/>
    <w:basedOn w:val="Normal"/>
    <w:next w:val="Normal"/>
    <w:link w:val="Overskrift2Teg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Overskrift3">
    <w:name w:val="heading 3"/>
    <w:basedOn w:val="Normal"/>
    <w:next w:val="Normal"/>
    <w:link w:val="Overskrift3Teg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Overskrift4">
    <w:name w:val="heading 4"/>
    <w:basedOn w:val="Normal"/>
    <w:next w:val="Normal"/>
    <w:link w:val="Overskrift4Teg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Overskrift5">
    <w:name w:val="heading 5"/>
    <w:basedOn w:val="Normal"/>
    <w:next w:val="Normal"/>
    <w:link w:val="Overskrift5Teg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Overskrift6">
    <w:name w:val="heading 6"/>
    <w:basedOn w:val="Normal"/>
    <w:next w:val="Normal"/>
    <w:link w:val="Overskrift6Teg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Overskrift7">
    <w:name w:val="heading 7"/>
    <w:basedOn w:val="Normal"/>
    <w:next w:val="Normal"/>
    <w:link w:val="Overskrift7Teg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Overskrift8">
    <w:name w:val="heading 8"/>
    <w:basedOn w:val="Normal"/>
    <w:next w:val="Normal"/>
    <w:link w:val="Overskrift8Teg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Overskrift9">
    <w:name w:val="heading 9"/>
    <w:basedOn w:val="Normal"/>
    <w:next w:val="Normal"/>
    <w:link w:val="Overskrift9Teg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link w:val="IngenafstandTegn"/>
    <w:uiPriority w:val="1"/>
    <w:qFormat/>
    <w:rsid w:val="005B6B12"/>
    <w:pPr>
      <w:spacing w:after="0" w:line="240" w:lineRule="auto"/>
    </w:pPr>
    <w:rPr>
      <w:lang w:val="en-GB"/>
    </w:rPr>
  </w:style>
  <w:style w:type="character" w:customStyle="1" w:styleId="Overskrift4Tegn">
    <w:name w:val="Overskrift 4 Tegn"/>
    <w:basedOn w:val="Standardskrifttypeiafsnit"/>
    <w:link w:val="Overskrift4"/>
    <w:rsid w:val="00020300"/>
    <w:rPr>
      <w:rFonts w:asciiTheme="majorHAnsi" w:eastAsiaTheme="majorEastAsia" w:hAnsiTheme="majorHAnsi" w:cstheme="majorBidi"/>
      <w:sz w:val="24"/>
      <w:szCs w:val="22"/>
      <w:lang w:val="en-GB" w:eastAsia="en-GB"/>
    </w:rPr>
  </w:style>
  <w:style w:type="character" w:customStyle="1" w:styleId="Overskrift3Tegn">
    <w:name w:val="Overskrift 3 Tegn"/>
    <w:basedOn w:val="Standardskrifttypeiafsnit"/>
    <w:link w:val="Overskrift3"/>
    <w:rsid w:val="00020300"/>
    <w:rPr>
      <w:rFonts w:asciiTheme="majorHAnsi" w:eastAsiaTheme="majorEastAsia" w:hAnsiTheme="majorHAnsi" w:cstheme="majorBidi"/>
      <w:sz w:val="24"/>
      <w:szCs w:val="24"/>
      <w:lang w:val="en-GB" w:eastAsia="en-GB"/>
    </w:rPr>
  </w:style>
  <w:style w:type="character" w:customStyle="1" w:styleId="Overskrift1Tegn">
    <w:name w:val="Overskrift 1 Tegn"/>
    <w:basedOn w:val="Standardskrifttypeiafsnit"/>
    <w:link w:val="Overskrift1"/>
    <w:rsid w:val="00FE0BD8"/>
    <w:rPr>
      <w:rFonts w:asciiTheme="majorHAnsi" w:eastAsiaTheme="majorEastAsia" w:hAnsiTheme="majorHAnsi" w:cstheme="majorBidi"/>
      <w:b/>
      <w:sz w:val="32"/>
      <w:szCs w:val="32"/>
      <w:lang w:val="en-GB" w:eastAsia="en-GB"/>
    </w:rPr>
  </w:style>
  <w:style w:type="character" w:customStyle="1" w:styleId="Overskrift2Tegn">
    <w:name w:val="Overskrift 2 Tegn"/>
    <w:basedOn w:val="Standardskrifttypeiafsnit"/>
    <w:link w:val="Oversk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Standardskrifttypeiafsnit"/>
    <w:link w:val="Subtitle1"/>
    <w:rsid w:val="003C4EB5"/>
    <w:rPr>
      <w:rFonts w:cs="Times New Roman"/>
      <w:b/>
      <w:sz w:val="20"/>
      <w:szCs w:val="24"/>
      <w:lang w:val="en-GB" w:eastAsia="de-DE"/>
    </w:rPr>
  </w:style>
  <w:style w:type="paragraph" w:customStyle="1" w:styleId="Title1">
    <w:name w:val="Title 1"/>
    <w:basedOn w:val="Listeafsnit"/>
    <w:link w:val="Title1Char"/>
    <w:autoRedefine/>
    <w:rsid w:val="002574D1"/>
    <w:pPr>
      <w:numPr>
        <w:numId w:val="2"/>
      </w:numPr>
    </w:pPr>
    <w:rPr>
      <w:b/>
      <w:sz w:val="28"/>
    </w:rPr>
  </w:style>
  <w:style w:type="character" w:customStyle="1" w:styleId="Title1Char">
    <w:name w:val="Title 1 Char"/>
    <w:basedOn w:val="Standardskrifttypeiafsnit"/>
    <w:link w:val="Title1"/>
    <w:rsid w:val="003C4EB5"/>
    <w:rPr>
      <w:rFonts w:eastAsiaTheme="majorEastAsia" w:cstheme="minorHAnsi"/>
      <w:b/>
      <w:sz w:val="28"/>
      <w:szCs w:val="22"/>
      <w:lang w:val="en-GB" w:eastAsia="en-GB"/>
    </w:rPr>
  </w:style>
  <w:style w:type="paragraph" w:styleId="Listeafsnit">
    <w:name w:val="List Paragraph"/>
    <w:aliases w:val="Paragraphe EI,Paragraphe de liste1,EC,Paragraphe de liste,Normal Nivel 1,List Paragraph Main,List first level,List Paragraph_Sections"/>
    <w:basedOn w:val="Normal"/>
    <w:link w:val="ListeafsnitTeg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afsnit"/>
    <w:link w:val="Title3Char"/>
    <w:autoRedefine/>
    <w:rsid w:val="002574D1"/>
    <w:pPr>
      <w:numPr>
        <w:ilvl w:val="3"/>
        <w:numId w:val="2"/>
      </w:numPr>
    </w:pPr>
  </w:style>
  <w:style w:type="character" w:customStyle="1" w:styleId="Title3Char">
    <w:name w:val="Title 3 Char"/>
    <w:basedOn w:val="Standardskrifttypeiafsni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Standardskrifttypeiafsni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Standardskrifttypeiafsni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Standardskrifttypeiafsni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Standardskrifttypeiafsni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Standardskrifttypeiafsnit"/>
    <w:link w:val="Introductionheading"/>
    <w:rsid w:val="00044C5A"/>
    <w:rPr>
      <w:rFonts w:ascii="Arial" w:eastAsia="Times New Roman" w:hAnsi="Arial" w:cs="Times New Roman"/>
      <w:b/>
      <w:sz w:val="28"/>
      <w:szCs w:val="24"/>
      <w:lang w:val="en-GB" w:eastAsia="de-DE"/>
    </w:rPr>
  </w:style>
  <w:style w:type="character" w:customStyle="1" w:styleId="Overskrift5Tegn">
    <w:name w:val="Overskrift 5 Tegn"/>
    <w:basedOn w:val="Standardskrifttypeiafsnit"/>
    <w:link w:val="Overskrift5"/>
    <w:uiPriority w:val="9"/>
    <w:rsid w:val="007E7997"/>
    <w:rPr>
      <w:rFonts w:asciiTheme="majorHAnsi" w:eastAsiaTheme="majorEastAsia" w:hAnsiTheme="majorHAnsi" w:cstheme="majorBidi"/>
      <w:sz w:val="24"/>
      <w:szCs w:val="22"/>
      <w:lang w:val="en-GB" w:eastAsia="en-GB"/>
    </w:rPr>
  </w:style>
  <w:style w:type="paragraph" w:styleId="Brdtekst">
    <w:name w:val="Body Text"/>
    <w:basedOn w:val="Normal"/>
    <w:link w:val="BrdtekstTegn"/>
    <w:uiPriority w:val="99"/>
    <w:semiHidden/>
    <w:unhideWhenUsed/>
    <w:rsid w:val="00044C5A"/>
  </w:style>
  <w:style w:type="character" w:customStyle="1" w:styleId="BrdtekstTegn">
    <w:name w:val="Brødtekst Tegn"/>
    <w:basedOn w:val="Standardskrifttypeiafsnit"/>
    <w:link w:val="Brdtekst"/>
    <w:uiPriority w:val="99"/>
    <w:semiHidden/>
    <w:rsid w:val="00044C5A"/>
    <w:rPr>
      <w:rFonts w:ascii="Arial" w:eastAsiaTheme="minorEastAsia" w:hAnsi="Arial"/>
    </w:rPr>
  </w:style>
  <w:style w:type="paragraph" w:styleId="Brdtekst-frstelinjeindrykning1">
    <w:name w:val="Body Text First Indent"/>
    <w:basedOn w:val="Brdtekst"/>
    <w:link w:val="Brdtekst-frstelinjeindrykning1Tegn"/>
    <w:uiPriority w:val="99"/>
    <w:semiHidden/>
    <w:unhideWhenUsed/>
    <w:rsid w:val="00044C5A"/>
    <w:pPr>
      <w:ind w:firstLine="360"/>
    </w:pPr>
  </w:style>
  <w:style w:type="character" w:customStyle="1" w:styleId="Brdtekst-frstelinjeindrykning1Tegn">
    <w:name w:val="Brødtekst - førstelinjeindrykning 1 Tegn"/>
    <w:basedOn w:val="BrdtekstTegn"/>
    <w:link w:val="Brdtekst-frstelinjeindrykning1"/>
    <w:uiPriority w:val="99"/>
    <w:semiHidden/>
    <w:rsid w:val="00044C5A"/>
    <w:rPr>
      <w:rFonts w:ascii="Arial" w:eastAsiaTheme="minorEastAsia" w:hAnsi="Arial"/>
    </w:rPr>
  </w:style>
  <w:style w:type="character" w:customStyle="1" w:styleId="Overskrift6Tegn">
    <w:name w:val="Overskrift 6 Tegn"/>
    <w:basedOn w:val="Standardskrifttypeiafsnit"/>
    <w:link w:val="Oversk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Normal"/>
    <w:next w:val="Normal"/>
    <w:link w:val="TitelTeg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Tegn">
    <w:name w:val="Titel Tegn"/>
    <w:basedOn w:val="Standardskrifttypeiafsni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dertitel">
    <w:name w:val="Subtitle"/>
    <w:basedOn w:val="Normal"/>
    <w:next w:val="Normal"/>
    <w:link w:val="UndertitelTegn"/>
    <w:uiPriority w:val="11"/>
    <w:qFormat/>
    <w:rsid w:val="00366D42"/>
    <w:pPr>
      <w:numPr>
        <w:ilvl w:val="1"/>
      </w:numPr>
    </w:pPr>
    <w:rPr>
      <w:rFonts w:asciiTheme="majorHAnsi" w:eastAsiaTheme="majorEastAsia" w:hAnsiTheme="majorHAnsi" w:cstheme="majorBidi"/>
      <w:b/>
      <w:sz w:val="28"/>
    </w:rPr>
  </w:style>
  <w:style w:type="character" w:customStyle="1" w:styleId="UndertitelTegn">
    <w:name w:val="Undertitel Tegn"/>
    <w:basedOn w:val="Standardskrifttypeiafsnit"/>
    <w:link w:val="Undertitel"/>
    <w:uiPriority w:val="11"/>
    <w:rsid w:val="00366D42"/>
    <w:rPr>
      <w:rFonts w:asciiTheme="majorHAnsi" w:eastAsiaTheme="majorEastAsia" w:hAnsiTheme="majorHAnsi" w:cstheme="majorBidi"/>
      <w:b/>
      <w:sz w:val="28"/>
      <w:szCs w:val="24"/>
      <w:lang w:val="en-GB"/>
    </w:rPr>
  </w:style>
  <w:style w:type="character" w:customStyle="1" w:styleId="Overskrift7Tegn">
    <w:name w:val="Overskrift 7 Tegn"/>
    <w:basedOn w:val="Standardskrifttypeiafsnit"/>
    <w:link w:val="Oversk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Overskrift8Tegn">
    <w:name w:val="Overskrift 8 Tegn"/>
    <w:basedOn w:val="Standardskrifttypeiafsnit"/>
    <w:link w:val="Oversk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Overskrift9Tegn">
    <w:name w:val="Overskrift 9 Tegn"/>
    <w:basedOn w:val="Standardskrifttypeiafsnit"/>
    <w:link w:val="Overskrift9"/>
    <w:rsid w:val="00AA054E"/>
    <w:rPr>
      <w:rFonts w:asciiTheme="majorHAnsi" w:eastAsiaTheme="majorEastAsia" w:hAnsiTheme="majorHAnsi" w:cstheme="majorBidi"/>
      <w:b/>
      <w:bCs/>
      <w:i/>
      <w:iCs/>
      <w:color w:val="44546A" w:themeColor="text2"/>
      <w:sz w:val="24"/>
      <w:szCs w:val="24"/>
      <w:lang w:val="en-GB" w:eastAsia="en-GB"/>
    </w:rPr>
  </w:style>
  <w:style w:type="paragraph" w:styleId="Billedtekst">
    <w:name w:val="caption"/>
    <w:basedOn w:val="Normal"/>
    <w:next w:val="Normal"/>
    <w:uiPriority w:val="35"/>
    <w:semiHidden/>
    <w:unhideWhenUsed/>
    <w:qFormat/>
    <w:rsid w:val="00AA054E"/>
    <w:rPr>
      <w:b/>
      <w:bCs/>
      <w:smallCaps/>
      <w:color w:val="595959" w:themeColor="text1" w:themeTint="A6"/>
      <w:spacing w:val="6"/>
    </w:rPr>
  </w:style>
  <w:style w:type="character" w:styleId="Strk">
    <w:name w:val="Strong"/>
    <w:basedOn w:val="Standardskrifttypeiafsnit"/>
    <w:uiPriority w:val="22"/>
    <w:qFormat/>
    <w:rsid w:val="00AA054E"/>
    <w:rPr>
      <w:b/>
      <w:bCs/>
    </w:rPr>
  </w:style>
  <w:style w:type="character" w:styleId="Fremhv">
    <w:name w:val="Emphasis"/>
    <w:basedOn w:val="Standardskrifttypeiafsnit"/>
    <w:uiPriority w:val="20"/>
    <w:qFormat/>
    <w:rsid w:val="00AA054E"/>
    <w:rPr>
      <w:i/>
      <w:iCs/>
    </w:rPr>
  </w:style>
  <w:style w:type="paragraph" w:styleId="Citat">
    <w:name w:val="Quote"/>
    <w:basedOn w:val="Normal"/>
    <w:next w:val="Normal"/>
    <w:link w:val="CitatTegn"/>
    <w:uiPriority w:val="29"/>
    <w:qFormat/>
    <w:rsid w:val="00AA054E"/>
    <w:pPr>
      <w:spacing w:before="160"/>
      <w:ind w:left="720" w:right="720"/>
    </w:pPr>
    <w:rPr>
      <w:i/>
      <w:iCs/>
      <w:color w:val="404040" w:themeColor="text1" w:themeTint="BF"/>
    </w:rPr>
  </w:style>
  <w:style w:type="character" w:customStyle="1" w:styleId="CitatTegn">
    <w:name w:val="Citat Tegn"/>
    <w:basedOn w:val="Standardskrifttypeiafsnit"/>
    <w:link w:val="Citat"/>
    <w:uiPriority w:val="29"/>
    <w:rsid w:val="00AA054E"/>
    <w:rPr>
      <w:i/>
      <w:iCs/>
      <w:color w:val="404040" w:themeColor="text1" w:themeTint="BF"/>
    </w:rPr>
  </w:style>
  <w:style w:type="paragraph" w:styleId="Strktcitat">
    <w:name w:val="Intense Quote"/>
    <w:basedOn w:val="Normal"/>
    <w:next w:val="Normal"/>
    <w:link w:val="StrktcitatTeg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StrktcitatTegn">
    <w:name w:val="Stærkt citat Tegn"/>
    <w:basedOn w:val="Standardskrifttypeiafsnit"/>
    <w:link w:val="Strktcitat"/>
    <w:uiPriority w:val="30"/>
    <w:rsid w:val="00AA054E"/>
    <w:rPr>
      <w:rFonts w:asciiTheme="majorHAnsi" w:eastAsiaTheme="majorEastAsia" w:hAnsiTheme="majorHAnsi" w:cstheme="majorBidi"/>
      <w:color w:val="5B9BD5" w:themeColor="accent1"/>
      <w:sz w:val="28"/>
      <w:szCs w:val="28"/>
    </w:rPr>
  </w:style>
  <w:style w:type="character" w:styleId="Svagfremhvning">
    <w:name w:val="Subtle Emphasis"/>
    <w:aliases w:val="Text,Emphase pâle,Diskret betoning"/>
    <w:basedOn w:val="Standardskrifttypeiafsnit"/>
    <w:uiPriority w:val="19"/>
    <w:qFormat/>
    <w:rsid w:val="00287C8F"/>
    <w:rPr>
      <w:rFonts w:asciiTheme="majorHAnsi" w:hAnsiTheme="majorHAnsi"/>
      <w:i/>
      <w:iCs/>
      <w:color w:val="auto"/>
      <w:sz w:val="22"/>
    </w:rPr>
  </w:style>
  <w:style w:type="character" w:styleId="Kraftigfremhvning">
    <w:name w:val="Intense Emphasis"/>
    <w:basedOn w:val="Standardskrifttypeiafsnit"/>
    <w:uiPriority w:val="21"/>
    <w:qFormat/>
    <w:rsid w:val="00AA054E"/>
    <w:rPr>
      <w:b/>
      <w:bCs/>
      <w:i/>
      <w:iCs/>
    </w:rPr>
  </w:style>
  <w:style w:type="character" w:styleId="Svaghenvisning">
    <w:name w:val="Subtle Reference"/>
    <w:basedOn w:val="Standardskrifttypeiafsnit"/>
    <w:uiPriority w:val="31"/>
    <w:qFormat/>
    <w:rsid w:val="00AA054E"/>
    <w:rPr>
      <w:smallCaps/>
      <w:color w:val="404040" w:themeColor="text1" w:themeTint="BF"/>
      <w:u w:val="single" w:color="7F7F7F" w:themeColor="text1" w:themeTint="80"/>
    </w:rPr>
  </w:style>
  <w:style w:type="character" w:styleId="Kraftighenvisning">
    <w:name w:val="Intense Reference"/>
    <w:basedOn w:val="Standardskrifttypeiafsnit"/>
    <w:uiPriority w:val="32"/>
    <w:qFormat/>
    <w:rsid w:val="00AA054E"/>
    <w:rPr>
      <w:b/>
      <w:bCs/>
      <w:smallCaps/>
      <w:spacing w:val="5"/>
      <w:u w:val="single"/>
    </w:rPr>
  </w:style>
  <w:style w:type="character" w:styleId="Bogenstitel">
    <w:name w:val="Book Title"/>
    <w:basedOn w:val="Standardskrifttypeiafsnit"/>
    <w:uiPriority w:val="33"/>
    <w:qFormat/>
    <w:rsid w:val="00AA054E"/>
    <w:rPr>
      <w:b/>
      <w:bCs/>
      <w:smallCaps/>
    </w:rPr>
  </w:style>
  <w:style w:type="paragraph" w:styleId="Overskrift">
    <w:name w:val="TOC Heading"/>
    <w:basedOn w:val="Overskrift1"/>
    <w:next w:val="Normal"/>
    <w:uiPriority w:val="39"/>
    <w:unhideWhenUsed/>
    <w:qFormat/>
    <w:rsid w:val="00AA054E"/>
    <w:pPr>
      <w:outlineLvl w:val="9"/>
    </w:pPr>
  </w:style>
  <w:style w:type="character" w:customStyle="1" w:styleId="IngenafstandTegn">
    <w:name w:val="Ingen afstand Tegn"/>
    <w:basedOn w:val="Standardskrifttypeiafsnit"/>
    <w:link w:val="Ingenafstand"/>
    <w:uiPriority w:val="1"/>
    <w:rsid w:val="005B6B12"/>
    <w:rPr>
      <w:lang w:val="en-GB"/>
    </w:rPr>
  </w:style>
  <w:style w:type="paragraph" w:styleId="Sidehoved">
    <w:name w:val="header"/>
    <w:basedOn w:val="Normal"/>
    <w:link w:val="SidehovedTegn"/>
    <w:unhideWhenUsed/>
    <w:rsid w:val="007E7997"/>
    <w:pPr>
      <w:tabs>
        <w:tab w:val="center" w:pos="4536"/>
        <w:tab w:val="right" w:pos="9072"/>
      </w:tabs>
    </w:pPr>
  </w:style>
  <w:style w:type="character" w:customStyle="1" w:styleId="SidehovedTegn">
    <w:name w:val="Sidehoved Tegn"/>
    <w:basedOn w:val="Standardskrifttypeiafsnit"/>
    <w:link w:val="Sidehoved"/>
    <w:uiPriority w:val="99"/>
    <w:rsid w:val="007E7997"/>
    <w:rPr>
      <w:sz w:val="22"/>
    </w:rPr>
  </w:style>
  <w:style w:type="paragraph" w:styleId="Sidefod">
    <w:name w:val="footer"/>
    <w:basedOn w:val="Normal"/>
    <w:link w:val="SidefodTegn"/>
    <w:uiPriority w:val="99"/>
    <w:unhideWhenUsed/>
    <w:rsid w:val="007E7997"/>
    <w:pPr>
      <w:tabs>
        <w:tab w:val="center" w:pos="4536"/>
        <w:tab w:val="right" w:pos="9072"/>
      </w:tabs>
    </w:pPr>
  </w:style>
  <w:style w:type="character" w:customStyle="1" w:styleId="SidefodTegn">
    <w:name w:val="Sidefod Tegn"/>
    <w:basedOn w:val="Standardskrifttypeiafsnit"/>
    <w:link w:val="Sidefod"/>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Indholdsfortegnelse1">
    <w:name w:val="toc 1"/>
    <w:basedOn w:val="Normal"/>
    <w:next w:val="Normal"/>
    <w:autoRedefine/>
    <w:uiPriority w:val="39"/>
    <w:unhideWhenUsed/>
    <w:rsid w:val="00B81A44"/>
    <w:pPr>
      <w:tabs>
        <w:tab w:val="left" w:pos="440"/>
        <w:tab w:val="right" w:leader="dot" w:pos="9062"/>
      </w:tabs>
      <w:spacing w:after="100"/>
    </w:pPr>
  </w:style>
  <w:style w:type="paragraph" w:styleId="Indholdsfortegnelse2">
    <w:name w:val="toc 2"/>
    <w:basedOn w:val="Normal"/>
    <w:next w:val="Normal"/>
    <w:autoRedefine/>
    <w:uiPriority w:val="39"/>
    <w:unhideWhenUsed/>
    <w:rsid w:val="00BC422A"/>
    <w:pPr>
      <w:spacing w:after="100"/>
      <w:ind w:left="220"/>
    </w:pPr>
  </w:style>
  <w:style w:type="paragraph" w:styleId="Indholdsfortegnelse3">
    <w:name w:val="toc 3"/>
    <w:basedOn w:val="Normal"/>
    <w:next w:val="Normal"/>
    <w:autoRedefine/>
    <w:uiPriority w:val="39"/>
    <w:unhideWhenUsed/>
    <w:rsid w:val="00BC422A"/>
    <w:pPr>
      <w:spacing w:after="100"/>
      <w:ind w:left="440"/>
    </w:pPr>
  </w:style>
  <w:style w:type="character" w:styleId="Hyperlink">
    <w:name w:val="Hyperlink"/>
    <w:basedOn w:val="Standardskrifttypeiafsni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Standardskrifttypeiafsni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Standardskrifttypeiafsnit"/>
    <w:link w:val="Listing2"/>
    <w:rsid w:val="00DF3785"/>
    <w:rPr>
      <w:lang w:val="en-GB"/>
    </w:rPr>
  </w:style>
  <w:style w:type="table" w:styleId="Tabel-Gitter">
    <w:name w:val="Table Grid"/>
    <w:basedOn w:val="Tabel-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notetekst">
    <w:name w:val="endnote text"/>
    <w:basedOn w:val="Normal"/>
    <w:link w:val="SlutnotetekstTegn"/>
    <w:uiPriority w:val="99"/>
    <w:semiHidden/>
    <w:unhideWhenUsed/>
    <w:rsid w:val="00B50534"/>
  </w:style>
  <w:style w:type="character" w:customStyle="1" w:styleId="SlutnotetekstTegn">
    <w:name w:val="Slutnotetekst Tegn"/>
    <w:basedOn w:val="Standardskrifttypeiafsnit"/>
    <w:link w:val="Slutnotetekst"/>
    <w:uiPriority w:val="99"/>
    <w:semiHidden/>
    <w:rsid w:val="00B50534"/>
    <w:rPr>
      <w:lang w:val="en-GB"/>
    </w:rPr>
  </w:style>
  <w:style w:type="character" w:styleId="Slutnotehenvisning">
    <w:name w:val="endnote reference"/>
    <w:basedOn w:val="Standardskrifttypeiafsnit"/>
    <w:uiPriority w:val="99"/>
    <w:semiHidden/>
    <w:unhideWhenUsed/>
    <w:rsid w:val="00B50534"/>
    <w:rPr>
      <w:vertAlign w:val="superscript"/>
    </w:rPr>
  </w:style>
  <w:style w:type="paragraph" w:styleId="Fodnotetekst">
    <w:name w:val="footnote text"/>
    <w:basedOn w:val="Normal"/>
    <w:link w:val="FodnotetekstTegn"/>
    <w:autoRedefine/>
    <w:uiPriority w:val="99"/>
    <w:semiHidden/>
    <w:unhideWhenUsed/>
    <w:qFormat/>
    <w:rsid w:val="006F53E8"/>
    <w:rPr>
      <w:sz w:val="16"/>
    </w:rPr>
  </w:style>
  <w:style w:type="character" w:customStyle="1" w:styleId="FodnotetekstTegn">
    <w:name w:val="Fodnotetekst Tegn"/>
    <w:basedOn w:val="Standardskrifttypeiafsnit"/>
    <w:link w:val="Fodnotetekst"/>
    <w:uiPriority w:val="99"/>
    <w:semiHidden/>
    <w:rsid w:val="006F53E8"/>
    <w:rPr>
      <w:sz w:val="16"/>
      <w:lang w:val="en-GB"/>
    </w:rPr>
  </w:style>
  <w:style w:type="character" w:styleId="Fodnotehenvisning">
    <w:name w:val="footnote reference"/>
    <w:aliases w:val="SUPERS,Footnote reference number,Footnote symbol,note TESI,-E Fußnotenzeichen,number,BVI fnr,Footnote Reference Superscript,(Footnote Reference),EN Footnote Reference,Voetnootverwijzing,Times 10 Point,Exposant 3 Poi,16 Point, BVI fnr"/>
    <w:basedOn w:val="Standardskrifttypeiafsnit"/>
    <w:uiPriority w:val="99"/>
    <w:unhideWhenUsed/>
    <w:qFormat/>
    <w:rsid w:val="00A91D91"/>
    <w:rPr>
      <w:rFonts w:asciiTheme="majorHAnsi" w:hAnsiTheme="majorHAnsi"/>
      <w:sz w:val="16"/>
      <w:vertAlign w:val="superscript"/>
    </w:rPr>
  </w:style>
  <w:style w:type="paragraph" w:customStyle="1" w:styleId="Footnote">
    <w:name w:val="Footnote"/>
    <w:basedOn w:val="Fodnotetekst"/>
    <w:link w:val="FootnoteChar"/>
    <w:rsid w:val="00B50534"/>
    <w:rPr>
      <w:lang w:val="nl-BE"/>
    </w:rPr>
  </w:style>
  <w:style w:type="character" w:customStyle="1" w:styleId="FootnoteChar">
    <w:name w:val="Footnote Char"/>
    <w:basedOn w:val="FodnotetekstTegn"/>
    <w:link w:val="Footnote"/>
    <w:rsid w:val="00B50534"/>
    <w:rPr>
      <w:sz w:val="16"/>
      <w:lang w:val="en-GB"/>
    </w:rPr>
  </w:style>
  <w:style w:type="table" w:customStyle="1" w:styleId="GridTable4-Accent11">
    <w:name w:val="Grid Table 4 - Accent 11"/>
    <w:basedOn w:val="Tabel-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Markeringsbobletekst">
    <w:name w:val="Balloon Text"/>
    <w:basedOn w:val="Normal"/>
    <w:link w:val="MarkeringsbobletekstTegn"/>
    <w:uiPriority w:val="99"/>
    <w:semiHidden/>
    <w:unhideWhenUsed/>
    <w:rsid w:val="003C167E"/>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C167E"/>
    <w:rPr>
      <w:rFonts w:ascii="Tahoma" w:hAnsi="Tahoma" w:cs="Tahoma"/>
      <w:sz w:val="16"/>
      <w:szCs w:val="16"/>
      <w:lang w:val="en-GB"/>
    </w:rPr>
  </w:style>
  <w:style w:type="character" w:styleId="Kommentarhenvisning">
    <w:name w:val="annotation reference"/>
    <w:basedOn w:val="Standardskrifttypeiafsnit"/>
    <w:uiPriority w:val="99"/>
    <w:semiHidden/>
    <w:unhideWhenUsed/>
    <w:rsid w:val="00FA2400"/>
    <w:rPr>
      <w:sz w:val="16"/>
      <w:szCs w:val="16"/>
    </w:rPr>
  </w:style>
  <w:style w:type="paragraph" w:styleId="Kommentartekst">
    <w:name w:val="annotation text"/>
    <w:basedOn w:val="Normal"/>
    <w:link w:val="KommentartekstTegn"/>
    <w:uiPriority w:val="99"/>
    <w:unhideWhenUsed/>
    <w:rsid w:val="00FA2400"/>
    <w:rPr>
      <w:sz w:val="20"/>
    </w:rPr>
  </w:style>
  <w:style w:type="character" w:customStyle="1" w:styleId="KommentartekstTegn">
    <w:name w:val="Kommentartekst Tegn"/>
    <w:basedOn w:val="Standardskrifttypeiafsnit"/>
    <w:link w:val="Kommentartekst"/>
    <w:uiPriority w:val="99"/>
    <w:rsid w:val="00FA2400"/>
    <w:rPr>
      <w:lang w:val="en-GB"/>
    </w:rPr>
  </w:style>
  <w:style w:type="paragraph" w:styleId="Kommentaremne">
    <w:name w:val="annotation subject"/>
    <w:basedOn w:val="Kommentartekst"/>
    <w:next w:val="Kommentartekst"/>
    <w:link w:val="KommentaremneTegn"/>
    <w:uiPriority w:val="99"/>
    <w:semiHidden/>
    <w:unhideWhenUsed/>
    <w:rsid w:val="00FA2400"/>
    <w:rPr>
      <w:b/>
      <w:bCs/>
    </w:rPr>
  </w:style>
  <w:style w:type="character" w:customStyle="1" w:styleId="KommentaremneTegn">
    <w:name w:val="Kommentaremne Tegn"/>
    <w:basedOn w:val="KommentartekstTegn"/>
    <w:link w:val="Kommentaremne"/>
    <w:uiPriority w:val="99"/>
    <w:semiHidden/>
    <w:rsid w:val="00FA2400"/>
    <w:rPr>
      <w:b/>
      <w:bCs/>
      <w:lang w:val="en-GB"/>
    </w:rPr>
  </w:style>
  <w:style w:type="paragraph" w:styleId="Korrektur">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gtLink">
    <w:name w:val="FollowedHyperlink"/>
    <w:basedOn w:val="Standardskrifttypeiafsni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Standardskrifttypeiafsni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el-Normal"/>
    <w:next w:val="Tabel-Git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afsnitTegn">
    <w:name w:val="Listeafsnit Tegn"/>
    <w:aliases w:val="Paragraphe EI Tegn,Paragraphe de liste1 Tegn,EC Tegn,Paragraphe de liste Tegn,Normal Nivel 1 Tegn,List Paragraph Main Tegn,List first level Tegn,List Paragraph_Sections Tegn"/>
    <w:basedOn w:val="Standardskrifttypeiafsnit"/>
    <w:link w:val="Listeafsnit"/>
    <w:uiPriority w:val="34"/>
    <w:rsid w:val="00695AF2"/>
    <w:rPr>
      <w:rFonts w:eastAsiaTheme="majorEastAsia" w:cstheme="minorHAnsi"/>
      <w:sz w:val="22"/>
      <w:szCs w:val="22"/>
      <w:lang w:val="en-GB" w:eastAsia="en-GB"/>
    </w:rPr>
  </w:style>
  <w:style w:type="table" w:customStyle="1" w:styleId="TableGrid3">
    <w:name w:val="Table Grid3"/>
    <w:basedOn w:val="Tabel-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it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76245362">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jp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5.jp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4.jpg"/><Relationship Id="rId27"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201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ESMA70-156-3844</_dlc_DocId>
    <TaxCatchAll xmlns="20fbe147-bbda-4e53-b6b1-7e8bbff3fe19">
      <Value>91</Value>
      <Value>662</Value>
      <Value>25</Value>
      <Value>484</Value>
      <Value>434</Value>
    </TaxCatchAll>
    <_dlc_DocIdUrl xmlns="20fbe147-bbda-4e53-b6b1-7e8bbff3fe19">
      <Url>https://sherpa.esma.europa.eu/sites/MKT/SMK/_layouts/15/DocIdRedir.aspx?ID=ESMA70-156-3844</Url>
      <Description>ESMA70-156-3844</Description>
    </_dlc_DocIdUrl>
    <Year xmlns="20fbe147-bbda-4e53-b6b1-7e8bbff3fe19">2020</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Article 90(1)(a) MiFID-OTF</TermName>
          <TermId xmlns="http://schemas.microsoft.com/office/infopath/2007/PartnerControls">c745e34f-050d-4f13-85b9-fe2a7beb69f9</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8337F5EE-E87B-49CE-96B5-F95CE63A0DF2}">
  <ds:schemaRefs>
    <ds:schemaRef ds:uri="http://schemas.microsoft.com/office/infopath/2007/PartnerControls"/>
    <ds:schemaRef ds:uri="20fbe147-bbda-4e53-b6b1-7e8bbff3fe19"/>
    <ds:schemaRef ds:uri="http://www.w3.org/XML/1998/namespace"/>
    <ds:schemaRef ds:uri="http://schemas.microsoft.com/office/2006/metadata/properties"/>
    <ds:schemaRef ds:uri="http://schemas.microsoft.com/sharepoint/v3"/>
    <ds:schemaRef ds:uri="http://purl.org/dc/dcmitype/"/>
    <ds:schemaRef ds:uri="http://schemas.microsoft.com/office/2006/documentManagement/types"/>
    <ds:schemaRef ds:uri="http://purl.org/dc/terms/"/>
    <ds:schemaRef ds:uri="http://schemas.openxmlformats.org/package/2006/metadata/core-properties"/>
    <ds:schemaRef ds:uri="http://schemas.microsoft.com/sharepoint/v4"/>
    <ds:schemaRef ds:uri="http://purl.org/dc/elements/1.1/"/>
  </ds:schemaRefs>
</ds:datastoreItem>
</file>

<file path=customXml/itemProps3.xml><?xml version="1.0" encoding="utf-8"?>
<ds:datastoreItem xmlns:ds="http://schemas.openxmlformats.org/officeDocument/2006/customXml" ds:itemID="{B9B381F4-CD03-452A-AB8E-D279456D33B0}">
  <ds:schemaRefs>
    <ds:schemaRef ds:uri="http://schemas.openxmlformats.org/officeDocument/2006/bibliography"/>
  </ds:schemaRefs>
</ds:datastoreItem>
</file>

<file path=customXml/itemProps4.xml><?xml version="1.0" encoding="utf-8"?>
<ds:datastoreItem xmlns:ds="http://schemas.openxmlformats.org/officeDocument/2006/customXml" ds:itemID="{B50CABC8-D902-4B8B-AEAB-9A94DA170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9D69CF-149B-4D2F-89A2-279037685A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2</TotalTime>
  <Pages>14</Pages>
  <Words>3875</Words>
  <Characters>23640</Characters>
  <Application>Microsoft Office Word</Application>
  <DocSecurity>0</DocSecurity>
  <Lines>197</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27461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Suire</dc:creator>
  <cp:keywords/>
  <cp:lastModifiedBy>Kim Winding Larsen</cp:lastModifiedBy>
  <cp:revision>2</cp:revision>
  <cp:lastPrinted>2020-11-25T13:34:00Z</cp:lastPrinted>
  <dcterms:created xsi:type="dcterms:W3CDTF">2020-11-25T14:33:00Z</dcterms:created>
  <dcterms:modified xsi:type="dcterms:W3CDTF">2020-11-25T14:33:00Z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0x01010001BD15C3986B91498E0AE644B715B9EE010D00757D222C6B0DA241B5F74437644107D4</vt:lpwstr>
  </property>
  <property fmtid="{D5CDD505-2E9C-101B-9397-08002B2CF9AE}" pid="5" name="_dlc_DocIdItemGuid">
    <vt:lpwstr>55120559-3b60-4927-9874-309a1b6a4403</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662;#MiFID reports - Article 90(1)(a) MiFID-OTF|c745e34f-050d-4f13-85b9-fe2a7beb69f9</vt:lpwstr>
  </property>
  <property fmtid="{D5CDD505-2E9C-101B-9397-08002B2CF9AE}" pid="18" name="TeamTopic">
    <vt:lpwstr>87;#Other Work|f1a52b52-917d-42ef-9667-945839604bb2</vt:lpwstr>
  </property>
</Properties>
</file>