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el"/>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Untertitel"/>
              <w:rPr>
                <w:szCs w:val="28"/>
              </w:rPr>
            </w:pPr>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0" w:name="_DV_C641"/>
      <w:bookmarkEnd w:id="0"/>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enabsatz"/>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1"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040F9675" w14:textId="12318129" w:rsidR="00997DA7" w:rsidRPr="00C85C8B" w:rsidRDefault="003C28AD" w:rsidP="00A402A0">
                <w:pPr>
                  <w:rPr>
                    <w:rFonts w:ascii="Arial" w:hAnsi="Arial" w:cs="Arial"/>
                    <w:color w:val="808080"/>
                    <w:sz w:val="20"/>
                    <w:lang w:eastAsia="de-DE"/>
                  </w:rPr>
                </w:pPr>
                <w:r>
                  <w:rPr>
                    <w:rFonts w:ascii="Arial" w:hAnsi="Arial" w:cs="Arial"/>
                    <w:color w:val="808080"/>
                    <w:sz w:val="20"/>
                    <w:lang w:eastAsia="de-DE"/>
                  </w:rPr>
                  <w:t>B</w:t>
                </w:r>
                <w:r w:rsidRPr="003C28AD">
                  <w:rPr>
                    <w:rFonts w:ascii="Arial" w:hAnsi="Arial" w:cs="Arial"/>
                    <w:color w:val="808080"/>
                    <w:sz w:val="20"/>
                    <w:lang w:eastAsia="de-DE"/>
                  </w:rPr>
                  <w:t>VI German Fund Association</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01E5778F" w:rsidR="00997DA7" w:rsidRPr="00C85C8B" w:rsidRDefault="00D90425"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C28AD">
                  <w:rPr>
                    <w:rFonts w:ascii="Arial" w:hAnsi="Arial" w:cs="Arial"/>
                    <w:sz w:val="20"/>
                    <w:lang w:eastAsia="de-DE"/>
                  </w:rPr>
                  <w:t>Investment Services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61171706" w:rsidR="00997DA7" w:rsidRPr="00C85C8B" w:rsidRDefault="003C28AD"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6B356860" w:rsidR="00997DA7" w:rsidRPr="00C85C8B" w:rsidRDefault="003C28AD" w:rsidP="00A402A0">
                <w:pPr>
                  <w:rPr>
                    <w:rFonts w:ascii="Arial" w:hAnsi="Arial" w:cs="Arial"/>
                    <w:sz w:val="20"/>
                    <w:lang w:eastAsia="de-DE"/>
                  </w:rPr>
                </w:pPr>
                <w:r>
                  <w:rPr>
                    <w:rFonts w:ascii="Arial" w:hAnsi="Arial" w:cs="Arial"/>
                    <w:sz w:val="20"/>
                    <w:lang w:eastAsia="de-DE"/>
                  </w:rPr>
                  <w:t>Germany</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424B3880" w14:textId="6EE2DBA6" w:rsidR="000B0D26" w:rsidRDefault="00ED5BE0" w:rsidP="000B0D26">
      <w:pPr>
        <w:rPr>
          <w:rFonts w:ascii="Arial" w:hAnsi="Arial" w:cs="Arial"/>
          <w:sz w:val="20"/>
        </w:rPr>
      </w:pPr>
      <w:permStart w:id="2008832412" w:edGrp="everyone"/>
      <w:r w:rsidRPr="00ED5BE0">
        <w:rPr>
          <w:sz w:val="20"/>
        </w:rPr>
        <w:t>BVI</w:t>
      </w:r>
      <w:r w:rsidRPr="00ED5BE0">
        <w:rPr>
          <w:sz w:val="20"/>
          <w:vertAlign w:val="superscript"/>
        </w:rPr>
        <w:t>1</w:t>
      </w:r>
      <w:r w:rsidRPr="00ED5BE0">
        <w:rPr>
          <w:rFonts w:ascii="Arial" w:hAnsi="Arial" w:cs="Arial"/>
          <w:sz w:val="20"/>
        </w:rPr>
        <w:t xml:space="preserve"> </w:t>
      </w:r>
      <w:r>
        <w:rPr>
          <w:rFonts w:ascii="Arial" w:hAnsi="Arial" w:cs="Arial"/>
          <w:sz w:val="20"/>
        </w:rPr>
        <w:t>support the ESMA initiative to review the transaction and reference reporting obligation with respect to Article 26 MiFIR. We will focus our answer on UCITS/AIF fund management companies.</w:t>
      </w:r>
      <w:r w:rsidR="00FD4E84">
        <w:rPr>
          <w:rFonts w:ascii="Arial" w:hAnsi="Arial" w:cs="Arial"/>
          <w:sz w:val="20"/>
        </w:rPr>
        <w:t xml:space="preserve"> </w:t>
      </w:r>
    </w:p>
    <w:p w14:paraId="773BBB23" w14:textId="4198474A" w:rsidR="00ED5BE0" w:rsidRDefault="00ED5BE0" w:rsidP="000B0D26">
      <w:r w:rsidRPr="00ED5BE0">
        <w:rPr>
          <w:rFonts w:ascii="Arial" w:hAnsi="Arial" w:cs="Arial"/>
          <w:sz w:val="20"/>
          <w:vertAlign w:val="superscript"/>
        </w:rPr>
        <w:t>1</w:t>
      </w:r>
      <w:bookmarkStart w:id="2" w:name="_GoBack"/>
      <w:bookmarkEnd w:id="2"/>
      <w:r w:rsidRPr="0060036C">
        <w:rPr>
          <w:rFonts w:cs="Arial"/>
          <w:sz w:val="16"/>
          <w:szCs w:val="16"/>
          <w:lang w:val="en-US"/>
        </w:rPr>
        <w:t>BVI represents the interests of the German fund industry at national and international level. The association promotes sensible regulation of the fund business as well as fair competition vis-à-vis policy makers and regulators. Asset Managers act as trustees in the sole interest of the investor and are subject to strict regulation. Funds match funding investors and the capital demands of companies and governments, thus fulfilling an important macro-economic function. BVI’s 11</w:t>
      </w:r>
      <w:r>
        <w:rPr>
          <w:rFonts w:cs="Arial"/>
          <w:sz w:val="16"/>
          <w:szCs w:val="16"/>
          <w:lang w:val="en-US"/>
        </w:rPr>
        <w:t>4</w:t>
      </w:r>
      <w:r w:rsidRPr="0060036C">
        <w:rPr>
          <w:rFonts w:cs="Arial"/>
          <w:sz w:val="16"/>
          <w:szCs w:val="16"/>
          <w:lang w:val="en-US"/>
        </w:rPr>
        <w:t xml:space="preserve"> members manage assets than 3</w:t>
      </w:r>
      <w:r>
        <w:rPr>
          <w:rFonts w:cs="Arial"/>
          <w:sz w:val="16"/>
          <w:szCs w:val="16"/>
          <w:lang w:val="en-US"/>
        </w:rPr>
        <w:t>,68</w:t>
      </w:r>
      <w:r w:rsidRPr="0060036C">
        <w:rPr>
          <w:rFonts w:cs="Arial"/>
          <w:sz w:val="16"/>
          <w:szCs w:val="16"/>
          <w:lang w:val="en-US"/>
        </w:rPr>
        <w:t xml:space="preserve"> trillion euros for retail investors, insurance companies, pension and retirement schemes, banks, churches and foundations. With a share of 2</w:t>
      </w:r>
      <w:r>
        <w:rPr>
          <w:rFonts w:cs="Arial"/>
          <w:sz w:val="16"/>
          <w:szCs w:val="16"/>
          <w:lang w:val="en-US"/>
        </w:rPr>
        <w:t>7</w:t>
      </w:r>
      <w:r w:rsidRPr="0060036C">
        <w:rPr>
          <w:rFonts w:cs="Arial"/>
          <w:sz w:val="16"/>
          <w:szCs w:val="16"/>
          <w:lang w:val="en-US"/>
        </w:rPr>
        <w:t>%, Germany represents the largest fund market in the EU. BVI’s ID number in the EU Transparency Register is 96816064173-47. For more information, please visit www.bvi.de/en.</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1"/>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6FEA9CF1" w14:textId="77777777" w:rsidR="004A4B0F" w:rsidRDefault="004A4B0F" w:rsidP="004A4B0F">
      <w:pPr>
        <w:spacing w:after="0" w:line="288" w:lineRule="auto"/>
        <w:jc w:val="left"/>
        <w:rPr>
          <w:rFonts w:eastAsia="Cambria" w:cs="Arial"/>
          <w:sz w:val="20"/>
        </w:rPr>
      </w:pPr>
      <w:permStart w:id="1600792670" w:edGrp="everyone"/>
      <w:r w:rsidRPr="0051141B">
        <w:rPr>
          <w:rFonts w:eastAsia="Cambria" w:cs="Arial"/>
          <w:sz w:val="20"/>
        </w:rPr>
        <w:t>Yes</w:t>
      </w:r>
      <w:r>
        <w:rPr>
          <w:rFonts w:eastAsia="Cambria" w:cs="Arial"/>
          <w:sz w:val="20"/>
        </w:rPr>
        <w:t xml:space="preserve">, we expect significant and complex challenges for UCITS/AIF managers to provide MiFIR transaction reports to the NCAs. UCITS/AIF managers are today not in the scope of Article 26 MiFIR transaction reporting and have therefore not built up any technical capabilities to manage and report transactions to the NCAs. </w:t>
      </w:r>
    </w:p>
    <w:p w14:paraId="1693C808" w14:textId="77777777" w:rsidR="004A4B0F" w:rsidRDefault="004A4B0F" w:rsidP="004A4B0F">
      <w:pPr>
        <w:spacing w:after="0" w:line="288" w:lineRule="auto"/>
        <w:jc w:val="left"/>
        <w:rPr>
          <w:rFonts w:eastAsia="Cambria" w:cs="Arial"/>
          <w:sz w:val="20"/>
        </w:rPr>
      </w:pPr>
    </w:p>
    <w:p w14:paraId="3E6DA5C3" w14:textId="77777777" w:rsidR="004A4B0F" w:rsidRDefault="004A4B0F" w:rsidP="004A4B0F">
      <w:pPr>
        <w:spacing w:after="0" w:line="288" w:lineRule="auto"/>
        <w:jc w:val="left"/>
        <w:rPr>
          <w:rFonts w:eastAsia="Cambria" w:cs="Arial"/>
          <w:sz w:val="20"/>
        </w:rPr>
      </w:pPr>
      <w:r>
        <w:rPr>
          <w:rFonts w:eastAsia="Cambria" w:cs="Arial"/>
          <w:sz w:val="20"/>
        </w:rPr>
        <w:t>Also, transactions in MiFID financial instruments executed between UCITS/AIF managers and investment firms are already reported today to the NCAs. According to Article 26 para 5 of MiFIR, the operator of a trading venue shall report details of transactions in financial instruments traded on its platform which are executed through its system by a firm (e.g. UCITS/AIF managers) which is not subject to the MiFIR reporting obligation. Sell-Side firms are already required today to also report transactions to the NCAs executed with their Buy-Side clients. This includes also transactions executed off venue.</w:t>
      </w:r>
    </w:p>
    <w:p w14:paraId="0F7CEEED" w14:textId="77777777" w:rsidR="004A4B0F" w:rsidRDefault="004A4B0F" w:rsidP="004A4B0F">
      <w:pPr>
        <w:spacing w:after="0" w:line="288" w:lineRule="auto"/>
        <w:jc w:val="left"/>
        <w:rPr>
          <w:rFonts w:eastAsia="Cambria" w:cs="Arial"/>
          <w:sz w:val="20"/>
        </w:rPr>
      </w:pPr>
    </w:p>
    <w:p w14:paraId="46E6BFB5" w14:textId="77777777" w:rsidR="004A4B0F" w:rsidRDefault="004A4B0F" w:rsidP="004A4B0F">
      <w:pPr>
        <w:spacing w:after="0" w:line="288" w:lineRule="auto"/>
        <w:jc w:val="left"/>
        <w:rPr>
          <w:rFonts w:eastAsia="Cambria" w:cs="Arial"/>
          <w:sz w:val="20"/>
        </w:rPr>
      </w:pPr>
      <w:r w:rsidRPr="003E66F4">
        <w:rPr>
          <w:rFonts w:eastAsia="Cambria" w:cs="Arial"/>
          <w:sz w:val="20"/>
        </w:rPr>
        <w:t xml:space="preserve">In this context we </w:t>
      </w:r>
      <w:r>
        <w:rPr>
          <w:rFonts w:eastAsia="Cambria" w:cs="Arial"/>
          <w:sz w:val="20"/>
        </w:rPr>
        <w:t xml:space="preserve">strongly </w:t>
      </w:r>
      <w:r w:rsidRPr="003E66F4">
        <w:rPr>
          <w:rFonts w:eastAsia="Cambria" w:cs="Arial"/>
          <w:sz w:val="20"/>
        </w:rPr>
        <w:t xml:space="preserve">reiterate our position that investment funds (UCITS/AIFs) are among the most strictly regulated and transparent financial products. Fund management companies (UCITS/AIF) report data for each fund or share class to </w:t>
      </w:r>
      <w:r>
        <w:rPr>
          <w:rFonts w:eastAsia="Cambria" w:cs="Arial"/>
          <w:sz w:val="20"/>
        </w:rPr>
        <w:t xml:space="preserve">their respective </w:t>
      </w:r>
      <w:r w:rsidRPr="003E66F4">
        <w:rPr>
          <w:rFonts w:eastAsia="Cambria" w:cs="Arial"/>
          <w:sz w:val="20"/>
        </w:rPr>
        <w:t>NCAs at regular intervals. There</w:t>
      </w:r>
      <w:r>
        <w:rPr>
          <w:rFonts w:eastAsia="Cambria" w:cs="Arial"/>
          <w:sz w:val="20"/>
        </w:rPr>
        <w:t xml:space="preserve"> are</w:t>
      </w:r>
      <w:r w:rsidRPr="003E66F4">
        <w:rPr>
          <w:rFonts w:eastAsia="Cambria" w:cs="Arial"/>
          <w:sz w:val="20"/>
        </w:rPr>
        <w:t xml:space="preserve"> regulatory fund report</w:t>
      </w:r>
      <w:r>
        <w:rPr>
          <w:rFonts w:eastAsia="Cambria" w:cs="Arial"/>
          <w:sz w:val="20"/>
        </w:rPr>
        <w:t>s</w:t>
      </w:r>
      <w:r w:rsidRPr="003E66F4">
        <w:rPr>
          <w:rFonts w:eastAsia="Cambria" w:cs="Arial"/>
          <w:sz w:val="20"/>
        </w:rPr>
        <w:t xml:space="preserve"> (UCITS, AIFM and reporting to the National Central Bank), transaction reporting</w:t>
      </w:r>
      <w:r>
        <w:rPr>
          <w:rFonts w:eastAsia="Cambria" w:cs="Arial"/>
          <w:sz w:val="20"/>
        </w:rPr>
        <w:t>s</w:t>
      </w:r>
      <w:r w:rsidRPr="003E66F4">
        <w:rPr>
          <w:rFonts w:eastAsia="Cambria" w:cs="Arial"/>
          <w:sz w:val="20"/>
        </w:rPr>
        <w:t xml:space="preserve"> (EMIR, SFTR, </w:t>
      </w:r>
      <w:r>
        <w:rPr>
          <w:rFonts w:eastAsia="Cambria" w:cs="Arial"/>
          <w:sz w:val="20"/>
        </w:rPr>
        <w:t xml:space="preserve">as well as </w:t>
      </w:r>
      <w:r w:rsidRPr="003E66F4">
        <w:rPr>
          <w:rFonts w:eastAsia="Cambria" w:cs="Arial"/>
          <w:sz w:val="20"/>
        </w:rPr>
        <w:t>report</w:t>
      </w:r>
      <w:r>
        <w:rPr>
          <w:rFonts w:eastAsia="Cambria" w:cs="Arial"/>
          <w:sz w:val="20"/>
        </w:rPr>
        <w:t>s</w:t>
      </w:r>
      <w:r w:rsidRPr="003E66F4">
        <w:rPr>
          <w:rFonts w:eastAsia="Cambria" w:cs="Arial"/>
          <w:sz w:val="20"/>
        </w:rPr>
        <w:t xml:space="preserve"> to institutional investors</w:t>
      </w:r>
      <w:r>
        <w:rPr>
          <w:rFonts w:eastAsia="Cambria" w:cs="Arial"/>
          <w:sz w:val="20"/>
        </w:rPr>
        <w:t xml:space="preserve"> (CRR, Solvency II). Additionally, there are numerous </w:t>
      </w:r>
      <w:r w:rsidRPr="003E66F4">
        <w:rPr>
          <w:rFonts w:eastAsia="Cambria" w:cs="Arial"/>
          <w:sz w:val="20"/>
        </w:rPr>
        <w:t>f special reports and ad hoc queries by regulators on</w:t>
      </w:r>
      <w:r>
        <w:rPr>
          <w:rFonts w:eastAsia="Cambria" w:cs="Arial"/>
          <w:sz w:val="20"/>
        </w:rPr>
        <w:t xml:space="preserve"> various</w:t>
      </w:r>
      <w:r w:rsidRPr="003E66F4">
        <w:rPr>
          <w:rFonts w:eastAsia="Cambria" w:cs="Arial"/>
          <w:sz w:val="20"/>
        </w:rPr>
        <w:t xml:space="preserve"> risks</w:t>
      </w:r>
      <w:r>
        <w:rPr>
          <w:rFonts w:eastAsia="Cambria" w:cs="Arial"/>
          <w:sz w:val="20"/>
        </w:rPr>
        <w:t xml:space="preserve"> and reward as well as other economic factors relating to funds. </w:t>
      </w:r>
    </w:p>
    <w:p w14:paraId="1D5552C8" w14:textId="77777777" w:rsidR="004A4B0F" w:rsidRDefault="004A4B0F" w:rsidP="004A4B0F">
      <w:pPr>
        <w:spacing w:after="0" w:line="288" w:lineRule="auto"/>
        <w:jc w:val="left"/>
        <w:rPr>
          <w:rFonts w:eastAsia="Cambria" w:cs="Arial"/>
          <w:sz w:val="20"/>
        </w:rPr>
      </w:pPr>
    </w:p>
    <w:p w14:paraId="6D5575D4" w14:textId="77777777" w:rsidR="004A4B0F" w:rsidRPr="00D36FC1" w:rsidRDefault="004A4B0F" w:rsidP="004A4B0F">
      <w:pPr>
        <w:spacing w:after="0" w:line="288" w:lineRule="auto"/>
        <w:jc w:val="left"/>
        <w:rPr>
          <w:rFonts w:eastAsia="Cambria" w:cs="Arial"/>
          <w:sz w:val="20"/>
        </w:rPr>
      </w:pPr>
      <w:r>
        <w:rPr>
          <w:rFonts w:eastAsia="Cambria" w:cs="Arial"/>
          <w:sz w:val="20"/>
        </w:rPr>
        <w:t xml:space="preserve">As mentioned above, the extension of the reporting obligation will </w:t>
      </w:r>
      <w:r w:rsidRPr="00D36FC1">
        <w:rPr>
          <w:rFonts w:eastAsia="Cambria" w:cs="Arial"/>
          <w:sz w:val="20"/>
        </w:rPr>
        <w:t xml:space="preserve">enhance the reporting burden and the complexity </w:t>
      </w:r>
      <w:r>
        <w:rPr>
          <w:rFonts w:eastAsia="Cambria" w:cs="Arial"/>
          <w:sz w:val="20"/>
        </w:rPr>
        <w:t>for the fund industry. This approach is not in line with the long-term supervisory reporting vision initiated by the EU Commission for their European strategy for data (EDS) and the Digital Finance Strategy (DFS). The EU Commission overall objective is to have a reporting environment that delivers accurate, comparable, and timely data to supervisory authorities at EU and national level, while at the same time minimising the reporting costs and burden for supervised entities (e.g. UCITS/AIF managers) and supervisors. W</w:t>
      </w:r>
      <w:r w:rsidRPr="00D36FC1">
        <w:rPr>
          <w:rFonts w:eastAsia="Cambria" w:cs="Arial"/>
          <w:sz w:val="20"/>
        </w:rPr>
        <w:t xml:space="preserve">e strongly encourage ESMA to take into consideration </w:t>
      </w:r>
      <w:r>
        <w:rPr>
          <w:rFonts w:eastAsia="Cambria" w:cs="Arial"/>
          <w:sz w:val="20"/>
        </w:rPr>
        <w:t xml:space="preserve">the long-term supervisory reporting vision of the EU Commission and also </w:t>
      </w:r>
      <w:r w:rsidRPr="00D36FC1">
        <w:rPr>
          <w:rFonts w:eastAsia="Cambria" w:cs="Arial"/>
          <w:sz w:val="20"/>
        </w:rPr>
        <w:t xml:space="preserve">the EU principle of proportionality when </w:t>
      </w:r>
      <w:r>
        <w:rPr>
          <w:rFonts w:eastAsia="Cambria" w:cs="Arial"/>
          <w:sz w:val="20"/>
        </w:rPr>
        <w:t xml:space="preserve">ESMA </w:t>
      </w:r>
      <w:r w:rsidRPr="00D36FC1">
        <w:rPr>
          <w:rFonts w:eastAsia="Cambria" w:cs="Arial"/>
          <w:sz w:val="20"/>
        </w:rPr>
        <w:t>submit</w:t>
      </w:r>
      <w:r>
        <w:rPr>
          <w:rFonts w:eastAsia="Cambria" w:cs="Arial"/>
          <w:sz w:val="20"/>
        </w:rPr>
        <w:t xml:space="preserve">s its report </w:t>
      </w:r>
      <w:r w:rsidRPr="00D36FC1">
        <w:rPr>
          <w:rFonts w:eastAsia="Cambria" w:cs="Arial"/>
          <w:sz w:val="20"/>
        </w:rPr>
        <w:t xml:space="preserve">to the EU Commission for endorsement.  </w:t>
      </w:r>
    </w:p>
    <w:p w14:paraId="5A69C028" w14:textId="77777777" w:rsidR="004A4B0F" w:rsidRDefault="004A4B0F" w:rsidP="004A4B0F">
      <w:pPr>
        <w:spacing w:after="0" w:line="288" w:lineRule="auto"/>
        <w:jc w:val="left"/>
        <w:rPr>
          <w:rFonts w:eastAsia="Cambria" w:cs="Arial"/>
          <w:sz w:val="20"/>
        </w:rPr>
      </w:pPr>
    </w:p>
    <w:p w14:paraId="25FD9933" w14:textId="77777777" w:rsidR="004A4B0F" w:rsidRDefault="004A4B0F" w:rsidP="004A4B0F">
      <w:pPr>
        <w:spacing w:after="0" w:line="288" w:lineRule="auto"/>
        <w:jc w:val="left"/>
        <w:rPr>
          <w:rFonts w:eastAsia="Cambria" w:cs="Arial"/>
          <w:sz w:val="20"/>
        </w:rPr>
      </w:pPr>
      <w:r>
        <w:rPr>
          <w:rFonts w:eastAsia="Cambria" w:cs="Arial"/>
          <w:b/>
          <w:bCs/>
          <w:sz w:val="20"/>
        </w:rPr>
        <w:lastRenderedPageBreak/>
        <w:t>In sum</w:t>
      </w:r>
      <w:r w:rsidRPr="00AA3A89">
        <w:rPr>
          <w:rFonts w:eastAsia="Cambria" w:cs="Arial"/>
          <w:b/>
          <w:bCs/>
          <w:sz w:val="20"/>
        </w:rPr>
        <w:t xml:space="preserve">, we do not see the </w:t>
      </w:r>
      <w:r>
        <w:rPr>
          <w:rFonts w:eastAsia="Cambria" w:cs="Arial"/>
          <w:b/>
          <w:bCs/>
          <w:sz w:val="20"/>
        </w:rPr>
        <w:t>requirement</w:t>
      </w:r>
      <w:r w:rsidRPr="00AA3A89">
        <w:rPr>
          <w:rFonts w:eastAsia="Cambria" w:cs="Arial"/>
          <w:b/>
          <w:bCs/>
          <w:sz w:val="20"/>
        </w:rPr>
        <w:t xml:space="preserve"> to expand the scope of the MiFIR reporting obligation to UCITS/AIF manager</w:t>
      </w:r>
      <w:r>
        <w:rPr>
          <w:rFonts w:eastAsia="Cambria" w:cs="Arial"/>
          <w:b/>
          <w:bCs/>
          <w:sz w:val="20"/>
        </w:rPr>
        <w:t>s</w:t>
      </w:r>
      <w:r w:rsidRPr="00AA3A89">
        <w:rPr>
          <w:rFonts w:eastAsia="Cambria" w:cs="Arial"/>
          <w:b/>
          <w:bCs/>
          <w:sz w:val="20"/>
        </w:rPr>
        <w:t>.</w:t>
      </w:r>
      <w:r>
        <w:rPr>
          <w:rFonts w:eastAsia="Cambria" w:cs="Arial"/>
          <w:sz w:val="20"/>
        </w:rPr>
        <w:t xml:space="preserve"> </w:t>
      </w:r>
      <w:r>
        <w:rPr>
          <w:rFonts w:eastAsia="Cambria" w:cs="Arial"/>
          <w:b/>
          <w:bCs/>
          <w:sz w:val="20"/>
        </w:rPr>
        <w:t>I</w:t>
      </w:r>
      <w:r w:rsidRPr="00980AA0">
        <w:rPr>
          <w:rFonts w:eastAsia="Cambria" w:cs="Arial"/>
          <w:b/>
          <w:bCs/>
          <w:sz w:val="20"/>
        </w:rPr>
        <w:t>t is of utmost importance to be more precise</w:t>
      </w:r>
      <w:r>
        <w:rPr>
          <w:rFonts w:eastAsia="Cambria" w:cs="Arial"/>
          <w:b/>
          <w:bCs/>
          <w:sz w:val="20"/>
        </w:rPr>
        <w:t xml:space="preserve"> in the analysis of the situation</w:t>
      </w:r>
      <w:r w:rsidRPr="00980AA0">
        <w:rPr>
          <w:rFonts w:eastAsia="Cambria" w:cs="Arial"/>
          <w:b/>
          <w:bCs/>
          <w:sz w:val="20"/>
        </w:rPr>
        <w:t xml:space="preserve"> </w:t>
      </w:r>
      <w:r>
        <w:rPr>
          <w:rFonts w:eastAsia="Cambria" w:cs="Arial"/>
          <w:b/>
          <w:bCs/>
          <w:sz w:val="20"/>
        </w:rPr>
        <w:t xml:space="preserve">as </w:t>
      </w:r>
      <w:r w:rsidRPr="00980AA0">
        <w:rPr>
          <w:rFonts w:eastAsia="Cambria" w:cs="Arial"/>
          <w:b/>
          <w:bCs/>
          <w:sz w:val="20"/>
        </w:rPr>
        <w:t>reflected in Q1 and chapter 3.1 of the consultation paper.</w:t>
      </w:r>
      <w:r>
        <w:rPr>
          <w:rFonts w:eastAsia="Cambria" w:cs="Arial"/>
          <w:sz w:val="20"/>
        </w:rPr>
        <w:t xml:space="preserve"> </w:t>
      </w:r>
    </w:p>
    <w:p w14:paraId="0CEAFBC4" w14:textId="77777777" w:rsidR="004A4B0F" w:rsidRDefault="004A4B0F" w:rsidP="004A4B0F">
      <w:pPr>
        <w:spacing w:after="0" w:line="288" w:lineRule="auto"/>
        <w:jc w:val="left"/>
        <w:rPr>
          <w:rFonts w:eastAsia="Cambria" w:cs="Arial"/>
          <w:sz w:val="20"/>
        </w:rPr>
      </w:pPr>
    </w:p>
    <w:p w14:paraId="2DC9578F" w14:textId="77777777" w:rsidR="004A4B0F" w:rsidRDefault="004A4B0F" w:rsidP="004A4B0F">
      <w:pPr>
        <w:spacing w:after="0" w:line="288" w:lineRule="auto"/>
        <w:jc w:val="left"/>
        <w:rPr>
          <w:rFonts w:eastAsia="Cambria" w:cs="Arial"/>
          <w:sz w:val="20"/>
        </w:rPr>
      </w:pPr>
      <w:r>
        <w:rPr>
          <w:rFonts w:eastAsia="Cambria" w:cs="Arial"/>
          <w:sz w:val="20"/>
        </w:rPr>
        <w:t xml:space="preserve">We do not agree with the ESMA analyses in respect to UCITS/AIFM due to the following reasons: </w:t>
      </w:r>
    </w:p>
    <w:p w14:paraId="2030DC1F" w14:textId="77777777" w:rsidR="004A4B0F" w:rsidRPr="0051141B" w:rsidRDefault="004A4B0F" w:rsidP="004A4B0F">
      <w:pPr>
        <w:spacing w:after="0" w:line="288" w:lineRule="auto"/>
        <w:jc w:val="left"/>
        <w:rPr>
          <w:rFonts w:eastAsia="Cambria" w:cs="Arial"/>
          <w:sz w:val="20"/>
        </w:rPr>
      </w:pPr>
    </w:p>
    <w:p w14:paraId="0D795C91" w14:textId="77777777" w:rsidR="004A4B0F" w:rsidRDefault="004A4B0F" w:rsidP="004A4B0F">
      <w:pPr>
        <w:pStyle w:val="Listenabsatz"/>
        <w:numPr>
          <w:ilvl w:val="0"/>
          <w:numId w:val="9"/>
        </w:numPr>
        <w:spacing w:after="0" w:line="288" w:lineRule="auto"/>
        <w:contextualSpacing/>
        <w:jc w:val="left"/>
        <w:rPr>
          <w:rFonts w:eastAsia="Cambria" w:cs="Arial"/>
          <w:b/>
          <w:bCs/>
          <w:sz w:val="20"/>
        </w:rPr>
      </w:pPr>
      <w:r w:rsidRPr="004F1F12">
        <w:rPr>
          <w:rFonts w:eastAsia="Cambria" w:cs="Arial"/>
          <w:b/>
          <w:bCs/>
          <w:sz w:val="20"/>
        </w:rPr>
        <w:t>AIFM</w:t>
      </w:r>
      <w:r>
        <w:rPr>
          <w:rFonts w:eastAsia="Cambria" w:cs="Arial"/>
          <w:b/>
          <w:bCs/>
          <w:sz w:val="20"/>
        </w:rPr>
        <w:t>s</w:t>
      </w:r>
    </w:p>
    <w:p w14:paraId="03E0EF36" w14:textId="77777777" w:rsidR="004A4B0F" w:rsidRPr="00AB05CA" w:rsidRDefault="004A4B0F" w:rsidP="004A4B0F">
      <w:pPr>
        <w:spacing w:after="0" w:line="288" w:lineRule="auto"/>
        <w:jc w:val="left"/>
        <w:rPr>
          <w:rFonts w:eastAsia="Cambria" w:cs="Arial"/>
          <w:sz w:val="20"/>
        </w:rPr>
      </w:pPr>
    </w:p>
    <w:p w14:paraId="6745977F" w14:textId="77777777" w:rsidR="004A4B0F" w:rsidRDefault="004A4B0F" w:rsidP="004A4B0F">
      <w:pPr>
        <w:spacing w:after="0" w:line="288" w:lineRule="auto"/>
        <w:jc w:val="left"/>
        <w:rPr>
          <w:rFonts w:eastAsia="Cambria" w:cs="Arial"/>
          <w:sz w:val="20"/>
        </w:rPr>
      </w:pPr>
      <w:r w:rsidRPr="0051141B">
        <w:rPr>
          <w:rFonts w:eastAsia="Cambria" w:cs="Arial"/>
          <w:sz w:val="20"/>
        </w:rPr>
        <w:t>ESMA refers to Art</w:t>
      </w:r>
      <w:r>
        <w:rPr>
          <w:rFonts w:eastAsia="Cambria" w:cs="Arial"/>
          <w:sz w:val="20"/>
        </w:rPr>
        <w:t>icle</w:t>
      </w:r>
      <w:r w:rsidRPr="0051141B">
        <w:rPr>
          <w:rFonts w:eastAsia="Cambria" w:cs="Arial"/>
          <w:sz w:val="20"/>
        </w:rPr>
        <w:t xml:space="preserve"> 6 para 4 AIFMD and lists three non-core services. ESMA </w:t>
      </w:r>
      <w:r>
        <w:rPr>
          <w:rFonts w:eastAsia="Cambria" w:cs="Arial"/>
          <w:sz w:val="20"/>
        </w:rPr>
        <w:t>describes a</w:t>
      </w:r>
      <w:r w:rsidRPr="0051141B">
        <w:rPr>
          <w:rFonts w:eastAsia="Cambria" w:cs="Arial"/>
          <w:sz w:val="20"/>
        </w:rPr>
        <w:t xml:space="preserve"> </w:t>
      </w:r>
      <w:r>
        <w:rPr>
          <w:rFonts w:eastAsia="Cambria" w:cs="Arial"/>
          <w:sz w:val="20"/>
        </w:rPr>
        <w:t xml:space="preserve">potential </w:t>
      </w:r>
      <w:r w:rsidRPr="0051141B">
        <w:rPr>
          <w:rFonts w:eastAsia="Cambria" w:cs="Arial"/>
          <w:sz w:val="20"/>
        </w:rPr>
        <w:t xml:space="preserve">“regulatory gap” and a survey undertaken by ESMA to collect feedback from NCAs how they retrieve </w:t>
      </w:r>
      <w:r w:rsidRPr="00591079">
        <w:rPr>
          <w:rFonts w:eastAsia="Cambria" w:cs="Arial"/>
          <w:i/>
          <w:iCs/>
          <w:sz w:val="20"/>
        </w:rPr>
        <w:t>“missing information concerning the activity of AIFMs/UCITS management companies”</w:t>
      </w:r>
      <w:r w:rsidRPr="0051141B">
        <w:rPr>
          <w:rFonts w:eastAsia="Cambria" w:cs="Arial"/>
          <w:sz w:val="20"/>
        </w:rPr>
        <w:t xml:space="preserve"> (para 13 of the CP).</w:t>
      </w:r>
      <w:r>
        <w:rPr>
          <w:rFonts w:eastAsia="Cambria" w:cs="Arial"/>
          <w:sz w:val="20"/>
        </w:rPr>
        <w:t xml:space="preserve"> However, w</w:t>
      </w:r>
      <w:r w:rsidRPr="0051141B">
        <w:rPr>
          <w:rFonts w:eastAsia="Cambria" w:cs="Arial"/>
          <w:sz w:val="20"/>
        </w:rPr>
        <w:t xml:space="preserve">e would like </w:t>
      </w:r>
      <w:r>
        <w:rPr>
          <w:rFonts w:eastAsia="Cambria" w:cs="Arial"/>
          <w:sz w:val="20"/>
        </w:rPr>
        <w:t>to highlight</w:t>
      </w:r>
      <w:r w:rsidRPr="0051141B">
        <w:rPr>
          <w:rFonts w:eastAsia="Cambria" w:cs="Arial"/>
          <w:sz w:val="20"/>
        </w:rPr>
        <w:t xml:space="preserve"> ESMA’s attention to the first sentence of Art</w:t>
      </w:r>
      <w:r>
        <w:rPr>
          <w:rFonts w:eastAsia="Cambria" w:cs="Arial"/>
          <w:sz w:val="20"/>
        </w:rPr>
        <w:t>icle</w:t>
      </w:r>
      <w:r w:rsidRPr="0051141B">
        <w:rPr>
          <w:rFonts w:eastAsia="Cambria" w:cs="Arial"/>
          <w:sz w:val="20"/>
        </w:rPr>
        <w:t xml:space="preserve"> 6 para</w:t>
      </w:r>
      <w:r>
        <w:rPr>
          <w:rFonts w:eastAsia="Cambria" w:cs="Arial"/>
          <w:sz w:val="20"/>
        </w:rPr>
        <w:t xml:space="preserve"> 2 and </w:t>
      </w:r>
      <w:r w:rsidRPr="0051141B">
        <w:rPr>
          <w:rFonts w:eastAsia="Cambria" w:cs="Arial"/>
          <w:sz w:val="20"/>
        </w:rPr>
        <w:t>4 AIFMD. Member States shall require that no external AIFM engage</w:t>
      </w:r>
      <w:r>
        <w:rPr>
          <w:rFonts w:eastAsia="Cambria" w:cs="Arial"/>
          <w:sz w:val="20"/>
        </w:rPr>
        <w:t>s</w:t>
      </w:r>
      <w:r w:rsidRPr="0051141B">
        <w:rPr>
          <w:rFonts w:eastAsia="Cambria" w:cs="Arial"/>
          <w:sz w:val="20"/>
        </w:rPr>
        <w:t xml:space="preserve"> in activities other than those referred to</w:t>
      </w:r>
      <w:r>
        <w:rPr>
          <w:rFonts w:eastAsia="Cambria" w:cs="Arial"/>
          <w:sz w:val="20"/>
        </w:rPr>
        <w:t xml:space="preserve"> </w:t>
      </w:r>
      <w:r w:rsidRPr="0051141B">
        <w:rPr>
          <w:rFonts w:eastAsia="Cambria" w:cs="Arial"/>
          <w:sz w:val="20"/>
        </w:rPr>
        <w:t xml:space="preserve">Annex I </w:t>
      </w:r>
      <w:r>
        <w:rPr>
          <w:rFonts w:eastAsia="Cambria" w:cs="Arial"/>
          <w:sz w:val="20"/>
        </w:rPr>
        <w:t xml:space="preserve">of the </w:t>
      </w:r>
      <w:r w:rsidRPr="0051141B">
        <w:rPr>
          <w:rFonts w:eastAsia="Cambria" w:cs="Arial"/>
          <w:sz w:val="20"/>
        </w:rPr>
        <w:t>AIFMD. The three non-core services can only be provided by way of derogation from Art</w:t>
      </w:r>
      <w:r>
        <w:rPr>
          <w:rFonts w:eastAsia="Cambria" w:cs="Arial"/>
          <w:sz w:val="20"/>
        </w:rPr>
        <w:t>icle</w:t>
      </w:r>
      <w:r w:rsidRPr="0051141B">
        <w:rPr>
          <w:rFonts w:eastAsia="Cambria" w:cs="Arial"/>
          <w:sz w:val="20"/>
        </w:rPr>
        <w:t xml:space="preserve"> 6 para</w:t>
      </w:r>
      <w:r>
        <w:rPr>
          <w:rFonts w:eastAsia="Cambria" w:cs="Arial"/>
          <w:sz w:val="20"/>
        </w:rPr>
        <w:t xml:space="preserve"> </w:t>
      </w:r>
      <w:r w:rsidRPr="0051141B">
        <w:rPr>
          <w:rFonts w:eastAsia="Cambria" w:cs="Arial"/>
          <w:sz w:val="20"/>
        </w:rPr>
        <w:t xml:space="preserve">2 AIFMD if </w:t>
      </w:r>
      <w:r>
        <w:rPr>
          <w:rFonts w:eastAsia="Cambria" w:cs="Arial"/>
          <w:sz w:val="20"/>
        </w:rPr>
        <w:t xml:space="preserve">such services are </w:t>
      </w:r>
      <w:r w:rsidRPr="0051141B">
        <w:rPr>
          <w:rFonts w:eastAsia="Cambria" w:cs="Arial"/>
          <w:sz w:val="20"/>
        </w:rPr>
        <w:t>authorised</w:t>
      </w:r>
      <w:r>
        <w:rPr>
          <w:rFonts w:eastAsia="Cambria" w:cs="Arial"/>
          <w:sz w:val="20"/>
        </w:rPr>
        <w:t xml:space="preserve"> within </w:t>
      </w:r>
      <w:r w:rsidRPr="0051141B">
        <w:rPr>
          <w:rFonts w:eastAsia="Cambria" w:cs="Arial"/>
          <w:sz w:val="20"/>
        </w:rPr>
        <w:t xml:space="preserve">the </w:t>
      </w:r>
      <w:r>
        <w:rPr>
          <w:rFonts w:eastAsia="Cambria" w:cs="Arial"/>
          <w:sz w:val="20"/>
        </w:rPr>
        <w:t xml:space="preserve">EU </w:t>
      </w:r>
      <w:r w:rsidRPr="0051141B">
        <w:rPr>
          <w:rFonts w:eastAsia="Cambria" w:cs="Arial"/>
          <w:sz w:val="20"/>
        </w:rPr>
        <w:t xml:space="preserve">Member States. </w:t>
      </w:r>
    </w:p>
    <w:p w14:paraId="73D1DBC5" w14:textId="77777777" w:rsidR="004A4B0F" w:rsidRDefault="004A4B0F" w:rsidP="004A4B0F">
      <w:pPr>
        <w:spacing w:after="0" w:line="288" w:lineRule="auto"/>
        <w:jc w:val="left"/>
        <w:rPr>
          <w:rFonts w:eastAsia="Cambria" w:cs="Arial"/>
          <w:sz w:val="20"/>
        </w:rPr>
      </w:pPr>
    </w:p>
    <w:p w14:paraId="54E8FF57" w14:textId="77777777" w:rsidR="004A4B0F" w:rsidRDefault="004A4B0F" w:rsidP="004A4B0F">
      <w:pPr>
        <w:spacing w:after="0" w:line="288" w:lineRule="auto"/>
        <w:jc w:val="left"/>
        <w:rPr>
          <w:rFonts w:eastAsia="Cambria" w:cs="Arial"/>
          <w:sz w:val="20"/>
        </w:rPr>
      </w:pPr>
      <w:r w:rsidRPr="0051141B">
        <w:rPr>
          <w:rFonts w:eastAsia="Cambria" w:cs="Arial"/>
          <w:sz w:val="20"/>
        </w:rPr>
        <w:t>ESMA’s concerns refer</w:t>
      </w:r>
      <w:r>
        <w:rPr>
          <w:rFonts w:eastAsia="Cambria" w:cs="Arial"/>
          <w:sz w:val="20"/>
        </w:rPr>
        <w:t xml:space="preserve"> only </w:t>
      </w:r>
      <w:r w:rsidRPr="0051141B">
        <w:rPr>
          <w:rFonts w:eastAsia="Cambria" w:cs="Arial"/>
          <w:sz w:val="20"/>
        </w:rPr>
        <w:t xml:space="preserve">to </w:t>
      </w:r>
      <w:r>
        <w:rPr>
          <w:rFonts w:eastAsia="Cambria" w:cs="Arial"/>
          <w:sz w:val="20"/>
        </w:rPr>
        <w:t xml:space="preserve">the </w:t>
      </w:r>
      <w:r w:rsidRPr="0051141B">
        <w:rPr>
          <w:rFonts w:eastAsia="Cambria" w:cs="Arial"/>
          <w:sz w:val="20"/>
        </w:rPr>
        <w:t xml:space="preserve">non-core services which may not be provided in all Member States. ESMA’s survey and any conclusions </w:t>
      </w:r>
      <w:r>
        <w:rPr>
          <w:rFonts w:eastAsia="Cambria" w:cs="Arial"/>
          <w:sz w:val="20"/>
        </w:rPr>
        <w:t xml:space="preserve">therefore are limited as only a small fraction of </w:t>
      </w:r>
      <w:r w:rsidRPr="0051141B">
        <w:rPr>
          <w:rFonts w:eastAsia="Cambria" w:cs="Arial"/>
          <w:sz w:val="20"/>
        </w:rPr>
        <w:t>NCA</w:t>
      </w:r>
      <w:r>
        <w:rPr>
          <w:rFonts w:eastAsia="Cambria" w:cs="Arial"/>
          <w:sz w:val="20"/>
        </w:rPr>
        <w:t xml:space="preserve">s </w:t>
      </w:r>
      <w:r w:rsidRPr="0051141B">
        <w:rPr>
          <w:rFonts w:eastAsia="Cambria" w:cs="Arial"/>
          <w:sz w:val="20"/>
        </w:rPr>
        <w:t>have authorised external AIFM</w:t>
      </w:r>
      <w:r>
        <w:rPr>
          <w:rFonts w:eastAsia="Cambria" w:cs="Arial"/>
          <w:sz w:val="20"/>
        </w:rPr>
        <w:t>s</w:t>
      </w:r>
      <w:r w:rsidRPr="0051141B">
        <w:rPr>
          <w:rFonts w:eastAsia="Cambria" w:cs="Arial"/>
          <w:sz w:val="20"/>
        </w:rPr>
        <w:t xml:space="preserve"> </w:t>
      </w:r>
      <w:r>
        <w:rPr>
          <w:rFonts w:eastAsia="Cambria" w:cs="Arial"/>
          <w:sz w:val="20"/>
        </w:rPr>
        <w:t xml:space="preserve">to provide the </w:t>
      </w:r>
      <w:r w:rsidRPr="0051141B">
        <w:rPr>
          <w:rFonts w:eastAsia="Cambria" w:cs="Arial"/>
          <w:sz w:val="20"/>
        </w:rPr>
        <w:t xml:space="preserve">relevant non-core services. </w:t>
      </w:r>
      <w:r>
        <w:rPr>
          <w:rFonts w:eastAsia="Cambria" w:cs="Arial"/>
          <w:sz w:val="20"/>
        </w:rPr>
        <w:t xml:space="preserve">These findings therefore may not be extended to other situations and Member States. </w:t>
      </w:r>
    </w:p>
    <w:p w14:paraId="0998804E" w14:textId="77777777" w:rsidR="004A4B0F" w:rsidRDefault="004A4B0F" w:rsidP="004A4B0F">
      <w:pPr>
        <w:spacing w:after="0" w:line="288" w:lineRule="auto"/>
        <w:jc w:val="left"/>
        <w:rPr>
          <w:rFonts w:eastAsia="Cambria" w:cs="Arial"/>
          <w:sz w:val="20"/>
        </w:rPr>
      </w:pPr>
    </w:p>
    <w:p w14:paraId="3A7EDFB1" w14:textId="77777777" w:rsidR="004A4B0F" w:rsidRDefault="004A4B0F" w:rsidP="004A4B0F">
      <w:pPr>
        <w:spacing w:after="0" w:line="288" w:lineRule="auto"/>
        <w:jc w:val="left"/>
        <w:rPr>
          <w:rFonts w:eastAsia="Cambria" w:cs="Arial"/>
          <w:sz w:val="20"/>
        </w:rPr>
      </w:pPr>
      <w:r>
        <w:rPr>
          <w:rFonts w:eastAsia="Cambria" w:cs="Arial"/>
          <w:sz w:val="20"/>
        </w:rPr>
        <w:t>The relevant non-core services do principally not trigger a MiFIR reporting obligation. The service “</w:t>
      </w:r>
      <w:r w:rsidRPr="0051141B">
        <w:rPr>
          <w:rFonts w:eastAsia="Cambria" w:cs="Arial"/>
          <w:sz w:val="20"/>
        </w:rPr>
        <w:t>investment advi</w:t>
      </w:r>
      <w:r>
        <w:rPr>
          <w:rFonts w:eastAsia="Cambria" w:cs="Arial"/>
          <w:sz w:val="20"/>
        </w:rPr>
        <w:t>c</w:t>
      </w:r>
      <w:r w:rsidRPr="0051141B">
        <w:rPr>
          <w:rFonts w:eastAsia="Cambria" w:cs="Arial"/>
          <w:sz w:val="20"/>
        </w:rPr>
        <w:t>e</w:t>
      </w:r>
      <w:r>
        <w:rPr>
          <w:rFonts w:eastAsia="Cambria" w:cs="Arial"/>
          <w:sz w:val="20"/>
        </w:rPr>
        <w:t>”</w:t>
      </w:r>
      <w:r w:rsidRPr="0051141B">
        <w:rPr>
          <w:rFonts w:eastAsia="Cambria" w:cs="Arial"/>
          <w:sz w:val="20"/>
        </w:rPr>
        <w:t xml:space="preserve"> does n</w:t>
      </w:r>
      <w:r>
        <w:rPr>
          <w:rFonts w:eastAsia="Cambria" w:cs="Arial"/>
          <w:sz w:val="20"/>
        </w:rPr>
        <w:t xml:space="preserve">ot </w:t>
      </w:r>
      <w:r w:rsidRPr="0051141B">
        <w:rPr>
          <w:rFonts w:eastAsia="Cambria" w:cs="Arial"/>
          <w:sz w:val="20"/>
        </w:rPr>
        <w:t xml:space="preserve">trigger </w:t>
      </w:r>
      <w:r>
        <w:rPr>
          <w:rFonts w:eastAsia="Cambria" w:cs="Arial"/>
          <w:sz w:val="20"/>
        </w:rPr>
        <w:t xml:space="preserve">a </w:t>
      </w:r>
      <w:r w:rsidRPr="0051141B">
        <w:rPr>
          <w:rFonts w:eastAsia="Cambria" w:cs="Arial"/>
          <w:sz w:val="20"/>
        </w:rPr>
        <w:t>reportin</w:t>
      </w:r>
      <w:r>
        <w:rPr>
          <w:rFonts w:eastAsia="Cambria" w:cs="Arial"/>
          <w:sz w:val="20"/>
        </w:rPr>
        <w:t>g</w:t>
      </w:r>
      <w:r w:rsidRPr="0051141B">
        <w:rPr>
          <w:rFonts w:eastAsia="Cambria" w:cs="Arial"/>
          <w:sz w:val="20"/>
        </w:rPr>
        <w:t xml:space="preserve"> requirement for investment firms</w:t>
      </w:r>
      <w:r>
        <w:rPr>
          <w:rFonts w:eastAsia="Cambria" w:cs="Arial"/>
          <w:sz w:val="20"/>
        </w:rPr>
        <w:t xml:space="preserve"> according to </w:t>
      </w:r>
      <w:r w:rsidRPr="0051141B">
        <w:rPr>
          <w:rFonts w:eastAsia="Cambria" w:cs="Arial"/>
          <w:sz w:val="20"/>
        </w:rPr>
        <w:t>Art</w:t>
      </w:r>
      <w:r>
        <w:rPr>
          <w:rFonts w:eastAsia="Cambria" w:cs="Arial"/>
          <w:sz w:val="20"/>
        </w:rPr>
        <w:t xml:space="preserve">icle </w:t>
      </w:r>
      <w:r w:rsidRPr="0051141B">
        <w:rPr>
          <w:rFonts w:eastAsia="Cambria" w:cs="Arial"/>
          <w:sz w:val="20"/>
        </w:rPr>
        <w:t xml:space="preserve">26 MiFIR. Furthermore “safe-keeping and administration in relation to shares or units of collective investment undertakings” would </w:t>
      </w:r>
      <w:r>
        <w:rPr>
          <w:rFonts w:eastAsia="Cambria" w:cs="Arial"/>
          <w:sz w:val="20"/>
        </w:rPr>
        <w:t>only</w:t>
      </w:r>
      <w:r w:rsidRPr="0051141B">
        <w:rPr>
          <w:rFonts w:eastAsia="Cambria" w:cs="Arial"/>
          <w:sz w:val="20"/>
        </w:rPr>
        <w:t xml:space="preserve"> open a very limited scope for reports under Art</w:t>
      </w:r>
      <w:r>
        <w:rPr>
          <w:rFonts w:eastAsia="Cambria" w:cs="Arial"/>
          <w:sz w:val="20"/>
        </w:rPr>
        <w:t xml:space="preserve">icle </w:t>
      </w:r>
      <w:r w:rsidRPr="0051141B">
        <w:rPr>
          <w:rFonts w:eastAsia="Cambria" w:cs="Arial"/>
          <w:sz w:val="20"/>
        </w:rPr>
        <w:t>26 MiFIR. I</w:t>
      </w:r>
      <w:r>
        <w:rPr>
          <w:rFonts w:eastAsia="Cambria" w:cs="Arial"/>
          <w:sz w:val="20"/>
        </w:rPr>
        <w:t>n practice i</w:t>
      </w:r>
      <w:r w:rsidRPr="0051141B">
        <w:rPr>
          <w:rFonts w:eastAsia="Cambria" w:cs="Arial"/>
          <w:sz w:val="20"/>
        </w:rPr>
        <w:t xml:space="preserve">t is </w:t>
      </w:r>
      <w:r>
        <w:rPr>
          <w:rFonts w:eastAsia="Cambria" w:cs="Arial"/>
          <w:sz w:val="20"/>
        </w:rPr>
        <w:t xml:space="preserve">very unusual </w:t>
      </w:r>
      <w:r w:rsidRPr="0051141B">
        <w:rPr>
          <w:rFonts w:eastAsia="Cambria" w:cs="Arial"/>
          <w:sz w:val="20"/>
        </w:rPr>
        <w:t>that AIFM</w:t>
      </w:r>
      <w:r>
        <w:rPr>
          <w:rFonts w:eastAsia="Cambria" w:cs="Arial"/>
          <w:sz w:val="20"/>
        </w:rPr>
        <w:t>s</w:t>
      </w:r>
      <w:r w:rsidRPr="0051141B">
        <w:rPr>
          <w:rFonts w:eastAsia="Cambria" w:cs="Arial"/>
          <w:sz w:val="20"/>
        </w:rPr>
        <w:t xml:space="preserve"> safe-keep and administrate fund units. </w:t>
      </w:r>
    </w:p>
    <w:p w14:paraId="30585B59" w14:textId="77777777" w:rsidR="004A4B0F" w:rsidRDefault="004A4B0F" w:rsidP="004A4B0F">
      <w:pPr>
        <w:spacing w:after="0" w:line="288" w:lineRule="auto"/>
        <w:jc w:val="left"/>
        <w:rPr>
          <w:rFonts w:eastAsia="Cambria" w:cs="Arial"/>
          <w:sz w:val="20"/>
        </w:rPr>
      </w:pPr>
    </w:p>
    <w:p w14:paraId="48B53B33" w14:textId="77777777" w:rsidR="004A4B0F" w:rsidRDefault="004A4B0F" w:rsidP="004A4B0F">
      <w:pPr>
        <w:spacing w:after="0" w:line="288" w:lineRule="auto"/>
        <w:jc w:val="left"/>
        <w:rPr>
          <w:rFonts w:eastAsia="Cambria" w:cs="Arial"/>
          <w:sz w:val="20"/>
        </w:rPr>
      </w:pPr>
      <w:r>
        <w:rPr>
          <w:rFonts w:eastAsia="Cambria" w:cs="Arial"/>
          <w:sz w:val="20"/>
        </w:rPr>
        <w:t xml:space="preserve">Also, in the </w:t>
      </w:r>
      <w:r w:rsidRPr="0051141B">
        <w:rPr>
          <w:rFonts w:eastAsia="Cambria" w:cs="Arial"/>
          <w:sz w:val="20"/>
        </w:rPr>
        <w:t xml:space="preserve">case of safe-keeping only </w:t>
      </w:r>
      <w:r>
        <w:rPr>
          <w:rFonts w:eastAsia="Cambria" w:cs="Arial"/>
          <w:sz w:val="20"/>
        </w:rPr>
        <w:t xml:space="preserve">securities </w:t>
      </w:r>
      <w:r w:rsidRPr="0051141B">
        <w:rPr>
          <w:rFonts w:eastAsia="Cambria" w:cs="Arial"/>
          <w:sz w:val="20"/>
        </w:rPr>
        <w:t xml:space="preserve">movements from  </w:t>
      </w:r>
      <w:r>
        <w:rPr>
          <w:rFonts w:eastAsia="Cambria" w:cs="Arial"/>
          <w:sz w:val="20"/>
        </w:rPr>
        <w:t xml:space="preserve">one </w:t>
      </w:r>
      <w:r w:rsidRPr="0051141B">
        <w:rPr>
          <w:rFonts w:eastAsia="Cambria" w:cs="Arial"/>
          <w:sz w:val="20"/>
        </w:rPr>
        <w:t xml:space="preserve">client account to another </w:t>
      </w:r>
      <w:r>
        <w:rPr>
          <w:rFonts w:eastAsia="Cambria" w:cs="Arial"/>
          <w:sz w:val="20"/>
        </w:rPr>
        <w:t xml:space="preserve">account need </w:t>
      </w:r>
      <w:r w:rsidRPr="0051141B">
        <w:rPr>
          <w:rFonts w:eastAsia="Cambria" w:cs="Arial"/>
          <w:sz w:val="20"/>
        </w:rPr>
        <w:t xml:space="preserve">to be reported </w:t>
      </w:r>
      <w:r>
        <w:rPr>
          <w:rFonts w:eastAsia="Cambria" w:cs="Arial"/>
          <w:sz w:val="20"/>
        </w:rPr>
        <w:t xml:space="preserve">according to </w:t>
      </w:r>
      <w:r w:rsidRPr="0051141B">
        <w:rPr>
          <w:rFonts w:eastAsia="Cambria" w:cs="Arial"/>
          <w:sz w:val="20"/>
        </w:rPr>
        <w:t>Art</w:t>
      </w:r>
      <w:r>
        <w:rPr>
          <w:rFonts w:eastAsia="Cambria" w:cs="Arial"/>
          <w:sz w:val="20"/>
        </w:rPr>
        <w:t xml:space="preserve">icle </w:t>
      </w:r>
      <w:r w:rsidRPr="0051141B">
        <w:rPr>
          <w:rFonts w:eastAsia="Cambria" w:cs="Arial"/>
          <w:sz w:val="20"/>
        </w:rPr>
        <w:t xml:space="preserve">26 MiFIR </w:t>
      </w:r>
      <w:r>
        <w:rPr>
          <w:rFonts w:eastAsia="Cambria" w:cs="Arial"/>
          <w:sz w:val="20"/>
        </w:rPr>
        <w:t>except</w:t>
      </w:r>
      <w:r w:rsidRPr="0051141B">
        <w:rPr>
          <w:rFonts w:eastAsia="Cambria" w:cs="Arial"/>
          <w:sz w:val="20"/>
        </w:rPr>
        <w:t xml:space="preserve"> </w:t>
      </w:r>
      <w:r>
        <w:rPr>
          <w:rFonts w:eastAsia="Cambria" w:cs="Arial"/>
          <w:sz w:val="20"/>
        </w:rPr>
        <w:t xml:space="preserve">such </w:t>
      </w:r>
      <w:r w:rsidRPr="0051141B">
        <w:rPr>
          <w:rFonts w:eastAsia="Cambria" w:cs="Arial"/>
          <w:sz w:val="20"/>
        </w:rPr>
        <w:t>movement</w:t>
      </w:r>
      <w:r>
        <w:rPr>
          <w:rFonts w:eastAsia="Cambria" w:cs="Arial"/>
          <w:sz w:val="20"/>
        </w:rPr>
        <w:t>s</w:t>
      </w:r>
      <w:r w:rsidRPr="0051141B">
        <w:rPr>
          <w:rFonts w:eastAsia="Cambria" w:cs="Arial"/>
          <w:sz w:val="20"/>
        </w:rPr>
        <w:t xml:space="preserve"> do not result in a change of ownership (</w:t>
      </w:r>
      <w:r>
        <w:rPr>
          <w:rFonts w:eastAsia="Cambria" w:cs="Arial"/>
          <w:sz w:val="20"/>
        </w:rPr>
        <w:t xml:space="preserve">please consider </w:t>
      </w:r>
      <w:r w:rsidRPr="0051141B">
        <w:rPr>
          <w:rFonts w:eastAsia="Cambria" w:cs="Arial"/>
          <w:sz w:val="20"/>
        </w:rPr>
        <w:t xml:space="preserve">No. 5.6.1 of ESMA’s Guidelines ESMA/2016/1452) or </w:t>
      </w:r>
      <w:r>
        <w:rPr>
          <w:rFonts w:eastAsia="Cambria" w:cs="Arial"/>
          <w:sz w:val="20"/>
        </w:rPr>
        <w:t>are</w:t>
      </w:r>
      <w:r w:rsidRPr="0051141B">
        <w:rPr>
          <w:rFonts w:eastAsia="Cambria" w:cs="Arial"/>
          <w:sz w:val="20"/>
        </w:rPr>
        <w:t xml:space="preserve"> an acquisition or disposal that is solely </w:t>
      </w:r>
      <w:r>
        <w:rPr>
          <w:rFonts w:eastAsia="Cambria" w:cs="Arial"/>
          <w:sz w:val="20"/>
        </w:rPr>
        <w:t xml:space="preserve">the </w:t>
      </w:r>
      <w:r w:rsidRPr="0051141B">
        <w:rPr>
          <w:rFonts w:eastAsia="Cambria" w:cs="Arial"/>
          <w:sz w:val="20"/>
        </w:rPr>
        <w:t xml:space="preserve">result of </w:t>
      </w:r>
      <w:r>
        <w:rPr>
          <w:rFonts w:eastAsia="Cambria" w:cs="Arial"/>
          <w:sz w:val="20"/>
        </w:rPr>
        <w:t xml:space="preserve">a </w:t>
      </w:r>
      <w:r w:rsidRPr="0051141B">
        <w:rPr>
          <w:rFonts w:eastAsia="Cambria" w:cs="Arial"/>
          <w:sz w:val="20"/>
        </w:rPr>
        <w:t>custodial activity (Art. 2 para 5 (d) of Commission Delegated Regulation (EU) 2017/590). RTS</w:t>
      </w:r>
      <w:r>
        <w:rPr>
          <w:rFonts w:eastAsia="Cambria" w:cs="Arial"/>
          <w:sz w:val="20"/>
        </w:rPr>
        <w:t xml:space="preserve"> </w:t>
      </w:r>
      <w:r w:rsidRPr="0051141B">
        <w:rPr>
          <w:rFonts w:eastAsia="Cambria" w:cs="Arial"/>
          <w:sz w:val="20"/>
        </w:rPr>
        <w:t>22 (Art</w:t>
      </w:r>
      <w:r>
        <w:rPr>
          <w:rFonts w:eastAsia="Cambria" w:cs="Arial"/>
          <w:sz w:val="20"/>
        </w:rPr>
        <w:t>icle</w:t>
      </w:r>
      <w:r w:rsidRPr="0051141B">
        <w:rPr>
          <w:rFonts w:eastAsia="Cambria" w:cs="Arial"/>
          <w:sz w:val="20"/>
        </w:rPr>
        <w:t xml:space="preserve"> 2 para. 5 (g) of Commission Delegated Regulation (EU) 2017/590) </w:t>
      </w:r>
      <w:r>
        <w:rPr>
          <w:rFonts w:eastAsia="Cambria" w:cs="Arial"/>
          <w:sz w:val="20"/>
        </w:rPr>
        <w:t>also exempts</w:t>
      </w:r>
      <w:r w:rsidRPr="0051141B">
        <w:rPr>
          <w:rFonts w:eastAsia="Cambria" w:cs="Arial"/>
          <w:sz w:val="20"/>
        </w:rPr>
        <w:t xml:space="preserve"> the creation or redemption</w:t>
      </w:r>
      <w:r>
        <w:rPr>
          <w:rFonts w:eastAsia="Cambria" w:cs="Arial"/>
          <w:sz w:val="20"/>
        </w:rPr>
        <w:t xml:space="preserve"> </w:t>
      </w:r>
      <w:r w:rsidRPr="0051141B">
        <w:rPr>
          <w:rFonts w:eastAsia="Cambria" w:cs="Arial"/>
          <w:sz w:val="20"/>
        </w:rPr>
        <w:t>of units of a</w:t>
      </w:r>
      <w:r>
        <w:rPr>
          <w:rFonts w:eastAsia="Cambria" w:cs="Arial"/>
          <w:sz w:val="20"/>
        </w:rPr>
        <w:t xml:space="preserve"> </w:t>
      </w:r>
      <w:r w:rsidRPr="0051141B">
        <w:rPr>
          <w:rFonts w:eastAsia="Cambria" w:cs="Arial"/>
          <w:sz w:val="20"/>
        </w:rPr>
        <w:t>collective investment undertaking by</w:t>
      </w:r>
      <w:r>
        <w:rPr>
          <w:rFonts w:eastAsia="Cambria" w:cs="Arial"/>
          <w:sz w:val="20"/>
        </w:rPr>
        <w:t xml:space="preserve"> t</w:t>
      </w:r>
      <w:r w:rsidRPr="0051141B">
        <w:rPr>
          <w:rFonts w:eastAsia="Cambria" w:cs="Arial"/>
          <w:sz w:val="20"/>
        </w:rPr>
        <w:t xml:space="preserve">he administrator of the collective investment undertaking. </w:t>
      </w:r>
    </w:p>
    <w:p w14:paraId="6BACF382" w14:textId="77777777" w:rsidR="004A4B0F" w:rsidRPr="0051141B" w:rsidRDefault="004A4B0F" w:rsidP="004A4B0F">
      <w:pPr>
        <w:spacing w:after="0" w:line="288" w:lineRule="auto"/>
        <w:jc w:val="left"/>
        <w:rPr>
          <w:rFonts w:eastAsia="Cambria" w:cs="Arial"/>
          <w:sz w:val="20"/>
        </w:rPr>
      </w:pPr>
    </w:p>
    <w:p w14:paraId="6506B637" w14:textId="77777777" w:rsidR="004A4B0F" w:rsidRDefault="004A4B0F" w:rsidP="004A4B0F">
      <w:pPr>
        <w:spacing w:after="0" w:line="288" w:lineRule="auto"/>
        <w:jc w:val="left"/>
        <w:rPr>
          <w:rFonts w:eastAsia="Cambria" w:cs="Arial"/>
          <w:sz w:val="20"/>
        </w:rPr>
      </w:pPr>
      <w:r w:rsidRPr="0051141B">
        <w:rPr>
          <w:rFonts w:eastAsia="Cambria" w:cs="Arial"/>
          <w:sz w:val="20"/>
        </w:rPr>
        <w:t>The third non-core activity</w:t>
      </w:r>
      <w:r>
        <w:rPr>
          <w:rFonts w:eastAsia="Cambria" w:cs="Arial"/>
          <w:sz w:val="20"/>
        </w:rPr>
        <w:t xml:space="preserve"> refers to the</w:t>
      </w:r>
      <w:r w:rsidRPr="0051141B">
        <w:rPr>
          <w:rFonts w:eastAsia="Cambria" w:cs="Arial"/>
          <w:sz w:val="20"/>
        </w:rPr>
        <w:t xml:space="preserve"> “reception and transmission of orders in relation to financial instruments”. Th</w:t>
      </w:r>
      <w:r>
        <w:rPr>
          <w:rFonts w:eastAsia="Cambria" w:cs="Arial"/>
          <w:sz w:val="20"/>
        </w:rPr>
        <w:t>is</w:t>
      </w:r>
      <w:r w:rsidRPr="0051141B">
        <w:rPr>
          <w:rFonts w:eastAsia="Cambria" w:cs="Arial"/>
          <w:sz w:val="20"/>
        </w:rPr>
        <w:t xml:space="preserve"> activity seems to correspond </w:t>
      </w:r>
      <w:r>
        <w:rPr>
          <w:rFonts w:eastAsia="Cambria" w:cs="Arial"/>
          <w:sz w:val="20"/>
        </w:rPr>
        <w:t>to</w:t>
      </w:r>
      <w:r w:rsidRPr="0051141B">
        <w:rPr>
          <w:rFonts w:eastAsia="Cambria" w:cs="Arial"/>
          <w:sz w:val="20"/>
        </w:rPr>
        <w:t xml:space="preserve"> the </w:t>
      </w:r>
      <w:r>
        <w:rPr>
          <w:rFonts w:eastAsia="Cambria" w:cs="Arial"/>
          <w:sz w:val="20"/>
        </w:rPr>
        <w:t>activity mentioned</w:t>
      </w:r>
      <w:r w:rsidRPr="0051141B">
        <w:rPr>
          <w:rFonts w:eastAsia="Cambria" w:cs="Arial"/>
          <w:sz w:val="20"/>
        </w:rPr>
        <w:t xml:space="preserve"> in Annex I Section A para. 1 of MIFID II</w:t>
      </w:r>
      <w:r>
        <w:rPr>
          <w:rFonts w:eastAsia="Cambria" w:cs="Arial"/>
          <w:sz w:val="20"/>
        </w:rPr>
        <w:t>. AIFMs engage in such an activity on a very limited basis. Although s</w:t>
      </w:r>
      <w:r w:rsidRPr="0051141B">
        <w:rPr>
          <w:rFonts w:eastAsia="Cambria" w:cs="Arial"/>
          <w:sz w:val="20"/>
        </w:rPr>
        <w:t xml:space="preserve">uch </w:t>
      </w:r>
      <w:r>
        <w:rPr>
          <w:rFonts w:eastAsia="Cambria" w:cs="Arial"/>
          <w:sz w:val="20"/>
        </w:rPr>
        <w:t xml:space="preserve">service </w:t>
      </w:r>
      <w:r w:rsidRPr="0051141B">
        <w:rPr>
          <w:rFonts w:eastAsia="Cambria" w:cs="Arial"/>
          <w:sz w:val="20"/>
        </w:rPr>
        <w:t xml:space="preserve">is a </w:t>
      </w:r>
      <w:r>
        <w:rPr>
          <w:rFonts w:eastAsia="Cambria" w:cs="Arial"/>
          <w:sz w:val="20"/>
        </w:rPr>
        <w:t>main</w:t>
      </w:r>
      <w:r w:rsidRPr="0051141B">
        <w:rPr>
          <w:rFonts w:eastAsia="Cambria" w:cs="Arial"/>
          <w:sz w:val="20"/>
        </w:rPr>
        <w:t xml:space="preserve"> activity under MiFID</w:t>
      </w:r>
      <w:r>
        <w:rPr>
          <w:rFonts w:eastAsia="Cambria" w:cs="Arial"/>
          <w:sz w:val="20"/>
        </w:rPr>
        <w:t xml:space="preserve"> is not more than a </w:t>
      </w:r>
      <w:r w:rsidRPr="0051141B">
        <w:rPr>
          <w:rFonts w:eastAsia="Cambria" w:cs="Arial"/>
          <w:sz w:val="20"/>
        </w:rPr>
        <w:t xml:space="preserve">non-core </w:t>
      </w:r>
      <w:r>
        <w:rPr>
          <w:rFonts w:eastAsia="Cambria" w:cs="Arial"/>
          <w:sz w:val="20"/>
        </w:rPr>
        <w:t>AIFM service.</w:t>
      </w:r>
      <w:r w:rsidRPr="0051141B">
        <w:rPr>
          <w:rFonts w:eastAsia="Cambria" w:cs="Arial"/>
          <w:sz w:val="20"/>
        </w:rPr>
        <w:t xml:space="preserve"> This </w:t>
      </w:r>
      <w:r>
        <w:rPr>
          <w:rFonts w:eastAsia="Cambria" w:cs="Arial"/>
          <w:sz w:val="20"/>
        </w:rPr>
        <w:t xml:space="preserve">consideration is </w:t>
      </w:r>
      <w:r w:rsidRPr="0051141B">
        <w:rPr>
          <w:rFonts w:eastAsia="Cambria" w:cs="Arial"/>
          <w:sz w:val="20"/>
        </w:rPr>
        <w:t>relevant</w:t>
      </w:r>
      <w:r>
        <w:rPr>
          <w:rFonts w:eastAsia="Cambria" w:cs="Arial"/>
          <w:sz w:val="20"/>
        </w:rPr>
        <w:t xml:space="preserve"> to assess the potential reporting </w:t>
      </w:r>
      <w:r w:rsidRPr="0051141B">
        <w:rPr>
          <w:rFonts w:eastAsia="Cambria" w:cs="Arial"/>
          <w:sz w:val="20"/>
        </w:rPr>
        <w:t>burden intended to put on AIFM</w:t>
      </w:r>
      <w:r>
        <w:rPr>
          <w:rFonts w:eastAsia="Cambria" w:cs="Arial"/>
          <w:sz w:val="20"/>
        </w:rPr>
        <w:t>s</w:t>
      </w:r>
      <w:r w:rsidRPr="0051141B">
        <w:rPr>
          <w:rFonts w:eastAsia="Cambria" w:cs="Arial"/>
          <w:sz w:val="20"/>
        </w:rPr>
        <w:t xml:space="preserve"> for such very rare activities </w:t>
      </w:r>
      <w:r>
        <w:rPr>
          <w:rFonts w:eastAsia="Cambria" w:cs="Arial"/>
          <w:sz w:val="20"/>
        </w:rPr>
        <w:t>compared to MiFID firms</w:t>
      </w:r>
      <w:r w:rsidRPr="0051141B">
        <w:rPr>
          <w:rFonts w:eastAsia="Cambria" w:cs="Arial"/>
          <w:sz w:val="20"/>
        </w:rPr>
        <w:t xml:space="preserve">. </w:t>
      </w:r>
    </w:p>
    <w:p w14:paraId="4D893CB6" w14:textId="77777777" w:rsidR="004A4B0F" w:rsidRPr="000E7D7C" w:rsidRDefault="004A4B0F" w:rsidP="004A4B0F">
      <w:pPr>
        <w:spacing w:after="0" w:line="288" w:lineRule="auto"/>
        <w:jc w:val="left"/>
        <w:rPr>
          <w:rFonts w:eastAsia="Cambria" w:cs="Arial"/>
          <w:b/>
          <w:bCs/>
          <w:sz w:val="20"/>
        </w:rPr>
      </w:pPr>
    </w:p>
    <w:p w14:paraId="24EAFF11" w14:textId="77777777" w:rsidR="004A4B0F" w:rsidRPr="000E7D7C" w:rsidRDefault="004A4B0F" w:rsidP="004A4B0F">
      <w:pPr>
        <w:pStyle w:val="Listenabsatz"/>
        <w:numPr>
          <w:ilvl w:val="0"/>
          <w:numId w:val="9"/>
        </w:numPr>
        <w:spacing w:after="0" w:line="288" w:lineRule="auto"/>
        <w:contextualSpacing/>
        <w:jc w:val="left"/>
        <w:rPr>
          <w:rFonts w:eastAsia="Cambria" w:cs="Arial"/>
          <w:b/>
          <w:bCs/>
          <w:sz w:val="20"/>
        </w:rPr>
      </w:pPr>
      <w:r w:rsidRPr="000E7D7C">
        <w:rPr>
          <w:rFonts w:eastAsia="Cambria" w:cs="Arial"/>
          <w:b/>
          <w:bCs/>
          <w:sz w:val="20"/>
        </w:rPr>
        <w:t>UCITS management companies</w:t>
      </w:r>
    </w:p>
    <w:p w14:paraId="6647E6B2" w14:textId="77777777" w:rsidR="004A4B0F" w:rsidRPr="0051141B" w:rsidRDefault="004A4B0F" w:rsidP="004A4B0F">
      <w:pPr>
        <w:spacing w:after="0" w:line="288" w:lineRule="auto"/>
        <w:jc w:val="left"/>
        <w:rPr>
          <w:rFonts w:eastAsia="Cambria" w:cs="Arial"/>
          <w:sz w:val="20"/>
        </w:rPr>
      </w:pPr>
    </w:p>
    <w:p w14:paraId="6F6A2B5B" w14:textId="77777777" w:rsidR="004A4B0F" w:rsidRDefault="004A4B0F" w:rsidP="004A4B0F">
      <w:pPr>
        <w:spacing w:after="0" w:line="288" w:lineRule="auto"/>
        <w:jc w:val="left"/>
        <w:rPr>
          <w:rFonts w:eastAsia="Cambria" w:cs="Arial"/>
          <w:sz w:val="20"/>
        </w:rPr>
      </w:pPr>
      <w:r w:rsidRPr="0051141B">
        <w:rPr>
          <w:rFonts w:eastAsia="Cambria" w:cs="Arial"/>
          <w:sz w:val="20"/>
        </w:rPr>
        <w:t xml:space="preserve">As far as ESMA refers to the non-core services of investment advice and safe-keeping and administration in relation to units of collective investment undertakings, </w:t>
      </w:r>
      <w:r>
        <w:rPr>
          <w:rFonts w:eastAsia="Cambria" w:cs="Arial"/>
          <w:sz w:val="20"/>
        </w:rPr>
        <w:t>we refer to our answers in respect</w:t>
      </w:r>
      <w:r w:rsidRPr="0051141B">
        <w:rPr>
          <w:rFonts w:eastAsia="Cambria" w:cs="Arial"/>
          <w:sz w:val="20"/>
        </w:rPr>
        <w:t xml:space="preserve"> to AIFM</w:t>
      </w:r>
      <w:r>
        <w:rPr>
          <w:rFonts w:eastAsia="Cambria" w:cs="Arial"/>
          <w:sz w:val="20"/>
        </w:rPr>
        <w:t>s above</w:t>
      </w:r>
      <w:r w:rsidRPr="0051141B">
        <w:rPr>
          <w:rFonts w:eastAsia="Cambria" w:cs="Arial"/>
          <w:sz w:val="20"/>
        </w:rPr>
        <w:t xml:space="preserve">. </w:t>
      </w:r>
    </w:p>
    <w:p w14:paraId="570E2317" w14:textId="77777777" w:rsidR="004A4B0F" w:rsidRDefault="004A4B0F" w:rsidP="004A4B0F">
      <w:pPr>
        <w:spacing w:after="0" w:line="288" w:lineRule="auto"/>
        <w:jc w:val="left"/>
        <w:rPr>
          <w:rFonts w:eastAsia="Cambria" w:cs="Arial"/>
          <w:sz w:val="20"/>
        </w:rPr>
      </w:pPr>
    </w:p>
    <w:p w14:paraId="54650BE3" w14:textId="77777777" w:rsidR="004A4B0F" w:rsidRDefault="004A4B0F" w:rsidP="004A4B0F">
      <w:pPr>
        <w:spacing w:after="0" w:line="288" w:lineRule="auto"/>
        <w:jc w:val="left"/>
        <w:rPr>
          <w:rFonts w:eastAsia="Cambria" w:cs="Arial"/>
          <w:sz w:val="20"/>
        </w:rPr>
      </w:pPr>
      <w:r w:rsidRPr="0051141B">
        <w:rPr>
          <w:rFonts w:eastAsia="Cambria" w:cs="Arial"/>
          <w:sz w:val="20"/>
        </w:rPr>
        <w:t>The provision of investment advice does</w:t>
      </w:r>
      <w:r>
        <w:rPr>
          <w:rFonts w:eastAsia="Cambria" w:cs="Arial"/>
          <w:sz w:val="20"/>
        </w:rPr>
        <w:t xml:space="preserve"> not trigger a reporting obligation</w:t>
      </w:r>
      <w:r w:rsidRPr="0051141B">
        <w:rPr>
          <w:rFonts w:eastAsia="Cambria" w:cs="Arial"/>
          <w:sz w:val="20"/>
        </w:rPr>
        <w:t xml:space="preserve"> under Art</w:t>
      </w:r>
      <w:r>
        <w:rPr>
          <w:rFonts w:eastAsia="Cambria" w:cs="Arial"/>
          <w:sz w:val="20"/>
        </w:rPr>
        <w:t>icle</w:t>
      </w:r>
      <w:r w:rsidRPr="0051141B">
        <w:rPr>
          <w:rFonts w:eastAsia="Cambria" w:cs="Arial"/>
          <w:sz w:val="20"/>
        </w:rPr>
        <w:t xml:space="preserve"> 26 MiFIR (Art</w:t>
      </w:r>
      <w:r>
        <w:rPr>
          <w:rFonts w:eastAsia="Cambria" w:cs="Arial"/>
          <w:sz w:val="20"/>
        </w:rPr>
        <w:t>icle</w:t>
      </w:r>
      <w:r w:rsidRPr="0051141B">
        <w:rPr>
          <w:rFonts w:eastAsia="Cambria" w:cs="Arial"/>
          <w:sz w:val="20"/>
        </w:rPr>
        <w:t xml:space="preserve"> 2 para 1 and 2 of Commission Delegated Regulation (EU) 2017/590). </w:t>
      </w:r>
    </w:p>
    <w:p w14:paraId="4385D7D6" w14:textId="77777777" w:rsidR="004A4B0F" w:rsidRDefault="004A4B0F" w:rsidP="004A4B0F">
      <w:pPr>
        <w:spacing w:after="0" w:line="288" w:lineRule="auto"/>
        <w:jc w:val="left"/>
        <w:rPr>
          <w:rFonts w:eastAsia="Cambria" w:cs="Arial"/>
          <w:sz w:val="20"/>
        </w:rPr>
      </w:pPr>
    </w:p>
    <w:p w14:paraId="00B5F474" w14:textId="77777777" w:rsidR="004A4B0F" w:rsidRDefault="004A4B0F" w:rsidP="004A4B0F">
      <w:pPr>
        <w:spacing w:after="0" w:line="288" w:lineRule="auto"/>
        <w:jc w:val="left"/>
        <w:rPr>
          <w:rFonts w:eastAsia="Cambria" w:cs="Arial"/>
          <w:sz w:val="20"/>
        </w:rPr>
      </w:pPr>
      <w:r w:rsidRPr="0051141B">
        <w:rPr>
          <w:rFonts w:eastAsia="Cambria" w:cs="Arial"/>
          <w:sz w:val="20"/>
        </w:rPr>
        <w:t>ESMA also refer</w:t>
      </w:r>
      <w:r>
        <w:rPr>
          <w:rFonts w:eastAsia="Cambria" w:cs="Arial"/>
          <w:sz w:val="20"/>
        </w:rPr>
        <w:t>s</w:t>
      </w:r>
      <w:r w:rsidRPr="0051141B">
        <w:rPr>
          <w:rFonts w:eastAsia="Cambria" w:cs="Arial"/>
          <w:sz w:val="20"/>
        </w:rPr>
        <w:t xml:space="preserve"> to the “management of portfolios of investments, including those owned by pension funds, in accordance with mandates given by investors on a discretionary client-by client basis, where such portfolios include one or more of the instruments listed in Annex I Section C to Directive 2004/39/EC”. </w:t>
      </w:r>
      <w:r>
        <w:rPr>
          <w:rFonts w:eastAsia="Cambria" w:cs="Arial"/>
          <w:sz w:val="20"/>
        </w:rPr>
        <w:t xml:space="preserve">Such an </w:t>
      </w:r>
      <w:r w:rsidRPr="0051141B">
        <w:rPr>
          <w:rFonts w:eastAsia="Cambria" w:cs="Arial"/>
          <w:sz w:val="20"/>
        </w:rPr>
        <w:t>activity</w:t>
      </w:r>
      <w:r>
        <w:rPr>
          <w:rFonts w:eastAsia="Cambria" w:cs="Arial"/>
          <w:sz w:val="20"/>
        </w:rPr>
        <w:t xml:space="preserve"> – </w:t>
      </w:r>
      <w:r w:rsidRPr="0051141B">
        <w:rPr>
          <w:rFonts w:eastAsia="Cambria" w:cs="Arial"/>
          <w:sz w:val="20"/>
        </w:rPr>
        <w:t xml:space="preserve">provided by a </w:t>
      </w:r>
      <w:r>
        <w:rPr>
          <w:rFonts w:eastAsia="Cambria" w:cs="Arial"/>
          <w:sz w:val="20"/>
        </w:rPr>
        <w:t xml:space="preserve">licensed </w:t>
      </w:r>
      <w:r w:rsidRPr="0051141B">
        <w:rPr>
          <w:rFonts w:eastAsia="Cambria" w:cs="Arial"/>
          <w:sz w:val="20"/>
        </w:rPr>
        <w:t>Manager under MiFID</w:t>
      </w:r>
      <w:r>
        <w:rPr>
          <w:rFonts w:eastAsia="Cambria" w:cs="Arial"/>
          <w:sz w:val="20"/>
        </w:rPr>
        <w:t xml:space="preserve"> – </w:t>
      </w:r>
      <w:r w:rsidRPr="0051141B">
        <w:rPr>
          <w:rFonts w:eastAsia="Cambria" w:cs="Arial"/>
          <w:sz w:val="20"/>
        </w:rPr>
        <w:t>trigger</w:t>
      </w:r>
      <w:r>
        <w:rPr>
          <w:rFonts w:eastAsia="Cambria" w:cs="Arial"/>
          <w:sz w:val="20"/>
        </w:rPr>
        <w:t>s a</w:t>
      </w:r>
      <w:r w:rsidRPr="0051141B">
        <w:rPr>
          <w:rFonts w:eastAsia="Cambria" w:cs="Arial"/>
          <w:sz w:val="20"/>
        </w:rPr>
        <w:t xml:space="preserve"> reporting </w:t>
      </w:r>
      <w:r>
        <w:rPr>
          <w:rFonts w:eastAsia="Cambria" w:cs="Arial"/>
          <w:sz w:val="20"/>
        </w:rPr>
        <w:t xml:space="preserve">obligation in respect to </w:t>
      </w:r>
      <w:r w:rsidRPr="0051141B">
        <w:rPr>
          <w:rFonts w:eastAsia="Cambria" w:cs="Arial"/>
          <w:sz w:val="20"/>
        </w:rPr>
        <w:t>Art</w:t>
      </w:r>
      <w:r>
        <w:rPr>
          <w:rFonts w:eastAsia="Cambria" w:cs="Arial"/>
          <w:sz w:val="20"/>
        </w:rPr>
        <w:t xml:space="preserve">icle </w:t>
      </w:r>
      <w:r w:rsidRPr="0051141B">
        <w:rPr>
          <w:rFonts w:eastAsia="Cambria" w:cs="Arial"/>
          <w:sz w:val="20"/>
        </w:rPr>
        <w:t>26 MiFIR.</w:t>
      </w:r>
      <w:r>
        <w:rPr>
          <w:rFonts w:eastAsia="Cambria" w:cs="Arial"/>
          <w:sz w:val="20"/>
        </w:rPr>
        <w:t xml:space="preserve"> </w:t>
      </w:r>
    </w:p>
    <w:p w14:paraId="5F6FB319" w14:textId="77777777" w:rsidR="004A4B0F" w:rsidRDefault="004A4B0F" w:rsidP="004A4B0F">
      <w:pPr>
        <w:spacing w:after="0" w:line="288" w:lineRule="auto"/>
        <w:jc w:val="left"/>
        <w:rPr>
          <w:rFonts w:eastAsia="Cambria" w:cs="Arial"/>
          <w:sz w:val="20"/>
        </w:rPr>
      </w:pPr>
    </w:p>
    <w:p w14:paraId="5B369F52" w14:textId="77777777" w:rsidR="004A4B0F" w:rsidRDefault="004A4B0F" w:rsidP="004A4B0F">
      <w:pPr>
        <w:spacing w:after="0" w:line="288" w:lineRule="auto"/>
        <w:jc w:val="left"/>
        <w:rPr>
          <w:rFonts w:eastAsia="Cambria" w:cs="Arial"/>
          <w:sz w:val="20"/>
        </w:rPr>
      </w:pPr>
      <w:r w:rsidRPr="0051141B">
        <w:rPr>
          <w:rFonts w:eastAsia="Cambria" w:cs="Arial"/>
          <w:sz w:val="20"/>
        </w:rPr>
        <w:t xml:space="preserve">However, we do not agree </w:t>
      </w:r>
      <w:r>
        <w:rPr>
          <w:rFonts w:eastAsia="Cambria" w:cs="Arial"/>
          <w:sz w:val="20"/>
        </w:rPr>
        <w:t>with</w:t>
      </w:r>
      <w:r w:rsidRPr="0051141B">
        <w:rPr>
          <w:rFonts w:eastAsia="Cambria" w:cs="Arial"/>
          <w:sz w:val="20"/>
        </w:rPr>
        <w:t xml:space="preserve"> ESMA’s as</w:t>
      </w:r>
      <w:r>
        <w:rPr>
          <w:rFonts w:eastAsia="Cambria" w:cs="Arial"/>
          <w:sz w:val="20"/>
        </w:rPr>
        <w:t xml:space="preserve">sessment </w:t>
      </w:r>
      <w:r w:rsidRPr="0051141B">
        <w:rPr>
          <w:rFonts w:eastAsia="Cambria" w:cs="Arial"/>
          <w:sz w:val="20"/>
        </w:rPr>
        <w:t>summarised in para. 12 of the CP:</w:t>
      </w:r>
    </w:p>
    <w:p w14:paraId="598AFEE7" w14:textId="77777777" w:rsidR="004A4B0F" w:rsidRPr="0051141B" w:rsidRDefault="004A4B0F" w:rsidP="004A4B0F">
      <w:pPr>
        <w:spacing w:after="0" w:line="288" w:lineRule="auto"/>
        <w:jc w:val="left"/>
        <w:rPr>
          <w:rFonts w:eastAsia="Cambria" w:cs="Arial"/>
          <w:sz w:val="20"/>
        </w:rPr>
      </w:pPr>
    </w:p>
    <w:p w14:paraId="4461D642" w14:textId="77777777" w:rsidR="004A4B0F" w:rsidRPr="00603075" w:rsidRDefault="004A4B0F" w:rsidP="004A4B0F">
      <w:pPr>
        <w:pStyle w:val="Listenabsatz"/>
        <w:numPr>
          <w:ilvl w:val="0"/>
          <w:numId w:val="12"/>
        </w:numPr>
        <w:spacing w:after="0" w:line="288" w:lineRule="auto"/>
        <w:contextualSpacing/>
        <w:jc w:val="left"/>
        <w:rPr>
          <w:rFonts w:eastAsia="Cambria" w:cs="Arial"/>
          <w:sz w:val="20"/>
        </w:rPr>
      </w:pPr>
      <w:r w:rsidRPr="00603075">
        <w:rPr>
          <w:rFonts w:eastAsia="Cambria" w:cs="Arial"/>
          <w:sz w:val="20"/>
        </w:rPr>
        <w:t xml:space="preserve">ESMA describes that only the buyer/seller </w:t>
      </w:r>
      <w:r>
        <w:rPr>
          <w:rFonts w:eastAsia="Cambria" w:cs="Arial"/>
          <w:sz w:val="20"/>
        </w:rPr>
        <w:t xml:space="preserve">needs to be reported </w:t>
      </w:r>
      <w:r w:rsidRPr="00603075">
        <w:rPr>
          <w:rFonts w:eastAsia="Cambria" w:cs="Arial"/>
          <w:sz w:val="20"/>
        </w:rPr>
        <w:t>by the trading venues to the NCAs. However, ESMA argues further that information on the decision makers</w:t>
      </w:r>
      <w:r>
        <w:rPr>
          <w:rFonts w:eastAsia="Cambria" w:cs="Arial"/>
          <w:sz w:val="20"/>
        </w:rPr>
        <w:t xml:space="preserve"> is</w:t>
      </w:r>
      <w:r w:rsidRPr="00603075">
        <w:rPr>
          <w:rFonts w:eastAsia="Cambria" w:cs="Arial"/>
          <w:sz w:val="20"/>
        </w:rPr>
        <w:t xml:space="preserve"> essential for the purpose of market abuse surveillance. We believe that ESMA should consider that the </w:t>
      </w:r>
      <w:r>
        <w:rPr>
          <w:rFonts w:eastAsia="Cambria" w:cs="Arial"/>
          <w:sz w:val="20"/>
        </w:rPr>
        <w:t xml:space="preserve">investment </w:t>
      </w:r>
      <w:r w:rsidRPr="00603075">
        <w:rPr>
          <w:rFonts w:eastAsia="Cambria" w:cs="Arial"/>
          <w:sz w:val="20"/>
        </w:rPr>
        <w:t>decision is m</w:t>
      </w:r>
      <w:r>
        <w:rPr>
          <w:rFonts w:eastAsia="Cambria" w:cs="Arial"/>
          <w:sz w:val="20"/>
        </w:rPr>
        <w:t xml:space="preserve">ade in the context of managing </w:t>
      </w:r>
      <w:r w:rsidRPr="00603075">
        <w:rPr>
          <w:rFonts w:eastAsia="Cambria" w:cs="Arial"/>
          <w:sz w:val="20"/>
        </w:rPr>
        <w:t xml:space="preserve">a portfolio of investment funds. The decision maker </w:t>
      </w:r>
      <w:r>
        <w:rPr>
          <w:rFonts w:eastAsia="Cambria" w:cs="Arial"/>
          <w:sz w:val="20"/>
        </w:rPr>
        <w:t xml:space="preserve">of a fund </w:t>
      </w:r>
      <w:r w:rsidRPr="00603075">
        <w:rPr>
          <w:rFonts w:eastAsia="Cambria" w:cs="Arial"/>
          <w:sz w:val="20"/>
        </w:rPr>
        <w:t>does not benefit from market abuse</w:t>
      </w:r>
      <w:r>
        <w:rPr>
          <w:rFonts w:eastAsia="Cambria" w:cs="Arial"/>
          <w:sz w:val="20"/>
        </w:rPr>
        <w:t xml:space="preserve"> activities</w:t>
      </w:r>
      <w:r w:rsidRPr="00603075">
        <w:rPr>
          <w:rFonts w:eastAsia="Cambria" w:cs="Arial"/>
          <w:sz w:val="20"/>
        </w:rPr>
        <w:t xml:space="preserve">. We see ESMA’s </w:t>
      </w:r>
      <w:r>
        <w:rPr>
          <w:rFonts w:eastAsia="Cambria" w:cs="Arial"/>
          <w:sz w:val="20"/>
        </w:rPr>
        <w:t xml:space="preserve">wish to </w:t>
      </w:r>
      <w:r w:rsidRPr="00603075">
        <w:rPr>
          <w:rFonts w:eastAsia="Cambria" w:cs="Arial"/>
          <w:sz w:val="20"/>
        </w:rPr>
        <w:t xml:space="preserve">introduce an extremely expensive reporting regime </w:t>
      </w:r>
      <w:r>
        <w:rPr>
          <w:rFonts w:eastAsia="Cambria" w:cs="Arial"/>
          <w:sz w:val="20"/>
        </w:rPr>
        <w:t>for</w:t>
      </w:r>
      <w:r w:rsidRPr="00603075">
        <w:rPr>
          <w:rFonts w:eastAsia="Cambria" w:cs="Arial"/>
          <w:sz w:val="20"/>
        </w:rPr>
        <w:t xml:space="preserve"> UCITS managers </w:t>
      </w:r>
      <w:r>
        <w:rPr>
          <w:rFonts w:eastAsia="Cambria" w:cs="Arial"/>
          <w:sz w:val="20"/>
        </w:rPr>
        <w:t xml:space="preserve">which is simply not </w:t>
      </w:r>
      <w:r w:rsidRPr="00603075">
        <w:rPr>
          <w:rFonts w:eastAsia="Cambria" w:cs="Arial"/>
          <w:sz w:val="20"/>
        </w:rPr>
        <w:t>in</w:t>
      </w:r>
      <w:r>
        <w:rPr>
          <w:rFonts w:eastAsia="Cambria" w:cs="Arial"/>
          <w:sz w:val="20"/>
        </w:rPr>
        <w:t xml:space="preserve"> line</w:t>
      </w:r>
      <w:r w:rsidRPr="00603075">
        <w:rPr>
          <w:rFonts w:eastAsia="Cambria" w:cs="Arial"/>
          <w:sz w:val="20"/>
        </w:rPr>
        <w:t xml:space="preserve"> with the </w:t>
      </w:r>
      <w:r>
        <w:rPr>
          <w:rFonts w:eastAsia="Cambria" w:cs="Arial"/>
          <w:sz w:val="20"/>
        </w:rPr>
        <w:t xml:space="preserve">EU </w:t>
      </w:r>
      <w:r w:rsidRPr="00603075">
        <w:rPr>
          <w:rFonts w:eastAsia="Cambria" w:cs="Arial"/>
          <w:sz w:val="20"/>
        </w:rPr>
        <w:t xml:space="preserve">principle of proportionality given the lack of market abuse in </w:t>
      </w:r>
      <w:r>
        <w:rPr>
          <w:rFonts w:eastAsia="Cambria" w:cs="Arial"/>
          <w:sz w:val="20"/>
        </w:rPr>
        <w:t>fund management situations</w:t>
      </w:r>
      <w:r w:rsidRPr="00603075">
        <w:rPr>
          <w:rFonts w:eastAsia="Cambria" w:cs="Arial"/>
          <w:sz w:val="20"/>
        </w:rPr>
        <w:t>.</w:t>
      </w:r>
    </w:p>
    <w:p w14:paraId="786582DB" w14:textId="77777777" w:rsidR="004A4B0F" w:rsidRDefault="004A4B0F" w:rsidP="004A4B0F">
      <w:pPr>
        <w:spacing w:after="0" w:line="288" w:lineRule="auto"/>
        <w:jc w:val="left"/>
        <w:rPr>
          <w:rFonts w:eastAsia="Cambria" w:cs="Arial"/>
          <w:sz w:val="20"/>
        </w:rPr>
      </w:pPr>
    </w:p>
    <w:p w14:paraId="695A0670" w14:textId="77777777" w:rsidR="004A4B0F" w:rsidRDefault="004A4B0F" w:rsidP="004A4B0F">
      <w:pPr>
        <w:pStyle w:val="Listenabsatz"/>
        <w:numPr>
          <w:ilvl w:val="0"/>
          <w:numId w:val="12"/>
        </w:numPr>
        <w:spacing w:after="0" w:line="288" w:lineRule="auto"/>
        <w:contextualSpacing/>
        <w:jc w:val="left"/>
        <w:rPr>
          <w:rFonts w:eastAsia="Cambria" w:cs="Arial"/>
          <w:sz w:val="20"/>
        </w:rPr>
      </w:pPr>
      <w:r w:rsidRPr="00603075">
        <w:rPr>
          <w:rFonts w:eastAsia="Cambria" w:cs="Arial"/>
          <w:sz w:val="20"/>
        </w:rPr>
        <w:t xml:space="preserve">A market abuse </w:t>
      </w:r>
      <w:r>
        <w:rPr>
          <w:rFonts w:eastAsia="Cambria" w:cs="Arial"/>
          <w:sz w:val="20"/>
        </w:rPr>
        <w:t xml:space="preserve">may only </w:t>
      </w:r>
      <w:r w:rsidRPr="00603075">
        <w:rPr>
          <w:rFonts w:eastAsia="Cambria" w:cs="Arial"/>
          <w:sz w:val="20"/>
        </w:rPr>
        <w:t xml:space="preserve">occur </w:t>
      </w:r>
      <w:r>
        <w:rPr>
          <w:rFonts w:eastAsia="Cambria" w:cs="Arial"/>
          <w:sz w:val="20"/>
        </w:rPr>
        <w:t xml:space="preserve">in the cases </w:t>
      </w:r>
      <w:r w:rsidRPr="00603075">
        <w:rPr>
          <w:rFonts w:eastAsia="Cambria" w:cs="Arial"/>
          <w:sz w:val="20"/>
        </w:rPr>
        <w:t xml:space="preserve">if the decision maker </w:t>
      </w:r>
      <w:r>
        <w:rPr>
          <w:rFonts w:eastAsia="Cambria" w:cs="Arial"/>
          <w:sz w:val="20"/>
        </w:rPr>
        <w:t xml:space="preserve">concludes </w:t>
      </w:r>
      <w:r w:rsidRPr="00603075">
        <w:rPr>
          <w:rFonts w:eastAsia="Cambria" w:cs="Arial"/>
          <w:sz w:val="20"/>
        </w:rPr>
        <w:t xml:space="preserve">transactions </w:t>
      </w:r>
      <w:r>
        <w:rPr>
          <w:rFonts w:eastAsia="Cambria" w:cs="Arial"/>
          <w:sz w:val="20"/>
        </w:rPr>
        <w:t>on behalf of their</w:t>
      </w:r>
      <w:r w:rsidRPr="00603075">
        <w:rPr>
          <w:rFonts w:eastAsia="Cambria" w:cs="Arial"/>
          <w:sz w:val="20"/>
        </w:rPr>
        <w:t xml:space="preserve"> own account. </w:t>
      </w:r>
      <w:r>
        <w:rPr>
          <w:rFonts w:eastAsia="Cambria" w:cs="Arial"/>
          <w:sz w:val="20"/>
        </w:rPr>
        <w:t xml:space="preserve">Such </w:t>
      </w:r>
      <w:r w:rsidRPr="00603075">
        <w:rPr>
          <w:rFonts w:eastAsia="Cambria" w:cs="Arial"/>
          <w:sz w:val="20"/>
        </w:rPr>
        <w:t>transactions are already reported under Art</w:t>
      </w:r>
      <w:r>
        <w:rPr>
          <w:rFonts w:eastAsia="Cambria" w:cs="Arial"/>
          <w:sz w:val="20"/>
        </w:rPr>
        <w:t xml:space="preserve">icle </w:t>
      </w:r>
      <w:r w:rsidRPr="00603075">
        <w:rPr>
          <w:rFonts w:eastAsia="Cambria" w:cs="Arial"/>
          <w:sz w:val="20"/>
        </w:rPr>
        <w:t>26 MiFIR by the bank</w:t>
      </w:r>
      <w:r>
        <w:rPr>
          <w:rFonts w:eastAsia="Cambria" w:cs="Arial"/>
          <w:sz w:val="20"/>
        </w:rPr>
        <w:t xml:space="preserve">s and the MiFID firms </w:t>
      </w:r>
      <w:r w:rsidRPr="00603075">
        <w:rPr>
          <w:rFonts w:eastAsia="Cambria" w:cs="Arial"/>
          <w:sz w:val="20"/>
        </w:rPr>
        <w:t>maintaining the decision makers private securities account today. Against this background there is no regulatory gap.</w:t>
      </w:r>
    </w:p>
    <w:p w14:paraId="3DB5F2B2" w14:textId="77777777" w:rsidR="004A4B0F" w:rsidRPr="00C31A4B" w:rsidRDefault="004A4B0F" w:rsidP="004A4B0F">
      <w:pPr>
        <w:spacing w:after="0" w:line="288" w:lineRule="auto"/>
        <w:rPr>
          <w:rFonts w:eastAsia="Cambria" w:cs="Arial"/>
          <w:sz w:val="20"/>
        </w:rPr>
      </w:pPr>
    </w:p>
    <w:p w14:paraId="082C61BF" w14:textId="77777777" w:rsidR="004A4B0F" w:rsidRPr="00603075" w:rsidRDefault="004A4B0F" w:rsidP="004A4B0F">
      <w:pPr>
        <w:pStyle w:val="Listenabsatz"/>
        <w:numPr>
          <w:ilvl w:val="0"/>
          <w:numId w:val="12"/>
        </w:numPr>
        <w:spacing w:after="0" w:line="288" w:lineRule="auto"/>
        <w:contextualSpacing/>
        <w:jc w:val="left"/>
        <w:rPr>
          <w:rFonts w:eastAsia="Cambria" w:cs="Arial"/>
          <w:sz w:val="20"/>
        </w:rPr>
      </w:pPr>
      <w:r w:rsidRPr="00603075">
        <w:rPr>
          <w:rFonts w:eastAsia="Cambria" w:cs="Arial"/>
          <w:sz w:val="20"/>
        </w:rPr>
        <w:t xml:space="preserve">ESMA has provided the EU Commission with draft technical standards (please see EU Commission Delegated Regulation (EU) 2017/590) </w:t>
      </w:r>
      <w:r>
        <w:rPr>
          <w:rFonts w:eastAsia="Cambria" w:cs="Arial"/>
          <w:sz w:val="20"/>
        </w:rPr>
        <w:t>describing</w:t>
      </w:r>
      <w:r w:rsidRPr="00603075">
        <w:rPr>
          <w:rFonts w:eastAsia="Cambria" w:cs="Arial"/>
          <w:sz w:val="20"/>
        </w:rPr>
        <w:t xml:space="preserve"> that investment firms should only report the next </w:t>
      </w:r>
      <w:r>
        <w:rPr>
          <w:rFonts w:eastAsia="Cambria" w:cs="Arial"/>
          <w:sz w:val="20"/>
        </w:rPr>
        <w:t xml:space="preserve">legal part </w:t>
      </w:r>
      <w:r w:rsidRPr="00603075">
        <w:rPr>
          <w:rFonts w:eastAsia="Cambria" w:cs="Arial"/>
          <w:sz w:val="20"/>
        </w:rPr>
        <w:t xml:space="preserve">the transaction chain. </w:t>
      </w:r>
      <w:r>
        <w:rPr>
          <w:rFonts w:eastAsia="Cambria" w:cs="Arial"/>
          <w:sz w:val="20"/>
        </w:rPr>
        <w:t xml:space="preserve">This </w:t>
      </w:r>
      <w:r w:rsidRPr="00603075">
        <w:rPr>
          <w:rFonts w:eastAsia="Cambria" w:cs="Arial"/>
          <w:sz w:val="20"/>
        </w:rPr>
        <w:t>approach</w:t>
      </w:r>
      <w:r>
        <w:rPr>
          <w:rFonts w:eastAsia="Cambria" w:cs="Arial"/>
          <w:sz w:val="20"/>
        </w:rPr>
        <w:t xml:space="preserve"> is applied also in cases </w:t>
      </w:r>
      <w:r w:rsidRPr="00603075">
        <w:rPr>
          <w:rFonts w:eastAsia="Cambria" w:cs="Arial"/>
          <w:sz w:val="20"/>
        </w:rPr>
        <w:t xml:space="preserve">where the next </w:t>
      </w:r>
      <w:r>
        <w:rPr>
          <w:rFonts w:eastAsia="Cambria" w:cs="Arial"/>
          <w:sz w:val="20"/>
        </w:rPr>
        <w:t>leg</w:t>
      </w:r>
      <w:r w:rsidRPr="00603075">
        <w:rPr>
          <w:rFonts w:eastAsia="Cambria" w:cs="Arial"/>
          <w:sz w:val="20"/>
        </w:rPr>
        <w:t xml:space="preserve"> of the transaction chain is not an investment firm. </w:t>
      </w:r>
      <w:r>
        <w:rPr>
          <w:rFonts w:eastAsia="Cambria" w:cs="Arial"/>
          <w:sz w:val="20"/>
        </w:rPr>
        <w:t>As a</w:t>
      </w:r>
      <w:r w:rsidRPr="00603075">
        <w:rPr>
          <w:rFonts w:eastAsia="Cambria" w:cs="Arial"/>
          <w:sz w:val="20"/>
        </w:rPr>
        <w:t xml:space="preserve"> consequence</w:t>
      </w:r>
      <w:r>
        <w:rPr>
          <w:rFonts w:eastAsia="Cambria" w:cs="Arial"/>
          <w:sz w:val="20"/>
        </w:rPr>
        <w:t>,</w:t>
      </w:r>
      <w:r w:rsidRPr="00603075">
        <w:rPr>
          <w:rFonts w:eastAsia="Cambria" w:cs="Arial"/>
          <w:sz w:val="20"/>
        </w:rPr>
        <w:t xml:space="preserve"> a person who plans market abuse and intends to hide </w:t>
      </w:r>
      <w:r>
        <w:rPr>
          <w:rFonts w:eastAsia="Cambria" w:cs="Arial"/>
          <w:sz w:val="20"/>
        </w:rPr>
        <w:t xml:space="preserve">his </w:t>
      </w:r>
      <w:r w:rsidRPr="00603075">
        <w:rPr>
          <w:rFonts w:eastAsia="Cambria" w:cs="Arial"/>
          <w:sz w:val="20"/>
        </w:rPr>
        <w:t xml:space="preserve">forbidden activity would only require an agent, acting on his behalf which </w:t>
      </w:r>
      <w:r>
        <w:rPr>
          <w:rFonts w:eastAsia="Cambria" w:cs="Arial"/>
          <w:sz w:val="20"/>
        </w:rPr>
        <w:t xml:space="preserve">is </w:t>
      </w:r>
      <w:r w:rsidRPr="00603075">
        <w:rPr>
          <w:rFonts w:eastAsia="Cambria" w:cs="Arial"/>
          <w:sz w:val="20"/>
        </w:rPr>
        <w:t xml:space="preserve">not be an investment firm (e.g. a friend). </w:t>
      </w:r>
    </w:p>
    <w:p w14:paraId="29AE9004" w14:textId="77777777" w:rsidR="004A4B0F" w:rsidRDefault="004A4B0F" w:rsidP="004A4B0F">
      <w:pPr>
        <w:spacing w:after="0" w:line="288" w:lineRule="auto"/>
        <w:ind w:firstLine="360"/>
        <w:jc w:val="left"/>
        <w:rPr>
          <w:rFonts w:eastAsia="Cambria" w:cs="Arial"/>
          <w:sz w:val="20"/>
        </w:rPr>
      </w:pPr>
    </w:p>
    <w:p w14:paraId="28D7A2B3" w14:textId="77777777" w:rsidR="004A4B0F" w:rsidRPr="00603075" w:rsidRDefault="004A4B0F" w:rsidP="004A4B0F">
      <w:pPr>
        <w:spacing w:after="0" w:line="288" w:lineRule="auto"/>
        <w:ind w:left="360"/>
        <w:jc w:val="left"/>
        <w:rPr>
          <w:rFonts w:eastAsia="Cambria" w:cs="Arial"/>
          <w:sz w:val="20"/>
        </w:rPr>
      </w:pPr>
      <w:r w:rsidRPr="00603075">
        <w:rPr>
          <w:rFonts w:eastAsia="Cambria" w:cs="Arial"/>
          <w:sz w:val="20"/>
        </w:rPr>
        <w:t>In this example, the investment firm would only report the agent used as buyer/seller rather than reporting the person represented by the agent. If the decision maker is of such importance for market abuse surveillance, it is difficult to understand why anonymity is tolerated by ESMA for more  cases while requesting in parallel the expensive implementation of Art</w:t>
      </w:r>
      <w:r>
        <w:rPr>
          <w:rFonts w:eastAsia="Cambria" w:cs="Arial"/>
          <w:sz w:val="20"/>
        </w:rPr>
        <w:t xml:space="preserve">icle </w:t>
      </w:r>
      <w:r w:rsidRPr="00603075">
        <w:rPr>
          <w:rFonts w:eastAsia="Cambria" w:cs="Arial"/>
          <w:sz w:val="20"/>
        </w:rPr>
        <w:t>26 MiFIR by UCITS managers for very unlikely cases of market abuse</w:t>
      </w:r>
      <w:r>
        <w:rPr>
          <w:rFonts w:eastAsia="Cambria" w:cs="Arial"/>
          <w:sz w:val="20"/>
        </w:rPr>
        <w:t xml:space="preserve">. </w:t>
      </w:r>
    </w:p>
    <w:p w14:paraId="73897E2C" w14:textId="77777777" w:rsidR="004A4B0F" w:rsidRPr="0051141B" w:rsidRDefault="004A4B0F" w:rsidP="004A4B0F">
      <w:pPr>
        <w:spacing w:after="0" w:line="288" w:lineRule="auto"/>
        <w:jc w:val="left"/>
        <w:rPr>
          <w:rFonts w:eastAsia="Cambria" w:cs="Arial"/>
          <w:sz w:val="20"/>
        </w:rPr>
      </w:pPr>
    </w:p>
    <w:p w14:paraId="7CBA5352" w14:textId="77777777" w:rsidR="004A4B0F" w:rsidRDefault="004A4B0F" w:rsidP="004A4B0F">
      <w:pPr>
        <w:pStyle w:val="Listenabsatz"/>
        <w:numPr>
          <w:ilvl w:val="0"/>
          <w:numId w:val="9"/>
        </w:numPr>
        <w:spacing w:after="0" w:line="288" w:lineRule="auto"/>
        <w:contextualSpacing/>
        <w:jc w:val="left"/>
        <w:rPr>
          <w:rFonts w:eastAsia="Cambria" w:cs="Arial"/>
          <w:b/>
          <w:bCs/>
          <w:sz w:val="20"/>
        </w:rPr>
      </w:pPr>
      <w:r w:rsidRPr="00AA3A89">
        <w:rPr>
          <w:rFonts w:eastAsia="Cambria" w:cs="Arial"/>
          <w:b/>
          <w:bCs/>
          <w:sz w:val="20"/>
        </w:rPr>
        <w:t xml:space="preserve">BREXIT </w:t>
      </w:r>
      <w:r>
        <w:rPr>
          <w:rFonts w:eastAsia="Cambria" w:cs="Arial"/>
          <w:b/>
          <w:bCs/>
          <w:sz w:val="20"/>
        </w:rPr>
        <w:t xml:space="preserve">leads to an </w:t>
      </w:r>
      <w:r w:rsidRPr="00AA3A89">
        <w:rPr>
          <w:rFonts w:eastAsia="Cambria" w:cs="Arial"/>
          <w:b/>
          <w:bCs/>
          <w:sz w:val="20"/>
        </w:rPr>
        <w:t>unlevel playing field</w:t>
      </w:r>
    </w:p>
    <w:p w14:paraId="131B5C04" w14:textId="77777777" w:rsidR="004A4B0F" w:rsidRDefault="004A4B0F" w:rsidP="004A4B0F">
      <w:pPr>
        <w:spacing w:after="0" w:line="288" w:lineRule="auto"/>
        <w:jc w:val="left"/>
        <w:rPr>
          <w:rFonts w:eastAsia="Cambria" w:cs="Arial"/>
          <w:b/>
          <w:bCs/>
          <w:sz w:val="20"/>
        </w:rPr>
      </w:pPr>
    </w:p>
    <w:p w14:paraId="1BA5B63C" w14:textId="77777777" w:rsidR="004A4B0F" w:rsidRDefault="004A4B0F" w:rsidP="004A4B0F">
      <w:pPr>
        <w:spacing w:after="0" w:line="288" w:lineRule="auto"/>
        <w:jc w:val="left"/>
        <w:rPr>
          <w:rFonts w:eastAsia="Cambria" w:cs="Arial"/>
          <w:sz w:val="20"/>
        </w:rPr>
      </w:pPr>
      <w:r>
        <w:rPr>
          <w:rFonts w:eastAsia="Cambria" w:cs="Arial"/>
          <w:sz w:val="20"/>
        </w:rPr>
        <w:t xml:space="preserve">In para 14 of the consultation paper </w:t>
      </w:r>
      <w:r w:rsidRPr="0051141B">
        <w:rPr>
          <w:rFonts w:eastAsia="Cambria" w:cs="Arial"/>
          <w:sz w:val="20"/>
        </w:rPr>
        <w:t>ESMA demands a level playing field</w:t>
      </w:r>
      <w:r>
        <w:rPr>
          <w:rFonts w:eastAsia="Cambria" w:cs="Arial"/>
          <w:sz w:val="20"/>
        </w:rPr>
        <w:t xml:space="preserve"> between investment firms providing the same type of MIFID services and UCITS/AIF managers.</w:t>
      </w:r>
    </w:p>
    <w:p w14:paraId="3F4CD8CA" w14:textId="77777777" w:rsidR="004A4B0F" w:rsidRDefault="004A4B0F" w:rsidP="004A4B0F">
      <w:pPr>
        <w:spacing w:after="0" w:line="288" w:lineRule="auto"/>
        <w:jc w:val="left"/>
        <w:rPr>
          <w:rFonts w:eastAsia="Cambria" w:cs="Arial"/>
          <w:sz w:val="20"/>
        </w:rPr>
      </w:pPr>
    </w:p>
    <w:p w14:paraId="022591AE" w14:textId="77777777" w:rsidR="004A4B0F" w:rsidRPr="0051141B" w:rsidRDefault="004A4B0F" w:rsidP="004A4B0F">
      <w:pPr>
        <w:spacing w:after="0" w:line="288" w:lineRule="auto"/>
        <w:jc w:val="left"/>
        <w:rPr>
          <w:rFonts w:eastAsia="Cambria" w:cs="Arial"/>
          <w:sz w:val="20"/>
        </w:rPr>
      </w:pPr>
      <w:r>
        <w:rPr>
          <w:rFonts w:eastAsia="Cambria" w:cs="Arial"/>
          <w:sz w:val="20"/>
        </w:rPr>
        <w:t xml:space="preserve">However, Brexit will create a </w:t>
      </w:r>
      <w:r w:rsidRPr="002A2B2C">
        <w:rPr>
          <w:rFonts w:eastAsia="Cambria" w:cs="Arial"/>
          <w:sz w:val="20"/>
        </w:rPr>
        <w:t>unlevel playing field</w:t>
      </w:r>
      <w:r>
        <w:rPr>
          <w:rFonts w:eastAsia="Cambria" w:cs="Arial"/>
          <w:sz w:val="20"/>
        </w:rPr>
        <w:t xml:space="preserve"> if only UCITS/AIF managers should be subject to the reporting obligation on Article 26 MiFIR. Within the UK </w:t>
      </w:r>
      <w:r w:rsidRPr="0051141B">
        <w:rPr>
          <w:rFonts w:eastAsia="Cambria" w:cs="Arial"/>
          <w:sz w:val="20"/>
        </w:rPr>
        <w:t>Withdrawal Act, UK made</w:t>
      </w:r>
      <w:r>
        <w:rPr>
          <w:rFonts w:eastAsia="Cambria" w:cs="Arial"/>
          <w:sz w:val="20"/>
        </w:rPr>
        <w:t xml:space="preserve"> the </w:t>
      </w:r>
      <w:r w:rsidRPr="0051141B">
        <w:rPr>
          <w:rFonts w:eastAsia="Cambria" w:cs="Arial"/>
          <w:sz w:val="20"/>
        </w:rPr>
        <w:t>MiFIR</w:t>
      </w:r>
      <w:r>
        <w:rPr>
          <w:rFonts w:eastAsia="Cambria" w:cs="Arial"/>
          <w:sz w:val="20"/>
        </w:rPr>
        <w:t xml:space="preserve"> regulation </w:t>
      </w:r>
      <w:r w:rsidRPr="0051141B">
        <w:rPr>
          <w:rFonts w:eastAsia="Cambria" w:cs="Arial"/>
          <w:sz w:val="20"/>
        </w:rPr>
        <w:t xml:space="preserve">part of </w:t>
      </w:r>
      <w:r>
        <w:rPr>
          <w:rFonts w:eastAsia="Cambria" w:cs="Arial"/>
          <w:sz w:val="20"/>
        </w:rPr>
        <w:t xml:space="preserve">the </w:t>
      </w:r>
      <w:r w:rsidRPr="0051141B">
        <w:rPr>
          <w:rFonts w:eastAsia="Cambria" w:cs="Arial"/>
          <w:sz w:val="20"/>
        </w:rPr>
        <w:t>national regulation. Any amendment</w:t>
      </w:r>
      <w:r>
        <w:rPr>
          <w:rFonts w:eastAsia="Cambria" w:cs="Arial"/>
          <w:sz w:val="20"/>
        </w:rPr>
        <w:t>s</w:t>
      </w:r>
      <w:r w:rsidRPr="0051141B">
        <w:rPr>
          <w:rFonts w:eastAsia="Cambria" w:cs="Arial"/>
          <w:sz w:val="20"/>
        </w:rPr>
        <w:t xml:space="preserve"> of the EU27 MiFIR that </w:t>
      </w:r>
      <w:r>
        <w:rPr>
          <w:rFonts w:eastAsia="Cambria" w:cs="Arial"/>
          <w:sz w:val="20"/>
        </w:rPr>
        <w:t>occurs</w:t>
      </w:r>
      <w:r w:rsidRPr="0051141B">
        <w:rPr>
          <w:rFonts w:eastAsia="Cambria" w:cs="Arial"/>
          <w:sz w:val="20"/>
        </w:rPr>
        <w:t xml:space="preserve"> </w:t>
      </w:r>
      <w:r>
        <w:rPr>
          <w:rFonts w:eastAsia="Cambria" w:cs="Arial"/>
          <w:sz w:val="20"/>
        </w:rPr>
        <w:t>after</w:t>
      </w:r>
      <w:r w:rsidRPr="0051141B">
        <w:rPr>
          <w:rFonts w:eastAsia="Cambria" w:cs="Arial"/>
          <w:sz w:val="20"/>
        </w:rPr>
        <w:t xml:space="preserve"> the </w:t>
      </w:r>
      <w:r>
        <w:rPr>
          <w:rFonts w:eastAsia="Cambria" w:cs="Arial"/>
          <w:sz w:val="20"/>
        </w:rPr>
        <w:t>end of the t</w:t>
      </w:r>
      <w:r w:rsidRPr="0051141B">
        <w:rPr>
          <w:rFonts w:eastAsia="Cambria" w:cs="Arial"/>
          <w:sz w:val="20"/>
        </w:rPr>
        <w:t xml:space="preserve">ransition </w:t>
      </w:r>
      <w:r>
        <w:rPr>
          <w:rFonts w:eastAsia="Cambria" w:cs="Arial"/>
          <w:sz w:val="20"/>
        </w:rPr>
        <w:t>p</w:t>
      </w:r>
      <w:r w:rsidRPr="0051141B">
        <w:rPr>
          <w:rFonts w:eastAsia="Cambria" w:cs="Arial"/>
          <w:sz w:val="20"/>
        </w:rPr>
        <w:t xml:space="preserve">eriod will not become part of UK MiFIR. </w:t>
      </w:r>
    </w:p>
    <w:p w14:paraId="765280F2" w14:textId="77777777" w:rsidR="004A4B0F" w:rsidRDefault="004A4B0F" w:rsidP="004A4B0F">
      <w:pPr>
        <w:spacing w:after="0" w:line="288" w:lineRule="auto"/>
        <w:jc w:val="left"/>
        <w:rPr>
          <w:rFonts w:eastAsia="Cambria" w:cs="Arial"/>
          <w:sz w:val="20"/>
        </w:rPr>
      </w:pPr>
    </w:p>
    <w:p w14:paraId="5629C1B8" w14:textId="77777777" w:rsidR="004A4B0F" w:rsidRPr="0051141B" w:rsidRDefault="004A4B0F" w:rsidP="004A4B0F">
      <w:pPr>
        <w:spacing w:after="0" w:line="288" w:lineRule="auto"/>
        <w:jc w:val="left"/>
        <w:rPr>
          <w:rFonts w:eastAsia="Cambria" w:cs="Arial"/>
          <w:sz w:val="20"/>
        </w:rPr>
      </w:pPr>
      <w:r>
        <w:rPr>
          <w:rFonts w:eastAsia="Cambria" w:cs="Arial"/>
          <w:sz w:val="20"/>
        </w:rPr>
        <w:t>UK-A</w:t>
      </w:r>
      <w:r w:rsidRPr="0051141B">
        <w:rPr>
          <w:rFonts w:eastAsia="Cambria" w:cs="Arial"/>
          <w:sz w:val="20"/>
        </w:rPr>
        <w:t xml:space="preserve">sset </w:t>
      </w:r>
      <w:r>
        <w:rPr>
          <w:rFonts w:eastAsia="Cambria" w:cs="Arial"/>
          <w:sz w:val="20"/>
        </w:rPr>
        <w:t>M</w:t>
      </w:r>
      <w:r w:rsidRPr="0051141B">
        <w:rPr>
          <w:rFonts w:eastAsia="Cambria" w:cs="Arial"/>
          <w:sz w:val="20"/>
        </w:rPr>
        <w:t xml:space="preserve">anagers would </w:t>
      </w:r>
      <w:r>
        <w:rPr>
          <w:rFonts w:eastAsia="Cambria" w:cs="Arial"/>
          <w:sz w:val="20"/>
        </w:rPr>
        <w:t xml:space="preserve">therefore </w:t>
      </w:r>
      <w:r w:rsidRPr="0051141B">
        <w:rPr>
          <w:rFonts w:eastAsia="Cambria" w:cs="Arial"/>
          <w:sz w:val="20"/>
        </w:rPr>
        <w:t xml:space="preserve">be able to offer their services to </w:t>
      </w:r>
      <w:r>
        <w:rPr>
          <w:rFonts w:eastAsia="Cambria" w:cs="Arial"/>
          <w:sz w:val="20"/>
        </w:rPr>
        <w:t>t</w:t>
      </w:r>
      <w:r w:rsidRPr="0051141B">
        <w:rPr>
          <w:rFonts w:eastAsia="Cambria" w:cs="Arial"/>
          <w:sz w:val="20"/>
        </w:rPr>
        <w:t xml:space="preserve">hird </w:t>
      </w:r>
      <w:r>
        <w:rPr>
          <w:rFonts w:eastAsia="Cambria" w:cs="Arial"/>
          <w:sz w:val="20"/>
        </w:rPr>
        <w:t>c</w:t>
      </w:r>
      <w:r w:rsidRPr="0051141B">
        <w:rPr>
          <w:rFonts w:eastAsia="Cambria" w:cs="Arial"/>
          <w:sz w:val="20"/>
        </w:rPr>
        <w:t xml:space="preserve">ountry clients at lower costs than </w:t>
      </w:r>
      <w:r>
        <w:rPr>
          <w:rFonts w:eastAsia="Cambria" w:cs="Arial"/>
          <w:sz w:val="20"/>
        </w:rPr>
        <w:t>A</w:t>
      </w:r>
      <w:r w:rsidRPr="0051141B">
        <w:rPr>
          <w:rFonts w:eastAsia="Cambria" w:cs="Arial"/>
          <w:sz w:val="20"/>
        </w:rPr>
        <w:t xml:space="preserve">sset </w:t>
      </w:r>
      <w:r>
        <w:rPr>
          <w:rFonts w:eastAsia="Cambria" w:cs="Arial"/>
          <w:sz w:val="20"/>
        </w:rPr>
        <w:t>M</w:t>
      </w:r>
      <w:r w:rsidRPr="0051141B">
        <w:rPr>
          <w:rFonts w:eastAsia="Cambria" w:cs="Arial"/>
          <w:sz w:val="20"/>
        </w:rPr>
        <w:t xml:space="preserve">anagers operating </w:t>
      </w:r>
      <w:r>
        <w:rPr>
          <w:rFonts w:eastAsia="Cambria" w:cs="Arial"/>
          <w:sz w:val="20"/>
        </w:rPr>
        <w:t xml:space="preserve">in </w:t>
      </w:r>
      <w:r w:rsidRPr="0051141B">
        <w:rPr>
          <w:rFonts w:eastAsia="Cambria" w:cs="Arial"/>
          <w:sz w:val="20"/>
        </w:rPr>
        <w:t xml:space="preserve">the EU27. </w:t>
      </w:r>
      <w:r>
        <w:rPr>
          <w:rFonts w:eastAsia="Cambria" w:cs="Arial"/>
          <w:sz w:val="20"/>
        </w:rPr>
        <w:t xml:space="preserve">Only EU UCITS/AIF managers </w:t>
      </w:r>
      <w:r w:rsidRPr="0051141B">
        <w:rPr>
          <w:rFonts w:eastAsia="Cambria" w:cs="Arial"/>
          <w:sz w:val="20"/>
        </w:rPr>
        <w:t>have</w:t>
      </w:r>
      <w:r>
        <w:rPr>
          <w:rFonts w:eastAsia="Cambria" w:cs="Arial"/>
          <w:sz w:val="20"/>
        </w:rPr>
        <w:t xml:space="preserve"> </w:t>
      </w:r>
      <w:r w:rsidRPr="0051141B">
        <w:rPr>
          <w:rFonts w:eastAsia="Cambria" w:cs="Arial"/>
          <w:sz w:val="20"/>
        </w:rPr>
        <w:t xml:space="preserve">to </w:t>
      </w:r>
      <w:r>
        <w:rPr>
          <w:rFonts w:eastAsia="Cambria" w:cs="Arial"/>
          <w:sz w:val="20"/>
        </w:rPr>
        <w:t xml:space="preserve">carry the new </w:t>
      </w:r>
      <w:r w:rsidRPr="0051141B">
        <w:rPr>
          <w:rFonts w:eastAsia="Cambria" w:cs="Arial"/>
          <w:sz w:val="20"/>
        </w:rPr>
        <w:t>costs for transaction reporting.</w:t>
      </w:r>
    </w:p>
    <w:p w14:paraId="1AF99FB7" w14:textId="77777777" w:rsidR="004A4B0F" w:rsidRDefault="004A4B0F" w:rsidP="004A4B0F">
      <w:pPr>
        <w:spacing w:after="0" w:line="288" w:lineRule="auto"/>
        <w:jc w:val="left"/>
        <w:rPr>
          <w:rFonts w:eastAsia="Cambria" w:cs="Arial"/>
          <w:sz w:val="20"/>
        </w:rPr>
      </w:pPr>
    </w:p>
    <w:p w14:paraId="7570EA39" w14:textId="77777777" w:rsidR="004A4B0F" w:rsidRDefault="004A4B0F" w:rsidP="004A4B0F">
      <w:pPr>
        <w:spacing w:after="0" w:line="288" w:lineRule="auto"/>
        <w:jc w:val="left"/>
        <w:rPr>
          <w:rFonts w:eastAsia="Cambria" w:cs="Arial"/>
          <w:sz w:val="20"/>
        </w:rPr>
      </w:pPr>
      <w:r>
        <w:rPr>
          <w:rFonts w:eastAsia="Cambria" w:cs="Arial"/>
          <w:sz w:val="20"/>
        </w:rPr>
        <w:t>In this context, w</w:t>
      </w:r>
      <w:r w:rsidRPr="0051141B">
        <w:rPr>
          <w:rFonts w:eastAsia="Cambria" w:cs="Arial"/>
          <w:sz w:val="20"/>
        </w:rPr>
        <w:t>e do not share ESMA’s assumption that there is a unlevel playing field</w:t>
      </w:r>
      <w:r>
        <w:rPr>
          <w:rFonts w:eastAsia="Cambria" w:cs="Arial"/>
          <w:sz w:val="20"/>
        </w:rPr>
        <w:t xml:space="preserve"> with respect </w:t>
      </w:r>
      <w:r w:rsidRPr="0051141B">
        <w:rPr>
          <w:rFonts w:eastAsia="Cambria" w:cs="Arial"/>
          <w:sz w:val="20"/>
        </w:rPr>
        <w:t>to investment firms</w:t>
      </w:r>
      <w:r>
        <w:rPr>
          <w:rFonts w:eastAsia="Cambria" w:cs="Arial"/>
          <w:sz w:val="20"/>
        </w:rPr>
        <w:t xml:space="preserve"> </w:t>
      </w:r>
      <w:r w:rsidRPr="0051141B">
        <w:rPr>
          <w:rFonts w:eastAsia="Cambria" w:cs="Arial"/>
          <w:sz w:val="20"/>
        </w:rPr>
        <w:t>licensed under MiFID. It is</w:t>
      </w:r>
      <w:r>
        <w:rPr>
          <w:rFonts w:eastAsia="Cambria" w:cs="Arial"/>
          <w:sz w:val="20"/>
        </w:rPr>
        <w:t xml:space="preserve"> at the discretion of the investment </w:t>
      </w:r>
      <w:r w:rsidRPr="0051141B">
        <w:rPr>
          <w:rFonts w:eastAsia="Cambria" w:cs="Arial"/>
          <w:sz w:val="20"/>
        </w:rPr>
        <w:t>firm</w:t>
      </w:r>
      <w:r>
        <w:rPr>
          <w:rFonts w:eastAsia="Cambria" w:cs="Arial"/>
          <w:sz w:val="20"/>
        </w:rPr>
        <w:t>s to decide whether they</w:t>
      </w:r>
      <w:r w:rsidRPr="0051141B">
        <w:rPr>
          <w:rFonts w:eastAsia="Cambria" w:cs="Arial"/>
          <w:sz w:val="20"/>
        </w:rPr>
        <w:t xml:space="preserve"> appl</w:t>
      </w:r>
      <w:r>
        <w:rPr>
          <w:rFonts w:eastAsia="Cambria" w:cs="Arial"/>
          <w:sz w:val="20"/>
        </w:rPr>
        <w:t>y</w:t>
      </w:r>
      <w:r w:rsidRPr="0051141B">
        <w:rPr>
          <w:rFonts w:eastAsia="Cambria" w:cs="Arial"/>
          <w:sz w:val="20"/>
        </w:rPr>
        <w:t xml:space="preserve"> for a license under MiFID or a license under </w:t>
      </w:r>
      <w:r>
        <w:rPr>
          <w:rFonts w:eastAsia="Cambria" w:cs="Arial"/>
          <w:sz w:val="20"/>
        </w:rPr>
        <w:t xml:space="preserve">the </w:t>
      </w:r>
      <w:r w:rsidRPr="0051141B">
        <w:rPr>
          <w:rFonts w:eastAsia="Cambria" w:cs="Arial"/>
          <w:sz w:val="20"/>
        </w:rPr>
        <w:t>AIFMD/UCITS Directive</w:t>
      </w:r>
      <w:r>
        <w:rPr>
          <w:rFonts w:eastAsia="Cambria" w:cs="Arial"/>
          <w:sz w:val="20"/>
        </w:rPr>
        <w:t>s</w:t>
      </w:r>
      <w:r w:rsidRPr="0051141B">
        <w:rPr>
          <w:rFonts w:eastAsia="Cambria" w:cs="Arial"/>
          <w:sz w:val="20"/>
        </w:rPr>
        <w:t xml:space="preserve">. This </w:t>
      </w:r>
      <w:r>
        <w:rPr>
          <w:rFonts w:eastAsia="Cambria" w:cs="Arial"/>
          <w:sz w:val="20"/>
        </w:rPr>
        <w:t xml:space="preserve">applies </w:t>
      </w:r>
      <w:r w:rsidRPr="0051141B">
        <w:rPr>
          <w:rFonts w:eastAsia="Cambria" w:cs="Arial"/>
          <w:sz w:val="20"/>
        </w:rPr>
        <w:t xml:space="preserve">for both EU27 investment firms and UK-investment firms. </w:t>
      </w:r>
      <w:r>
        <w:rPr>
          <w:rFonts w:eastAsia="Cambria" w:cs="Arial"/>
          <w:sz w:val="20"/>
        </w:rPr>
        <w:t>W</w:t>
      </w:r>
      <w:r w:rsidRPr="0051141B">
        <w:rPr>
          <w:rFonts w:eastAsia="Cambria" w:cs="Arial"/>
          <w:sz w:val="20"/>
        </w:rPr>
        <w:t xml:space="preserve">e do not see an unlevel playing field now but </w:t>
      </w:r>
      <w:r>
        <w:rPr>
          <w:rFonts w:eastAsia="Cambria" w:cs="Arial"/>
          <w:sz w:val="20"/>
        </w:rPr>
        <w:t xml:space="preserve">– quite on the contrary - </w:t>
      </w:r>
      <w:r w:rsidRPr="0051141B">
        <w:rPr>
          <w:rFonts w:eastAsia="Cambria" w:cs="Arial"/>
          <w:sz w:val="20"/>
        </w:rPr>
        <w:t>fear that the amendments proposed by ESMA will create an unlevel playing field.</w:t>
      </w:r>
    </w:p>
    <w:p w14:paraId="07D67623" w14:textId="77777777" w:rsidR="004A4B0F" w:rsidRDefault="004A4B0F" w:rsidP="004A4B0F">
      <w:pPr>
        <w:spacing w:after="0" w:line="288" w:lineRule="auto"/>
        <w:jc w:val="left"/>
        <w:rPr>
          <w:rFonts w:eastAsia="Cambria" w:cs="Arial"/>
          <w:sz w:val="20"/>
        </w:rPr>
      </w:pPr>
    </w:p>
    <w:p w14:paraId="497EBFB5" w14:textId="77777777" w:rsidR="004A4B0F" w:rsidRPr="00D93B60" w:rsidRDefault="004A4B0F" w:rsidP="004A4B0F">
      <w:pPr>
        <w:spacing w:after="0" w:line="288" w:lineRule="auto"/>
        <w:jc w:val="left"/>
        <w:rPr>
          <w:rFonts w:eastAsia="Cambria" w:cs="Arial"/>
          <w:b/>
          <w:bCs/>
          <w:sz w:val="20"/>
        </w:rPr>
      </w:pPr>
      <w:r w:rsidRPr="00D93B60">
        <w:rPr>
          <w:rFonts w:eastAsia="Cambria" w:cs="Arial"/>
          <w:b/>
          <w:bCs/>
          <w:sz w:val="20"/>
        </w:rPr>
        <w:t xml:space="preserve">4. Introduction of </w:t>
      </w:r>
      <w:r>
        <w:rPr>
          <w:rFonts w:eastAsia="Cambria" w:cs="Arial"/>
          <w:b/>
          <w:bCs/>
          <w:sz w:val="20"/>
        </w:rPr>
        <w:t xml:space="preserve">a </w:t>
      </w:r>
      <w:r w:rsidRPr="00D93B60">
        <w:rPr>
          <w:rFonts w:eastAsia="Cambria" w:cs="Arial"/>
          <w:b/>
          <w:bCs/>
          <w:sz w:val="20"/>
        </w:rPr>
        <w:t xml:space="preserve">new reporting </w:t>
      </w:r>
      <w:r>
        <w:rPr>
          <w:rFonts w:eastAsia="Cambria" w:cs="Arial"/>
          <w:b/>
          <w:bCs/>
          <w:sz w:val="20"/>
        </w:rPr>
        <w:t>obligation</w:t>
      </w:r>
    </w:p>
    <w:p w14:paraId="1E8D55ED" w14:textId="77777777" w:rsidR="004A4B0F" w:rsidRPr="0051141B" w:rsidRDefault="004A4B0F" w:rsidP="004A4B0F">
      <w:pPr>
        <w:spacing w:after="0" w:line="288" w:lineRule="auto"/>
        <w:jc w:val="left"/>
        <w:rPr>
          <w:rFonts w:eastAsia="Cambria" w:cs="Arial"/>
          <w:sz w:val="20"/>
        </w:rPr>
      </w:pPr>
    </w:p>
    <w:p w14:paraId="2F263067" w14:textId="77777777" w:rsidR="004A4B0F" w:rsidRDefault="004A4B0F" w:rsidP="004A4B0F">
      <w:pPr>
        <w:spacing w:after="0" w:line="288" w:lineRule="auto"/>
        <w:jc w:val="left"/>
        <w:rPr>
          <w:rFonts w:eastAsia="Cambria" w:cs="Arial"/>
          <w:sz w:val="20"/>
        </w:rPr>
      </w:pPr>
      <w:r>
        <w:rPr>
          <w:rFonts w:eastAsia="Cambria" w:cs="Arial"/>
          <w:sz w:val="20"/>
        </w:rPr>
        <w:t xml:space="preserve">In sum, we encourage ESMA to take the following points into considerations with respect to a reporting obligation for UCITS/AIF managers:  </w:t>
      </w:r>
    </w:p>
    <w:p w14:paraId="671BA7F2" w14:textId="77777777" w:rsidR="004A4B0F" w:rsidRPr="0051141B" w:rsidRDefault="004A4B0F" w:rsidP="004A4B0F">
      <w:pPr>
        <w:spacing w:after="0" w:line="288" w:lineRule="auto"/>
        <w:jc w:val="left"/>
        <w:rPr>
          <w:rFonts w:eastAsia="Cambria" w:cs="Arial"/>
          <w:sz w:val="20"/>
        </w:rPr>
      </w:pPr>
    </w:p>
    <w:p w14:paraId="2B06E886" w14:textId="77777777" w:rsidR="004A4B0F" w:rsidRDefault="004A4B0F" w:rsidP="004A4B0F">
      <w:pPr>
        <w:pStyle w:val="Listenabsatz"/>
        <w:numPr>
          <w:ilvl w:val="0"/>
          <w:numId w:val="11"/>
        </w:numPr>
        <w:spacing w:after="0" w:line="288" w:lineRule="auto"/>
        <w:contextualSpacing/>
        <w:jc w:val="left"/>
        <w:rPr>
          <w:rFonts w:eastAsia="Cambria" w:cs="Arial"/>
          <w:sz w:val="20"/>
        </w:rPr>
      </w:pPr>
      <w:r>
        <w:rPr>
          <w:rFonts w:eastAsia="Cambria" w:cs="Arial"/>
          <w:sz w:val="20"/>
        </w:rPr>
        <w:t xml:space="preserve">We disagree with </w:t>
      </w:r>
      <w:r w:rsidRPr="00AE654B">
        <w:rPr>
          <w:rFonts w:eastAsia="Cambria" w:cs="Arial"/>
          <w:sz w:val="20"/>
        </w:rPr>
        <w:t>ESMA’s assumption in para 13 of the CP</w:t>
      </w:r>
      <w:r>
        <w:rPr>
          <w:rFonts w:eastAsia="Cambria" w:cs="Arial"/>
          <w:sz w:val="20"/>
        </w:rPr>
        <w:t xml:space="preserve"> that a</w:t>
      </w:r>
      <w:r w:rsidRPr="00AE654B">
        <w:rPr>
          <w:rFonts w:eastAsia="Cambria" w:cs="Arial"/>
          <w:sz w:val="20"/>
        </w:rPr>
        <w:t xml:space="preserve"> </w:t>
      </w:r>
      <w:r w:rsidRPr="00AE654B">
        <w:rPr>
          <w:rFonts w:eastAsia="Cambria" w:cs="Arial"/>
          <w:i/>
          <w:iCs/>
          <w:sz w:val="20"/>
        </w:rPr>
        <w:t>“regulatory gap”</w:t>
      </w:r>
      <w:r>
        <w:rPr>
          <w:rFonts w:eastAsia="Cambria" w:cs="Arial"/>
          <w:sz w:val="20"/>
        </w:rPr>
        <w:t xml:space="preserve"> exists</w:t>
      </w:r>
      <w:r w:rsidRPr="00AE654B">
        <w:rPr>
          <w:rFonts w:eastAsia="Cambria" w:cs="Arial"/>
          <w:sz w:val="20"/>
        </w:rPr>
        <w:t>. Art</w:t>
      </w:r>
      <w:r>
        <w:rPr>
          <w:rFonts w:eastAsia="Cambria" w:cs="Arial"/>
          <w:sz w:val="20"/>
        </w:rPr>
        <w:t xml:space="preserve">icle </w:t>
      </w:r>
      <w:r w:rsidRPr="00AE654B">
        <w:rPr>
          <w:rFonts w:eastAsia="Cambria" w:cs="Arial"/>
          <w:sz w:val="20"/>
        </w:rPr>
        <w:t>2 para</w:t>
      </w:r>
      <w:r>
        <w:rPr>
          <w:rFonts w:eastAsia="Cambria" w:cs="Arial"/>
          <w:sz w:val="20"/>
        </w:rPr>
        <w:t xml:space="preserve"> </w:t>
      </w:r>
      <w:r w:rsidRPr="00AE654B">
        <w:rPr>
          <w:rFonts w:eastAsia="Cambria" w:cs="Arial"/>
          <w:sz w:val="20"/>
        </w:rPr>
        <w:t xml:space="preserve">1 of Directive 2014/65/EU states that MiFID II shall not apply to collective investment undertakings and pension funds whether coordinated at Union level or not and the depositaries and managers of such undertakings. </w:t>
      </w:r>
      <w:r>
        <w:rPr>
          <w:rFonts w:eastAsia="Cambria" w:cs="Arial"/>
          <w:sz w:val="20"/>
        </w:rPr>
        <w:t>Therefore, we see</w:t>
      </w:r>
      <w:r w:rsidRPr="00AE654B">
        <w:rPr>
          <w:rFonts w:eastAsia="Cambria" w:cs="Arial"/>
          <w:sz w:val="20"/>
        </w:rPr>
        <w:t xml:space="preserve"> no </w:t>
      </w:r>
      <w:r w:rsidRPr="00A253E8">
        <w:rPr>
          <w:rFonts w:eastAsia="Cambria" w:cs="Arial"/>
          <w:i/>
          <w:iCs/>
          <w:sz w:val="20"/>
        </w:rPr>
        <w:t>“regulatory gap”</w:t>
      </w:r>
      <w:r>
        <w:rPr>
          <w:rFonts w:eastAsia="Cambria" w:cs="Arial"/>
          <w:sz w:val="20"/>
        </w:rPr>
        <w:t>.</w:t>
      </w:r>
    </w:p>
    <w:p w14:paraId="43132EF3" w14:textId="77777777" w:rsidR="004A4B0F" w:rsidRDefault="004A4B0F" w:rsidP="004A4B0F">
      <w:pPr>
        <w:pStyle w:val="Listenabsatz"/>
        <w:numPr>
          <w:ilvl w:val="0"/>
          <w:numId w:val="0"/>
        </w:numPr>
        <w:spacing w:after="0" w:line="288" w:lineRule="auto"/>
        <w:ind w:left="360"/>
        <w:jc w:val="left"/>
        <w:rPr>
          <w:rFonts w:eastAsia="Cambria" w:cs="Arial"/>
          <w:sz w:val="20"/>
        </w:rPr>
      </w:pPr>
    </w:p>
    <w:p w14:paraId="51FD0B0D" w14:textId="77777777" w:rsidR="004A4B0F" w:rsidRPr="00B66378" w:rsidRDefault="004A4B0F" w:rsidP="004A4B0F">
      <w:pPr>
        <w:pStyle w:val="Listenabsatz"/>
        <w:numPr>
          <w:ilvl w:val="0"/>
          <w:numId w:val="11"/>
        </w:numPr>
        <w:spacing w:after="0" w:line="288" w:lineRule="auto"/>
        <w:contextualSpacing/>
        <w:jc w:val="left"/>
        <w:rPr>
          <w:rFonts w:eastAsia="Cambria" w:cs="Arial"/>
          <w:sz w:val="20"/>
        </w:rPr>
      </w:pPr>
      <w:r w:rsidRPr="0040689C">
        <w:rPr>
          <w:rFonts w:eastAsia="Cambria" w:cs="Arial"/>
          <w:sz w:val="20"/>
        </w:rPr>
        <w:t xml:space="preserve">ESMA compares core-activities of investment firms with non-core </w:t>
      </w:r>
      <w:r>
        <w:rPr>
          <w:rFonts w:eastAsia="Cambria" w:cs="Arial"/>
          <w:sz w:val="20"/>
        </w:rPr>
        <w:t>services</w:t>
      </w:r>
      <w:r w:rsidRPr="0040689C">
        <w:rPr>
          <w:rFonts w:eastAsia="Cambria" w:cs="Arial"/>
          <w:sz w:val="20"/>
        </w:rPr>
        <w:t xml:space="preserve"> of AIFM</w:t>
      </w:r>
      <w:r>
        <w:rPr>
          <w:rFonts w:eastAsia="Cambria" w:cs="Arial"/>
          <w:sz w:val="20"/>
        </w:rPr>
        <w:t>/</w:t>
      </w:r>
      <w:r w:rsidRPr="0040689C">
        <w:rPr>
          <w:rFonts w:eastAsia="Cambria" w:cs="Arial"/>
          <w:sz w:val="20"/>
        </w:rPr>
        <w:t xml:space="preserve">UCITS management companies. ESMA refers to </w:t>
      </w:r>
      <w:r>
        <w:rPr>
          <w:rFonts w:eastAsia="Cambria" w:cs="Arial"/>
          <w:sz w:val="20"/>
        </w:rPr>
        <w:t xml:space="preserve">those </w:t>
      </w:r>
      <w:r w:rsidRPr="0040689C">
        <w:rPr>
          <w:rFonts w:eastAsia="Cambria" w:cs="Arial"/>
          <w:sz w:val="20"/>
        </w:rPr>
        <w:t>activities which are</w:t>
      </w:r>
      <w:r>
        <w:rPr>
          <w:rFonts w:eastAsia="Cambria" w:cs="Arial"/>
          <w:sz w:val="20"/>
        </w:rPr>
        <w:t xml:space="preserve"> executed</w:t>
      </w:r>
      <w:r w:rsidRPr="0040689C">
        <w:rPr>
          <w:rFonts w:eastAsia="Cambria" w:cs="Arial"/>
          <w:sz w:val="20"/>
        </w:rPr>
        <w:t xml:space="preserve"> </w:t>
      </w:r>
      <w:r>
        <w:rPr>
          <w:rFonts w:eastAsia="Cambria" w:cs="Arial"/>
          <w:sz w:val="20"/>
        </w:rPr>
        <w:t>on a very infrequent basis</w:t>
      </w:r>
      <w:r w:rsidRPr="0040689C">
        <w:rPr>
          <w:rFonts w:eastAsia="Cambria" w:cs="Arial"/>
          <w:sz w:val="20"/>
        </w:rPr>
        <w:t xml:space="preserve">. </w:t>
      </w:r>
      <w:r>
        <w:rPr>
          <w:rFonts w:eastAsia="Cambria" w:cs="Arial"/>
          <w:sz w:val="20"/>
        </w:rPr>
        <w:t>T</w:t>
      </w:r>
      <w:r w:rsidRPr="0040689C">
        <w:rPr>
          <w:rFonts w:eastAsia="Cambria" w:cs="Arial"/>
          <w:sz w:val="20"/>
        </w:rPr>
        <w:t xml:space="preserve">he </w:t>
      </w:r>
      <w:r>
        <w:rPr>
          <w:rFonts w:eastAsia="Cambria" w:cs="Arial"/>
          <w:sz w:val="20"/>
        </w:rPr>
        <w:t xml:space="preserve">additional reporting obligation will therefore increase only the reporting costs </w:t>
      </w:r>
      <w:r w:rsidRPr="00370CB1">
        <w:rPr>
          <w:rFonts w:eastAsia="Cambria" w:cs="Arial"/>
          <w:sz w:val="20"/>
        </w:rPr>
        <w:t>for AIFM/UCITS management companies</w:t>
      </w:r>
      <w:r>
        <w:rPr>
          <w:rFonts w:eastAsia="Cambria" w:cs="Arial"/>
          <w:sz w:val="20"/>
        </w:rPr>
        <w:t xml:space="preserve"> without creating additional value for the NCAs. The missing information is already reported to the NCAs and national Central Banks. In this context, we strongly encourage ESMA to consider the long-term supervisory vision of the EU Commission by removing any undue legal and technical obstacles to reporting and to provide the appropriate tools for sharing supervisory data among the relevant NCAs and Central Banks. If this could be implemented ESMA does not need to extend the reporting obligation to UCITS/AIF managers. </w:t>
      </w:r>
    </w:p>
    <w:p w14:paraId="739DC557" w14:textId="77777777" w:rsidR="004A4B0F" w:rsidRPr="00C31A4B" w:rsidRDefault="004A4B0F" w:rsidP="004A4B0F">
      <w:pPr>
        <w:spacing w:after="0" w:line="288" w:lineRule="auto"/>
        <w:rPr>
          <w:rFonts w:eastAsia="Cambria" w:cs="Arial"/>
          <w:sz w:val="20"/>
        </w:rPr>
      </w:pPr>
    </w:p>
    <w:p w14:paraId="06A88FB9" w14:textId="77777777" w:rsidR="004A4B0F" w:rsidRDefault="004A4B0F" w:rsidP="004A4B0F">
      <w:pPr>
        <w:pStyle w:val="Listenabsatz"/>
        <w:numPr>
          <w:ilvl w:val="0"/>
          <w:numId w:val="11"/>
        </w:numPr>
        <w:spacing w:after="0" w:line="288" w:lineRule="auto"/>
        <w:contextualSpacing/>
        <w:jc w:val="left"/>
        <w:rPr>
          <w:rFonts w:eastAsia="Cambria" w:cs="Arial"/>
          <w:sz w:val="20"/>
        </w:rPr>
      </w:pPr>
      <w:r w:rsidRPr="009D4B23">
        <w:rPr>
          <w:rFonts w:eastAsia="Cambria" w:cs="Arial"/>
          <w:sz w:val="20"/>
        </w:rPr>
        <w:t xml:space="preserve">ESMA should not only request the provision of </w:t>
      </w:r>
      <w:r>
        <w:rPr>
          <w:rFonts w:eastAsia="Cambria" w:cs="Arial"/>
          <w:sz w:val="20"/>
        </w:rPr>
        <w:t xml:space="preserve">market abuse surveillance </w:t>
      </w:r>
      <w:r w:rsidRPr="009D4B23">
        <w:rPr>
          <w:rFonts w:eastAsia="Cambria" w:cs="Arial"/>
          <w:sz w:val="20"/>
        </w:rPr>
        <w:t xml:space="preserve">evidence </w:t>
      </w:r>
      <w:r>
        <w:rPr>
          <w:rFonts w:eastAsia="Cambria" w:cs="Arial"/>
          <w:sz w:val="20"/>
        </w:rPr>
        <w:t>after</w:t>
      </w:r>
      <w:r w:rsidRPr="009D4B23">
        <w:rPr>
          <w:rFonts w:eastAsia="Cambria" w:cs="Arial"/>
          <w:sz w:val="20"/>
        </w:rPr>
        <w:t xml:space="preserve"> a </w:t>
      </w:r>
      <w:r>
        <w:rPr>
          <w:rFonts w:eastAsia="Cambria" w:cs="Arial"/>
          <w:sz w:val="20"/>
        </w:rPr>
        <w:t xml:space="preserve">public </w:t>
      </w:r>
      <w:r w:rsidRPr="009D4B23">
        <w:rPr>
          <w:rFonts w:eastAsia="Cambria" w:cs="Arial"/>
          <w:sz w:val="20"/>
        </w:rPr>
        <w:t xml:space="preserve">consultation. </w:t>
      </w:r>
      <w:r>
        <w:rPr>
          <w:rFonts w:eastAsia="Cambria" w:cs="Arial"/>
          <w:sz w:val="20"/>
        </w:rPr>
        <w:t xml:space="preserve">If ESMA demands an additional reporting obligation for UCITS/AIF managers due to the missing market abuse information, </w:t>
      </w:r>
      <w:r w:rsidRPr="00170A4F">
        <w:rPr>
          <w:rFonts w:eastAsia="Cambria" w:cs="Arial"/>
          <w:sz w:val="20"/>
        </w:rPr>
        <w:t xml:space="preserve">ESMA should </w:t>
      </w:r>
      <w:r>
        <w:rPr>
          <w:rFonts w:eastAsia="Cambria" w:cs="Arial"/>
          <w:sz w:val="20"/>
        </w:rPr>
        <w:t xml:space="preserve">clearly </w:t>
      </w:r>
      <w:r w:rsidRPr="00170A4F">
        <w:rPr>
          <w:rFonts w:eastAsia="Cambria" w:cs="Arial"/>
          <w:sz w:val="20"/>
        </w:rPr>
        <w:t xml:space="preserve">provide evidence for market abuse </w:t>
      </w:r>
      <w:r>
        <w:rPr>
          <w:rFonts w:eastAsia="Cambria" w:cs="Arial"/>
          <w:sz w:val="20"/>
        </w:rPr>
        <w:lastRenderedPageBreak/>
        <w:t xml:space="preserve">cases </w:t>
      </w:r>
      <w:r w:rsidRPr="00170A4F">
        <w:rPr>
          <w:rFonts w:eastAsia="Cambria" w:cs="Arial"/>
          <w:sz w:val="20"/>
        </w:rPr>
        <w:t>with regards to the non-core activities of AIFM</w:t>
      </w:r>
      <w:r>
        <w:rPr>
          <w:rFonts w:eastAsia="Cambria" w:cs="Arial"/>
          <w:sz w:val="20"/>
        </w:rPr>
        <w:t xml:space="preserve">/ </w:t>
      </w:r>
      <w:r w:rsidRPr="00170A4F">
        <w:rPr>
          <w:rFonts w:eastAsia="Cambria" w:cs="Arial"/>
          <w:sz w:val="20"/>
        </w:rPr>
        <w:t>UCITS</w:t>
      </w:r>
      <w:r>
        <w:rPr>
          <w:rFonts w:eastAsia="Cambria" w:cs="Arial"/>
          <w:sz w:val="20"/>
        </w:rPr>
        <w:t xml:space="preserve"> </w:t>
      </w:r>
      <w:r w:rsidRPr="00170A4F">
        <w:rPr>
          <w:rFonts w:eastAsia="Cambria" w:cs="Arial"/>
          <w:sz w:val="20"/>
        </w:rPr>
        <w:t xml:space="preserve">management companies. </w:t>
      </w:r>
      <w:r>
        <w:rPr>
          <w:rFonts w:eastAsia="Cambria" w:cs="Arial"/>
          <w:sz w:val="20"/>
        </w:rPr>
        <w:t xml:space="preserve">ESMA has to provide clear evidence that such </w:t>
      </w:r>
      <w:r w:rsidRPr="007E0201">
        <w:rPr>
          <w:rFonts w:eastAsia="Cambria" w:cs="Arial"/>
          <w:sz w:val="20"/>
        </w:rPr>
        <w:t>non-core activities</w:t>
      </w:r>
      <w:r>
        <w:rPr>
          <w:rFonts w:eastAsia="Cambria" w:cs="Arial"/>
          <w:sz w:val="20"/>
        </w:rPr>
        <w:t xml:space="preserve"> in reality contributed to cases of market abuse. Otherwise any additional reporting burden is not appropriate and does not </w:t>
      </w:r>
      <w:r w:rsidRPr="006534A0">
        <w:rPr>
          <w:rFonts w:eastAsia="Cambria" w:cs="Arial"/>
          <w:sz w:val="20"/>
        </w:rPr>
        <w:t xml:space="preserve">comply with the </w:t>
      </w:r>
      <w:r>
        <w:rPr>
          <w:rFonts w:eastAsia="Cambria" w:cs="Arial"/>
          <w:sz w:val="20"/>
        </w:rPr>
        <w:t xml:space="preserve">EU legal </w:t>
      </w:r>
      <w:r w:rsidRPr="006534A0">
        <w:rPr>
          <w:rFonts w:eastAsia="Cambria" w:cs="Arial"/>
          <w:sz w:val="20"/>
        </w:rPr>
        <w:t>principle of proportionality</w:t>
      </w:r>
      <w:r>
        <w:rPr>
          <w:rFonts w:eastAsia="Cambria" w:cs="Arial"/>
          <w:sz w:val="20"/>
        </w:rPr>
        <w:t xml:space="preserve">. </w:t>
      </w:r>
    </w:p>
    <w:p w14:paraId="0B9E5C17" w14:textId="77777777" w:rsidR="004A4B0F" w:rsidRPr="00C31A4B" w:rsidRDefault="004A4B0F" w:rsidP="004A4B0F">
      <w:pPr>
        <w:spacing w:after="0" w:line="288" w:lineRule="auto"/>
        <w:rPr>
          <w:rFonts w:eastAsia="Cambria" w:cs="Arial"/>
          <w:sz w:val="20"/>
        </w:rPr>
      </w:pPr>
    </w:p>
    <w:p w14:paraId="553F9474" w14:textId="77777777" w:rsidR="004A4B0F" w:rsidRPr="007D37B0" w:rsidRDefault="004A4B0F" w:rsidP="004A4B0F">
      <w:pPr>
        <w:pStyle w:val="Listenabsatz"/>
        <w:numPr>
          <w:ilvl w:val="0"/>
          <w:numId w:val="11"/>
        </w:numPr>
        <w:spacing w:after="0" w:line="288" w:lineRule="auto"/>
        <w:contextualSpacing/>
        <w:jc w:val="left"/>
        <w:rPr>
          <w:rFonts w:eastAsia="Cambria" w:cs="Arial"/>
          <w:sz w:val="20"/>
        </w:rPr>
      </w:pPr>
      <w:r>
        <w:rPr>
          <w:rFonts w:eastAsia="Cambria" w:cs="Arial"/>
          <w:sz w:val="20"/>
        </w:rPr>
        <w:t xml:space="preserve">The possible extension of the MiFIR reporting scope to </w:t>
      </w:r>
      <w:r w:rsidRPr="007D37B0">
        <w:rPr>
          <w:rFonts w:eastAsia="Cambria" w:cs="Arial"/>
          <w:sz w:val="20"/>
        </w:rPr>
        <w:t xml:space="preserve">the management of portfolios of investments (Art. 6 para 3 (a) UCITS Directive) </w:t>
      </w:r>
      <w:r>
        <w:rPr>
          <w:rFonts w:eastAsia="Cambria" w:cs="Arial"/>
          <w:sz w:val="20"/>
        </w:rPr>
        <w:t xml:space="preserve">will also be </w:t>
      </w:r>
      <w:r w:rsidRPr="007D37B0">
        <w:rPr>
          <w:rFonts w:eastAsia="Cambria" w:cs="Arial"/>
          <w:sz w:val="20"/>
        </w:rPr>
        <w:t>a breach of the principle of proportionality</w:t>
      </w:r>
      <w:r>
        <w:rPr>
          <w:rFonts w:eastAsia="Cambria" w:cs="Arial"/>
          <w:sz w:val="20"/>
        </w:rPr>
        <w:t xml:space="preserve"> </w:t>
      </w:r>
      <w:r w:rsidRPr="007D37B0">
        <w:rPr>
          <w:rFonts w:eastAsia="Cambria" w:cs="Arial"/>
          <w:sz w:val="20"/>
        </w:rPr>
        <w:t xml:space="preserve">as </w:t>
      </w:r>
      <w:r>
        <w:rPr>
          <w:rFonts w:eastAsia="Cambria" w:cs="Arial"/>
          <w:sz w:val="20"/>
        </w:rPr>
        <w:t xml:space="preserve">expensive additional reporting </w:t>
      </w:r>
      <w:r w:rsidRPr="007D37B0">
        <w:rPr>
          <w:rFonts w:eastAsia="Cambria" w:cs="Arial"/>
          <w:sz w:val="20"/>
        </w:rPr>
        <w:t>costs w</w:t>
      </w:r>
      <w:r>
        <w:rPr>
          <w:rFonts w:eastAsia="Cambria" w:cs="Arial"/>
          <w:sz w:val="20"/>
        </w:rPr>
        <w:t xml:space="preserve">ill </w:t>
      </w:r>
      <w:r w:rsidRPr="007D37B0">
        <w:rPr>
          <w:rFonts w:eastAsia="Cambria" w:cs="Arial"/>
          <w:sz w:val="20"/>
        </w:rPr>
        <w:t xml:space="preserve">be created for the goal of detecting market abuse which is very unlikely to happen </w:t>
      </w:r>
      <w:r>
        <w:rPr>
          <w:rFonts w:eastAsia="Cambria" w:cs="Arial"/>
          <w:sz w:val="20"/>
        </w:rPr>
        <w:t>for this non-core-</w:t>
      </w:r>
      <w:r w:rsidRPr="007D37B0">
        <w:rPr>
          <w:rFonts w:eastAsia="Cambria" w:cs="Arial"/>
          <w:sz w:val="20"/>
        </w:rPr>
        <w:t>service. On top</w:t>
      </w:r>
      <w:r>
        <w:rPr>
          <w:rFonts w:eastAsia="Cambria" w:cs="Arial"/>
          <w:sz w:val="20"/>
        </w:rPr>
        <w:t xml:space="preserve"> of that</w:t>
      </w:r>
      <w:r w:rsidRPr="007D37B0">
        <w:rPr>
          <w:rFonts w:eastAsia="Cambria" w:cs="Arial"/>
          <w:sz w:val="20"/>
        </w:rPr>
        <w:t xml:space="preserve">, such introduction </w:t>
      </w:r>
      <w:r>
        <w:rPr>
          <w:rFonts w:eastAsia="Cambria" w:cs="Arial"/>
          <w:sz w:val="20"/>
        </w:rPr>
        <w:t xml:space="preserve">is </w:t>
      </w:r>
      <w:r w:rsidRPr="007D37B0">
        <w:rPr>
          <w:rFonts w:eastAsia="Cambria" w:cs="Arial"/>
          <w:sz w:val="20"/>
        </w:rPr>
        <w:t xml:space="preserve">difficult to justify </w:t>
      </w:r>
      <w:r>
        <w:rPr>
          <w:rFonts w:eastAsia="Cambria" w:cs="Arial"/>
          <w:sz w:val="20"/>
        </w:rPr>
        <w:t xml:space="preserve">as </w:t>
      </w:r>
      <w:r w:rsidRPr="007D37B0">
        <w:rPr>
          <w:rFonts w:eastAsia="Cambria" w:cs="Arial"/>
          <w:sz w:val="20"/>
        </w:rPr>
        <w:t xml:space="preserve">ESMA </w:t>
      </w:r>
      <w:r>
        <w:rPr>
          <w:rFonts w:eastAsia="Cambria" w:cs="Arial"/>
          <w:sz w:val="20"/>
        </w:rPr>
        <w:t xml:space="preserve">does not require full </w:t>
      </w:r>
      <w:r w:rsidRPr="007D37B0">
        <w:rPr>
          <w:rFonts w:eastAsia="Cambria" w:cs="Arial"/>
          <w:sz w:val="20"/>
        </w:rPr>
        <w:t xml:space="preserve">transparency </w:t>
      </w:r>
      <w:r>
        <w:rPr>
          <w:rFonts w:eastAsia="Cambria" w:cs="Arial"/>
          <w:sz w:val="20"/>
        </w:rPr>
        <w:t>in cases which already today</w:t>
      </w:r>
      <w:r w:rsidRPr="007D37B0">
        <w:rPr>
          <w:rFonts w:eastAsia="Cambria" w:cs="Arial"/>
          <w:sz w:val="20"/>
        </w:rPr>
        <w:t xml:space="preserve"> allow to hide market abuse</w:t>
      </w:r>
      <w:r>
        <w:rPr>
          <w:rFonts w:eastAsia="Cambria" w:cs="Arial"/>
          <w:sz w:val="20"/>
        </w:rPr>
        <w:t xml:space="preserve"> behaviour</w:t>
      </w:r>
      <w:r w:rsidRPr="007D37B0">
        <w:rPr>
          <w:rFonts w:eastAsia="Cambria" w:cs="Arial"/>
          <w:sz w:val="20"/>
        </w:rPr>
        <w:t xml:space="preserve">. </w:t>
      </w:r>
    </w:p>
    <w:p w14:paraId="032F0587" w14:textId="77777777" w:rsidR="004A4B0F" w:rsidRDefault="004A4B0F" w:rsidP="004A4B0F">
      <w:pPr>
        <w:spacing w:after="0" w:line="288" w:lineRule="auto"/>
        <w:jc w:val="left"/>
        <w:rPr>
          <w:rFonts w:eastAsia="Cambria" w:cs="Arial"/>
          <w:sz w:val="20"/>
        </w:rPr>
      </w:pPr>
    </w:p>
    <w:p w14:paraId="3DF3C849" w14:textId="77777777" w:rsidR="004A4B0F" w:rsidRPr="0051141B" w:rsidRDefault="004A4B0F" w:rsidP="004A4B0F">
      <w:pPr>
        <w:spacing w:after="0" w:line="288" w:lineRule="auto"/>
        <w:jc w:val="left"/>
        <w:rPr>
          <w:rFonts w:eastAsia="Cambria" w:cs="Arial"/>
          <w:sz w:val="20"/>
        </w:rPr>
      </w:pPr>
      <w:r>
        <w:rPr>
          <w:rFonts w:eastAsia="Cambria" w:cs="Arial"/>
          <w:sz w:val="20"/>
        </w:rPr>
        <w:t>However, if ESMA intends to proceed with the introduction of an additional reporting obligation for UCITS/AIF managers on non-core-services,</w:t>
      </w:r>
      <w:r w:rsidRPr="0051141B">
        <w:rPr>
          <w:rFonts w:eastAsia="Cambria" w:cs="Arial"/>
          <w:sz w:val="20"/>
        </w:rPr>
        <w:t xml:space="preserve"> </w:t>
      </w:r>
      <w:r>
        <w:rPr>
          <w:rFonts w:eastAsia="Cambria" w:cs="Arial"/>
          <w:sz w:val="20"/>
        </w:rPr>
        <w:t xml:space="preserve">we </w:t>
      </w:r>
      <w:r w:rsidRPr="0051141B">
        <w:rPr>
          <w:rFonts w:eastAsia="Cambria" w:cs="Arial"/>
          <w:sz w:val="20"/>
        </w:rPr>
        <w:t xml:space="preserve">believe that the implementation </w:t>
      </w:r>
      <w:r>
        <w:rPr>
          <w:rFonts w:eastAsia="Cambria" w:cs="Arial"/>
          <w:sz w:val="20"/>
        </w:rPr>
        <w:t>period should</w:t>
      </w:r>
      <w:r w:rsidRPr="0051141B">
        <w:rPr>
          <w:rFonts w:eastAsia="Cambria" w:cs="Arial"/>
          <w:sz w:val="20"/>
        </w:rPr>
        <w:t xml:space="preserve"> </w:t>
      </w:r>
      <w:r>
        <w:rPr>
          <w:rFonts w:eastAsia="Cambria" w:cs="Arial"/>
          <w:sz w:val="20"/>
        </w:rPr>
        <w:t xml:space="preserve">be </w:t>
      </w:r>
      <w:r w:rsidRPr="0051141B">
        <w:rPr>
          <w:rFonts w:eastAsia="Cambria" w:cs="Arial"/>
          <w:sz w:val="20"/>
        </w:rPr>
        <w:t xml:space="preserve">at least two </w:t>
      </w:r>
      <w:r>
        <w:rPr>
          <w:rFonts w:eastAsia="Cambria" w:cs="Arial"/>
          <w:sz w:val="20"/>
        </w:rPr>
        <w:t>or</w:t>
      </w:r>
      <w:r w:rsidRPr="0051141B">
        <w:rPr>
          <w:rFonts w:eastAsia="Cambria" w:cs="Arial"/>
          <w:sz w:val="20"/>
        </w:rPr>
        <w:t xml:space="preserve"> three years. The cost for implementation w</w:t>
      </w:r>
      <w:r>
        <w:rPr>
          <w:rFonts w:eastAsia="Cambria" w:cs="Arial"/>
          <w:sz w:val="20"/>
        </w:rPr>
        <w:t xml:space="preserve">ill </w:t>
      </w:r>
      <w:r w:rsidRPr="0051141B">
        <w:rPr>
          <w:rFonts w:eastAsia="Cambria" w:cs="Arial"/>
          <w:sz w:val="20"/>
        </w:rPr>
        <w:t>be</w:t>
      </w:r>
      <w:r>
        <w:rPr>
          <w:rFonts w:eastAsia="Cambria" w:cs="Arial"/>
          <w:sz w:val="20"/>
        </w:rPr>
        <w:t xml:space="preserve"> </w:t>
      </w:r>
      <w:r w:rsidRPr="0051141B">
        <w:rPr>
          <w:rFonts w:eastAsia="Cambria" w:cs="Arial"/>
          <w:sz w:val="20"/>
        </w:rPr>
        <w:t>high because Art</w:t>
      </w:r>
      <w:r>
        <w:rPr>
          <w:rFonts w:eastAsia="Cambria" w:cs="Arial"/>
          <w:sz w:val="20"/>
        </w:rPr>
        <w:t>icle</w:t>
      </w:r>
      <w:r w:rsidRPr="0051141B">
        <w:rPr>
          <w:rFonts w:eastAsia="Cambria" w:cs="Arial"/>
          <w:sz w:val="20"/>
        </w:rPr>
        <w:t xml:space="preserve"> 26 MiFIR is </w:t>
      </w:r>
      <w:r>
        <w:rPr>
          <w:rFonts w:eastAsia="Cambria" w:cs="Arial"/>
          <w:sz w:val="20"/>
        </w:rPr>
        <w:t xml:space="preserve">one of </w:t>
      </w:r>
      <w:r w:rsidRPr="0051141B">
        <w:rPr>
          <w:rFonts w:eastAsia="Cambria" w:cs="Arial"/>
          <w:sz w:val="20"/>
        </w:rPr>
        <w:t>the most complex reporting requirement</w:t>
      </w:r>
      <w:r>
        <w:rPr>
          <w:rFonts w:eastAsia="Cambria" w:cs="Arial"/>
          <w:sz w:val="20"/>
        </w:rPr>
        <w:t>s within the financial market</w:t>
      </w:r>
      <w:r w:rsidRPr="0051141B">
        <w:rPr>
          <w:rFonts w:eastAsia="Cambria" w:cs="Arial"/>
          <w:sz w:val="20"/>
        </w:rPr>
        <w:t xml:space="preserve">. Additional costs and time for implementation would be </w:t>
      </w:r>
      <w:r>
        <w:rPr>
          <w:rFonts w:eastAsia="Cambria" w:cs="Arial"/>
          <w:sz w:val="20"/>
        </w:rPr>
        <w:t xml:space="preserve">needed if </w:t>
      </w:r>
      <w:r w:rsidRPr="0051141B">
        <w:rPr>
          <w:rFonts w:eastAsia="Cambria" w:cs="Arial"/>
          <w:sz w:val="20"/>
        </w:rPr>
        <w:t>the synchronisation of trading clocks</w:t>
      </w:r>
      <w:r>
        <w:rPr>
          <w:rFonts w:eastAsia="Cambria" w:cs="Arial"/>
          <w:sz w:val="20"/>
        </w:rPr>
        <w:t xml:space="preserve"> is </w:t>
      </w:r>
      <w:r w:rsidRPr="0051141B">
        <w:rPr>
          <w:rFonts w:eastAsia="Cambria" w:cs="Arial"/>
          <w:sz w:val="20"/>
        </w:rPr>
        <w:t>made mandatory as well.</w:t>
      </w:r>
    </w:p>
    <w:p w14:paraId="377597E3" w14:textId="77777777" w:rsidR="004A4B0F" w:rsidRPr="0051141B" w:rsidRDefault="004A4B0F" w:rsidP="004A4B0F">
      <w:pPr>
        <w:spacing w:after="0" w:line="288" w:lineRule="auto"/>
        <w:jc w:val="left"/>
        <w:rPr>
          <w:rFonts w:eastAsia="Cambria" w:cs="Arial"/>
          <w:sz w:val="20"/>
        </w:rPr>
      </w:pPr>
    </w:p>
    <w:p w14:paraId="3550B170" w14:textId="77777777" w:rsidR="004A4B0F" w:rsidRPr="00D93B60" w:rsidRDefault="004A4B0F" w:rsidP="004A4B0F">
      <w:pPr>
        <w:spacing w:after="0" w:line="288" w:lineRule="auto"/>
        <w:jc w:val="left"/>
        <w:rPr>
          <w:rFonts w:eastAsia="Cambria" w:cs="Arial"/>
          <w:b/>
          <w:bCs/>
          <w:sz w:val="20"/>
        </w:rPr>
      </w:pPr>
      <w:r w:rsidRPr="00D93B60">
        <w:rPr>
          <w:rFonts w:eastAsia="Cambria" w:cs="Arial"/>
          <w:b/>
          <w:bCs/>
          <w:sz w:val="20"/>
        </w:rPr>
        <w:t xml:space="preserve">5. Alternative </w:t>
      </w:r>
      <w:r>
        <w:rPr>
          <w:rFonts w:eastAsia="Cambria" w:cs="Arial"/>
          <w:b/>
          <w:bCs/>
          <w:sz w:val="20"/>
        </w:rPr>
        <w:t>options instead of mandating UCITS/AIF manager to Art. 26 MiFIR</w:t>
      </w:r>
    </w:p>
    <w:p w14:paraId="73B3E496" w14:textId="77777777" w:rsidR="004A4B0F" w:rsidRPr="0051141B" w:rsidRDefault="004A4B0F" w:rsidP="004A4B0F">
      <w:pPr>
        <w:spacing w:after="0" w:line="288" w:lineRule="auto"/>
        <w:jc w:val="left"/>
        <w:rPr>
          <w:rFonts w:eastAsia="Cambria" w:cs="Arial"/>
          <w:sz w:val="20"/>
        </w:rPr>
      </w:pPr>
    </w:p>
    <w:p w14:paraId="57553298" w14:textId="77777777" w:rsidR="004A4B0F" w:rsidRDefault="004A4B0F" w:rsidP="004A4B0F">
      <w:pPr>
        <w:spacing w:after="0" w:line="288" w:lineRule="auto"/>
        <w:jc w:val="left"/>
        <w:rPr>
          <w:rFonts w:eastAsia="Cambria" w:cs="Arial"/>
          <w:b/>
          <w:bCs/>
          <w:sz w:val="20"/>
        </w:rPr>
      </w:pPr>
      <w:r w:rsidRPr="0051141B">
        <w:rPr>
          <w:rFonts w:eastAsia="Cambria" w:cs="Arial"/>
          <w:sz w:val="20"/>
        </w:rPr>
        <w:t xml:space="preserve">We understand </w:t>
      </w:r>
      <w:r>
        <w:rPr>
          <w:rFonts w:eastAsia="Cambria" w:cs="Arial"/>
          <w:sz w:val="20"/>
        </w:rPr>
        <w:t xml:space="preserve">that ESMA would like to obtain more details </w:t>
      </w:r>
      <w:r w:rsidRPr="0051141B">
        <w:rPr>
          <w:rFonts w:eastAsia="Cambria" w:cs="Arial"/>
          <w:sz w:val="20"/>
        </w:rPr>
        <w:t>of the decision-maker</w:t>
      </w:r>
      <w:r>
        <w:rPr>
          <w:rFonts w:eastAsia="Cambria" w:cs="Arial"/>
          <w:sz w:val="20"/>
        </w:rPr>
        <w:t>.</w:t>
      </w:r>
      <w:r w:rsidRPr="0051141B">
        <w:rPr>
          <w:rFonts w:eastAsia="Cambria" w:cs="Arial"/>
          <w:sz w:val="20"/>
        </w:rPr>
        <w:t xml:space="preserve"> </w:t>
      </w:r>
      <w:r w:rsidRPr="00181747">
        <w:rPr>
          <w:rFonts w:eastAsia="Cambria" w:cs="Arial"/>
          <w:b/>
          <w:bCs/>
          <w:sz w:val="20"/>
        </w:rPr>
        <w:t>We believe that ESMA and the NCAs would</w:t>
      </w:r>
      <w:r>
        <w:rPr>
          <w:rFonts w:eastAsia="Cambria" w:cs="Arial"/>
          <w:b/>
          <w:bCs/>
          <w:sz w:val="20"/>
        </w:rPr>
        <w:t xml:space="preserve"> </w:t>
      </w:r>
      <w:r w:rsidRPr="00181747">
        <w:rPr>
          <w:rFonts w:eastAsia="Cambria" w:cs="Arial"/>
          <w:b/>
          <w:bCs/>
          <w:sz w:val="20"/>
        </w:rPr>
        <w:t>benefit</w:t>
      </w:r>
      <w:r>
        <w:rPr>
          <w:rFonts w:eastAsia="Cambria" w:cs="Arial"/>
          <w:b/>
          <w:bCs/>
          <w:sz w:val="20"/>
        </w:rPr>
        <w:t xml:space="preserve"> most </w:t>
      </w:r>
      <w:r w:rsidRPr="00181747">
        <w:rPr>
          <w:rFonts w:eastAsia="Cambria" w:cs="Arial"/>
          <w:b/>
          <w:bCs/>
          <w:sz w:val="20"/>
        </w:rPr>
        <w:t xml:space="preserve">if two additional reporting fields </w:t>
      </w:r>
      <w:r>
        <w:rPr>
          <w:rFonts w:eastAsia="Cambria" w:cs="Arial"/>
          <w:b/>
          <w:bCs/>
          <w:sz w:val="20"/>
        </w:rPr>
        <w:t>are</w:t>
      </w:r>
      <w:r w:rsidRPr="00181747">
        <w:rPr>
          <w:rFonts w:eastAsia="Cambria" w:cs="Arial"/>
          <w:b/>
          <w:bCs/>
          <w:sz w:val="20"/>
        </w:rPr>
        <w:t xml:space="preserve"> introduced in the existing MiFIR reporting instead of mandating UCITS/AIF managers to </w:t>
      </w:r>
      <w:r>
        <w:rPr>
          <w:rFonts w:eastAsia="Cambria" w:cs="Arial"/>
          <w:b/>
          <w:bCs/>
          <w:sz w:val="20"/>
        </w:rPr>
        <w:t xml:space="preserve">report under </w:t>
      </w:r>
      <w:r w:rsidRPr="00181747">
        <w:rPr>
          <w:rFonts w:eastAsia="Cambria" w:cs="Arial"/>
          <w:b/>
          <w:bCs/>
          <w:sz w:val="20"/>
        </w:rPr>
        <w:t>Art</w:t>
      </w:r>
      <w:r>
        <w:rPr>
          <w:rFonts w:eastAsia="Cambria" w:cs="Arial"/>
          <w:b/>
          <w:bCs/>
          <w:sz w:val="20"/>
        </w:rPr>
        <w:t>icle</w:t>
      </w:r>
      <w:r w:rsidRPr="00181747">
        <w:rPr>
          <w:rFonts w:eastAsia="Cambria" w:cs="Arial"/>
          <w:b/>
          <w:bCs/>
          <w:sz w:val="20"/>
        </w:rPr>
        <w:t xml:space="preserve"> 26 MiFIR</w:t>
      </w:r>
      <w:r>
        <w:rPr>
          <w:rFonts w:eastAsia="Cambria" w:cs="Arial"/>
          <w:b/>
          <w:bCs/>
          <w:sz w:val="20"/>
        </w:rPr>
        <w:t xml:space="preserve"> (new data fields “End of Chain” and</w:t>
      </w:r>
      <w:r w:rsidRPr="00181747">
        <w:rPr>
          <w:rFonts w:eastAsia="Cambria" w:cs="Arial"/>
          <w:b/>
          <w:bCs/>
          <w:sz w:val="20"/>
        </w:rPr>
        <w:t xml:space="preserve"> </w:t>
      </w:r>
      <w:r w:rsidRPr="00242787">
        <w:rPr>
          <w:rFonts w:eastAsia="Cambria" w:cs="Arial"/>
          <w:b/>
          <w:bCs/>
          <w:sz w:val="20"/>
        </w:rPr>
        <w:t>“Decision Maker of Non-Investment Firm”</w:t>
      </w:r>
      <w:r>
        <w:rPr>
          <w:rFonts w:eastAsia="Cambria" w:cs="Arial"/>
          <w:b/>
          <w:bCs/>
          <w:sz w:val="20"/>
        </w:rPr>
        <w:t xml:space="preserve">). </w:t>
      </w:r>
    </w:p>
    <w:p w14:paraId="7A82E4D4" w14:textId="77777777" w:rsidR="004A4B0F" w:rsidRDefault="004A4B0F" w:rsidP="004A4B0F">
      <w:pPr>
        <w:spacing w:after="0" w:line="288" w:lineRule="auto"/>
        <w:jc w:val="left"/>
        <w:rPr>
          <w:rFonts w:eastAsia="Cambria" w:cs="Arial"/>
          <w:sz w:val="20"/>
        </w:rPr>
      </w:pPr>
    </w:p>
    <w:p w14:paraId="0A91A3A3" w14:textId="77777777" w:rsidR="004A4B0F" w:rsidRPr="00FB74EC" w:rsidRDefault="004A4B0F" w:rsidP="004A4B0F">
      <w:pPr>
        <w:spacing w:after="0" w:line="288" w:lineRule="auto"/>
        <w:jc w:val="left"/>
        <w:rPr>
          <w:rFonts w:eastAsia="Cambria" w:cs="Arial"/>
          <w:sz w:val="20"/>
        </w:rPr>
      </w:pPr>
      <w:r w:rsidRPr="00FB74EC">
        <w:rPr>
          <w:rFonts w:eastAsia="Cambria" w:cs="Arial"/>
          <w:sz w:val="20"/>
        </w:rPr>
        <w:t xml:space="preserve">Such an approach could deliver the additional data requested by ESMA/NCAs without </w:t>
      </w:r>
      <w:r>
        <w:rPr>
          <w:rFonts w:eastAsia="Cambria" w:cs="Arial"/>
          <w:sz w:val="20"/>
        </w:rPr>
        <w:t>increasing</w:t>
      </w:r>
      <w:r w:rsidRPr="00FB74EC">
        <w:rPr>
          <w:rFonts w:eastAsia="Cambria" w:cs="Arial"/>
          <w:sz w:val="20"/>
        </w:rPr>
        <w:t xml:space="preserve"> the reporting burden for the UCITS/AIF managers</w:t>
      </w:r>
      <w:r>
        <w:rPr>
          <w:rFonts w:eastAsia="Cambria" w:cs="Arial"/>
          <w:sz w:val="20"/>
        </w:rPr>
        <w:t>:</w:t>
      </w:r>
    </w:p>
    <w:p w14:paraId="103F5931" w14:textId="77777777" w:rsidR="004A4B0F" w:rsidRPr="00D93B60" w:rsidRDefault="004A4B0F" w:rsidP="004A4B0F">
      <w:pPr>
        <w:spacing w:after="0" w:line="288" w:lineRule="auto"/>
        <w:jc w:val="left"/>
        <w:rPr>
          <w:rFonts w:eastAsia="Cambria" w:cs="Arial"/>
          <w:b/>
          <w:bCs/>
          <w:sz w:val="20"/>
        </w:rPr>
      </w:pPr>
    </w:p>
    <w:p w14:paraId="694D7062" w14:textId="77777777" w:rsidR="004A4B0F" w:rsidRPr="00F75F77" w:rsidRDefault="004A4B0F" w:rsidP="004A4B0F">
      <w:pPr>
        <w:pStyle w:val="Listenabsatz"/>
        <w:numPr>
          <w:ilvl w:val="0"/>
          <w:numId w:val="10"/>
        </w:numPr>
        <w:spacing w:after="0" w:line="288" w:lineRule="auto"/>
        <w:contextualSpacing/>
        <w:jc w:val="left"/>
        <w:rPr>
          <w:rFonts w:eastAsia="Cambria" w:cs="Arial"/>
          <w:b/>
          <w:bCs/>
          <w:sz w:val="20"/>
        </w:rPr>
      </w:pPr>
      <w:r w:rsidRPr="00F75F77">
        <w:rPr>
          <w:rFonts w:eastAsia="Cambria" w:cs="Arial"/>
          <w:b/>
          <w:bCs/>
          <w:sz w:val="20"/>
        </w:rPr>
        <w:t>Additional reporting field “End of Chain (EOC)”</w:t>
      </w:r>
    </w:p>
    <w:p w14:paraId="5ADD59A9" w14:textId="77777777" w:rsidR="004A4B0F" w:rsidRPr="00C31A4B" w:rsidRDefault="004A4B0F" w:rsidP="004A4B0F">
      <w:pPr>
        <w:spacing w:after="0" w:line="288" w:lineRule="auto"/>
        <w:jc w:val="left"/>
        <w:rPr>
          <w:rFonts w:eastAsia="Cambria" w:cs="Arial"/>
          <w:sz w:val="20"/>
        </w:rPr>
      </w:pPr>
    </w:p>
    <w:p w14:paraId="78C57E1C" w14:textId="77777777" w:rsidR="004A4B0F" w:rsidRPr="0051141B" w:rsidRDefault="004A4B0F" w:rsidP="004A4B0F">
      <w:pPr>
        <w:spacing w:after="0" w:line="288" w:lineRule="auto"/>
        <w:jc w:val="left"/>
        <w:rPr>
          <w:rFonts w:eastAsia="Cambria" w:cs="Arial"/>
          <w:sz w:val="20"/>
        </w:rPr>
      </w:pPr>
      <w:r w:rsidRPr="0051141B">
        <w:rPr>
          <w:rFonts w:eastAsia="Cambria" w:cs="Arial"/>
          <w:sz w:val="20"/>
        </w:rPr>
        <w:t xml:space="preserve">This field should </w:t>
      </w:r>
      <w:r>
        <w:rPr>
          <w:rFonts w:eastAsia="Cambria" w:cs="Arial"/>
          <w:sz w:val="20"/>
        </w:rPr>
        <w:t xml:space="preserve">only </w:t>
      </w:r>
      <w:r w:rsidRPr="0051141B">
        <w:rPr>
          <w:rFonts w:eastAsia="Cambria" w:cs="Arial"/>
          <w:sz w:val="20"/>
        </w:rPr>
        <w:t>be populated by an investment firm</w:t>
      </w:r>
      <w:r>
        <w:rPr>
          <w:rFonts w:eastAsia="Cambria" w:cs="Arial"/>
          <w:sz w:val="20"/>
        </w:rPr>
        <w:t xml:space="preserve"> if</w:t>
      </w:r>
      <w:r w:rsidRPr="0051141B">
        <w:rPr>
          <w:rFonts w:eastAsia="Cambria" w:cs="Arial"/>
          <w:sz w:val="20"/>
        </w:rPr>
        <w:t xml:space="preserve"> it faces a person that is currently reported as Buyer/Seller but acts as agent or broker on behalf of a third party without being an investment firm. Facing such </w:t>
      </w:r>
      <w:r>
        <w:rPr>
          <w:rFonts w:eastAsia="Cambria" w:cs="Arial"/>
          <w:sz w:val="20"/>
        </w:rPr>
        <w:t xml:space="preserve">a </w:t>
      </w:r>
      <w:r w:rsidRPr="0051141B">
        <w:rPr>
          <w:rFonts w:eastAsia="Cambria" w:cs="Arial"/>
          <w:sz w:val="20"/>
        </w:rPr>
        <w:t>person, the investment firm shall populate the EOC</w:t>
      </w:r>
      <w:r>
        <w:rPr>
          <w:rFonts w:eastAsia="Cambria" w:cs="Arial"/>
          <w:sz w:val="20"/>
        </w:rPr>
        <w:t xml:space="preserve"> f</w:t>
      </w:r>
      <w:r w:rsidRPr="0051141B">
        <w:rPr>
          <w:rFonts w:eastAsia="Cambria" w:cs="Arial"/>
          <w:sz w:val="20"/>
        </w:rPr>
        <w:t>ield with the LEI or National-ID of the person represented by their counterparty (respectively in case of a broker for whom the broker executes that transaction. This information should already be available at least in cases of agency</w:t>
      </w:r>
      <w:r>
        <w:rPr>
          <w:rFonts w:eastAsia="Cambria" w:cs="Arial"/>
          <w:sz w:val="20"/>
        </w:rPr>
        <w:t xml:space="preserve"> </w:t>
      </w:r>
      <w:r w:rsidRPr="0051141B">
        <w:rPr>
          <w:rFonts w:eastAsia="Cambria" w:cs="Arial"/>
          <w:sz w:val="20"/>
        </w:rPr>
        <w:t xml:space="preserve">because an agent </w:t>
      </w:r>
      <w:r>
        <w:rPr>
          <w:rFonts w:eastAsia="Cambria" w:cs="Arial"/>
          <w:sz w:val="20"/>
        </w:rPr>
        <w:t>has to</w:t>
      </w:r>
      <w:r w:rsidRPr="0051141B">
        <w:rPr>
          <w:rFonts w:eastAsia="Cambria" w:cs="Arial"/>
          <w:sz w:val="20"/>
        </w:rPr>
        <w:t xml:space="preserve"> name the person represented in </w:t>
      </w:r>
      <w:r>
        <w:rPr>
          <w:rFonts w:eastAsia="Cambria" w:cs="Arial"/>
          <w:sz w:val="20"/>
        </w:rPr>
        <w:t xml:space="preserve">an </w:t>
      </w:r>
      <w:r w:rsidRPr="0051141B">
        <w:rPr>
          <w:rFonts w:eastAsia="Cambria" w:cs="Arial"/>
          <w:sz w:val="20"/>
        </w:rPr>
        <w:t xml:space="preserve">order not </w:t>
      </w:r>
      <w:r>
        <w:rPr>
          <w:rFonts w:eastAsia="Cambria" w:cs="Arial"/>
          <w:sz w:val="20"/>
        </w:rPr>
        <w:t xml:space="preserve">to </w:t>
      </w:r>
      <w:r w:rsidRPr="0051141B">
        <w:rPr>
          <w:rFonts w:eastAsia="Cambria" w:cs="Arial"/>
          <w:sz w:val="20"/>
        </w:rPr>
        <w:t>becom</w:t>
      </w:r>
      <w:r>
        <w:rPr>
          <w:rFonts w:eastAsia="Cambria" w:cs="Arial"/>
          <w:sz w:val="20"/>
        </w:rPr>
        <w:t>e</w:t>
      </w:r>
      <w:r w:rsidRPr="0051141B">
        <w:rPr>
          <w:rFonts w:eastAsia="Cambria" w:cs="Arial"/>
          <w:sz w:val="20"/>
        </w:rPr>
        <w:t xml:space="preserve"> liable</w:t>
      </w:r>
      <w:r>
        <w:rPr>
          <w:rFonts w:eastAsia="Cambria" w:cs="Arial"/>
          <w:sz w:val="20"/>
        </w:rPr>
        <w:t xml:space="preserve"> </w:t>
      </w:r>
      <w:r w:rsidRPr="0051141B">
        <w:rPr>
          <w:rFonts w:eastAsia="Cambria" w:cs="Arial"/>
          <w:sz w:val="20"/>
        </w:rPr>
        <w:t>itself under the transaction for its client. Furthermore, retrieving th</w:t>
      </w:r>
      <w:r>
        <w:rPr>
          <w:rFonts w:eastAsia="Cambria" w:cs="Arial"/>
          <w:sz w:val="20"/>
        </w:rPr>
        <w:t>is</w:t>
      </w:r>
      <w:r w:rsidRPr="0051141B">
        <w:rPr>
          <w:rFonts w:eastAsia="Cambria" w:cs="Arial"/>
          <w:sz w:val="20"/>
        </w:rPr>
        <w:t xml:space="preserve"> information is part of the investment firms KYC-</w:t>
      </w:r>
      <w:r>
        <w:rPr>
          <w:rFonts w:eastAsia="Cambria" w:cs="Arial"/>
          <w:sz w:val="20"/>
        </w:rPr>
        <w:t>p</w:t>
      </w:r>
      <w:r w:rsidRPr="0051141B">
        <w:rPr>
          <w:rFonts w:eastAsia="Cambria" w:cs="Arial"/>
          <w:sz w:val="20"/>
        </w:rPr>
        <w:t>rocess and existing AML-requirements.</w:t>
      </w:r>
    </w:p>
    <w:p w14:paraId="4B83F095" w14:textId="77777777" w:rsidR="004A4B0F" w:rsidRDefault="004A4B0F" w:rsidP="004A4B0F">
      <w:pPr>
        <w:spacing w:after="0" w:line="288" w:lineRule="auto"/>
        <w:jc w:val="left"/>
        <w:rPr>
          <w:rFonts w:eastAsia="Cambria" w:cs="Arial"/>
          <w:sz w:val="20"/>
        </w:rPr>
      </w:pPr>
    </w:p>
    <w:p w14:paraId="1FB15A13" w14:textId="77777777" w:rsidR="004A4B0F" w:rsidRDefault="004A4B0F" w:rsidP="004A4B0F">
      <w:pPr>
        <w:spacing w:after="0" w:line="288" w:lineRule="auto"/>
        <w:jc w:val="left"/>
        <w:rPr>
          <w:rFonts w:eastAsia="Cambria" w:cs="Arial"/>
          <w:sz w:val="20"/>
        </w:rPr>
      </w:pPr>
      <w:r w:rsidRPr="0051141B">
        <w:rPr>
          <w:rFonts w:eastAsia="Cambria" w:cs="Arial"/>
          <w:sz w:val="20"/>
        </w:rPr>
        <w:t>If the investment firm faces an AIF</w:t>
      </w:r>
      <w:r>
        <w:rPr>
          <w:rFonts w:eastAsia="Cambria" w:cs="Arial"/>
          <w:sz w:val="20"/>
        </w:rPr>
        <w:t>/</w:t>
      </w:r>
      <w:r w:rsidRPr="0051141B">
        <w:rPr>
          <w:rFonts w:eastAsia="Cambria" w:cs="Arial"/>
          <w:sz w:val="20"/>
        </w:rPr>
        <w:t xml:space="preserve">UCITS </w:t>
      </w:r>
      <w:r>
        <w:rPr>
          <w:rFonts w:eastAsia="Cambria" w:cs="Arial"/>
          <w:sz w:val="20"/>
        </w:rPr>
        <w:t>managers</w:t>
      </w:r>
      <w:r w:rsidRPr="0051141B">
        <w:rPr>
          <w:rFonts w:eastAsia="Cambria" w:cs="Arial"/>
          <w:sz w:val="20"/>
        </w:rPr>
        <w:t>, acting as the operator of the relevant investment fund, the EOC</w:t>
      </w:r>
      <w:r>
        <w:rPr>
          <w:rFonts w:eastAsia="Cambria" w:cs="Arial"/>
          <w:sz w:val="20"/>
        </w:rPr>
        <w:t xml:space="preserve"> f</w:t>
      </w:r>
      <w:r w:rsidRPr="0051141B">
        <w:rPr>
          <w:rFonts w:eastAsia="Cambria" w:cs="Arial"/>
          <w:sz w:val="20"/>
        </w:rPr>
        <w:t xml:space="preserve">ield </w:t>
      </w:r>
      <w:r>
        <w:rPr>
          <w:rFonts w:eastAsia="Cambria" w:cs="Arial"/>
          <w:sz w:val="20"/>
        </w:rPr>
        <w:t>c</w:t>
      </w:r>
      <w:r w:rsidRPr="0051141B">
        <w:rPr>
          <w:rFonts w:eastAsia="Cambria" w:cs="Arial"/>
          <w:sz w:val="20"/>
        </w:rPr>
        <w:t>ould be populated with the LEI of such investment fund</w:t>
      </w:r>
      <w:r>
        <w:rPr>
          <w:rFonts w:eastAsia="Cambria" w:cs="Arial"/>
          <w:sz w:val="20"/>
        </w:rPr>
        <w:t xml:space="preserve"> </w:t>
      </w:r>
      <w:r w:rsidRPr="0051141B">
        <w:rPr>
          <w:rFonts w:eastAsia="Cambria" w:cs="Arial"/>
          <w:sz w:val="20"/>
        </w:rPr>
        <w:t>which has already been considered as buyer/seller.</w:t>
      </w:r>
      <w:r>
        <w:rPr>
          <w:rFonts w:eastAsia="Cambria" w:cs="Arial"/>
          <w:sz w:val="20"/>
        </w:rPr>
        <w:t xml:space="preserve"> </w:t>
      </w:r>
      <w:r w:rsidRPr="0051141B">
        <w:rPr>
          <w:rFonts w:eastAsia="Cambria" w:cs="Arial"/>
          <w:sz w:val="20"/>
        </w:rPr>
        <w:t xml:space="preserve">If the operator of an investment fund has outsourced the portfolio </w:t>
      </w:r>
      <w:r w:rsidRPr="0051141B">
        <w:rPr>
          <w:rFonts w:eastAsia="Cambria" w:cs="Arial"/>
          <w:sz w:val="20"/>
        </w:rPr>
        <w:lastRenderedPageBreak/>
        <w:t>management to AIFM</w:t>
      </w:r>
      <w:r>
        <w:rPr>
          <w:rFonts w:eastAsia="Cambria" w:cs="Arial"/>
          <w:sz w:val="20"/>
        </w:rPr>
        <w:t>/</w:t>
      </w:r>
      <w:r w:rsidRPr="0051141B">
        <w:rPr>
          <w:rFonts w:eastAsia="Cambria" w:cs="Arial"/>
          <w:sz w:val="20"/>
        </w:rPr>
        <w:t>UCITS management compan</w:t>
      </w:r>
      <w:r>
        <w:rPr>
          <w:rFonts w:eastAsia="Cambria" w:cs="Arial"/>
          <w:sz w:val="20"/>
        </w:rPr>
        <w:t>ies</w:t>
      </w:r>
      <w:r w:rsidRPr="0051141B">
        <w:rPr>
          <w:rFonts w:eastAsia="Cambria" w:cs="Arial"/>
          <w:sz w:val="20"/>
        </w:rPr>
        <w:t>, the EOC</w:t>
      </w:r>
      <w:r>
        <w:rPr>
          <w:rFonts w:eastAsia="Cambria" w:cs="Arial"/>
          <w:sz w:val="20"/>
        </w:rPr>
        <w:t xml:space="preserve"> f</w:t>
      </w:r>
      <w:r w:rsidRPr="0051141B">
        <w:rPr>
          <w:rFonts w:eastAsia="Cambria" w:cs="Arial"/>
          <w:sz w:val="20"/>
        </w:rPr>
        <w:t xml:space="preserve">ield </w:t>
      </w:r>
      <w:r>
        <w:rPr>
          <w:rFonts w:eastAsia="Cambria" w:cs="Arial"/>
          <w:sz w:val="20"/>
        </w:rPr>
        <w:t xml:space="preserve">should </w:t>
      </w:r>
      <w:r w:rsidRPr="0051141B">
        <w:rPr>
          <w:rFonts w:eastAsia="Cambria" w:cs="Arial"/>
          <w:sz w:val="20"/>
        </w:rPr>
        <w:t xml:space="preserve">be populated with the LEI of </w:t>
      </w:r>
      <w:r>
        <w:rPr>
          <w:rFonts w:eastAsia="Cambria" w:cs="Arial"/>
          <w:sz w:val="20"/>
        </w:rPr>
        <w:t xml:space="preserve">the </w:t>
      </w:r>
      <w:r w:rsidRPr="0051141B">
        <w:rPr>
          <w:rFonts w:eastAsia="Cambria" w:cs="Arial"/>
          <w:sz w:val="20"/>
        </w:rPr>
        <w:t xml:space="preserve">investment fund </w:t>
      </w:r>
      <w:r>
        <w:rPr>
          <w:rFonts w:eastAsia="Cambria" w:cs="Arial"/>
          <w:sz w:val="20"/>
        </w:rPr>
        <w:t>(</w:t>
      </w:r>
      <w:r w:rsidRPr="0051141B">
        <w:rPr>
          <w:rFonts w:eastAsia="Cambria" w:cs="Arial"/>
          <w:sz w:val="20"/>
        </w:rPr>
        <w:t>buyer/seller</w:t>
      </w:r>
      <w:r>
        <w:rPr>
          <w:rFonts w:eastAsia="Cambria" w:cs="Arial"/>
          <w:sz w:val="20"/>
        </w:rPr>
        <w:t>)</w:t>
      </w:r>
      <w:r w:rsidRPr="0051141B">
        <w:rPr>
          <w:rFonts w:eastAsia="Cambria" w:cs="Arial"/>
          <w:sz w:val="20"/>
        </w:rPr>
        <w:t>.</w:t>
      </w:r>
    </w:p>
    <w:p w14:paraId="71D94B7D" w14:textId="77777777" w:rsidR="004A4B0F" w:rsidRPr="0051141B" w:rsidRDefault="004A4B0F" w:rsidP="004A4B0F">
      <w:pPr>
        <w:spacing w:after="0" w:line="288" w:lineRule="auto"/>
        <w:jc w:val="left"/>
        <w:rPr>
          <w:rFonts w:eastAsia="Cambria" w:cs="Arial"/>
          <w:sz w:val="20"/>
        </w:rPr>
      </w:pPr>
      <w:r w:rsidRPr="0051141B">
        <w:rPr>
          <w:rFonts w:eastAsia="Cambria" w:cs="Arial"/>
          <w:sz w:val="20"/>
        </w:rPr>
        <w:t xml:space="preserve"> </w:t>
      </w:r>
    </w:p>
    <w:p w14:paraId="3831EA47" w14:textId="77777777" w:rsidR="004A4B0F" w:rsidRDefault="004A4B0F" w:rsidP="004A4B0F">
      <w:pPr>
        <w:spacing w:after="0" w:line="288" w:lineRule="auto"/>
        <w:jc w:val="left"/>
        <w:rPr>
          <w:rFonts w:eastAsia="Cambria" w:cs="Arial"/>
          <w:sz w:val="20"/>
        </w:rPr>
      </w:pPr>
      <w:r>
        <w:rPr>
          <w:rFonts w:eastAsia="Cambria" w:cs="Arial"/>
          <w:sz w:val="20"/>
        </w:rPr>
        <w:t xml:space="preserve">If </w:t>
      </w:r>
      <w:r w:rsidRPr="0051141B">
        <w:rPr>
          <w:rFonts w:eastAsia="Cambria" w:cs="Arial"/>
          <w:sz w:val="20"/>
        </w:rPr>
        <w:t>the AIFM</w:t>
      </w:r>
      <w:r>
        <w:rPr>
          <w:rFonts w:eastAsia="Cambria" w:cs="Arial"/>
          <w:sz w:val="20"/>
        </w:rPr>
        <w:t>/</w:t>
      </w:r>
      <w:r w:rsidRPr="0051141B">
        <w:rPr>
          <w:rFonts w:eastAsia="Cambria" w:cs="Arial"/>
          <w:sz w:val="20"/>
        </w:rPr>
        <w:t>UCITS management company represents an individual client, the EOC</w:t>
      </w:r>
      <w:r>
        <w:rPr>
          <w:rFonts w:eastAsia="Cambria" w:cs="Arial"/>
          <w:sz w:val="20"/>
        </w:rPr>
        <w:t xml:space="preserve"> f</w:t>
      </w:r>
      <w:r w:rsidRPr="0051141B">
        <w:rPr>
          <w:rFonts w:eastAsia="Cambria" w:cs="Arial"/>
          <w:sz w:val="20"/>
        </w:rPr>
        <w:t>ield</w:t>
      </w:r>
      <w:r>
        <w:rPr>
          <w:rFonts w:eastAsia="Cambria" w:cs="Arial"/>
          <w:sz w:val="20"/>
        </w:rPr>
        <w:t xml:space="preserve"> i</w:t>
      </w:r>
      <w:r w:rsidRPr="0051141B">
        <w:rPr>
          <w:rFonts w:eastAsia="Cambria" w:cs="Arial"/>
          <w:sz w:val="20"/>
        </w:rPr>
        <w:t xml:space="preserve">s populated </w:t>
      </w:r>
      <w:r>
        <w:rPr>
          <w:rFonts w:eastAsia="Cambria" w:cs="Arial"/>
          <w:sz w:val="20"/>
        </w:rPr>
        <w:t xml:space="preserve">with </w:t>
      </w:r>
      <w:r w:rsidRPr="0051141B">
        <w:rPr>
          <w:rFonts w:eastAsia="Cambria" w:cs="Arial"/>
          <w:sz w:val="20"/>
        </w:rPr>
        <w:t>the LEI or National-ID of the individual client. In such case</w:t>
      </w:r>
      <w:r>
        <w:rPr>
          <w:rFonts w:eastAsia="Cambria" w:cs="Arial"/>
          <w:sz w:val="20"/>
        </w:rPr>
        <w:t xml:space="preserve">s, the </w:t>
      </w:r>
      <w:r w:rsidRPr="0051141B">
        <w:rPr>
          <w:rFonts w:eastAsia="Cambria" w:cs="Arial"/>
          <w:sz w:val="20"/>
        </w:rPr>
        <w:t xml:space="preserve">current reports made by investment firms </w:t>
      </w:r>
      <w:r>
        <w:rPr>
          <w:rFonts w:eastAsia="Cambria" w:cs="Arial"/>
          <w:sz w:val="20"/>
        </w:rPr>
        <w:t xml:space="preserve">today </w:t>
      </w:r>
      <w:r w:rsidRPr="0051141B">
        <w:rPr>
          <w:rFonts w:eastAsia="Cambria" w:cs="Arial"/>
          <w:sz w:val="20"/>
        </w:rPr>
        <w:t>show the AIFM</w:t>
      </w:r>
      <w:r>
        <w:rPr>
          <w:rFonts w:eastAsia="Cambria" w:cs="Arial"/>
          <w:sz w:val="20"/>
        </w:rPr>
        <w:t>/</w:t>
      </w:r>
      <w:r w:rsidRPr="0051141B">
        <w:rPr>
          <w:rFonts w:eastAsia="Cambria" w:cs="Arial"/>
          <w:sz w:val="20"/>
        </w:rPr>
        <w:t>UCITS management company. The proposed EOC</w:t>
      </w:r>
      <w:r>
        <w:rPr>
          <w:rFonts w:eastAsia="Cambria" w:cs="Arial"/>
          <w:sz w:val="20"/>
        </w:rPr>
        <w:t xml:space="preserve"> f</w:t>
      </w:r>
      <w:r w:rsidRPr="0051141B">
        <w:rPr>
          <w:rFonts w:eastAsia="Cambria" w:cs="Arial"/>
          <w:sz w:val="20"/>
        </w:rPr>
        <w:t xml:space="preserve">ield </w:t>
      </w:r>
      <w:r>
        <w:rPr>
          <w:rFonts w:eastAsia="Cambria" w:cs="Arial"/>
          <w:sz w:val="20"/>
        </w:rPr>
        <w:t xml:space="preserve">should </w:t>
      </w:r>
      <w:r w:rsidRPr="0051141B">
        <w:rPr>
          <w:rFonts w:eastAsia="Cambria" w:cs="Arial"/>
          <w:sz w:val="20"/>
        </w:rPr>
        <w:t>also close th</w:t>
      </w:r>
      <w:r>
        <w:rPr>
          <w:rFonts w:eastAsia="Cambria" w:cs="Arial"/>
          <w:sz w:val="20"/>
        </w:rPr>
        <w:t>e</w:t>
      </w:r>
      <w:r w:rsidRPr="0051141B">
        <w:rPr>
          <w:rFonts w:eastAsia="Cambria" w:cs="Arial"/>
          <w:sz w:val="20"/>
        </w:rPr>
        <w:t xml:space="preserve"> </w:t>
      </w:r>
      <w:r>
        <w:rPr>
          <w:rFonts w:eastAsia="Cambria" w:cs="Arial"/>
          <w:sz w:val="20"/>
        </w:rPr>
        <w:t xml:space="preserve">envisaged </w:t>
      </w:r>
      <w:r w:rsidRPr="0051141B">
        <w:rPr>
          <w:rFonts w:eastAsia="Cambria" w:cs="Arial"/>
          <w:sz w:val="20"/>
        </w:rPr>
        <w:t xml:space="preserve">information gap for </w:t>
      </w:r>
      <w:r>
        <w:rPr>
          <w:rFonts w:eastAsia="Cambria" w:cs="Arial"/>
          <w:sz w:val="20"/>
        </w:rPr>
        <w:t>ESMA/</w:t>
      </w:r>
      <w:r w:rsidRPr="0051141B">
        <w:rPr>
          <w:rFonts w:eastAsia="Cambria" w:cs="Arial"/>
          <w:sz w:val="20"/>
        </w:rPr>
        <w:t>NCAs.</w:t>
      </w:r>
    </w:p>
    <w:p w14:paraId="6DF586F9" w14:textId="77777777" w:rsidR="004A4B0F" w:rsidRPr="0051141B" w:rsidRDefault="004A4B0F" w:rsidP="004A4B0F">
      <w:pPr>
        <w:spacing w:after="0" w:line="288" w:lineRule="auto"/>
        <w:jc w:val="left"/>
        <w:rPr>
          <w:rFonts w:eastAsia="Cambria" w:cs="Arial"/>
          <w:sz w:val="20"/>
        </w:rPr>
      </w:pPr>
    </w:p>
    <w:p w14:paraId="7F47EED9" w14:textId="77777777" w:rsidR="004A4B0F" w:rsidRPr="00D93B60" w:rsidRDefault="004A4B0F" w:rsidP="004A4B0F">
      <w:pPr>
        <w:spacing w:after="0" w:line="288" w:lineRule="auto"/>
        <w:jc w:val="left"/>
        <w:rPr>
          <w:rFonts w:eastAsia="Cambria" w:cs="Arial"/>
          <w:b/>
          <w:bCs/>
          <w:sz w:val="20"/>
        </w:rPr>
      </w:pPr>
      <w:r>
        <w:rPr>
          <w:rFonts w:eastAsia="Cambria" w:cs="Arial"/>
          <w:b/>
          <w:bCs/>
          <w:sz w:val="20"/>
        </w:rPr>
        <w:t>b</w:t>
      </w:r>
      <w:r w:rsidRPr="00D93B60">
        <w:rPr>
          <w:rFonts w:eastAsia="Cambria" w:cs="Arial"/>
          <w:b/>
          <w:bCs/>
          <w:sz w:val="20"/>
        </w:rPr>
        <w:t xml:space="preserve">. Additional Reporting field “Decision Maker of Non-Investment Firm” </w:t>
      </w:r>
    </w:p>
    <w:p w14:paraId="05A2E65C" w14:textId="77777777" w:rsidR="004A4B0F" w:rsidRPr="0051141B" w:rsidRDefault="004A4B0F" w:rsidP="004A4B0F">
      <w:pPr>
        <w:spacing w:after="0" w:line="288" w:lineRule="auto"/>
        <w:jc w:val="left"/>
        <w:rPr>
          <w:rFonts w:eastAsia="Cambria" w:cs="Arial"/>
          <w:sz w:val="20"/>
        </w:rPr>
      </w:pPr>
    </w:p>
    <w:p w14:paraId="556BFDB6" w14:textId="77777777" w:rsidR="004A4B0F" w:rsidRPr="0051141B" w:rsidRDefault="004A4B0F" w:rsidP="004A4B0F">
      <w:pPr>
        <w:spacing w:after="0" w:line="288" w:lineRule="auto"/>
        <w:jc w:val="left"/>
        <w:rPr>
          <w:rFonts w:eastAsia="Cambria" w:cs="Arial"/>
          <w:sz w:val="20"/>
        </w:rPr>
      </w:pPr>
      <w:r>
        <w:rPr>
          <w:rFonts w:eastAsia="Cambria" w:cs="Arial"/>
          <w:sz w:val="20"/>
        </w:rPr>
        <w:t>T</w:t>
      </w:r>
      <w:r w:rsidRPr="0051141B">
        <w:rPr>
          <w:rFonts w:eastAsia="Cambria" w:cs="Arial"/>
          <w:sz w:val="20"/>
        </w:rPr>
        <w:t xml:space="preserve">his field should </w:t>
      </w:r>
      <w:r>
        <w:rPr>
          <w:rFonts w:eastAsia="Cambria" w:cs="Arial"/>
          <w:sz w:val="20"/>
        </w:rPr>
        <w:t xml:space="preserve">only </w:t>
      </w:r>
      <w:r w:rsidRPr="0051141B">
        <w:rPr>
          <w:rFonts w:eastAsia="Cambria" w:cs="Arial"/>
          <w:sz w:val="20"/>
        </w:rPr>
        <w:t xml:space="preserve">be populated by an investment firm </w:t>
      </w:r>
      <w:r>
        <w:rPr>
          <w:rFonts w:eastAsia="Cambria" w:cs="Arial"/>
          <w:sz w:val="20"/>
        </w:rPr>
        <w:t>if it is</w:t>
      </w:r>
      <w:r w:rsidRPr="0051141B">
        <w:rPr>
          <w:rFonts w:eastAsia="Cambria" w:cs="Arial"/>
          <w:sz w:val="20"/>
        </w:rPr>
        <w:t xml:space="preserve"> a Buyer/Seller that is not an investment firm. If the EOC</w:t>
      </w:r>
      <w:r>
        <w:rPr>
          <w:rFonts w:eastAsia="Cambria" w:cs="Arial"/>
          <w:sz w:val="20"/>
        </w:rPr>
        <w:t xml:space="preserve"> f</w:t>
      </w:r>
      <w:r w:rsidRPr="0051141B">
        <w:rPr>
          <w:rFonts w:eastAsia="Cambria" w:cs="Arial"/>
          <w:sz w:val="20"/>
        </w:rPr>
        <w:t xml:space="preserve">ield is completed with a value, the field “Decision Maker of Non-Investment Firm” shall be completed with the LEI or National-ID provided by the Buyer/Seller with respect to the applicable decision maker. </w:t>
      </w:r>
    </w:p>
    <w:p w14:paraId="2AF101FD" w14:textId="77777777" w:rsidR="004A4B0F" w:rsidRDefault="004A4B0F" w:rsidP="004A4B0F">
      <w:pPr>
        <w:spacing w:after="0" w:line="288" w:lineRule="auto"/>
        <w:jc w:val="left"/>
        <w:rPr>
          <w:rFonts w:eastAsia="Cambria" w:cs="Arial"/>
          <w:sz w:val="20"/>
        </w:rPr>
      </w:pPr>
    </w:p>
    <w:p w14:paraId="7AE61CB3" w14:textId="77777777" w:rsidR="004A4B0F" w:rsidRPr="0051141B" w:rsidRDefault="004A4B0F" w:rsidP="004A4B0F">
      <w:pPr>
        <w:spacing w:after="0" w:line="288" w:lineRule="auto"/>
        <w:jc w:val="left"/>
        <w:rPr>
          <w:rFonts w:eastAsia="Cambria" w:cs="Arial"/>
          <w:sz w:val="20"/>
        </w:rPr>
      </w:pPr>
      <w:r w:rsidRPr="0051141B">
        <w:rPr>
          <w:rFonts w:eastAsia="Cambria" w:cs="Arial"/>
          <w:sz w:val="20"/>
        </w:rPr>
        <w:t>That means, in case of a complete EOC</w:t>
      </w:r>
      <w:r>
        <w:rPr>
          <w:rFonts w:eastAsia="Cambria" w:cs="Arial"/>
          <w:sz w:val="20"/>
        </w:rPr>
        <w:t xml:space="preserve"> f</w:t>
      </w:r>
      <w:r w:rsidRPr="0051141B">
        <w:rPr>
          <w:rFonts w:eastAsia="Cambria" w:cs="Arial"/>
          <w:sz w:val="20"/>
        </w:rPr>
        <w:t>ield, this could be either the LEI or National-ID already reported as EOC</w:t>
      </w:r>
      <w:r>
        <w:rPr>
          <w:rFonts w:eastAsia="Cambria" w:cs="Arial"/>
          <w:sz w:val="20"/>
        </w:rPr>
        <w:t>. I</w:t>
      </w:r>
      <w:r w:rsidRPr="0051141B">
        <w:rPr>
          <w:rFonts w:eastAsia="Cambria" w:cs="Arial"/>
          <w:sz w:val="20"/>
        </w:rPr>
        <w:t>f the investment decision has been made by a differ</w:t>
      </w:r>
      <w:r>
        <w:rPr>
          <w:rFonts w:eastAsia="Cambria" w:cs="Arial"/>
          <w:sz w:val="20"/>
        </w:rPr>
        <w:t xml:space="preserve">ent </w:t>
      </w:r>
      <w:r w:rsidRPr="0051141B">
        <w:rPr>
          <w:rFonts w:eastAsia="Cambria" w:cs="Arial"/>
          <w:sz w:val="20"/>
        </w:rPr>
        <w:t>person (e.g. agent), the LEI or National-ID of that person</w:t>
      </w:r>
      <w:r>
        <w:rPr>
          <w:rFonts w:eastAsia="Cambria" w:cs="Arial"/>
          <w:sz w:val="20"/>
        </w:rPr>
        <w:t xml:space="preserve"> should be used</w:t>
      </w:r>
      <w:r w:rsidRPr="0051141B">
        <w:rPr>
          <w:rFonts w:eastAsia="Cambria" w:cs="Arial"/>
          <w:sz w:val="20"/>
        </w:rPr>
        <w:t xml:space="preserve">. If the Buyer/Seller </w:t>
      </w:r>
      <w:r>
        <w:rPr>
          <w:rFonts w:eastAsia="Cambria" w:cs="Arial"/>
          <w:sz w:val="20"/>
        </w:rPr>
        <w:t>(</w:t>
      </w:r>
      <w:r w:rsidRPr="0051141B">
        <w:rPr>
          <w:rFonts w:eastAsia="Cambria" w:cs="Arial"/>
          <w:sz w:val="20"/>
        </w:rPr>
        <w:t xml:space="preserve">who is not an investment firm) reported by the investment firm is unable or not willing to determine the decision maker within the remaining chain, the investment firm shall report the value “UNKNOWN”. </w:t>
      </w:r>
      <w:r>
        <w:rPr>
          <w:rFonts w:eastAsia="Cambria" w:cs="Arial"/>
          <w:sz w:val="20"/>
        </w:rPr>
        <w:t xml:space="preserve">This </w:t>
      </w:r>
      <w:r w:rsidRPr="0051141B">
        <w:rPr>
          <w:rFonts w:eastAsia="Cambria" w:cs="Arial"/>
          <w:sz w:val="20"/>
        </w:rPr>
        <w:t xml:space="preserve">value </w:t>
      </w:r>
      <w:r>
        <w:rPr>
          <w:rFonts w:eastAsia="Cambria" w:cs="Arial"/>
          <w:sz w:val="20"/>
        </w:rPr>
        <w:t xml:space="preserve">will be sufficient to </w:t>
      </w:r>
      <w:r w:rsidRPr="0051141B">
        <w:rPr>
          <w:rFonts w:eastAsia="Cambria" w:cs="Arial"/>
          <w:sz w:val="20"/>
        </w:rPr>
        <w:t xml:space="preserve">trigger further investigations by the </w:t>
      </w:r>
      <w:r>
        <w:rPr>
          <w:rFonts w:eastAsia="Cambria" w:cs="Arial"/>
          <w:sz w:val="20"/>
        </w:rPr>
        <w:t xml:space="preserve">responsible </w:t>
      </w:r>
      <w:r w:rsidRPr="0051141B">
        <w:rPr>
          <w:rFonts w:eastAsia="Cambria" w:cs="Arial"/>
          <w:sz w:val="20"/>
        </w:rPr>
        <w:t>NCA.</w:t>
      </w:r>
    </w:p>
    <w:p w14:paraId="68E7FE67" w14:textId="77777777" w:rsidR="004A4B0F" w:rsidRDefault="004A4B0F" w:rsidP="004A4B0F">
      <w:pPr>
        <w:spacing w:after="0" w:line="288" w:lineRule="auto"/>
        <w:jc w:val="left"/>
        <w:rPr>
          <w:rFonts w:eastAsia="Cambria" w:cs="Arial"/>
          <w:sz w:val="20"/>
        </w:rPr>
      </w:pPr>
    </w:p>
    <w:p w14:paraId="2717AD88" w14:textId="77777777" w:rsidR="004A4B0F" w:rsidRPr="0051141B" w:rsidRDefault="004A4B0F" w:rsidP="004A4B0F">
      <w:pPr>
        <w:spacing w:after="0" w:line="288" w:lineRule="auto"/>
        <w:jc w:val="left"/>
        <w:rPr>
          <w:rFonts w:eastAsia="Cambria" w:cs="Arial"/>
          <w:sz w:val="20"/>
        </w:rPr>
      </w:pPr>
      <w:r>
        <w:rPr>
          <w:rFonts w:eastAsia="Cambria" w:cs="Arial"/>
          <w:sz w:val="20"/>
        </w:rPr>
        <w:t>If</w:t>
      </w:r>
      <w:r w:rsidRPr="0051141B">
        <w:rPr>
          <w:rFonts w:eastAsia="Cambria" w:cs="Arial"/>
          <w:sz w:val="20"/>
        </w:rPr>
        <w:t xml:space="preserve"> the investment firm faces an AIFM</w:t>
      </w:r>
      <w:r>
        <w:rPr>
          <w:rFonts w:eastAsia="Cambria" w:cs="Arial"/>
          <w:sz w:val="20"/>
        </w:rPr>
        <w:t>/</w:t>
      </w:r>
      <w:r w:rsidRPr="0051141B">
        <w:rPr>
          <w:rFonts w:eastAsia="Cambria" w:cs="Arial"/>
          <w:sz w:val="20"/>
        </w:rPr>
        <w:t>UCITS management company, the investment firm</w:t>
      </w:r>
      <w:r>
        <w:rPr>
          <w:rFonts w:eastAsia="Cambria" w:cs="Arial"/>
          <w:sz w:val="20"/>
        </w:rPr>
        <w:t xml:space="preserve"> could</w:t>
      </w:r>
      <w:r w:rsidRPr="0051141B">
        <w:rPr>
          <w:rFonts w:eastAsia="Cambria" w:cs="Arial"/>
          <w:sz w:val="20"/>
        </w:rPr>
        <w:t xml:space="preserve"> populate the additional reporting field “Decision Maker of Non-Investment Firm” with the National-ID of the portfolio manager who made the investment decision within the AIFM</w:t>
      </w:r>
      <w:r>
        <w:rPr>
          <w:rFonts w:eastAsia="Cambria" w:cs="Arial"/>
          <w:sz w:val="20"/>
        </w:rPr>
        <w:t>/</w:t>
      </w:r>
      <w:r w:rsidRPr="0051141B">
        <w:rPr>
          <w:rFonts w:eastAsia="Cambria" w:cs="Arial"/>
          <w:sz w:val="20"/>
        </w:rPr>
        <w:t xml:space="preserve">UCITS management company. </w:t>
      </w:r>
    </w:p>
    <w:p w14:paraId="5268F466" w14:textId="77777777" w:rsidR="004A4B0F" w:rsidRDefault="004A4B0F" w:rsidP="004A4B0F">
      <w:pPr>
        <w:spacing w:after="0" w:line="288" w:lineRule="auto"/>
        <w:jc w:val="left"/>
        <w:rPr>
          <w:rFonts w:eastAsia="Cambria" w:cs="Arial"/>
          <w:sz w:val="20"/>
        </w:rPr>
      </w:pPr>
    </w:p>
    <w:p w14:paraId="1F74DD86" w14:textId="77777777" w:rsidR="004A4B0F" w:rsidRDefault="004A4B0F" w:rsidP="004A4B0F">
      <w:pPr>
        <w:spacing w:after="0" w:line="288" w:lineRule="auto"/>
        <w:jc w:val="left"/>
        <w:rPr>
          <w:rFonts w:eastAsia="Cambria" w:cs="Arial"/>
          <w:sz w:val="20"/>
        </w:rPr>
      </w:pPr>
      <w:r w:rsidRPr="0051141B">
        <w:rPr>
          <w:rFonts w:eastAsia="Cambria" w:cs="Arial"/>
          <w:sz w:val="20"/>
        </w:rPr>
        <w:t>For the avoidance of doubt, if a</w:t>
      </w:r>
      <w:r>
        <w:rPr>
          <w:rFonts w:eastAsia="Cambria" w:cs="Arial"/>
          <w:sz w:val="20"/>
        </w:rPr>
        <w:t>n</w:t>
      </w:r>
      <w:r w:rsidRPr="0051141B">
        <w:rPr>
          <w:rFonts w:eastAsia="Cambria" w:cs="Arial"/>
          <w:sz w:val="20"/>
        </w:rPr>
        <w:t xml:space="preserve"> investment decision has been made by a committee within the AIFM</w:t>
      </w:r>
      <w:r>
        <w:rPr>
          <w:rFonts w:eastAsia="Cambria" w:cs="Arial"/>
          <w:sz w:val="20"/>
        </w:rPr>
        <w:t>/</w:t>
      </w:r>
      <w:r w:rsidRPr="0051141B">
        <w:rPr>
          <w:rFonts w:eastAsia="Cambria" w:cs="Arial"/>
          <w:sz w:val="20"/>
        </w:rPr>
        <w:t xml:space="preserve">UCITS management company, the investment firm should populate the reporting field “Decision Maker of Non-Investment Firm” with the National-ID of the portfolio manager who decided to apply that “general decision” </w:t>
      </w:r>
      <w:r>
        <w:rPr>
          <w:rFonts w:eastAsia="Cambria" w:cs="Arial"/>
          <w:sz w:val="20"/>
        </w:rPr>
        <w:t xml:space="preserve">to </w:t>
      </w:r>
      <w:r w:rsidRPr="0051141B">
        <w:rPr>
          <w:rFonts w:eastAsia="Cambria" w:cs="Arial"/>
          <w:sz w:val="20"/>
        </w:rPr>
        <w:t xml:space="preserve">the given investment fund. </w:t>
      </w:r>
    </w:p>
    <w:p w14:paraId="616329CE" w14:textId="77777777" w:rsidR="004A4B0F" w:rsidRPr="0051141B" w:rsidRDefault="004A4B0F" w:rsidP="004A4B0F">
      <w:pPr>
        <w:spacing w:after="0" w:line="288" w:lineRule="auto"/>
        <w:jc w:val="left"/>
        <w:rPr>
          <w:rFonts w:eastAsia="Cambria" w:cs="Arial"/>
          <w:sz w:val="20"/>
        </w:rPr>
      </w:pPr>
    </w:p>
    <w:p w14:paraId="3447B2A8" w14:textId="77777777" w:rsidR="004A4B0F" w:rsidRPr="0051141B" w:rsidRDefault="004A4B0F" w:rsidP="004A4B0F">
      <w:pPr>
        <w:spacing w:after="0" w:line="288" w:lineRule="auto"/>
        <w:jc w:val="left"/>
        <w:rPr>
          <w:rFonts w:eastAsia="Cambria" w:cs="Arial"/>
          <w:sz w:val="20"/>
        </w:rPr>
      </w:pPr>
      <w:r>
        <w:rPr>
          <w:rFonts w:eastAsia="Cambria" w:cs="Arial"/>
          <w:sz w:val="20"/>
        </w:rPr>
        <w:t xml:space="preserve">If </w:t>
      </w:r>
      <w:r w:rsidRPr="0051141B">
        <w:rPr>
          <w:rFonts w:eastAsia="Cambria" w:cs="Arial"/>
          <w:sz w:val="20"/>
        </w:rPr>
        <w:t>the investment firm faces an AIFM</w:t>
      </w:r>
      <w:r>
        <w:rPr>
          <w:rFonts w:eastAsia="Cambria" w:cs="Arial"/>
          <w:sz w:val="20"/>
        </w:rPr>
        <w:t>/</w:t>
      </w:r>
      <w:r w:rsidRPr="0051141B">
        <w:rPr>
          <w:rFonts w:eastAsia="Cambria" w:cs="Arial"/>
          <w:sz w:val="20"/>
        </w:rPr>
        <w:t xml:space="preserve">UCITS management company that represents a client, the above </w:t>
      </w:r>
      <w:r>
        <w:rPr>
          <w:rFonts w:eastAsia="Cambria" w:cs="Arial"/>
          <w:sz w:val="20"/>
        </w:rPr>
        <w:t xml:space="preserve">rule should </w:t>
      </w:r>
      <w:r w:rsidRPr="0051141B">
        <w:rPr>
          <w:rFonts w:eastAsia="Cambria" w:cs="Arial"/>
          <w:sz w:val="20"/>
        </w:rPr>
        <w:t>appl</w:t>
      </w:r>
      <w:r>
        <w:rPr>
          <w:rFonts w:eastAsia="Cambria" w:cs="Arial"/>
          <w:sz w:val="20"/>
        </w:rPr>
        <w:t>y</w:t>
      </w:r>
      <w:r w:rsidRPr="0051141B">
        <w:rPr>
          <w:rFonts w:eastAsia="Cambria" w:cs="Arial"/>
          <w:sz w:val="20"/>
        </w:rPr>
        <w:t xml:space="preserve"> as well: Either the LEI or National-ID already reported as EOC shall be reported via the “Decision Maker of Non-Investment Firm” field or if the investment decision has been made by the AIFM</w:t>
      </w:r>
      <w:r>
        <w:rPr>
          <w:rFonts w:eastAsia="Cambria" w:cs="Arial"/>
          <w:sz w:val="20"/>
        </w:rPr>
        <w:t>/</w:t>
      </w:r>
      <w:r w:rsidRPr="0051141B">
        <w:rPr>
          <w:rFonts w:eastAsia="Cambria" w:cs="Arial"/>
          <w:sz w:val="20"/>
        </w:rPr>
        <w:t>UCITS management company acting as agent of that client, the National-ID of the relevant portfolio manager.</w:t>
      </w:r>
    </w:p>
    <w:p w14:paraId="3D9DA34F" w14:textId="77777777" w:rsidR="004A4B0F" w:rsidRDefault="004A4B0F" w:rsidP="004A4B0F">
      <w:pPr>
        <w:spacing w:after="0" w:line="288" w:lineRule="auto"/>
        <w:jc w:val="left"/>
        <w:rPr>
          <w:rFonts w:eastAsia="Cambria" w:cs="Arial"/>
          <w:sz w:val="20"/>
        </w:rPr>
      </w:pPr>
    </w:p>
    <w:p w14:paraId="638EE417" w14:textId="77777777" w:rsidR="004A4B0F" w:rsidRDefault="004A4B0F" w:rsidP="004A4B0F">
      <w:pPr>
        <w:spacing w:after="0" w:line="288" w:lineRule="auto"/>
        <w:jc w:val="left"/>
        <w:rPr>
          <w:rFonts w:eastAsia="Cambria" w:cs="Arial"/>
          <w:sz w:val="20"/>
        </w:rPr>
      </w:pPr>
      <w:r w:rsidRPr="0051141B">
        <w:rPr>
          <w:rFonts w:eastAsia="Cambria" w:cs="Arial"/>
          <w:sz w:val="20"/>
        </w:rPr>
        <w:t>For the avoidance of doubt, in cases where the client only recommends an investment or asks the AIFM</w:t>
      </w:r>
      <w:r>
        <w:rPr>
          <w:rFonts w:eastAsia="Cambria" w:cs="Arial"/>
          <w:sz w:val="20"/>
        </w:rPr>
        <w:t>/</w:t>
      </w:r>
      <w:r w:rsidRPr="0051141B">
        <w:rPr>
          <w:rFonts w:eastAsia="Cambria" w:cs="Arial"/>
          <w:sz w:val="20"/>
        </w:rPr>
        <w:t>UCITS management company to consider a potential transaction, the final decision is made by the AIFM</w:t>
      </w:r>
      <w:r>
        <w:rPr>
          <w:rFonts w:eastAsia="Cambria" w:cs="Arial"/>
          <w:sz w:val="20"/>
        </w:rPr>
        <w:t>/</w:t>
      </w:r>
      <w:r w:rsidRPr="0051141B">
        <w:rPr>
          <w:rFonts w:eastAsia="Cambria" w:cs="Arial"/>
          <w:sz w:val="20"/>
        </w:rPr>
        <w:t>UCITS</w:t>
      </w:r>
      <w:r>
        <w:rPr>
          <w:rFonts w:eastAsia="Cambria" w:cs="Arial"/>
          <w:sz w:val="20"/>
        </w:rPr>
        <w:t xml:space="preserve"> </w:t>
      </w:r>
      <w:r w:rsidRPr="0051141B">
        <w:rPr>
          <w:rFonts w:eastAsia="Cambria" w:cs="Arial"/>
          <w:sz w:val="20"/>
        </w:rPr>
        <w:t>management company. In such case</w:t>
      </w:r>
      <w:r>
        <w:rPr>
          <w:rFonts w:eastAsia="Cambria" w:cs="Arial"/>
          <w:sz w:val="20"/>
        </w:rPr>
        <w:t>s</w:t>
      </w:r>
      <w:r w:rsidRPr="0051141B">
        <w:rPr>
          <w:rFonts w:eastAsia="Cambria" w:cs="Arial"/>
          <w:sz w:val="20"/>
        </w:rPr>
        <w:t>, the investment firm should report the National-ID of the relevant portfolio manager within the AIFM</w:t>
      </w:r>
      <w:r>
        <w:rPr>
          <w:rFonts w:eastAsia="Cambria" w:cs="Arial"/>
          <w:sz w:val="20"/>
        </w:rPr>
        <w:t>/</w:t>
      </w:r>
      <w:r w:rsidRPr="0051141B">
        <w:rPr>
          <w:rFonts w:eastAsia="Cambria" w:cs="Arial"/>
          <w:sz w:val="20"/>
        </w:rPr>
        <w:t>UCITS management company to determine the decision maker.</w:t>
      </w:r>
    </w:p>
    <w:p w14:paraId="7BD130C0" w14:textId="77777777" w:rsidR="004A4B0F" w:rsidRPr="0051141B" w:rsidRDefault="004A4B0F" w:rsidP="004A4B0F">
      <w:pPr>
        <w:spacing w:after="0" w:line="288" w:lineRule="auto"/>
        <w:jc w:val="left"/>
        <w:rPr>
          <w:rFonts w:eastAsia="Cambria" w:cs="Arial"/>
          <w:sz w:val="20"/>
        </w:rPr>
      </w:pPr>
    </w:p>
    <w:p w14:paraId="23483342" w14:textId="77777777" w:rsidR="004A4B0F" w:rsidRDefault="004A4B0F" w:rsidP="004A4B0F">
      <w:pPr>
        <w:spacing w:after="0" w:line="288" w:lineRule="auto"/>
        <w:jc w:val="left"/>
        <w:rPr>
          <w:rFonts w:eastAsia="Cambria" w:cs="Arial"/>
          <w:sz w:val="20"/>
        </w:rPr>
      </w:pPr>
      <w:r>
        <w:rPr>
          <w:rFonts w:eastAsia="Cambria" w:cs="Arial"/>
          <w:sz w:val="20"/>
        </w:rPr>
        <w:t xml:space="preserve">In sum, our </w:t>
      </w:r>
      <w:r w:rsidRPr="00D068E2">
        <w:rPr>
          <w:rFonts w:eastAsia="Cambria" w:cs="Arial"/>
          <w:sz w:val="20"/>
        </w:rPr>
        <w:t xml:space="preserve">approach </w:t>
      </w:r>
      <w:r>
        <w:rPr>
          <w:rFonts w:eastAsia="Cambria" w:cs="Arial"/>
          <w:sz w:val="20"/>
        </w:rPr>
        <w:t xml:space="preserve">has the following advantages: </w:t>
      </w:r>
      <w:r w:rsidRPr="00D068E2">
        <w:rPr>
          <w:rFonts w:eastAsia="Cambria" w:cs="Arial"/>
          <w:sz w:val="20"/>
        </w:rPr>
        <w:t xml:space="preserve"> </w:t>
      </w:r>
    </w:p>
    <w:p w14:paraId="23E3280C" w14:textId="77777777" w:rsidR="004A4B0F" w:rsidRPr="00D068E2" w:rsidRDefault="004A4B0F" w:rsidP="004A4B0F">
      <w:pPr>
        <w:spacing w:after="0" w:line="288" w:lineRule="auto"/>
        <w:jc w:val="left"/>
        <w:rPr>
          <w:rFonts w:eastAsia="Cambria" w:cs="Arial"/>
          <w:sz w:val="20"/>
        </w:rPr>
      </w:pPr>
    </w:p>
    <w:p w14:paraId="5C840942" w14:textId="77777777" w:rsidR="004A4B0F" w:rsidRDefault="004A4B0F" w:rsidP="004A4B0F">
      <w:pPr>
        <w:pStyle w:val="Listenabsatz"/>
        <w:numPr>
          <w:ilvl w:val="0"/>
          <w:numId w:val="13"/>
        </w:numPr>
        <w:spacing w:after="0" w:line="288" w:lineRule="auto"/>
        <w:contextualSpacing/>
        <w:jc w:val="left"/>
        <w:rPr>
          <w:rFonts w:eastAsia="Cambria" w:cs="Arial"/>
          <w:sz w:val="20"/>
        </w:rPr>
      </w:pPr>
      <w:r w:rsidRPr="003C55FA">
        <w:rPr>
          <w:rFonts w:eastAsia="Cambria" w:cs="Arial"/>
          <w:sz w:val="20"/>
        </w:rPr>
        <w:t xml:space="preserve">close </w:t>
      </w:r>
      <w:r>
        <w:rPr>
          <w:rFonts w:eastAsia="Cambria" w:cs="Arial"/>
          <w:sz w:val="20"/>
        </w:rPr>
        <w:t xml:space="preserve">the </w:t>
      </w:r>
      <w:r w:rsidRPr="003C55FA">
        <w:rPr>
          <w:rFonts w:eastAsia="Cambria" w:cs="Arial"/>
          <w:sz w:val="20"/>
        </w:rPr>
        <w:t xml:space="preserve">“information gaps” </w:t>
      </w:r>
      <w:r>
        <w:rPr>
          <w:rFonts w:eastAsia="Cambria" w:cs="Arial"/>
          <w:sz w:val="20"/>
        </w:rPr>
        <w:t xml:space="preserve">by </w:t>
      </w:r>
      <w:r w:rsidRPr="003C55FA">
        <w:rPr>
          <w:rFonts w:eastAsia="Cambria" w:cs="Arial"/>
          <w:sz w:val="20"/>
        </w:rPr>
        <w:t xml:space="preserve">allowing </w:t>
      </w:r>
      <w:r>
        <w:rPr>
          <w:rFonts w:eastAsia="Cambria" w:cs="Arial"/>
          <w:sz w:val="20"/>
        </w:rPr>
        <w:t xml:space="preserve">a </w:t>
      </w:r>
      <w:r w:rsidRPr="003C55FA">
        <w:rPr>
          <w:rFonts w:eastAsia="Cambria" w:cs="Arial"/>
          <w:sz w:val="20"/>
        </w:rPr>
        <w:t>better market abuse surveillance</w:t>
      </w:r>
      <w:r>
        <w:rPr>
          <w:rFonts w:eastAsia="Cambria" w:cs="Arial"/>
          <w:sz w:val="20"/>
        </w:rPr>
        <w:t xml:space="preserve"> for ESMA/NCAs</w:t>
      </w:r>
    </w:p>
    <w:p w14:paraId="50640BF5" w14:textId="77777777" w:rsidR="004A4B0F" w:rsidRDefault="004A4B0F" w:rsidP="004A4B0F">
      <w:pPr>
        <w:pStyle w:val="Listenabsatz"/>
        <w:numPr>
          <w:ilvl w:val="0"/>
          <w:numId w:val="13"/>
        </w:numPr>
        <w:spacing w:after="0" w:line="288" w:lineRule="auto"/>
        <w:contextualSpacing/>
        <w:jc w:val="left"/>
        <w:rPr>
          <w:rFonts w:eastAsia="Cambria" w:cs="Arial"/>
          <w:sz w:val="20"/>
        </w:rPr>
      </w:pPr>
      <w:r w:rsidRPr="00C23DFE">
        <w:rPr>
          <w:rFonts w:eastAsia="Cambria" w:cs="Arial"/>
          <w:sz w:val="20"/>
        </w:rPr>
        <w:t>reduce the implementation</w:t>
      </w:r>
      <w:r>
        <w:rPr>
          <w:rFonts w:eastAsia="Cambria" w:cs="Arial"/>
          <w:sz w:val="20"/>
        </w:rPr>
        <w:t>-</w:t>
      </w:r>
      <w:r w:rsidRPr="00C23DFE">
        <w:rPr>
          <w:rFonts w:eastAsia="Cambria" w:cs="Arial"/>
          <w:sz w:val="20"/>
        </w:rPr>
        <w:t xml:space="preserve"> and the reporting burden for AIFM</w:t>
      </w:r>
      <w:r>
        <w:rPr>
          <w:rFonts w:eastAsia="Cambria" w:cs="Arial"/>
          <w:sz w:val="20"/>
        </w:rPr>
        <w:t>/</w:t>
      </w:r>
      <w:r w:rsidRPr="00C23DFE">
        <w:rPr>
          <w:rFonts w:eastAsia="Cambria" w:cs="Arial"/>
          <w:sz w:val="20"/>
        </w:rPr>
        <w:t>UCITS management companies significantly compared to ESMA</w:t>
      </w:r>
      <w:r>
        <w:rPr>
          <w:rFonts w:eastAsia="Cambria" w:cs="Arial"/>
          <w:sz w:val="20"/>
        </w:rPr>
        <w:t xml:space="preserve"> approach as Asset Managers only </w:t>
      </w:r>
      <w:r w:rsidRPr="00C23DFE">
        <w:rPr>
          <w:rFonts w:eastAsia="Cambria" w:cs="Arial"/>
          <w:sz w:val="20"/>
        </w:rPr>
        <w:t>provide the counterpart</w:t>
      </w:r>
      <w:r>
        <w:rPr>
          <w:rFonts w:eastAsia="Cambria" w:cs="Arial"/>
          <w:sz w:val="20"/>
        </w:rPr>
        <w:t xml:space="preserve">ies </w:t>
      </w:r>
      <w:r w:rsidRPr="00C23DFE">
        <w:rPr>
          <w:rFonts w:eastAsia="Cambria" w:cs="Arial"/>
          <w:sz w:val="20"/>
        </w:rPr>
        <w:t>with two values rather than implementing the whole MiFIR reporting regime</w:t>
      </w:r>
    </w:p>
    <w:p w14:paraId="292B8DD2" w14:textId="77777777" w:rsidR="004A4B0F" w:rsidRPr="009C6DB8" w:rsidRDefault="004A4B0F" w:rsidP="004A4B0F">
      <w:pPr>
        <w:pStyle w:val="Listenabsatz"/>
        <w:numPr>
          <w:ilvl w:val="0"/>
          <w:numId w:val="13"/>
        </w:numPr>
        <w:spacing w:after="0" w:line="288" w:lineRule="auto"/>
        <w:contextualSpacing/>
        <w:jc w:val="left"/>
        <w:rPr>
          <w:rFonts w:eastAsia="Cambria" w:cs="Arial"/>
          <w:sz w:val="20"/>
        </w:rPr>
      </w:pPr>
      <w:r w:rsidRPr="009C6DB8">
        <w:rPr>
          <w:rFonts w:eastAsia="Cambria" w:cs="Arial"/>
          <w:sz w:val="20"/>
        </w:rPr>
        <w:t xml:space="preserve">guarantee </w:t>
      </w:r>
      <w:r>
        <w:rPr>
          <w:rFonts w:eastAsia="Cambria" w:cs="Arial"/>
          <w:sz w:val="20"/>
        </w:rPr>
        <w:t xml:space="preserve">a </w:t>
      </w:r>
      <w:r w:rsidRPr="009C6DB8">
        <w:rPr>
          <w:rFonts w:eastAsia="Cambria" w:cs="Arial"/>
          <w:sz w:val="20"/>
        </w:rPr>
        <w:t xml:space="preserve">level playing field with </w:t>
      </w:r>
      <w:r>
        <w:rPr>
          <w:rFonts w:eastAsia="Cambria" w:cs="Arial"/>
          <w:sz w:val="20"/>
        </w:rPr>
        <w:t xml:space="preserve">respect </w:t>
      </w:r>
      <w:r w:rsidRPr="009C6DB8">
        <w:rPr>
          <w:rFonts w:eastAsia="Cambria" w:cs="Arial"/>
          <w:sz w:val="20"/>
        </w:rPr>
        <w:t xml:space="preserve">to </w:t>
      </w:r>
      <w:r>
        <w:rPr>
          <w:rFonts w:eastAsia="Cambria" w:cs="Arial"/>
          <w:sz w:val="20"/>
        </w:rPr>
        <w:t>i</w:t>
      </w:r>
      <w:r w:rsidRPr="009C6DB8">
        <w:rPr>
          <w:rFonts w:eastAsia="Cambria" w:cs="Arial"/>
          <w:sz w:val="20"/>
        </w:rPr>
        <w:t>nternational mandates</w:t>
      </w:r>
    </w:p>
    <w:p w14:paraId="06EC86A3" w14:textId="77777777" w:rsidR="004A4B0F" w:rsidRPr="00D068E2" w:rsidRDefault="004A4B0F" w:rsidP="004A4B0F">
      <w:pPr>
        <w:spacing w:after="0" w:line="288" w:lineRule="auto"/>
        <w:jc w:val="left"/>
        <w:rPr>
          <w:rFonts w:eastAsia="Cambria" w:cs="Arial"/>
          <w:sz w:val="20"/>
        </w:rPr>
      </w:pPr>
    </w:p>
    <w:p w14:paraId="0B0CA12A" w14:textId="68B2B851" w:rsidR="000B0D26" w:rsidRDefault="004A4B0F" w:rsidP="004A4B0F">
      <w:pPr>
        <w:spacing w:after="0" w:line="288" w:lineRule="auto"/>
        <w:jc w:val="left"/>
      </w:pPr>
      <w:r>
        <w:rPr>
          <w:rFonts w:eastAsia="Cambria" w:cs="Arial"/>
          <w:sz w:val="20"/>
        </w:rPr>
        <w:t>Therefore, we encourage ESMA to also consider our approach.</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77777777" w:rsidR="000B0D26" w:rsidRDefault="000B0D26" w:rsidP="000B0D26">
      <w:permStart w:id="1998264754" w:edGrp="everyone"/>
      <w:r>
        <w:t>TYPE YOUR TEXT HERE</w:t>
      </w:r>
    </w:p>
    <w:permEnd w:id="1998264754"/>
    <w:p w14:paraId="59198F9E" w14:textId="77777777" w:rsidR="000B0D26" w:rsidRDefault="000B0D26" w:rsidP="000B0D26">
      <w:r>
        <w:lastRenderedPageBreak/>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77777777" w:rsidR="000B0D26" w:rsidRDefault="000B0D26" w:rsidP="000B0D26">
      <w:permStart w:id="1725236856" w:edGrp="everyone"/>
      <w:r>
        <w:t>TYPE YOUR TEXT HERE</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77777777" w:rsidR="000B0D26" w:rsidRDefault="000B0D26" w:rsidP="000B0D26">
      <w:permStart w:id="1355041525" w:edGrp="everyone"/>
      <w:r>
        <w:t>TYPE YOUR TEXT HERE</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77777777" w:rsidR="000B0D26" w:rsidRDefault="000B0D26" w:rsidP="000B0D26">
      <w:permStart w:id="1583692609" w:edGrp="everyone"/>
      <w:r>
        <w:t>TYPE YOUR TEXT HERE</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lastRenderedPageBreak/>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7777777" w:rsidR="000B0D26" w:rsidRDefault="000B0D26" w:rsidP="000B0D26">
      <w:permStart w:id="2001084504" w:edGrp="everyone"/>
      <w:r>
        <w:t>TYPE YOUR TEXT HERE</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77777777" w:rsidR="000B0D26" w:rsidRDefault="000B0D26" w:rsidP="000B0D26">
      <w:permStart w:id="292098219" w:edGrp="everyone"/>
      <w:r>
        <w:t>TYPE YOUR TEXT HERE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7777777" w:rsidR="000B0D26" w:rsidRDefault="000B0D26" w:rsidP="000B0D26">
      <w:permStart w:id="1847806116" w:edGrp="everyone"/>
      <w:r>
        <w:t>TYPE YOUR TEXT HERE</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3CC5A6CC" w14:textId="77777777" w:rsidR="000B0D26" w:rsidRDefault="000B0D26" w:rsidP="000B0D26">
      <w:permStart w:id="609292179" w:edGrp="everyone"/>
      <w:r>
        <w:t>TYPE YOUR TEXT HERE</w:t>
      </w:r>
    </w:p>
    <w:permEnd w:id="609292179"/>
    <w:p w14:paraId="059CAB1E" w14:textId="77777777" w:rsidR="000B0D26" w:rsidRDefault="000B0D26" w:rsidP="000B0D26">
      <w:r>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23925007" w14:textId="77777777" w:rsidR="000B0D26" w:rsidRDefault="000B0D26" w:rsidP="000B0D26">
      <w:permStart w:id="1075606273" w:edGrp="everyone"/>
      <w:r>
        <w:t>TYPE YOUR TEXT HERE</w:t>
      </w:r>
    </w:p>
    <w:permEnd w:id="1075606273"/>
    <w:p w14:paraId="3F14CF92" w14:textId="77777777" w:rsidR="000B0D26" w:rsidRDefault="000B0D26" w:rsidP="000B0D26">
      <w:r>
        <w:lastRenderedPageBreak/>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535F19B7" w14:textId="77777777" w:rsidR="000B0D26" w:rsidRDefault="000B0D26" w:rsidP="000B0D26">
      <w:permStart w:id="580139045" w:edGrp="everyone"/>
      <w:r>
        <w:t>TYPE YOUR TEXT HERE</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77777777" w:rsidR="000B0D26" w:rsidRDefault="000B0D26" w:rsidP="000B0D26">
      <w:permStart w:id="657135577" w:edGrp="everyone"/>
      <w:r>
        <w:t>TYPE YOUR TEXT HERE</w:t>
      </w:r>
    </w:p>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lastRenderedPageBreak/>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lastRenderedPageBreak/>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C3468BC" w14:textId="77777777" w:rsidR="000B0D26" w:rsidRDefault="000B0D26" w:rsidP="000B0D26">
      <w:permStart w:id="1581188992" w:edGrp="everyone"/>
      <w:r>
        <w:t>TYPE YOUR TEXT HERE</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lastRenderedPageBreak/>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34C21FD0" w14:textId="77777777" w:rsidR="000B0D26" w:rsidRDefault="000B0D26" w:rsidP="000B0D26">
      <w:permStart w:id="1128496454" w:edGrp="everyone"/>
      <w:r>
        <w:t>TYPE YOUR TEXT HERE</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5BB6B" w14:textId="77777777" w:rsidR="007457D1" w:rsidRDefault="007457D1" w:rsidP="007E7997">
      <w:pPr>
        <w:spacing w:line="240" w:lineRule="auto"/>
      </w:pPr>
      <w:r>
        <w:separator/>
      </w:r>
    </w:p>
  </w:endnote>
  <w:endnote w:type="continuationSeparator" w:id="0">
    <w:p w14:paraId="0D95ECE2" w14:textId="77777777" w:rsidR="007457D1" w:rsidRDefault="007457D1" w:rsidP="007E7997">
      <w:pPr>
        <w:spacing w:line="240" w:lineRule="auto"/>
      </w:pPr>
      <w:r>
        <w:continuationSeparator/>
      </w:r>
    </w:p>
  </w:endnote>
  <w:endnote w:type="continuationNotice" w:id="1">
    <w:p w14:paraId="542F654C" w14:textId="77777777" w:rsidR="007457D1" w:rsidRDefault="00745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1B9FF0D1" w:rsidR="001B50AB" w:rsidRDefault="001B50AB" w:rsidP="007A160F">
    <w:pPr>
      <w:pStyle w:val="Fuzeile"/>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uzeile"/>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uzeile"/>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uzeile"/>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2D0F6" w14:textId="77777777" w:rsidR="007457D1" w:rsidRDefault="007457D1" w:rsidP="007E7997">
      <w:pPr>
        <w:spacing w:line="240" w:lineRule="auto"/>
      </w:pPr>
      <w:r>
        <w:separator/>
      </w:r>
    </w:p>
  </w:footnote>
  <w:footnote w:type="continuationSeparator" w:id="0">
    <w:p w14:paraId="6A312A6F" w14:textId="77777777" w:rsidR="007457D1" w:rsidRDefault="007457D1" w:rsidP="007E7997">
      <w:pPr>
        <w:spacing w:line="240" w:lineRule="auto"/>
      </w:pPr>
      <w:r>
        <w:continuationSeparator/>
      </w:r>
    </w:p>
  </w:footnote>
  <w:footnote w:type="continuationNotice" w:id="1">
    <w:p w14:paraId="584E7D1C" w14:textId="77777777" w:rsidR="007457D1" w:rsidRDefault="007457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Kopfzeile"/>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86B2" w14:textId="77777777" w:rsidR="00E862D0" w:rsidRPr="003669AC" w:rsidRDefault="00E862D0" w:rsidP="006C5A3D">
    <w:pPr>
      <w:pStyle w:val="Kopfzeile"/>
      <w:ind w:left="708"/>
      <w:jc w:val="right"/>
    </w:pPr>
  </w:p>
  <w:p w14:paraId="77899FEE" w14:textId="1FBF18B1" w:rsidR="00E862D0" w:rsidRDefault="00E862D0" w:rsidP="00E862D0">
    <w:pPr>
      <w:pStyle w:val="Kopfzeile"/>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Kopfzeile"/>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Kopfzeile"/>
      <w:ind w:left="6663"/>
      <w:rPr>
        <w:color w:val="FF0000"/>
        <w:sz w:val="20"/>
      </w:rPr>
    </w:pPr>
  </w:p>
  <w:p w14:paraId="13818030" w14:textId="77777777" w:rsidR="00E862D0" w:rsidRDefault="00E862D0">
    <w:pPr>
      <w:pStyle w:val="Kopfzeile"/>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7253" w14:textId="77777777" w:rsidR="00E862D0" w:rsidRDefault="00E862D0">
    <w:pPr>
      <w:pStyle w:val="Kopfzeile"/>
    </w:pPr>
  </w:p>
  <w:p w14:paraId="2085CF44" w14:textId="77777777" w:rsidR="00E862D0" w:rsidRDefault="00E862D0">
    <w:pPr>
      <w:pStyle w:val="Kopfzeile"/>
    </w:pPr>
  </w:p>
  <w:p w14:paraId="486D39F2" w14:textId="77777777" w:rsidR="00E862D0" w:rsidRDefault="00E862D0">
    <w:pPr>
      <w:pStyle w:val="Kopfzeile"/>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Kopfzeile"/>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Kopfzeile"/>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Kopfzeile"/>
      <w:jc w:val="right"/>
      <w:rPr>
        <w:color w:val="00B050"/>
        <w:sz w:val="20"/>
      </w:rPr>
    </w:pPr>
  </w:p>
  <w:p w14:paraId="08307736" w14:textId="2CB27F20" w:rsidR="00E862D0" w:rsidRPr="006D39E0" w:rsidRDefault="00E862D0" w:rsidP="00B50534">
    <w:pPr>
      <w:pStyle w:val="Kopfzeile"/>
      <w:jc w:val="right"/>
      <w:rPr>
        <w:color w:val="00B050"/>
        <w:sz w:val="20"/>
      </w:rPr>
    </w:pPr>
  </w:p>
  <w:p w14:paraId="5EAB6EC6" w14:textId="77777777" w:rsidR="001B50AB" w:rsidRPr="00B50534" w:rsidRDefault="001B50AB"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D669B"/>
    <w:multiLevelType w:val="hybridMultilevel"/>
    <w:tmpl w:val="270A11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5071530"/>
    <w:multiLevelType w:val="hybridMultilevel"/>
    <w:tmpl w:val="9C54D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DF77D81"/>
    <w:multiLevelType w:val="hybridMultilevel"/>
    <w:tmpl w:val="9EBC1DF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1036419"/>
    <w:multiLevelType w:val="hybridMultilevel"/>
    <w:tmpl w:val="AD202B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E6D7F4A"/>
    <w:multiLevelType w:val="hybridMultilevel"/>
    <w:tmpl w:val="F716C6E0"/>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536ECD"/>
    <w:multiLevelType w:val="hybridMultilevel"/>
    <w:tmpl w:val="73FC2AE8"/>
    <w:lvl w:ilvl="0" w:tplc="8B581AB6">
      <w:start w:val="1"/>
      <w:numFmt w:val="decimal"/>
      <w:pStyle w:val="Listenabsatz"/>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CB1CA814"/>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12"/>
  </w:num>
  <w:num w:numId="3">
    <w:abstractNumId w:val="2"/>
  </w:num>
  <w:num w:numId="4">
    <w:abstractNumId w:val="8"/>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7"/>
  </w:num>
  <w:num w:numId="12">
    <w:abstractNumId w:val="4"/>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28AD"/>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4B0F"/>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2BFD"/>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425"/>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5BE0"/>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4E84"/>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C8F"/>
    <w:pPr>
      <w:spacing w:after="250" w:line="276" w:lineRule="auto"/>
      <w:jc w:val="both"/>
    </w:pPr>
    <w:rPr>
      <w:sz w:val="22"/>
      <w:lang w:val="en-GB"/>
    </w:rPr>
  </w:style>
  <w:style w:type="paragraph" w:styleId="berschrift1">
    <w:name w:val="heading 1"/>
    <w:basedOn w:val="Standard"/>
    <w:next w:val="Standard"/>
    <w:link w:val="berschrift1Zchn"/>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sz w:val="24"/>
      <w:szCs w:val="24"/>
      <w:lang w:val="en-GB"/>
    </w:rPr>
  </w:style>
  <w:style w:type="character" w:customStyle="1" w:styleId="berschrift1Zchn">
    <w:name w:val="Überschrift 1 Zchn"/>
    <w:basedOn w:val="Absatz-Standardschriftart"/>
    <w:link w:val="berschrift1"/>
    <w:uiPriority w:val="9"/>
    <w:rsid w:val="00FE0BD8"/>
    <w:rPr>
      <w:rFonts w:asciiTheme="majorHAnsi" w:eastAsiaTheme="majorEastAsia" w:hAnsiTheme="majorHAnsi" w:cstheme="majorBidi"/>
      <w:b/>
      <w:sz w:val="32"/>
      <w:szCs w:val="32"/>
      <w:lang w:val="en-GB"/>
    </w:rPr>
  </w:style>
  <w:style w:type="character" w:customStyle="1" w:styleId="berschrift2Zchn">
    <w:name w:val="Überschrift 2 Zchn"/>
    <w:basedOn w:val="Absatz-Standardschriftart"/>
    <w:link w:val="berschrift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ind w:left="792" w:hanging="432"/>
    </w:pPr>
    <w:rPr>
      <w:b/>
      <w:sz w:val="28"/>
    </w:rPr>
  </w:style>
  <w:style w:type="character" w:customStyle="1" w:styleId="Title1Char">
    <w:name w:val="Title 1 Char"/>
    <w:basedOn w:val="Absatz-Standardschriftart"/>
    <w:link w:val="Title1"/>
    <w:rsid w:val="003C4EB5"/>
    <w:rPr>
      <w:rFonts w:asciiTheme="majorHAnsi" w:hAnsiTheme="majorHAnsi" w:cstheme="majorBidi"/>
      <w:b/>
      <w:sz w:val="28"/>
      <w:szCs w:val="22"/>
      <w:lang w:val="de-DE"/>
    </w:rPr>
  </w:style>
  <w:style w:type="paragraph" w:styleId="Listenabsatz">
    <w:name w:val="List Paragraph"/>
    <w:aliases w:val="Paragraphe EI,Paragraphe de liste1,EC,Paragraphe de liste,Normal Nivel 1,List Paragraph Main,List first level,List Paragraph_Sections,Dot pt,Bullet Points,No Spacing1,List Paragraph Char Char Char,Indicator Text,Numbered Para 1,Bullet 1"/>
    <w:basedOn w:val="Standard"/>
    <w:link w:val="ListenabsatzZchn"/>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enabsatz"/>
    <w:link w:val="Title3Char"/>
    <w:autoRedefine/>
    <w:rsid w:val="002574D1"/>
    <w:pPr>
      <w:numPr>
        <w:ilvl w:val="3"/>
        <w:numId w:val="1"/>
      </w:numPr>
    </w:pPr>
  </w:style>
  <w:style w:type="character" w:customStyle="1" w:styleId="Title3Char">
    <w:name w:val="Title 3 Char"/>
    <w:basedOn w:val="Absatz-Standardschriftar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el">
    <w:name w:val="Title"/>
    <w:basedOn w:val="Standard"/>
    <w:next w:val="Standard"/>
    <w:link w:val="TitelZchn"/>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44546A"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44546A"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rsid w:val="00636E02"/>
    <w:pPr>
      <w:spacing w:line="220" w:lineRule="exact"/>
    </w:pPr>
    <w:rPr>
      <w:rFonts w:ascii="Georgia" w:eastAsia="Times New Roman" w:hAnsi="Georgia" w:cs="Times New Roman"/>
      <w:sz w:val="17"/>
      <w:szCs w:val="24"/>
      <w:lang w:eastAsia="de-DE"/>
    </w:rPr>
  </w:style>
  <w:style w:type="paragraph" w:styleId="Verzeichnis1">
    <w:name w:val="toc 1"/>
    <w:basedOn w:val="Standard"/>
    <w:next w:val="Standard"/>
    <w:autoRedefine/>
    <w:uiPriority w:val="39"/>
    <w:unhideWhenUsed/>
    <w:rsid w:val="00AD3DE6"/>
    <w:pPr>
      <w:tabs>
        <w:tab w:val="left" w:pos="440"/>
        <w:tab w:val="right" w:leader="dot" w:pos="9062"/>
      </w:tabs>
      <w:spacing w:after="100"/>
    </w:pPr>
  </w:style>
  <w:style w:type="paragraph" w:styleId="Verzeichnis2">
    <w:name w:val="toc 2"/>
    <w:basedOn w:val="Standard"/>
    <w:next w:val="Standard"/>
    <w:autoRedefine/>
    <w:uiPriority w:val="39"/>
    <w:unhideWhenUsed/>
    <w:rsid w:val="002607CC"/>
    <w:pPr>
      <w:tabs>
        <w:tab w:val="left" w:pos="880"/>
        <w:tab w:val="right" w:leader="dot" w:pos="9062"/>
      </w:tabs>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4815AE"/>
    <w:pPr>
      <w:numPr>
        <w:numId w:val="8"/>
      </w:numPr>
      <w:contextualSpacing/>
    </w:pPr>
    <w:rPr>
      <w:b/>
      <w:szCs w:val="22"/>
    </w:rPr>
  </w:style>
  <w:style w:type="character" w:customStyle="1" w:styleId="QuestionstyleChar">
    <w:name w:val="Question style Char"/>
    <w:basedOn w:val="Absatz-Standardschriftart"/>
    <w:link w:val="Questionstyle"/>
    <w:rsid w:val="004815AE"/>
    <w:rPr>
      <w:b/>
      <w:sz w:val="22"/>
      <w:szCs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aliases w:val="Footnote Text Char Char,Fußnote,FSR footnote,lábléc,fn,Texto nota pie Car,notefranz,Note de bas de page,single space,FOOTNOTES,Footnote Text Char Char Char Char Char Char,stile 1,Testo_note,Testo_note1,Testo_note2,Fußnotentext C,f,Char3"/>
    <w:basedOn w:val="Standard"/>
    <w:link w:val="FunotentextZchn"/>
    <w:autoRedefine/>
    <w:uiPriority w:val="99"/>
    <w:unhideWhenUsed/>
    <w:qFormat/>
    <w:rsid w:val="00955893"/>
    <w:pPr>
      <w:spacing w:after="0" w:line="240" w:lineRule="auto"/>
    </w:pPr>
    <w:rPr>
      <w:sz w:val="16"/>
    </w:rPr>
  </w:style>
  <w:style w:type="character" w:customStyle="1" w:styleId="FunotentextZchn">
    <w:name w:val="Fußnotentext Zchn"/>
    <w:aliases w:val="Footnote Text Char Char Zchn,Fußnote Zchn,FSR footnote Zchn,lábléc Zchn,fn Zchn,Texto nota pie Car Zchn,notefranz Zchn,Note de bas de page Zchn,single space Zchn,FOOTNOTES Zchn,Footnote Text Char Char Char Char Char Char Zchn,f Zchn"/>
    <w:basedOn w:val="Absatz-Standardschriftart"/>
    <w:link w:val="Funotentext"/>
    <w:uiPriority w:val="99"/>
    <w:rsid w:val="00955893"/>
    <w:rPr>
      <w:sz w:val="16"/>
      <w:lang w:val="en-GB"/>
    </w:rPr>
  </w:style>
  <w:style w:type="character" w:styleId="Funotenzeichen">
    <w:name w:val="footnote reference"/>
    <w:aliases w:val="Footnote Reference Number,Footnote Reference_LVL6,Footnote Reference_LVL61,Footnote Reference_LVL62,Footnote Reference_LVL63,Footnote Reference_LVL64,normal,Appel note de bas de p.,fr,SUPERS,EN Footnote Reference,number,Footnote symbo"/>
    <w:basedOn w:val="Absatz-Standardschriftart"/>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Sprechblasentext">
    <w:name w:val="Balloon Text"/>
    <w:basedOn w:val="Standard"/>
    <w:link w:val="SprechblasentextZchn"/>
    <w:uiPriority w:val="99"/>
    <w:semiHidden/>
    <w:unhideWhenUsed/>
    <w:rsid w:val="003C16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pPr>
      <w:spacing w:line="240" w:lineRule="auto"/>
    </w:pPr>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Absatz-Standardschriftart"/>
    <w:rsid w:val="00595F08"/>
  </w:style>
  <w:style w:type="character" w:styleId="NichtaufgelsteErwhnung">
    <w:name w:val="Unresolved Mention"/>
    <w:basedOn w:val="Absatz-Standardschriftart"/>
    <w:uiPriority w:val="99"/>
    <w:semiHidden/>
    <w:unhideWhenUsed/>
    <w:rsid w:val="008E7ADA"/>
    <w:rPr>
      <w:color w:val="605E5C"/>
      <w:shd w:val="clear" w:color="auto" w:fill="E1DFDD"/>
    </w:rPr>
  </w:style>
  <w:style w:type="paragraph" w:customStyle="1" w:styleId="CM1">
    <w:name w:val="CM1"/>
    <w:basedOn w:val="Standard"/>
    <w:next w:val="Standard"/>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Standard"/>
    <w:next w:val="Standard"/>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Standard"/>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Absatz-Standardschriftart"/>
    <w:uiPriority w:val="99"/>
    <w:rsid w:val="00F70AD5"/>
    <w:rPr>
      <w:b/>
      <w:bCs/>
      <w:i/>
      <w:iCs/>
      <w:color w:val="00C000"/>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Dot pt Zchn,Bullet Points Zchn,No Spacing1 Zchn,Bullet 1 Zchn"/>
    <w:basedOn w:val="Absatz-Standardschriftart"/>
    <w:link w:val="Listenabsatz"/>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Standard"/>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sharepoint/v4"/>
    <ds:schemaRef ds:uri="http://purl.org/dc/terms/"/>
    <ds:schemaRef ds:uri="20fbe147-bbda-4e53-b6b1-7e8bbff3fe19"/>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2F5527D-556B-4C00-BEA0-EB3A7238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20</Pages>
  <Words>4106</Words>
  <Characters>25874</Characters>
  <Application>Microsoft Office Word</Application>
  <DocSecurity>8</DocSecurity>
  <Lines>215</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Olivia Fuhrmann</cp:lastModifiedBy>
  <cp:revision>7</cp:revision>
  <cp:lastPrinted>2017-07-24T14:47:00Z</cp:lastPrinted>
  <dcterms:created xsi:type="dcterms:W3CDTF">2020-11-20T08:58:00Z</dcterms:created>
  <dcterms:modified xsi:type="dcterms:W3CDTF">2020-11-20T14:30:00Z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