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rsidTr="00210E59">
        <w:trPr>
          <w:trHeight w:hRule="exact" w:val="1620"/>
        </w:trPr>
        <w:tc>
          <w:tcPr>
            <w:tcW w:w="10051" w:type="dxa"/>
            <w:vAlign w:val="bottom"/>
          </w:tcPr>
          <w:p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rsidR="006F4535" w:rsidRPr="009A053D" w:rsidRDefault="006F4535" w:rsidP="00210E59">
            <w:pPr>
              <w:pStyle w:val="01aDBTitle"/>
              <w:jc w:val="left"/>
              <w:rPr>
                <w:rFonts w:cs="Arial"/>
                <w:sz w:val="32"/>
              </w:rPr>
            </w:pPr>
          </w:p>
        </w:tc>
      </w:tr>
      <w:tr w:rsidR="006F4535" w:rsidRPr="00616B9B" w:rsidTr="00210E59">
        <w:trPr>
          <w:trHeight w:hRule="exact" w:val="809"/>
        </w:trPr>
        <w:tc>
          <w:tcPr>
            <w:tcW w:w="10051"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337A3F">
            <w:pPr>
              <w:pStyle w:val="02Date"/>
              <w:rPr>
                <w:rFonts w:cs="Arial"/>
                <w:shd w:val="clear" w:color="auto" w:fill="FFFFFF" w:themeFill="background1"/>
              </w:rPr>
            </w:pPr>
            <w:r w:rsidRPr="004E49B0">
              <w:rPr>
                <w:rFonts w:cs="Arial"/>
              </w:rPr>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rsidR="00754AC4" w:rsidRPr="00754AC4" w:rsidRDefault="00754AC4" w:rsidP="00754AC4">
      <w:pPr>
        <w:pStyle w:val="ListParagraph"/>
        <w:numPr>
          <w:ilvl w:val="0"/>
          <w:numId w:val="45"/>
        </w:numPr>
        <w:spacing w:after="240"/>
        <w:jc w:val="both"/>
        <w:rPr>
          <w:rStyle w:val="SubtleEmphasis"/>
          <w:b w:val="0"/>
          <w:bCs/>
          <w:sz w:val="22"/>
        </w:rPr>
      </w:pPr>
      <w:r w:rsidRPr="00754AC4">
        <w:rPr>
          <w:rStyle w:val="SubtleEmphasis"/>
          <w:b w:val="0"/>
          <w:bCs/>
          <w:sz w:val="22"/>
        </w:rPr>
        <w:t>contain a clear rationale; and</w:t>
      </w:r>
    </w:p>
    <w:p w:rsidR="00754AC4" w:rsidRPr="00754AC4" w:rsidRDefault="00754AC4" w:rsidP="00754AC4">
      <w:pPr>
        <w:pStyle w:val="ListParagraph"/>
        <w:numPr>
          <w:ilvl w:val="0"/>
          <w:numId w:val="45"/>
        </w:numPr>
        <w:spacing w:after="240"/>
        <w:jc w:val="both"/>
        <w:rPr>
          <w:rStyle w:val="SubtleEmphasis"/>
          <w:b w:val="0"/>
          <w:bCs/>
          <w:sz w:val="22"/>
        </w:rPr>
      </w:pPr>
      <w:r w:rsidRPr="00754AC4">
        <w:rPr>
          <w:rStyle w:val="SubtleEmphasis"/>
          <w:b w:val="0"/>
          <w:bCs/>
          <w:sz w:val="22"/>
        </w:rPr>
        <w:t>describe any alternatives the ESAs should consider.</w:t>
      </w:r>
    </w:p>
    <w:p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rsidR="00EC1154" w:rsidRDefault="00EC1154" w:rsidP="00AF38AF">
      <w:pPr>
        <w:rPr>
          <w:rStyle w:val="SubtleEmphasis"/>
          <w:b w:val="0"/>
          <w:sz w:val="22"/>
        </w:rPr>
      </w:pP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6"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rsidR="00197794" w:rsidRDefault="00197794" w:rsidP="00197794">
      <w:pPr>
        <w:spacing w:after="240" w:line="276" w:lineRule="auto"/>
        <w:jc w:val="both"/>
        <w:rPr>
          <w:rStyle w:val="SubtleEmphasis"/>
          <w:b w:val="0"/>
          <w:sz w:val="22"/>
        </w:rPr>
      </w:pPr>
    </w:p>
    <w:p w:rsidR="00D5594A" w:rsidRPr="00197794" w:rsidRDefault="00D5594A" w:rsidP="00197794">
      <w:pPr>
        <w:spacing w:after="240" w:line="276" w:lineRule="auto"/>
        <w:jc w:val="both"/>
        <w:rPr>
          <w:rStyle w:val="SubtleEmphasis"/>
          <w:b w:val="0"/>
          <w:sz w:val="22"/>
        </w:rPr>
      </w:pPr>
    </w:p>
    <w:p w:rsidR="00210E59" w:rsidRPr="00210E59" w:rsidRDefault="00210E59" w:rsidP="00210E59">
      <w:pPr>
        <w:spacing w:after="120"/>
        <w:jc w:val="both"/>
        <w:rPr>
          <w:rStyle w:val="SubtleEmphasis"/>
          <w:sz w:val="22"/>
        </w:rPr>
      </w:pPr>
      <w:r w:rsidRPr="00210E59">
        <w:rPr>
          <w:rStyle w:val="SubtleEmphasis"/>
          <w:sz w:val="22"/>
        </w:rPr>
        <w:t>Publication of responses</w:t>
      </w:r>
    </w:p>
    <w:p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rsidR="00197794" w:rsidRDefault="00197794" w:rsidP="004E6AE4">
      <w:pPr>
        <w:rPr>
          <w:rStyle w:val="SubtleEmphasis"/>
          <w:sz w:val="22"/>
          <w:lang w:eastAsia="en-GB"/>
        </w:rPr>
      </w:pPr>
    </w:p>
    <w:p w:rsidR="00197794" w:rsidRDefault="00197794" w:rsidP="004E6AE4">
      <w:pPr>
        <w:rPr>
          <w:rStyle w:val="SubtleEmphasis"/>
          <w:sz w:val="22"/>
          <w:lang w:eastAsia="en-GB"/>
        </w:rPr>
      </w:pPr>
    </w:p>
    <w:p w:rsidR="009A3017" w:rsidRPr="00E40A5C" w:rsidRDefault="009A3017" w:rsidP="004E6AE4">
      <w:pPr>
        <w:rPr>
          <w:rStyle w:val="SubtleEmphasis"/>
          <w:sz w:val="22"/>
          <w:lang w:eastAsia="en-GB"/>
        </w:rPr>
      </w:pPr>
      <w:r w:rsidRPr="00E40A5C">
        <w:rPr>
          <w:rStyle w:val="SubtleEmphasis"/>
          <w:sz w:val="22"/>
          <w:lang w:eastAsia="en-GB"/>
        </w:rPr>
        <w:t>Data protection</w:t>
      </w:r>
    </w:p>
    <w:p w:rsidR="00197794" w:rsidRDefault="00197794" w:rsidP="00210E59">
      <w:pPr>
        <w:rPr>
          <w:sz w:val="22"/>
        </w:rPr>
      </w:pPr>
    </w:p>
    <w:p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17" w:history="1">
        <w:r w:rsidRPr="00197794">
          <w:rPr>
            <w:rStyle w:val="Hyperlink"/>
            <w:rFonts w:cs="Arial"/>
            <w:sz w:val="22"/>
          </w:rPr>
          <w:t>Legal notice</w:t>
        </w:r>
      </w:hyperlink>
      <w:r w:rsidRPr="00197794">
        <w:rPr>
          <w:rFonts w:cs="Arial"/>
          <w:sz w:val="22"/>
        </w:rPr>
        <w:t xml:space="preserve"> section of the EBA website and under the </w:t>
      </w:r>
      <w:hyperlink r:id="rId18" w:history="1">
        <w:r w:rsidRPr="00197794">
          <w:rPr>
            <w:rStyle w:val="Hyperlink"/>
            <w:rFonts w:cs="Arial"/>
            <w:sz w:val="22"/>
          </w:rPr>
          <w:t>Legal notice</w:t>
        </w:r>
      </w:hyperlink>
      <w:r w:rsidRPr="00197794">
        <w:rPr>
          <w:rFonts w:cs="Arial"/>
          <w:sz w:val="22"/>
        </w:rPr>
        <w:t xml:space="preserve"> section of the EIOPA website and under the </w:t>
      </w:r>
      <w:hyperlink r:id="rId19" w:history="1">
        <w:r w:rsidRPr="00197794">
          <w:rPr>
            <w:rStyle w:val="Hyperlink"/>
            <w:rFonts w:cs="Arial"/>
            <w:sz w:val="22"/>
          </w:rPr>
          <w:t>Legal notice</w:t>
        </w:r>
      </w:hyperlink>
      <w:r w:rsidRPr="00197794">
        <w:rPr>
          <w:rFonts w:cs="Arial"/>
          <w:sz w:val="22"/>
        </w:rPr>
        <w:t xml:space="preserve"> section of the ESMA website.</w:t>
      </w:r>
    </w:p>
    <w:p w:rsidR="00210E59" w:rsidRDefault="00210E59" w:rsidP="009A3017">
      <w:pPr>
        <w:spacing w:after="120"/>
        <w:jc w:val="both"/>
        <w:rPr>
          <w:rStyle w:val="SubtleEmphasis"/>
          <w:sz w:val="22"/>
          <w:lang w:eastAsia="en-GB"/>
        </w:rPr>
      </w:pPr>
    </w:p>
    <w:bookmarkEnd w:id="0"/>
    <w:p w:rsidR="002E4F86" w:rsidRPr="00EC1154" w:rsidRDefault="002E4F86" w:rsidP="00EC1154">
      <w:pPr>
        <w:rPr>
          <w:sz w:val="22"/>
        </w:rPr>
      </w:pPr>
    </w:p>
    <w:p w:rsidR="00332304" w:rsidRDefault="00332304" w:rsidP="004E6AE4">
      <w:pPr>
        <w:rPr>
          <w:rFonts w:cs="Arial"/>
          <w:b/>
          <w:bCs/>
          <w:kern w:val="32"/>
          <w:sz w:val="24"/>
          <w:szCs w:val="32"/>
        </w:rPr>
      </w:pPr>
      <w:r>
        <w:br w:type="page"/>
      </w:r>
    </w:p>
    <w:p w:rsidR="00B327E9" w:rsidRPr="00AB6D88" w:rsidRDefault="00B327E9" w:rsidP="00B327E9">
      <w:pPr>
        <w:pStyle w:val="Heading1"/>
        <w:numPr>
          <w:ilvl w:val="0"/>
          <w:numId w:val="0"/>
        </w:numPr>
      </w:pPr>
      <w:r w:rsidRPr="00AB6D88">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14081926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3A7A2E" w:rsidP="00F136AD">
                <w:pPr>
                  <w:rPr>
                    <w:rStyle w:val="PlaceholderText"/>
                    <w:rFonts w:cs="Arial"/>
                  </w:rPr>
                </w:pPr>
                <w:r>
                  <w:rPr>
                    <w:rStyle w:val="PlaceholderText"/>
                    <w:rFonts w:cs="Arial"/>
                  </w:rPr>
                  <w:t xml:space="preserve">Eversheds Sutherland </w:t>
                </w:r>
                <w:r w:rsidR="00542211">
                  <w:rPr>
                    <w:rStyle w:val="PlaceholderText"/>
                    <w:rFonts w:cs="Arial"/>
                  </w:rPr>
                  <w:t xml:space="preserve">(International) </w:t>
                </w:r>
                <w:r>
                  <w:rPr>
                    <w:rStyle w:val="PlaceholderText"/>
                    <w:rFonts w:cs="Arial"/>
                  </w:rPr>
                  <w:t>LLP</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417432894" w:edGrp="everyone" w:colFirst="1" w:colLast="1"/>
            <w:permEnd w:id="1408192665"/>
            <w:r w:rsidRPr="00E40A5C">
              <w:rPr>
                <w:rFonts w:cs="Arial"/>
                <w:sz w:val="22"/>
              </w:rPr>
              <w:t>Activity</w:t>
            </w:r>
          </w:p>
        </w:tc>
        <w:tc>
          <w:tcPr>
            <w:tcW w:w="5595" w:type="dxa"/>
            <w:shd w:val="clear" w:color="auto" w:fill="auto"/>
          </w:tcPr>
          <w:p w:rsidR="00B327E9" w:rsidRPr="00AB6D88" w:rsidRDefault="007C7FEF"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A7A2E">
                  <w:rPr>
                    <w:rFonts w:cs="Arial"/>
                  </w:rPr>
                  <w:t>Audit/Legal/Individual</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958749406" w:edGrp="everyone" w:colFirst="1" w:colLast="1"/>
            <w:permEnd w:id="1417432894"/>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3A7A2E"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566537397" w:edGrp="everyone" w:colFirst="1" w:colLast="1"/>
            <w:permEnd w:id="958749406"/>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3A7A2E" w:rsidP="00F136AD">
                <w:pPr>
                  <w:rPr>
                    <w:rFonts w:cs="Arial"/>
                  </w:rPr>
                </w:pPr>
                <w:r>
                  <w:rPr>
                    <w:rFonts w:cs="Arial"/>
                  </w:rPr>
                  <w:t>UK</w:t>
                </w:r>
              </w:p>
            </w:tc>
          </w:sdtContent>
        </w:sdt>
      </w:tr>
      <w:permEnd w:id="1566537397"/>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&lt;ESA_COMMENT_</w:t>
      </w:r>
      <w:r w:rsidR="00C86E1C">
        <w:rPr>
          <w:rStyle w:val="SubtleEmphasis"/>
          <w:b w:val="0"/>
          <w:sz w:val="22"/>
        </w:rPr>
        <w:t>ESG</w:t>
      </w:r>
      <w:r w:rsidRPr="006F4535">
        <w:t>_1&gt;</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26"/>
          <w:szCs w:val="26"/>
          <w:lang w:eastAsia="zh-CN"/>
        </w:rPr>
      </w:pPr>
      <w:permStart w:id="1888444314" w:edGrp="everyone"/>
      <w:r w:rsidRPr="003A7A2E">
        <w:rPr>
          <w:rFonts w:ascii="Museo Sans 100" w:hAnsi="Museo Sans 100"/>
          <w:color w:val="CAD100"/>
          <w:sz w:val="26"/>
          <w:szCs w:val="26"/>
          <w:lang w:eastAsia="zh-CN"/>
        </w:rPr>
        <w:t>Introduction</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are an international law firm with a presence in 19 EU countries and advise extensively on financial services law and regulation.  We are therefore exposed to the views of many organisations that will become subject to the SFDR.  While we seek to represent some of these organisations’ concerns, we recognise that many are equipped to represent themselves or are separately represented by trade associations. Therefore, the majority of our commentary focusses on our own experience and our core competences.  </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By way of introduction, our review of the </w:t>
      </w:r>
      <w:r w:rsidR="00B810C2">
        <w:rPr>
          <w:rFonts w:ascii="Museo Sans 100" w:hAnsi="Museo Sans 100" w:cs="Museo Sans 300"/>
          <w:color w:val="000000"/>
          <w:sz w:val="18"/>
          <w:szCs w:val="18"/>
          <w:lang w:eastAsia="zh-CN"/>
        </w:rPr>
        <w:t xml:space="preserve">draft </w:t>
      </w:r>
      <w:r w:rsidRPr="003A7A2E">
        <w:rPr>
          <w:rFonts w:ascii="Museo Sans 100" w:hAnsi="Museo Sans 100" w:cs="Museo Sans 300"/>
          <w:color w:val="000000"/>
          <w:sz w:val="18"/>
          <w:szCs w:val="18"/>
          <w:lang w:eastAsia="zh-CN"/>
        </w:rPr>
        <w:t>RTS has focused on two main questions:</w:t>
      </w:r>
    </w:p>
    <w:p w:rsidR="003A7A2E" w:rsidRPr="003A7A2E" w:rsidRDefault="003A7A2E" w:rsidP="00C10069">
      <w:pPr>
        <w:numPr>
          <w:ilvl w:val="0"/>
          <w:numId w:val="41"/>
        </w:numPr>
        <w:suppressAutoHyphens/>
        <w:autoSpaceDE w:val="0"/>
        <w:autoSpaceDN w:val="0"/>
        <w:adjustRightInd w:val="0"/>
        <w:spacing w:beforeLines="100" w:before="240" w:afterLines="100" w:after="240"/>
        <w:ind w:left="499" w:hanging="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i/>
          <w:iCs/>
          <w:sz w:val="18"/>
          <w:szCs w:val="18"/>
          <w:lang w:eastAsia="zh-CN"/>
        </w:rPr>
        <w:t>Adherence to the mandate:</w:t>
      </w:r>
      <w:r w:rsidRPr="003A7A2E">
        <w:rPr>
          <w:rFonts w:ascii="Museo Sans 900" w:hAnsi="Museo Sans 900" w:cs="Museo Sans 300"/>
          <w:b/>
          <w:sz w:val="18"/>
          <w:szCs w:val="18"/>
          <w:lang w:eastAsia="zh-CN"/>
        </w:rPr>
        <w:t xml:space="preserve"> </w:t>
      </w:r>
      <w:r w:rsidRPr="003A7A2E">
        <w:rPr>
          <w:rFonts w:ascii="Museo Sans 100" w:hAnsi="Museo Sans 100" w:cs="Museo Sans 300"/>
          <w:color w:val="000000"/>
          <w:sz w:val="18"/>
          <w:szCs w:val="18"/>
          <w:lang w:eastAsia="zh-CN"/>
        </w:rPr>
        <w:t>Does the proposal stay within the mandate given to the ESAs?; and</w:t>
      </w:r>
    </w:p>
    <w:p w:rsidR="003A7A2E" w:rsidRPr="003A7A2E" w:rsidRDefault="003A7A2E" w:rsidP="00C10069">
      <w:pPr>
        <w:numPr>
          <w:ilvl w:val="0"/>
          <w:numId w:val="41"/>
        </w:numPr>
        <w:suppressAutoHyphens/>
        <w:autoSpaceDE w:val="0"/>
        <w:autoSpaceDN w:val="0"/>
        <w:adjustRightInd w:val="0"/>
        <w:spacing w:beforeLines="100" w:before="240" w:afterLines="100" w:after="240"/>
        <w:ind w:left="499" w:hanging="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i/>
          <w:iCs/>
          <w:sz w:val="18"/>
          <w:szCs w:val="18"/>
          <w:lang w:eastAsia="zh-CN"/>
        </w:rPr>
        <w:t>Efficacy of the proposals:</w:t>
      </w:r>
      <w:r w:rsidRPr="003A7A2E">
        <w:rPr>
          <w:rFonts w:ascii="Museo Sans 900" w:hAnsi="Museo Sans 900" w:cs="Museo Sans 300"/>
          <w:b/>
          <w:sz w:val="18"/>
          <w:szCs w:val="18"/>
          <w:lang w:eastAsia="zh-CN"/>
        </w:rPr>
        <w:t xml:space="preserve"> </w:t>
      </w:r>
      <w:r w:rsidRPr="003A7A2E">
        <w:rPr>
          <w:rFonts w:ascii="Museo Sans 100" w:hAnsi="Museo Sans 100" w:cs="Museo Sans 300"/>
          <w:color w:val="000000"/>
          <w:sz w:val="18"/>
          <w:szCs w:val="18"/>
          <w:lang w:eastAsia="zh-CN"/>
        </w:rPr>
        <w:t>Does the proposed text make sense?  Do we anticipate any issues with the approach being taken?  Can we identify enhancements?</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olor w:val="CAD100"/>
          <w:sz w:val="26"/>
          <w:szCs w:val="26"/>
          <w:lang w:eastAsia="zh-CN"/>
        </w:rPr>
        <w:t>Findings</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As advisers to the financial services sector, and as a business in our own right, we recognise the need for an ambitious plan to address considerations around sustainability.  We are supportive of the SFDR’s objective of improving disclosure to end investors.  </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However, having considered the questions set out above, we do have some concerns about the proposed RTS and the obligations it would impose.  Our concerns broadly fall within three common themes that we would like to highlight to the ESAs.  </w:t>
      </w:r>
    </w:p>
    <w:p w:rsidR="003A7A2E" w:rsidRPr="003A7A2E" w:rsidRDefault="003A7A2E" w:rsidP="00C10069">
      <w:pPr>
        <w:numPr>
          <w:ilvl w:val="0"/>
          <w:numId w:val="42"/>
        </w:numPr>
        <w:suppressAutoHyphens/>
        <w:autoSpaceDE w:val="0"/>
        <w:autoSpaceDN w:val="0"/>
        <w:adjustRightInd w:val="0"/>
        <w:spacing w:beforeLines="100" w:before="240" w:afterLines="100" w:after="240"/>
        <w:ind w:left="499" w:hanging="499"/>
        <w:jc w:val="both"/>
        <w:textAlignment w:val="center"/>
        <w:rPr>
          <w:rFonts w:ascii="Museo Sans 900" w:hAnsi="Museo Sans 900" w:cs="Museo Sans 300"/>
          <w:b/>
          <w:color w:val="2F912D"/>
          <w:sz w:val="18"/>
          <w:szCs w:val="18"/>
          <w:lang w:eastAsia="zh-CN"/>
        </w:rPr>
      </w:pPr>
      <w:r w:rsidRPr="003A7A2E">
        <w:rPr>
          <w:rFonts w:ascii="Museo Sans 900" w:hAnsi="Museo Sans 900" w:cs="Museo Sans 300"/>
          <w:b/>
          <w:color w:val="2F912D"/>
          <w:sz w:val="18"/>
          <w:szCs w:val="18"/>
          <w:lang w:eastAsia="zh-CN"/>
        </w:rPr>
        <w:t>Requirements should not be disproportionate</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The proposed obligations may be onerous to the point that firms feel that it would be better to ensure that they are out of scope rather than attempting to comply.  This would seem to run contrary to the intention of the SFDR.</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i/>
          <w:iCs/>
          <w:color w:val="000000"/>
          <w:sz w:val="18"/>
          <w:szCs w:val="18"/>
          <w:lang w:eastAsia="zh-CN"/>
        </w:rPr>
      </w:pPr>
      <w:r w:rsidRPr="003A7A2E">
        <w:rPr>
          <w:rFonts w:ascii="Museo Sans 100" w:hAnsi="Museo Sans 100" w:cs="Museo Sans 300"/>
          <w:i/>
          <w:iCs/>
          <w:color w:val="000000"/>
          <w:sz w:val="18"/>
          <w:szCs w:val="18"/>
          <w:lang w:eastAsia="zh-CN"/>
        </w:rPr>
        <w:t>All or nothing</w:t>
      </w:r>
    </w:p>
    <w:p w:rsidR="003A7A2E" w:rsidRPr="003A7A2E" w:rsidRDefault="003A7A2E" w:rsidP="003A7A2E">
      <w:pPr>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Many of the obligations appear to apply on a binary basis.  Firms are either entirely in-scope or entirely out-of-scope.  There is a concern that this will prevent firms that do not currently consider sustainability from making incremental steps.  We are already seeing this in our dealings with firms.</w:t>
      </w:r>
    </w:p>
    <w:p w:rsidR="003A7A2E" w:rsidRPr="003A7A2E" w:rsidRDefault="003A7A2E" w:rsidP="003A7A2E">
      <w:pPr>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consider the all or nothing approach to be contrary to the proportionality language at Article 4(1) in the Level 1 text.  This is particularly significant </w:t>
      </w:r>
      <w:r w:rsidR="004C000A">
        <w:rPr>
          <w:rFonts w:ascii="Museo Sans 100" w:hAnsi="Museo Sans 100" w:cs="Museo Sans 300"/>
          <w:color w:val="000000"/>
          <w:sz w:val="18"/>
          <w:szCs w:val="18"/>
          <w:lang w:eastAsia="zh-CN"/>
        </w:rPr>
        <w:t>i</w:t>
      </w:r>
      <w:r w:rsidRPr="003A7A2E">
        <w:rPr>
          <w:rFonts w:ascii="Museo Sans 100" w:hAnsi="Museo Sans 100" w:cs="Museo Sans 300"/>
          <w:color w:val="000000"/>
          <w:sz w:val="18"/>
          <w:szCs w:val="18"/>
          <w:lang w:eastAsia="zh-CN"/>
        </w:rPr>
        <w:t>n relation to smaller FMPs.</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i/>
          <w:iCs/>
          <w:color w:val="000000"/>
          <w:sz w:val="18"/>
          <w:szCs w:val="18"/>
          <w:lang w:eastAsia="zh-CN"/>
        </w:rPr>
      </w:pPr>
      <w:r w:rsidRPr="003A7A2E">
        <w:rPr>
          <w:rFonts w:ascii="Museo Sans 100" w:hAnsi="Museo Sans 100" w:cs="Museo Sans 300"/>
          <w:i/>
          <w:iCs/>
          <w:color w:val="000000"/>
          <w:sz w:val="18"/>
          <w:szCs w:val="18"/>
          <w:lang w:eastAsia="zh-CN"/>
        </w:rPr>
        <w:t>Comparability does not require uniformity</w:t>
      </w:r>
    </w:p>
    <w:p w:rsidR="003A7A2E" w:rsidRPr="003A7A2E" w:rsidRDefault="003A7A2E" w:rsidP="003A7A2E">
      <w:pPr>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The ESAs seem to have formed a view that disclosure must be uniform in order to be comparable.  We disagree, and argue that the Level 1 text can be satisfied without requiring all firms/products to make all disclosures.  </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sidRPr="003A7A2E">
        <w:rPr>
          <w:rFonts w:ascii="Museo Sans 100" w:hAnsi="Museo Sans 100" w:cs="Museo Sans 300"/>
          <w:i/>
          <w:iCs/>
          <w:color w:val="000000"/>
          <w:sz w:val="18"/>
          <w:szCs w:val="18"/>
          <w:lang w:eastAsia="zh-CN"/>
        </w:rPr>
        <w:t>Cost and impact analysis</w:t>
      </w:r>
    </w:p>
    <w:p w:rsidR="003A7A2E" w:rsidRPr="003A7A2E" w:rsidRDefault="003A7A2E" w:rsidP="003A7A2E">
      <w:pPr>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would welcome commentary from the ESAs around how the costs of compliance are expected to be allocated.  </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i/>
          <w:iCs/>
          <w:color w:val="000000"/>
          <w:sz w:val="18"/>
          <w:szCs w:val="18"/>
          <w:lang w:eastAsia="zh-CN"/>
        </w:rPr>
      </w:pPr>
      <w:r w:rsidRPr="003A7A2E">
        <w:rPr>
          <w:rFonts w:ascii="Museo Sans 100" w:hAnsi="Museo Sans 100" w:cs="Museo Sans 300"/>
          <w:i/>
          <w:iCs/>
          <w:color w:val="000000"/>
          <w:sz w:val="18"/>
          <w:szCs w:val="18"/>
          <w:lang w:eastAsia="zh-CN"/>
        </w:rPr>
        <w:t>Interpretation of Level 1 text</w:t>
      </w:r>
    </w:p>
    <w:p w:rsidR="003A7A2E" w:rsidRPr="003A7A2E" w:rsidRDefault="003A7A2E" w:rsidP="003A7A2E">
      <w:pPr>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While we agree with some interpretation that the ESAs have reached regarding the Level 1 text, we are not comfortable with all of the interpretation.</w:t>
      </w:r>
    </w:p>
    <w:p w:rsidR="003A7A2E" w:rsidRPr="003A7A2E" w:rsidRDefault="004C000A" w:rsidP="003A7A2E">
      <w:pPr>
        <w:suppressAutoHyphens/>
        <w:autoSpaceDE w:val="0"/>
        <w:autoSpaceDN w:val="0"/>
        <w:adjustRightInd w:val="0"/>
        <w:spacing w:beforeLines="100" w:before="240" w:afterLines="100" w:after="240"/>
        <w:ind w:left="505"/>
        <w:jc w:val="both"/>
        <w:textAlignment w:val="center"/>
        <w:rPr>
          <w:rFonts w:ascii="Museo Sans 100" w:hAnsi="Museo Sans 100" w:cs="Museo Sans 300"/>
          <w:color w:val="000000"/>
          <w:sz w:val="18"/>
          <w:szCs w:val="18"/>
          <w:lang w:eastAsia="zh-CN"/>
        </w:rPr>
      </w:pPr>
      <w:r>
        <w:rPr>
          <w:rFonts w:ascii="Museo Sans 100" w:hAnsi="Museo Sans 100" w:cs="Museo Sans 300"/>
          <w:color w:val="000000"/>
          <w:sz w:val="18"/>
          <w:szCs w:val="18"/>
          <w:lang w:eastAsia="zh-CN"/>
        </w:rPr>
        <w:t>In particular, w</w:t>
      </w:r>
      <w:r w:rsidR="003A7A2E" w:rsidRPr="003A7A2E">
        <w:rPr>
          <w:rFonts w:ascii="Museo Sans 100" w:hAnsi="Museo Sans 100" w:cs="Museo Sans 300"/>
          <w:color w:val="000000"/>
          <w:sz w:val="18"/>
          <w:szCs w:val="18"/>
          <w:lang w:eastAsia="zh-CN"/>
        </w:rPr>
        <w:t xml:space="preserve">e took a different view regarding the analysis of Article 8 and 9 products.  We were also concerned that the ESAs are taking an overly broad interpretation of words </w:t>
      </w:r>
      <w:proofErr w:type="spellStart"/>
      <w:r w:rsidR="003A7A2E" w:rsidRPr="003A7A2E">
        <w:rPr>
          <w:rFonts w:ascii="Museo Sans 100" w:hAnsi="Museo Sans 100" w:cs="Museo Sans 300"/>
          <w:color w:val="000000"/>
          <w:sz w:val="18"/>
          <w:szCs w:val="18"/>
          <w:lang w:eastAsia="zh-CN"/>
        </w:rPr>
        <w:t>such</w:t>
      </w:r>
      <w:proofErr w:type="spellEnd"/>
      <w:r w:rsidR="003A7A2E" w:rsidRPr="003A7A2E">
        <w:rPr>
          <w:rFonts w:ascii="Museo Sans 100" w:hAnsi="Museo Sans 100" w:cs="Museo Sans 300"/>
          <w:color w:val="000000"/>
          <w:sz w:val="18"/>
          <w:szCs w:val="18"/>
          <w:lang w:eastAsia="zh-CN"/>
        </w:rPr>
        <w:t xml:space="preserve"> as ‘principal’ and ‘adverse’.  </w:t>
      </w:r>
      <w:r w:rsidR="00812DAD">
        <w:rPr>
          <w:rFonts w:ascii="Museo Sans 100" w:hAnsi="Museo Sans 100" w:cs="Museo Sans 300"/>
          <w:color w:val="000000"/>
          <w:sz w:val="18"/>
          <w:szCs w:val="18"/>
          <w:lang w:eastAsia="zh-CN"/>
        </w:rPr>
        <w:t>Please see</w:t>
      </w:r>
      <w:r w:rsidR="003A7A2E" w:rsidRPr="003A7A2E">
        <w:rPr>
          <w:rFonts w:ascii="Museo Sans 100" w:hAnsi="Museo Sans 100" w:cs="Museo Sans 300"/>
          <w:color w:val="000000"/>
          <w:sz w:val="18"/>
          <w:szCs w:val="18"/>
          <w:lang w:eastAsia="zh-CN"/>
        </w:rPr>
        <w:t xml:space="preserve"> our </w:t>
      </w:r>
      <w:hyperlink r:id="rId20" w:history="1">
        <w:r w:rsidR="003A7A2E" w:rsidRPr="00812DAD">
          <w:rPr>
            <w:rStyle w:val="Hyperlink"/>
            <w:rFonts w:ascii="Museo Sans 100" w:hAnsi="Museo Sans 100" w:cs="Museo Sans 300"/>
            <w:sz w:val="18"/>
            <w:szCs w:val="18"/>
            <w:lang w:eastAsia="zh-CN"/>
          </w:rPr>
          <w:t>detailed analysis on the legal parameters of Article 8</w:t>
        </w:r>
      </w:hyperlink>
      <w:r w:rsidR="003A7A2E" w:rsidRPr="003A7A2E">
        <w:rPr>
          <w:rFonts w:ascii="Museo Sans 100" w:hAnsi="Museo Sans 100" w:cs="Museo Sans 300"/>
          <w:color w:val="000000"/>
          <w:sz w:val="18"/>
          <w:szCs w:val="18"/>
          <w:lang w:eastAsia="zh-CN"/>
        </w:rPr>
        <w:t>.</w:t>
      </w:r>
    </w:p>
    <w:p w:rsidR="003A7A2E" w:rsidRPr="003A7A2E" w:rsidRDefault="003A7A2E" w:rsidP="00C10069">
      <w:pPr>
        <w:numPr>
          <w:ilvl w:val="0"/>
          <w:numId w:val="42"/>
        </w:numPr>
        <w:suppressAutoHyphens/>
        <w:autoSpaceDE w:val="0"/>
        <w:autoSpaceDN w:val="0"/>
        <w:adjustRightInd w:val="0"/>
        <w:spacing w:beforeLines="100" w:before="240" w:afterLines="100" w:after="240"/>
        <w:ind w:left="499" w:hanging="499"/>
        <w:jc w:val="both"/>
        <w:textAlignment w:val="center"/>
        <w:rPr>
          <w:rFonts w:ascii="Museo Sans 900" w:hAnsi="Museo Sans 900" w:cs="Museo Sans 300"/>
          <w:b/>
          <w:color w:val="2F912D"/>
          <w:sz w:val="18"/>
          <w:szCs w:val="18"/>
          <w:lang w:eastAsia="zh-CN"/>
        </w:rPr>
      </w:pPr>
      <w:r w:rsidRPr="003A7A2E">
        <w:rPr>
          <w:rFonts w:ascii="Museo Sans 900" w:hAnsi="Museo Sans 900" w:cs="Museo Sans 300"/>
          <w:b/>
          <w:color w:val="2F912D"/>
          <w:sz w:val="18"/>
          <w:szCs w:val="18"/>
          <w:lang w:eastAsia="zh-CN"/>
        </w:rPr>
        <w:t>Compliance must be possible</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Our strongly held view is that laws should be capable of being complied with.  While a new law may be ambitious and can seek to raise standards, it will be meaningless and/or punitive if those subject to it are not actually able to comply with their obligations.   </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Whether a law can be complied with is a result of many factors that are relevant in the context of SFDR - </w:t>
      </w:r>
      <w:proofErr w:type="spellStart"/>
      <w:r w:rsidRPr="003A7A2E">
        <w:rPr>
          <w:rFonts w:ascii="Museo Sans 100" w:hAnsi="Museo Sans 100" w:cs="Museo Sans 300"/>
          <w:color w:val="000000"/>
          <w:sz w:val="18"/>
          <w:szCs w:val="18"/>
          <w:lang w:eastAsia="zh-CN"/>
        </w:rPr>
        <w:t>such</w:t>
      </w:r>
      <w:proofErr w:type="spellEnd"/>
      <w:r w:rsidRPr="003A7A2E">
        <w:rPr>
          <w:rFonts w:ascii="Museo Sans 100" w:hAnsi="Museo Sans 100" w:cs="Museo Sans 300"/>
          <w:color w:val="000000"/>
          <w:sz w:val="18"/>
          <w:szCs w:val="18"/>
          <w:lang w:eastAsia="zh-CN"/>
        </w:rPr>
        <w:t xml:space="preserve"> as the novelty of the obligations, clarity and certainty of the requirements, expense, reliance on third parties, preparatory time prior to implementation etc.  </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Of particular relevance to a law firm is the principle of legal certainty.  EU law recognises the principle that the persons to whom it applies, taking appropriate legal advice if necessary, should be confident in their obligations.  In the case of SFDR we consider there to be material legal uncertainty in some aspects of the regime – for example, the demarcation between Article 8 products, Article 9 products and every other financial product.  We understand that there are constraints </w:t>
      </w:r>
      <w:proofErr w:type="spellStart"/>
      <w:r w:rsidRPr="003A7A2E">
        <w:rPr>
          <w:rFonts w:ascii="Museo Sans 100" w:hAnsi="Museo Sans 100" w:cs="Museo Sans 300"/>
          <w:color w:val="000000"/>
          <w:sz w:val="18"/>
          <w:szCs w:val="18"/>
          <w:lang w:eastAsia="zh-CN"/>
        </w:rPr>
        <w:t>upon</w:t>
      </w:r>
      <w:proofErr w:type="spellEnd"/>
      <w:r w:rsidRPr="003A7A2E">
        <w:rPr>
          <w:rFonts w:ascii="Museo Sans 100" w:hAnsi="Museo Sans 100" w:cs="Museo Sans 300"/>
          <w:color w:val="000000"/>
          <w:sz w:val="18"/>
          <w:szCs w:val="18"/>
          <w:lang w:eastAsia="zh-CN"/>
        </w:rPr>
        <w:t xml:space="preserve"> the ESAs when writing the Level 2 text.  However, there are other solutions – </w:t>
      </w:r>
      <w:proofErr w:type="spellStart"/>
      <w:r w:rsidRPr="003A7A2E">
        <w:rPr>
          <w:rFonts w:ascii="Museo Sans 100" w:hAnsi="Museo Sans 100" w:cs="Museo Sans 300"/>
          <w:color w:val="000000"/>
          <w:sz w:val="18"/>
          <w:szCs w:val="18"/>
          <w:lang w:eastAsia="zh-CN"/>
        </w:rPr>
        <w:t>such</w:t>
      </w:r>
      <w:proofErr w:type="spellEnd"/>
      <w:r w:rsidRPr="003A7A2E">
        <w:rPr>
          <w:rFonts w:ascii="Museo Sans 100" w:hAnsi="Museo Sans 100" w:cs="Museo Sans 300"/>
          <w:color w:val="000000"/>
          <w:sz w:val="18"/>
          <w:szCs w:val="18"/>
          <w:lang w:eastAsia="zh-CN"/>
        </w:rPr>
        <w:t xml:space="preserve"> as the issuing of an opinion by the ESAs.  </w:t>
      </w:r>
      <w:r w:rsidR="000A45E0" w:rsidRPr="000A45E0">
        <w:rPr>
          <w:rFonts w:ascii="Museo Sans 100" w:hAnsi="Museo Sans 100" w:cs="Museo Sans 300"/>
          <w:color w:val="000000"/>
          <w:sz w:val="18"/>
          <w:szCs w:val="18"/>
          <w:lang w:eastAsia="zh-CN"/>
        </w:rPr>
        <w:t>Again, as offered above</w:t>
      </w:r>
      <w:r w:rsidR="000A45E0">
        <w:rPr>
          <w:rFonts w:ascii="Museo Sans 100" w:hAnsi="Museo Sans 100" w:cs="Museo Sans 300"/>
          <w:color w:val="000000"/>
          <w:sz w:val="18"/>
          <w:szCs w:val="18"/>
          <w:lang w:eastAsia="zh-CN"/>
        </w:rPr>
        <w:t xml:space="preserve">, </w:t>
      </w:r>
      <w:r w:rsidR="00812DAD">
        <w:rPr>
          <w:rFonts w:ascii="Museo Sans 100" w:hAnsi="Museo Sans 100" w:cs="Museo Sans 300"/>
          <w:color w:val="000000"/>
          <w:sz w:val="18"/>
          <w:szCs w:val="18"/>
          <w:lang w:eastAsia="zh-CN"/>
        </w:rPr>
        <w:t>please see</w:t>
      </w:r>
      <w:r w:rsidRPr="003A7A2E">
        <w:rPr>
          <w:rFonts w:ascii="Museo Sans 100" w:hAnsi="Museo Sans 100" w:cs="Museo Sans 300"/>
          <w:color w:val="000000"/>
          <w:sz w:val="18"/>
          <w:szCs w:val="18"/>
          <w:lang w:eastAsia="zh-CN"/>
        </w:rPr>
        <w:t xml:space="preserve"> our </w:t>
      </w:r>
      <w:hyperlink r:id="rId21" w:history="1">
        <w:r w:rsidRPr="00812DAD">
          <w:rPr>
            <w:rStyle w:val="Hyperlink"/>
            <w:rFonts w:ascii="Museo Sans 100" w:hAnsi="Museo Sans 100" w:cs="Museo Sans 300"/>
            <w:sz w:val="18"/>
            <w:szCs w:val="18"/>
            <w:lang w:eastAsia="zh-CN"/>
          </w:rPr>
          <w:t>detailed analysis on the legal parameters of Article 8</w:t>
        </w:r>
      </w:hyperlink>
      <w:r w:rsidRPr="003A7A2E">
        <w:rPr>
          <w:rFonts w:ascii="Museo Sans 100" w:hAnsi="Museo Sans 100" w:cs="Museo Sans 300"/>
          <w:color w:val="000000"/>
          <w:sz w:val="18"/>
          <w:szCs w:val="18"/>
          <w:lang w:eastAsia="zh-CN"/>
        </w:rPr>
        <w:t xml:space="preserve">. </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Based on our conversations with firms, we are also concerned that some of the obligations in the RTS are seemingly not achievable in practice.  For example, there are disclosure requirements for which firms have no ability to source data (either to disclose or to inform their own assessment). </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This may place firms into a position of needing to arbitrarily generate disclosures in order to satisfy a legal requirement without having faith that those disclosures are accurate or meaningful.  FMPs are concerned that this could</w:t>
      </w:r>
      <w:r w:rsidR="00D847BD">
        <w:rPr>
          <w:rFonts w:ascii="Museo Sans 100" w:hAnsi="Museo Sans 100" w:cs="Museo Sans 300"/>
          <w:color w:val="000000"/>
          <w:sz w:val="18"/>
          <w:szCs w:val="18"/>
          <w:lang w:eastAsia="zh-CN"/>
        </w:rPr>
        <w:t xml:space="preserve"> be detrimental to investors or</w:t>
      </w:r>
      <w:r w:rsidRPr="003A7A2E">
        <w:rPr>
          <w:rFonts w:ascii="Museo Sans 100" w:hAnsi="Museo Sans 100" w:cs="Museo Sans 300"/>
          <w:color w:val="000000"/>
          <w:sz w:val="18"/>
          <w:szCs w:val="18"/>
          <w:lang w:eastAsia="zh-CN"/>
        </w:rPr>
        <w:t xml:space="preserve"> expose them to legal or regulatory sanctions for </w:t>
      </w:r>
      <w:proofErr w:type="spellStart"/>
      <w:r w:rsidRPr="003A7A2E">
        <w:rPr>
          <w:rFonts w:ascii="Museo Sans 100" w:hAnsi="Museo Sans 100" w:cs="Museo Sans 300"/>
          <w:color w:val="000000"/>
          <w:sz w:val="18"/>
          <w:szCs w:val="18"/>
          <w:lang w:eastAsia="zh-CN"/>
        </w:rPr>
        <w:t>misselling</w:t>
      </w:r>
      <w:proofErr w:type="spellEnd"/>
      <w:r w:rsidRPr="003A7A2E">
        <w:rPr>
          <w:rFonts w:ascii="Museo Sans 100" w:hAnsi="Museo Sans 100" w:cs="Museo Sans 300"/>
          <w:color w:val="000000"/>
          <w:sz w:val="18"/>
          <w:szCs w:val="18"/>
          <w:lang w:eastAsia="zh-CN"/>
        </w:rPr>
        <w:t>.</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recognise that the scale of the environmental challenge is enormous.  We recognise that creating a demand for sustainability data will encourage a supply.  We recognise that the first step to compliance is attempting to comply – and in our experience, firms are prepared to do that.  However, if the expectation from policy makers is a ‘best efforts’ standard (e.g. as described in Article 7(2) of the draft RTS), then this ought to be the standard which applies to the regime as a whole.  </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would suggest that if policymakers wish to encourage firms to become more sustainable, but will require disclosure that is known/likely to be flawed (at least in the near term), then an appropriate standard would be an explicit principle of good faith and candour.  If firms act in good faith when making disclosures and are honest about the limitations, then they ought not </w:t>
      </w:r>
      <w:r w:rsidR="004C000A">
        <w:rPr>
          <w:rFonts w:ascii="Museo Sans 100" w:hAnsi="Museo Sans 100" w:cs="Museo Sans 300"/>
          <w:color w:val="000000"/>
          <w:sz w:val="18"/>
          <w:szCs w:val="18"/>
          <w:lang w:eastAsia="zh-CN"/>
        </w:rPr>
        <w:t xml:space="preserve">to </w:t>
      </w:r>
      <w:r w:rsidRPr="003A7A2E">
        <w:rPr>
          <w:rFonts w:ascii="Museo Sans 100" w:hAnsi="Museo Sans 100" w:cs="Museo Sans 300"/>
          <w:color w:val="000000"/>
          <w:sz w:val="18"/>
          <w:szCs w:val="18"/>
          <w:lang w:eastAsia="zh-CN"/>
        </w:rPr>
        <w:t xml:space="preserve">be held accountable if those disclosures are subsequently found to be inaccurate.  </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The alternative may be that firms do not venture into this area at all. As noted above, this would seem to run contrary to the intention of the SFDR.</w:t>
      </w:r>
    </w:p>
    <w:p w:rsidR="003A7A2E" w:rsidRPr="003A7A2E" w:rsidRDefault="003A7A2E" w:rsidP="00C10069">
      <w:pPr>
        <w:numPr>
          <w:ilvl w:val="0"/>
          <w:numId w:val="42"/>
        </w:numPr>
        <w:suppressAutoHyphens/>
        <w:autoSpaceDE w:val="0"/>
        <w:autoSpaceDN w:val="0"/>
        <w:adjustRightInd w:val="0"/>
        <w:spacing w:beforeLines="100" w:before="240" w:afterLines="100" w:after="240"/>
        <w:ind w:left="499" w:hanging="499"/>
        <w:jc w:val="both"/>
        <w:textAlignment w:val="center"/>
        <w:rPr>
          <w:rFonts w:ascii="Museo Sans 900" w:hAnsi="Museo Sans 900" w:cs="Museo Sans 300"/>
          <w:b/>
          <w:color w:val="2F912D"/>
          <w:sz w:val="18"/>
          <w:szCs w:val="18"/>
          <w:lang w:eastAsia="zh-CN"/>
        </w:rPr>
      </w:pPr>
      <w:r w:rsidRPr="003A7A2E">
        <w:rPr>
          <w:rFonts w:ascii="Museo Sans 900" w:hAnsi="Museo Sans 900" w:cs="Museo Sans 300"/>
          <w:b/>
          <w:color w:val="2F912D"/>
          <w:sz w:val="18"/>
          <w:szCs w:val="18"/>
          <w:lang w:eastAsia="zh-CN"/>
        </w:rPr>
        <w:t>Investor comprehension</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specialise in helping firms to prepare investor disclosure.  We have some concerns about the proposed disclosures and their meaning and comprehensibility to end-investors. </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i/>
          <w:iCs/>
          <w:color w:val="000000"/>
          <w:sz w:val="18"/>
          <w:szCs w:val="18"/>
          <w:lang w:eastAsia="zh-CN"/>
        </w:rPr>
      </w:pPr>
      <w:r w:rsidRPr="003A7A2E">
        <w:rPr>
          <w:rFonts w:ascii="Museo Sans 100" w:hAnsi="Museo Sans 100" w:cs="Museo Sans 300"/>
          <w:i/>
          <w:iCs/>
          <w:color w:val="000000"/>
          <w:sz w:val="18"/>
          <w:szCs w:val="18"/>
          <w:lang w:eastAsia="zh-CN"/>
        </w:rPr>
        <w:t>Format and overlap</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have a concern that the one-size-fits-all approach under SFDR will lead to duplication of disclosure for specific types of products.  The interaction between disclosures needs to be carefully considered.  We are also conscious that, in practice, the document most often read by retail investors is usually the FMP’s factsheet and not prescribed regulatory documents (e.g. for UCITS the prospectus or key investor information document).  </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i/>
          <w:iCs/>
          <w:color w:val="000000"/>
          <w:sz w:val="18"/>
          <w:szCs w:val="18"/>
          <w:lang w:eastAsia="zh-CN"/>
        </w:rPr>
      </w:pPr>
      <w:r w:rsidRPr="003A7A2E">
        <w:rPr>
          <w:rFonts w:ascii="Museo Sans 100" w:hAnsi="Museo Sans 100" w:cs="Museo Sans 300"/>
          <w:i/>
          <w:iCs/>
          <w:color w:val="000000"/>
          <w:sz w:val="18"/>
          <w:szCs w:val="18"/>
          <w:lang w:eastAsia="zh-CN"/>
        </w:rPr>
        <w:t>Prescribed language</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In our experience there is significant potential for unintended consequences when laws prescribe investor disclosure too narrowly.  Examples of common issues with mandatory disclosure include:</w:t>
      </w:r>
    </w:p>
    <w:p w:rsidR="003A7A2E" w:rsidRPr="00542211" w:rsidRDefault="003A7A2E" w:rsidP="00C10069">
      <w:pPr>
        <w:numPr>
          <w:ilvl w:val="0"/>
          <w:numId w:val="43"/>
        </w:num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542211">
        <w:rPr>
          <w:rFonts w:ascii="Museo Sans 100" w:hAnsi="Museo Sans 100" w:cs="Museo Sans 300"/>
          <w:color w:val="000000"/>
          <w:sz w:val="18"/>
          <w:szCs w:val="18"/>
          <w:lang w:eastAsia="zh-CN"/>
        </w:rPr>
        <w:t>complicated sentence structure or writing style that does not match the surrounding text;</w:t>
      </w:r>
    </w:p>
    <w:p w:rsidR="003A7A2E" w:rsidRPr="00542211" w:rsidRDefault="003A7A2E" w:rsidP="00C10069">
      <w:pPr>
        <w:numPr>
          <w:ilvl w:val="0"/>
          <w:numId w:val="43"/>
        </w:num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542211">
        <w:rPr>
          <w:rFonts w:ascii="Museo Sans 100" w:hAnsi="Museo Sans 100" w:cs="Museo Sans 300"/>
          <w:color w:val="000000"/>
          <w:sz w:val="18"/>
          <w:szCs w:val="18"/>
          <w:lang w:eastAsia="zh-CN"/>
        </w:rPr>
        <w:t>inflexible statements that are unable to accommodate nuanced use cases or innovative products;</w:t>
      </w:r>
    </w:p>
    <w:p w:rsidR="001C682A" w:rsidRPr="00542211" w:rsidRDefault="001C682A" w:rsidP="001C682A">
      <w:pPr>
        <w:pStyle w:val="BasicParagraph"/>
        <w:numPr>
          <w:ilvl w:val="0"/>
          <w:numId w:val="43"/>
        </w:numPr>
        <w:suppressAutoHyphens/>
        <w:spacing w:beforeLines="100" w:before="240" w:afterLines="100" w:after="240" w:line="240" w:lineRule="auto"/>
        <w:rPr>
          <w:rFonts w:ascii="Museo Sans 100" w:hAnsi="Museo Sans 100" w:cs="Museo Sans 300"/>
          <w:sz w:val="18"/>
          <w:szCs w:val="18"/>
        </w:rPr>
      </w:pPr>
      <w:r w:rsidRPr="00542211">
        <w:rPr>
          <w:rFonts w:ascii="Museo Sans 100" w:hAnsi="Museo Sans 100" w:cs="Museo Sans 300"/>
          <w:sz w:val="18"/>
          <w:szCs w:val="18"/>
        </w:rPr>
        <w:t>an inability to update over time to ensure consistencies/commonality with other disclosures;</w:t>
      </w:r>
    </w:p>
    <w:p w:rsidR="003A7A2E" w:rsidRPr="003A7A2E" w:rsidRDefault="003A7A2E" w:rsidP="00C10069">
      <w:pPr>
        <w:numPr>
          <w:ilvl w:val="0"/>
          <w:numId w:val="43"/>
        </w:num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542211">
        <w:rPr>
          <w:rFonts w:ascii="Museo Sans 100" w:hAnsi="Museo Sans 100" w:cs="Museo Sans 300"/>
          <w:color w:val="000000"/>
          <w:sz w:val="18"/>
          <w:szCs w:val="18"/>
          <w:lang w:eastAsia="zh-CN"/>
        </w:rPr>
        <w:t>disclosure that fails to allow for the use of defined terms or other contextual language.  Alternatively, the prescribed</w:t>
      </w:r>
      <w:r w:rsidRPr="003A7A2E">
        <w:rPr>
          <w:rFonts w:ascii="Museo Sans 100" w:hAnsi="Museo Sans 100" w:cs="Museo Sans 300"/>
          <w:color w:val="000000"/>
          <w:sz w:val="18"/>
          <w:szCs w:val="18"/>
          <w:lang w:eastAsia="zh-CN"/>
        </w:rPr>
        <w:t xml:space="preserve"> text may use a term not used elsewhere (e.g. ‘product’ where the rest of the description says ‘fund’, ‘service’ or ‘portfolio’); and</w:t>
      </w:r>
    </w:p>
    <w:p w:rsidR="003A7A2E" w:rsidRPr="003A7A2E" w:rsidRDefault="003A7A2E" w:rsidP="00C10069">
      <w:pPr>
        <w:numPr>
          <w:ilvl w:val="0"/>
          <w:numId w:val="43"/>
        </w:num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absence of consumer testing which may result in a failure to convey the desired meaning to investors.</w:t>
      </w:r>
    </w:p>
    <w:p w:rsidR="003A7A2E" w:rsidRPr="003A7A2E" w:rsidRDefault="003A7A2E" w:rsidP="003A7A2E">
      <w:pPr>
        <w:keepNext/>
        <w:suppressAutoHyphens/>
        <w:autoSpaceDE w:val="0"/>
        <w:autoSpaceDN w:val="0"/>
        <w:adjustRightInd w:val="0"/>
        <w:spacing w:beforeLines="100" w:before="240" w:afterLines="100" w:after="240"/>
        <w:ind w:left="505"/>
        <w:jc w:val="both"/>
        <w:textAlignment w:val="center"/>
        <w:rPr>
          <w:rFonts w:ascii="Museo Sans 100" w:hAnsi="Museo Sans 100" w:cs="Museo Sans 300"/>
          <w:i/>
          <w:iCs/>
          <w:color w:val="000000"/>
          <w:sz w:val="18"/>
          <w:szCs w:val="18"/>
          <w:lang w:eastAsia="zh-CN"/>
        </w:rPr>
      </w:pPr>
      <w:r w:rsidRPr="003A7A2E">
        <w:rPr>
          <w:rFonts w:ascii="Museo Sans 100" w:hAnsi="Museo Sans 100" w:cs="Museo Sans 300"/>
          <w:i/>
          <w:iCs/>
          <w:color w:val="000000"/>
          <w:sz w:val="18"/>
          <w:szCs w:val="18"/>
          <w:lang w:eastAsia="zh-CN"/>
        </w:rPr>
        <w:t>Comprehension</w:t>
      </w:r>
    </w:p>
    <w:p w:rsidR="003A7A2E" w:rsidRPr="003A7A2E" w:rsidRDefault="003A7A2E" w:rsidP="003A7A2E">
      <w:pPr>
        <w:suppressAutoHyphens/>
        <w:autoSpaceDE w:val="0"/>
        <w:autoSpaceDN w:val="0"/>
        <w:adjustRightInd w:val="0"/>
        <w:spacing w:beforeLines="100" w:before="240" w:afterLines="100" w:after="240"/>
        <w:ind w:left="499"/>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We have also undertaken extensive work in the area of plain language drafting of investor disclosure.  While we recognise that the ESAs have not necessarily written their proposals with consumers in mind, inevitably some ‘end investors’ will be consumers and we are sensitive to the fact that the level of knowledge required by an end investor to understand the proposed disclosures is substantial and not in keeping with the knowledge expected for equivalent financial disclosures.  We would suggest that any proposed mandatory investor-facing disclosure is tested with </w:t>
      </w:r>
      <w:r w:rsidR="001C682A">
        <w:rPr>
          <w:rFonts w:ascii="Museo Sans 100" w:hAnsi="Museo Sans 100" w:cs="Museo Sans 300"/>
          <w:color w:val="000000"/>
          <w:sz w:val="18"/>
          <w:szCs w:val="18"/>
          <w:lang w:eastAsia="zh-CN"/>
        </w:rPr>
        <w:t xml:space="preserve">a wide range of </w:t>
      </w:r>
      <w:r w:rsidRPr="003A7A2E">
        <w:rPr>
          <w:rFonts w:ascii="Museo Sans 100" w:hAnsi="Museo Sans 100" w:cs="Museo Sans 300"/>
          <w:color w:val="000000"/>
          <w:sz w:val="18"/>
          <w:szCs w:val="18"/>
          <w:lang w:eastAsia="zh-CN"/>
        </w:rPr>
        <w:t>consumers.</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olor w:val="CAD100"/>
          <w:sz w:val="26"/>
          <w:szCs w:val="26"/>
          <w:lang w:eastAsia="zh-CN"/>
        </w:rPr>
        <w:t>Conclusion</w:t>
      </w:r>
    </w:p>
    <w:p w:rsidR="003A7A2E" w:rsidRPr="003A7A2E" w:rsidRDefault="003A7A2E" w:rsidP="003A7A2E">
      <w:pPr>
        <w:suppressAutoHyphens/>
        <w:autoSpaceDE w:val="0"/>
        <w:autoSpaceDN w:val="0"/>
        <w:adjustRightInd w:val="0"/>
        <w:spacing w:beforeLines="100" w:before="240" w:afterLines="100" w:after="240"/>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In our view these three themes of proportionality, achievability and investor </w:t>
      </w:r>
      <w:r w:rsidR="001C682A">
        <w:rPr>
          <w:rFonts w:ascii="Museo Sans 100" w:hAnsi="Museo Sans 100" w:cs="Museo Sans 300"/>
          <w:color w:val="000000"/>
          <w:sz w:val="18"/>
          <w:szCs w:val="18"/>
          <w:lang w:eastAsia="zh-CN"/>
        </w:rPr>
        <w:t>comprehension</w:t>
      </w:r>
      <w:r w:rsidRPr="003A7A2E">
        <w:rPr>
          <w:rFonts w:ascii="Museo Sans 100" w:hAnsi="Museo Sans 100" w:cs="Museo Sans 300"/>
          <w:color w:val="000000"/>
          <w:sz w:val="18"/>
          <w:szCs w:val="18"/>
          <w:lang w:eastAsia="zh-CN"/>
        </w:rPr>
        <w:t xml:space="preserve"> are critical in the success of the regime.  We note that they are echoed in the ESAs</w:t>
      </w:r>
      <w:r w:rsidR="00542211">
        <w:rPr>
          <w:rFonts w:ascii="Museo Sans 100" w:hAnsi="Museo Sans 100" w:cs="Museo Sans 300"/>
          <w:color w:val="000000"/>
          <w:sz w:val="18"/>
          <w:szCs w:val="18"/>
          <w:lang w:eastAsia="zh-CN"/>
        </w:rPr>
        <w:t>’</w:t>
      </w:r>
      <w:r w:rsidRPr="003A7A2E">
        <w:rPr>
          <w:rFonts w:ascii="Museo Sans 100" w:hAnsi="Museo Sans 100" w:cs="Museo Sans 300"/>
          <w:color w:val="000000"/>
          <w:sz w:val="18"/>
          <w:szCs w:val="18"/>
          <w:lang w:eastAsia="zh-CN"/>
        </w:rPr>
        <w:t xml:space="preserve"> own commentary from July 2017 when the Joint Committee was considering applying specific obligations for products with environmental and social objectives: </w:t>
      </w:r>
    </w:p>
    <w:p w:rsidR="00B204A8" w:rsidRDefault="003A7A2E" w:rsidP="00BB1F4E">
      <w:pPr>
        <w:pBdr>
          <w:left w:val="single" w:sz="36" w:space="4" w:color="D9D9D9" w:themeColor="background1" w:themeShade="D9"/>
        </w:pBdr>
        <w:suppressAutoHyphens/>
        <w:autoSpaceDE w:val="0"/>
        <w:autoSpaceDN w:val="0"/>
        <w:adjustRightInd w:val="0"/>
        <w:spacing w:beforeLines="100" w:before="240"/>
        <w:ind w:left="221"/>
        <w:jc w:val="both"/>
        <w:textAlignment w:val="center"/>
        <w:rPr>
          <w:rFonts w:ascii="Museo Sans 100" w:hAnsi="Museo Sans 100" w:cs="Museo Sans 300"/>
          <w:color w:val="000000"/>
          <w:sz w:val="18"/>
          <w:szCs w:val="18"/>
          <w:lang w:eastAsia="zh-CN"/>
        </w:rPr>
      </w:pPr>
      <w:r w:rsidRPr="003A7A2E">
        <w:rPr>
          <w:rFonts w:ascii="Museo Sans 100" w:hAnsi="Museo Sans 100" w:cs="Museo Sans 300"/>
          <w:color w:val="000000"/>
          <w:sz w:val="18"/>
          <w:szCs w:val="18"/>
          <w:lang w:eastAsia="zh-CN"/>
        </w:rPr>
        <w:t xml:space="preserve">“…The ESA have concluded that it would not in general be proportionate to establish specific and detailed standalone obligations at this time for </w:t>
      </w:r>
      <w:r w:rsidR="00B204A8">
        <w:rPr>
          <w:rFonts w:ascii="Museo Sans 100" w:hAnsi="Museo Sans 100" w:cs="Museo Sans 300"/>
          <w:color w:val="000000"/>
          <w:sz w:val="18"/>
          <w:szCs w:val="18"/>
          <w:lang w:eastAsia="zh-CN"/>
        </w:rPr>
        <w:t>[products]</w:t>
      </w:r>
      <w:r w:rsidRPr="003A7A2E">
        <w:rPr>
          <w:rFonts w:ascii="Museo Sans 100" w:hAnsi="Museo Sans 100" w:cs="Museo Sans 300"/>
          <w:color w:val="000000"/>
          <w:sz w:val="18"/>
          <w:szCs w:val="18"/>
          <w:lang w:eastAsia="zh-CN"/>
        </w:rPr>
        <w:t xml:space="preserve"> that target specific environmental or social objectives. </w:t>
      </w:r>
      <w:proofErr w:type="spellStart"/>
      <w:r w:rsidRPr="003A7A2E">
        <w:rPr>
          <w:rFonts w:ascii="Museo Sans 100" w:hAnsi="Museo Sans 100" w:cs="Museo Sans 300"/>
          <w:color w:val="000000"/>
          <w:sz w:val="18"/>
          <w:szCs w:val="18"/>
          <w:lang w:eastAsia="zh-CN"/>
        </w:rPr>
        <w:t>Such</w:t>
      </w:r>
      <w:proofErr w:type="spellEnd"/>
      <w:r w:rsidRPr="003A7A2E">
        <w:rPr>
          <w:rFonts w:ascii="Museo Sans 100" w:hAnsi="Museo Sans 100" w:cs="Museo Sans 300"/>
          <w:color w:val="000000"/>
          <w:sz w:val="18"/>
          <w:szCs w:val="18"/>
          <w:lang w:eastAsia="zh-CN"/>
        </w:rPr>
        <w:t xml:space="preserve"> an approach would introduce legal uncertainty without heightening investor protection, given measures of a very similar kind applying already to </w:t>
      </w:r>
      <w:proofErr w:type="spellStart"/>
      <w:r w:rsidRPr="003A7A2E">
        <w:rPr>
          <w:rFonts w:ascii="Museo Sans 100" w:hAnsi="Museo Sans 100" w:cs="Museo Sans 300"/>
          <w:color w:val="000000"/>
          <w:sz w:val="18"/>
          <w:szCs w:val="18"/>
          <w:lang w:eastAsia="zh-CN"/>
        </w:rPr>
        <w:t>such</w:t>
      </w:r>
      <w:proofErr w:type="spellEnd"/>
      <w:r w:rsidRPr="003A7A2E">
        <w:rPr>
          <w:rFonts w:ascii="Museo Sans 100" w:hAnsi="Museo Sans 100" w:cs="Museo Sans 300"/>
          <w:color w:val="000000"/>
          <w:sz w:val="18"/>
          <w:szCs w:val="18"/>
          <w:lang w:eastAsia="zh-CN"/>
        </w:rPr>
        <w:t xml:space="preserve"> [products].”</w:t>
      </w:r>
      <w:r w:rsidR="00BB1F4E">
        <w:rPr>
          <w:rFonts w:ascii="Museo Sans 100" w:hAnsi="Museo Sans 100" w:cs="Museo Sans 300"/>
          <w:color w:val="000000"/>
          <w:sz w:val="18"/>
          <w:szCs w:val="18"/>
          <w:lang w:eastAsia="zh-CN"/>
        </w:rPr>
        <w:t xml:space="preserve">  </w:t>
      </w:r>
    </w:p>
    <w:p w:rsidR="00BB1F4E" w:rsidRDefault="00BB1F4E" w:rsidP="00B204A8">
      <w:pPr>
        <w:suppressAutoHyphens/>
        <w:autoSpaceDE w:val="0"/>
        <w:autoSpaceDN w:val="0"/>
        <w:adjustRightInd w:val="0"/>
        <w:spacing w:beforeLines="100" w:before="240"/>
        <w:ind w:left="221"/>
        <w:jc w:val="both"/>
        <w:textAlignment w:val="center"/>
        <w:rPr>
          <w:rFonts w:ascii="Museo Sans 100" w:hAnsi="Museo Sans 100" w:cs="Museo Sans 300"/>
          <w:b/>
          <w:sz w:val="18"/>
          <w:szCs w:val="18"/>
          <w:lang w:eastAsia="zh-CN"/>
        </w:rPr>
      </w:pPr>
      <w:r>
        <w:rPr>
          <w:rFonts w:ascii="Museo Sans 100" w:hAnsi="Museo Sans 100" w:cs="Museo Sans 300"/>
          <w:color w:val="000000"/>
          <w:sz w:val="18"/>
          <w:szCs w:val="18"/>
          <w:lang w:eastAsia="zh-CN"/>
        </w:rPr>
        <w:t>[</w:t>
      </w:r>
      <w:r w:rsidRPr="00BB1F4E">
        <w:rPr>
          <w:rFonts w:ascii="Museo Sans 100" w:hAnsi="Museo Sans 100" w:cs="Museo Sans 300"/>
          <w:color w:val="000000"/>
          <w:sz w:val="18"/>
          <w:szCs w:val="18"/>
          <w:lang w:eastAsia="zh-CN"/>
        </w:rPr>
        <w:t xml:space="preserve">Page 8  of “Joint Technical Advice on the procedures used to establish whether a PRIIP targets specific environmental or social objectives </w:t>
      </w:r>
      <w:proofErr w:type="spellStart"/>
      <w:r w:rsidRPr="00BB1F4E">
        <w:rPr>
          <w:rFonts w:ascii="Museo Sans 100" w:hAnsi="Museo Sans 100" w:cs="Museo Sans 300"/>
          <w:color w:val="000000"/>
          <w:sz w:val="18"/>
          <w:szCs w:val="18"/>
          <w:lang w:eastAsia="zh-CN"/>
        </w:rPr>
        <w:t>pursuant</w:t>
      </w:r>
      <w:proofErr w:type="spellEnd"/>
      <w:r w:rsidRPr="00BB1F4E">
        <w:rPr>
          <w:rFonts w:ascii="Museo Sans 100" w:hAnsi="Museo Sans 100" w:cs="Museo Sans 300"/>
          <w:color w:val="000000"/>
          <w:sz w:val="18"/>
          <w:szCs w:val="18"/>
          <w:lang w:eastAsia="zh-CN"/>
        </w:rPr>
        <w:t xml:space="preserve"> to Article 8 (4) of Regulation (EU) No 1286/2014 on key information documents (KID) for packaged retail and insurance-based investment products (PRIIPs)”, Joint Committee of the European Supervisory Authorities, JC 2017 43, 28 July 2017</w:t>
      </w:r>
      <w:r>
        <w:rPr>
          <w:rFonts w:ascii="Museo Sans 100" w:hAnsi="Museo Sans 100" w:cs="Museo Sans 300"/>
          <w:color w:val="000000"/>
          <w:sz w:val="18"/>
          <w:szCs w:val="18"/>
          <w:lang w:eastAsia="zh-CN"/>
        </w:rPr>
        <w:t>]</w:t>
      </w:r>
    </w:p>
    <w:p w:rsidR="00B204A8" w:rsidRDefault="00B204A8" w:rsidP="00B327E9">
      <w:pPr>
        <w:rPr>
          <w:rFonts w:ascii="Museo Sans 100" w:hAnsi="Museo Sans 100" w:cs="Museo Sans 300"/>
          <w:sz w:val="18"/>
          <w:szCs w:val="18"/>
        </w:rPr>
      </w:pPr>
    </w:p>
    <w:p w:rsidR="00B327E9" w:rsidRPr="00BF28DA" w:rsidRDefault="001E1B7E" w:rsidP="00B327E9">
      <w:r>
        <w:rPr>
          <w:rFonts w:ascii="Museo Sans 100" w:hAnsi="Museo Sans 100" w:cs="Museo Sans 300"/>
          <w:sz w:val="18"/>
          <w:szCs w:val="18"/>
        </w:rPr>
        <w:t>While we recognise that times change, we think that this past remark from the ESAs is extremely relevant to the present proposals</w:t>
      </w:r>
      <w:r w:rsidR="003A7A2E" w:rsidRPr="003A7A2E">
        <w:rPr>
          <w:rFonts w:ascii="Museo Sans 100" w:hAnsi="Museo Sans 100" w:cs="Museo Sans 300"/>
          <w:sz w:val="18"/>
          <w:szCs w:val="18"/>
          <w:lang w:eastAsia="zh-CN"/>
        </w:rPr>
        <w:t>.</w:t>
      </w:r>
      <w:permEnd w:id="1888444314"/>
      <w:r w:rsidR="00B327E9" w:rsidRPr="00BF28DA">
        <w:t>&lt;ESA_COMMENT_</w:t>
      </w:r>
      <w:r w:rsidR="00C86E1C">
        <w:rPr>
          <w:rStyle w:val="SubtleEmphasis"/>
          <w:b w:val="0"/>
          <w:sz w:val="22"/>
        </w:rPr>
        <w:t>ESG</w:t>
      </w:r>
      <w:r w:rsidR="000A58BE">
        <w:t>_</w:t>
      </w:r>
      <w:r w:rsidR="00B327E9" w:rsidRPr="00BF28DA">
        <w:t>1&gt;</w:t>
      </w:r>
    </w:p>
    <w:p w:rsidR="00F31E57" w:rsidRPr="00BF28DA" w:rsidRDefault="00F31E57" w:rsidP="00D34282"/>
    <w:p w:rsidR="003E573C" w:rsidRDefault="00F31E57" w:rsidP="003E573C">
      <w:pPr>
        <w:pStyle w:val="Questionstyle"/>
        <w:numPr>
          <w:ilvl w:val="0"/>
          <w:numId w:val="39"/>
        </w:numPr>
      </w:pPr>
      <w:r w:rsidRPr="0075015C">
        <w:br w:type="page"/>
      </w:r>
      <w:r w:rsidR="003E573C">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rsidR="003E573C" w:rsidRDefault="003E573C" w:rsidP="003E573C">
      <w:pPr>
        <w:rPr>
          <w:rFonts w:cs="Arial"/>
        </w:rPr>
      </w:pPr>
      <w:r>
        <w:rPr>
          <w:rFonts w:cs="Arial"/>
        </w:rPr>
        <w:t>&lt;ESA_QUESTION_</w:t>
      </w:r>
      <w:r w:rsidR="00C86E1C">
        <w:rPr>
          <w:rFonts w:cs="Arial"/>
        </w:rPr>
        <w:t>ESG</w:t>
      </w:r>
      <w:r>
        <w:rPr>
          <w:rFonts w:cs="Arial"/>
        </w:rPr>
        <w:t>_1&gt;</w:t>
      </w:r>
    </w:p>
    <w:p w:rsidR="003A7A2E" w:rsidRPr="003A7A2E" w:rsidRDefault="003A7A2E" w:rsidP="003A7A2E">
      <w:pPr>
        <w:spacing w:after="240"/>
        <w:ind w:left="851"/>
        <w:jc w:val="both"/>
        <w:rPr>
          <w:rFonts w:ascii="Museo Sans 100" w:hAnsi="Museo Sans 100"/>
          <w:sz w:val="18"/>
          <w:szCs w:val="18"/>
          <w:lang w:eastAsia="zh-CN"/>
        </w:rPr>
      </w:pPr>
      <w:permStart w:id="2087219217" w:edGrp="everyone"/>
      <w:r w:rsidRPr="003A7A2E">
        <w:rPr>
          <w:rFonts w:ascii="Museo Sans 100" w:hAnsi="Museo Sans 100"/>
          <w:sz w:val="18"/>
          <w:szCs w:val="18"/>
          <w:lang w:eastAsia="zh-CN"/>
        </w:rPr>
        <w:t>While we agree with the ESAs that the Level 1 text implies that the ESAs should formulate ‘indicators’, we would ask the ESAs to reconsider whether their proposal is sufficiently deferential to the Level 1 text.</w:t>
      </w:r>
    </w:p>
    <w:p w:rsidR="003A7A2E" w:rsidRPr="003A7A2E" w:rsidRDefault="003A7A2E" w:rsidP="003A7A2E">
      <w:pPr>
        <w:spacing w:after="240"/>
        <w:ind w:left="851"/>
        <w:jc w:val="both"/>
        <w:rPr>
          <w:rFonts w:ascii="Museo Sans 100" w:hAnsi="Museo Sans 100"/>
          <w:sz w:val="18"/>
          <w:szCs w:val="18"/>
          <w:lang w:eastAsia="zh-CN"/>
        </w:rPr>
      </w:pPr>
      <w:r w:rsidRPr="003A7A2E">
        <w:rPr>
          <w:rFonts w:ascii="Museo Sans 100" w:hAnsi="Museo Sans 100"/>
          <w:i/>
          <w:iCs/>
          <w:sz w:val="18"/>
          <w:szCs w:val="18"/>
          <w:u w:val="single"/>
          <w:lang w:eastAsia="zh-CN"/>
        </w:rPr>
        <w:t>Principal:</w:t>
      </w:r>
      <w:r w:rsidRPr="003A7A2E">
        <w:rPr>
          <w:rFonts w:ascii="Museo Sans 100" w:hAnsi="Museo Sans 100"/>
          <w:sz w:val="18"/>
          <w:szCs w:val="18"/>
          <w:lang w:eastAsia="zh-CN"/>
        </w:rPr>
        <w:t xml:space="preserve"> Our reading is that the word ‘principal’ suggests a requirement to identify the foremost in order of importance.  We struggle with an interpretation that identifies 32+ areas that are the most important.  Indeed, our expectation based on the Level 1 text was that firms would identify the principal adverse impacts of their investment decisions themselves.  In this way, they could describe the most important factors that they consider. We note too that as no thresholds are applied, this may further undermine the argument that each indicator relates to the ‘principal’ adverse impact since the impact (even if adverse) may be relatively minor.</w:t>
      </w:r>
    </w:p>
    <w:p w:rsidR="003A7A2E" w:rsidRPr="003A7A2E" w:rsidRDefault="003A7A2E" w:rsidP="003A7A2E">
      <w:pPr>
        <w:spacing w:after="240"/>
        <w:ind w:left="851"/>
        <w:jc w:val="both"/>
        <w:rPr>
          <w:rFonts w:ascii="Museo Sans 100" w:hAnsi="Museo Sans 100"/>
          <w:sz w:val="18"/>
          <w:szCs w:val="18"/>
          <w:lang w:eastAsia="zh-CN"/>
        </w:rPr>
      </w:pPr>
      <w:r w:rsidRPr="003A7A2E">
        <w:rPr>
          <w:rFonts w:ascii="Museo Sans 100" w:hAnsi="Museo Sans 100"/>
          <w:i/>
          <w:iCs/>
          <w:sz w:val="18"/>
          <w:szCs w:val="18"/>
          <w:u w:val="single"/>
          <w:lang w:eastAsia="zh-CN"/>
        </w:rPr>
        <w:t>Adverse:</w:t>
      </w:r>
      <w:r w:rsidRPr="003A7A2E">
        <w:rPr>
          <w:rFonts w:ascii="Museo Sans 100" w:hAnsi="Museo Sans 100"/>
          <w:i/>
          <w:iCs/>
          <w:sz w:val="18"/>
          <w:szCs w:val="18"/>
          <w:lang w:eastAsia="zh-CN"/>
        </w:rPr>
        <w:t xml:space="preserve"> </w:t>
      </w:r>
      <w:r w:rsidRPr="003A7A2E">
        <w:rPr>
          <w:rFonts w:ascii="Museo Sans 100" w:hAnsi="Museo Sans 100"/>
          <w:sz w:val="18"/>
          <w:szCs w:val="18"/>
          <w:lang w:eastAsia="zh-CN"/>
        </w:rPr>
        <w:t xml:space="preserve">In our view, the word ‘adverse’ suggests that only impacts that are inherently negative are relevant.  This goes to the point around disclosure ‘irrespective of the value of the metrics’.  For example, it cannot be argued that all CEO pay ratios are ‘adverse’. </w:t>
      </w:r>
      <w:r w:rsidR="006B36FB">
        <w:rPr>
          <w:rFonts w:ascii="Museo Sans 100" w:hAnsi="Museo Sans 100"/>
          <w:sz w:val="18"/>
          <w:szCs w:val="18"/>
          <w:lang w:eastAsia="zh-CN"/>
        </w:rPr>
        <w:t xml:space="preserve"> (</w:t>
      </w:r>
      <w:r w:rsidR="006B36FB" w:rsidRPr="006B36FB">
        <w:rPr>
          <w:rFonts w:ascii="Museo Sans 100" w:hAnsi="Museo Sans 100"/>
          <w:sz w:val="18"/>
          <w:szCs w:val="18"/>
          <w:lang w:eastAsia="zh-CN"/>
        </w:rPr>
        <w:t>Item 19 – “Excessive CEO pay ratio”.  Given that if adopted, this metric needs to fit all scenarios, the word ‘excessive’ here is particularly unhelpful.</w:t>
      </w:r>
      <w:r w:rsidR="006B36FB">
        <w:rPr>
          <w:rFonts w:ascii="Museo Sans 100" w:hAnsi="Museo Sans 100"/>
          <w:sz w:val="18"/>
          <w:szCs w:val="18"/>
          <w:lang w:eastAsia="zh-CN"/>
        </w:rPr>
        <w:t>)</w:t>
      </w:r>
    </w:p>
    <w:p w:rsidR="003A7A2E" w:rsidRPr="003A7A2E" w:rsidRDefault="003A7A2E" w:rsidP="003A7A2E">
      <w:pPr>
        <w:spacing w:after="240"/>
        <w:ind w:left="851"/>
        <w:jc w:val="both"/>
        <w:rPr>
          <w:rFonts w:ascii="Museo Sans 100" w:hAnsi="Museo Sans 100"/>
          <w:sz w:val="18"/>
          <w:szCs w:val="18"/>
          <w:lang w:eastAsia="zh-CN"/>
        </w:rPr>
      </w:pPr>
      <w:r w:rsidRPr="003A7A2E">
        <w:rPr>
          <w:rFonts w:ascii="Museo Sans 100" w:hAnsi="Museo Sans 100"/>
          <w:i/>
          <w:iCs/>
          <w:sz w:val="18"/>
          <w:szCs w:val="18"/>
          <w:u w:val="single"/>
          <w:lang w:eastAsia="zh-CN"/>
        </w:rPr>
        <w:t>Investment decisions:</w:t>
      </w:r>
      <w:r w:rsidRPr="003A7A2E">
        <w:rPr>
          <w:rFonts w:ascii="Museo Sans 100" w:hAnsi="Museo Sans 100"/>
          <w:i/>
          <w:iCs/>
          <w:sz w:val="18"/>
          <w:szCs w:val="18"/>
          <w:lang w:eastAsia="zh-CN"/>
        </w:rPr>
        <w:t xml:space="preserve"> </w:t>
      </w:r>
      <w:r w:rsidRPr="003A7A2E">
        <w:rPr>
          <w:rFonts w:ascii="Museo Sans 100" w:hAnsi="Museo Sans 100"/>
          <w:sz w:val="18"/>
          <w:szCs w:val="18"/>
          <w:lang w:eastAsia="zh-CN"/>
        </w:rPr>
        <w:t xml:space="preserve">We are conscious that the indicators do not necessarily reflect investment decisions of the firms making them.  For example, index-tracking products, mandates that stipulate investments, inherited mandates (e.g. where a client brings their existing portfolio with them) might all colour the proposed disclosures without actually reflecting any investment decisions of the firm in question.  This seems unfair and contrary to the Level 1 text. </w:t>
      </w:r>
    </w:p>
    <w:p w:rsidR="003A7A2E" w:rsidRPr="003A7A2E" w:rsidRDefault="003A7A2E" w:rsidP="003A7A2E">
      <w:pPr>
        <w:spacing w:after="240"/>
        <w:ind w:left="851"/>
        <w:jc w:val="both"/>
        <w:rPr>
          <w:rFonts w:ascii="Museo Sans 100" w:hAnsi="Museo Sans 100"/>
          <w:sz w:val="18"/>
          <w:szCs w:val="18"/>
          <w:lang w:eastAsia="zh-CN"/>
        </w:rPr>
      </w:pPr>
      <w:r w:rsidRPr="003A7A2E">
        <w:rPr>
          <w:rFonts w:ascii="Museo Sans 100" w:hAnsi="Museo Sans 100"/>
          <w:sz w:val="18"/>
          <w:szCs w:val="18"/>
          <w:lang w:eastAsia="zh-CN"/>
        </w:rPr>
        <w:t xml:space="preserve">We are concerned that the ESAs have adopted a position that requires firms to disclose against all indicators.  We do not agree that this is required by the Level 1 text and is contrary to our reading.  We read Article 4(1) as asking whether a firm assesses the most important negative consequences of </w:t>
      </w:r>
      <w:r w:rsidRPr="003A7A2E">
        <w:rPr>
          <w:rFonts w:ascii="Museo Sans 100" w:hAnsi="Museo Sans 100"/>
          <w:i/>
          <w:iCs/>
          <w:sz w:val="18"/>
          <w:szCs w:val="18"/>
          <w:lang w:eastAsia="zh-CN"/>
        </w:rPr>
        <w:t>its</w:t>
      </w:r>
      <w:r w:rsidRPr="003A7A2E">
        <w:rPr>
          <w:rFonts w:ascii="Museo Sans 100" w:hAnsi="Museo Sans 100"/>
          <w:sz w:val="18"/>
          <w:szCs w:val="18"/>
          <w:lang w:eastAsia="zh-CN"/>
        </w:rPr>
        <w:t xml:space="preserve"> investment decisions.  This is implied by the words “those impacts” which suggests that the impacts are specific to the firm in question.  Likewise, the ESAs’ interpretation seems to imply that if a firm does not consider all 32+ indicators then it isn’t ‘considering’ adverse impacts at all – even if it considers 31 of them and it must therefore ‘explain’ rather than ‘comply’.  This is not consistent with a plain language reading of the text which we understood to require firms to explain what they do consider, even if there is room for improvement in their process.</w:t>
      </w:r>
    </w:p>
    <w:p w:rsidR="003E573C" w:rsidRDefault="003A7A2E" w:rsidP="003E573C">
      <w:pPr>
        <w:rPr>
          <w:rFonts w:cs="Arial"/>
        </w:rPr>
      </w:pPr>
      <w:r w:rsidRPr="003A7A2E">
        <w:rPr>
          <w:rFonts w:ascii="Museo Sans 100" w:hAnsi="Museo Sans 100"/>
          <w:sz w:val="18"/>
          <w:szCs w:val="18"/>
          <w:lang w:eastAsia="zh-CN"/>
        </w:rPr>
        <w:t>Our suggestion is the ESAs should continue to stipulate specific indicators that can be used where the adverse impact is relevant, but that all indicators are opt-in.  Firms would identify those that are considered to be representative of the principal adverse impacts of their investment decisions but would not need to disclose against less relevant indicators.  This will still enable investors to be able to compare like indicators</w:t>
      </w:r>
      <w:r w:rsidR="001C682A" w:rsidRPr="001C682A">
        <w:t xml:space="preserve"> </w:t>
      </w:r>
      <w:r w:rsidR="001C682A" w:rsidRPr="001C682A">
        <w:rPr>
          <w:rFonts w:ascii="Museo Sans 100" w:hAnsi="Museo Sans 100"/>
          <w:sz w:val="18"/>
          <w:szCs w:val="18"/>
          <w:lang w:eastAsia="zh-CN"/>
        </w:rPr>
        <w:t>and would arguably not dilute the relevant factors through over disclosure</w:t>
      </w:r>
      <w:r w:rsidRPr="003A7A2E">
        <w:rPr>
          <w:rFonts w:ascii="Museo Sans 100" w:hAnsi="Museo Sans 100"/>
          <w:sz w:val="18"/>
          <w:szCs w:val="18"/>
          <w:lang w:eastAsia="zh-CN"/>
        </w:rPr>
        <w:t>.</w:t>
      </w:r>
      <w:permEnd w:id="2087219217"/>
      <w:r w:rsidR="003E573C">
        <w:rPr>
          <w:rFonts w:cs="Arial"/>
        </w:rPr>
        <w:t>&lt;ESA_QUESTION_</w:t>
      </w:r>
      <w:r w:rsidR="00C86E1C">
        <w:rPr>
          <w:rFonts w:cs="Arial"/>
        </w:rPr>
        <w:t>ESG</w:t>
      </w:r>
      <w:r w:rsidR="003E573C">
        <w:rPr>
          <w:rFonts w:cs="Arial"/>
        </w:rPr>
        <w:t>_1&gt;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rsidR="003E573C" w:rsidRDefault="003E573C" w:rsidP="003E573C">
      <w:pPr>
        <w:rPr>
          <w:rFonts w:cs="Arial"/>
        </w:rPr>
      </w:pPr>
      <w:r>
        <w:rPr>
          <w:rFonts w:cs="Arial"/>
        </w:rPr>
        <w:t>&lt;ESA_QUESTION_</w:t>
      </w:r>
      <w:r w:rsidR="00C86E1C">
        <w:rPr>
          <w:rFonts w:cs="Arial"/>
        </w:rPr>
        <w:t>ESG</w:t>
      </w:r>
      <w:r>
        <w:rPr>
          <w:rFonts w:cs="Arial"/>
        </w:rPr>
        <w:t>_2&gt;</w:t>
      </w:r>
    </w:p>
    <w:p w:rsidR="006B36FB" w:rsidRDefault="006B36FB" w:rsidP="006B36FB">
      <w:pPr>
        <w:pStyle w:val="Body2"/>
        <w:rPr>
          <w:rFonts w:ascii="Museo Sans 100" w:hAnsi="Museo Sans 100"/>
        </w:rPr>
      </w:pPr>
      <w:permStart w:id="439641708" w:edGrp="everyone"/>
      <w:r>
        <w:rPr>
          <w:rFonts w:ascii="Museo Sans 100" w:hAnsi="Museo Sans 100"/>
        </w:rPr>
        <w:t xml:space="preserve">The ESAs are undoubtedly aware but, for the purposes of clarity, we note that Article 4(1) incorporates a requirement to take account of </w:t>
      </w:r>
      <w:r w:rsidRPr="00625FB4">
        <w:rPr>
          <w:rFonts w:ascii="Museo Sans 100" w:hAnsi="Museo Sans 100"/>
        </w:rPr>
        <w:t>size, nature, and scale of financial market participants activities and the type of products they make available</w:t>
      </w:r>
      <w:r>
        <w:rPr>
          <w:rFonts w:ascii="Museo Sans 100" w:hAnsi="Museo Sans 100"/>
        </w:rPr>
        <w:t>.  This concession does not apply to larger FMPs under Article 4(3) and Article 4(4).</w:t>
      </w:r>
    </w:p>
    <w:p w:rsidR="003E573C" w:rsidRDefault="006B36FB" w:rsidP="003E573C">
      <w:pPr>
        <w:rPr>
          <w:rFonts w:cs="Arial"/>
        </w:rPr>
      </w:pPr>
      <w:r w:rsidRPr="00660004">
        <w:rPr>
          <w:rFonts w:ascii="Museo Sans 100" w:hAnsi="Museo Sans 100"/>
          <w:sz w:val="18"/>
          <w:szCs w:val="18"/>
        </w:rPr>
        <w:t xml:space="preserve">The ESAs seem to rely on the so-called comply or explain mechanism to alleviate the obligations on smaller FMPs.  However, we read Article 4(1) as requiring firms that consider principal adverse impacts to disclose what they consider and that </w:t>
      </w:r>
      <w:proofErr w:type="spellStart"/>
      <w:r w:rsidRPr="00660004">
        <w:rPr>
          <w:rFonts w:ascii="Museo Sans 100" w:hAnsi="Museo Sans 100"/>
          <w:sz w:val="18"/>
          <w:szCs w:val="18"/>
        </w:rPr>
        <w:t>such</w:t>
      </w:r>
      <w:proofErr w:type="spellEnd"/>
      <w:r w:rsidRPr="00660004">
        <w:rPr>
          <w:rFonts w:ascii="Museo Sans 100" w:hAnsi="Museo Sans 100"/>
          <w:sz w:val="18"/>
          <w:szCs w:val="18"/>
        </w:rPr>
        <w:t xml:space="preserve"> disclosure is subject to a proportionality requirement.  To us it follows that these smaller FMPs should enjoy concessions vis-à-vis larger firms</w:t>
      </w:r>
      <w:r>
        <w:rPr>
          <w:rFonts w:ascii="Museo Sans 100" w:hAnsi="Museo Sans 100"/>
        </w:rPr>
        <w:t>.</w:t>
      </w:r>
      <w:permEnd w:id="439641708"/>
      <w:r w:rsidR="003E573C">
        <w:rPr>
          <w:rFonts w:cs="Arial"/>
        </w:rPr>
        <w:t>&lt;ESA_QUESTION_</w:t>
      </w:r>
      <w:r w:rsidR="00C86E1C">
        <w:rPr>
          <w:rFonts w:cs="Arial"/>
        </w:rPr>
        <w:t>ESG</w:t>
      </w:r>
      <w:r w:rsidR="003E573C">
        <w:rPr>
          <w:rFonts w:cs="Arial"/>
        </w:rPr>
        <w:t>_2&gt;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_3&gt;</w:t>
      </w:r>
    </w:p>
    <w:p w:rsidR="003E573C" w:rsidRDefault="006B36FB" w:rsidP="003E573C">
      <w:pPr>
        <w:rPr>
          <w:rFonts w:cs="Arial"/>
        </w:rPr>
      </w:pPr>
      <w:permStart w:id="1289841195" w:edGrp="everyone"/>
      <w:r>
        <w:rPr>
          <w:rFonts w:ascii="Museo Sans 100" w:hAnsi="Museo Sans 100"/>
        </w:rPr>
        <w:t xml:space="preserve">As stated above, we suggest that the key indicators can be made available, and would be comparable, without </w:t>
      </w:r>
      <w:r w:rsidRPr="005D0F49">
        <w:rPr>
          <w:rFonts w:ascii="Museo Sans 100" w:hAnsi="Museo Sans 100"/>
        </w:rPr>
        <w:t xml:space="preserve">them </w:t>
      </w:r>
      <w:r>
        <w:rPr>
          <w:rFonts w:ascii="Museo Sans 100" w:hAnsi="Museo Sans 100"/>
        </w:rPr>
        <w:t>being made mandatory in all cases</w:t>
      </w:r>
      <w:r w:rsidRPr="005D0F49">
        <w:rPr>
          <w:rFonts w:ascii="Museo Sans 100" w:hAnsi="Museo Sans 100"/>
        </w:rPr>
        <w:t>.</w:t>
      </w:r>
      <w:permEnd w:id="1289841195"/>
      <w:r w:rsidR="003E573C">
        <w:rPr>
          <w:rFonts w:cs="Arial"/>
        </w:rPr>
        <w:t>&lt;ESA_QUESTION_</w:t>
      </w:r>
      <w:r w:rsidR="00C86E1C">
        <w:rPr>
          <w:rFonts w:cs="Arial"/>
        </w:rPr>
        <w:t>ESG</w:t>
      </w:r>
      <w:r w:rsidR="003E573C">
        <w:rPr>
          <w:rFonts w:cs="Arial"/>
        </w:rPr>
        <w:t>_3&gt;</w:t>
      </w:r>
    </w:p>
    <w:p w:rsidR="003E573C" w:rsidRDefault="003E573C" w:rsidP="003E573C">
      <w:pPr>
        <w:rPr>
          <w:rFonts w:cs="Arial"/>
        </w:rPr>
      </w:pPr>
    </w:p>
    <w:p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rsidR="003E573C" w:rsidRDefault="003E573C" w:rsidP="003E573C">
      <w:pPr>
        <w:rPr>
          <w:rFonts w:cs="Arial"/>
        </w:rPr>
      </w:pPr>
      <w:r>
        <w:rPr>
          <w:rFonts w:cs="Arial"/>
        </w:rPr>
        <w:t>&lt;ESA_QUESTION_</w:t>
      </w:r>
      <w:r w:rsidR="00C86E1C">
        <w:rPr>
          <w:rFonts w:cs="Arial"/>
        </w:rPr>
        <w:t>ESG</w:t>
      </w:r>
      <w:r>
        <w:rPr>
          <w:rFonts w:cs="Arial"/>
        </w:rPr>
        <w:t>_4&gt;</w:t>
      </w:r>
    </w:p>
    <w:p w:rsidR="003E573C" w:rsidRDefault="006B36FB" w:rsidP="003E573C">
      <w:pPr>
        <w:rPr>
          <w:rFonts w:cs="Arial"/>
        </w:rPr>
      </w:pPr>
      <w:permStart w:id="1697256201" w:edGrp="everyone"/>
      <w:r>
        <w:rPr>
          <w:rFonts w:ascii="Museo Sans 100" w:hAnsi="Museo Sans 100"/>
        </w:rPr>
        <w:t>We would refer to our earlier comments.</w:t>
      </w:r>
      <w:permEnd w:id="1697256201"/>
      <w:r w:rsidR="003E573C">
        <w:rPr>
          <w:rFonts w:cs="Arial"/>
        </w:rPr>
        <w:t>&lt;ESA_QUESTION_</w:t>
      </w:r>
      <w:r w:rsidR="00C86E1C">
        <w:rPr>
          <w:rFonts w:cs="Arial"/>
        </w:rPr>
        <w:t>ESG</w:t>
      </w:r>
      <w:r w:rsidR="003E573C">
        <w:rPr>
          <w:rFonts w:cs="Arial"/>
        </w:rPr>
        <w:t>_4&gt;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rsidR="003E573C" w:rsidRDefault="003E573C" w:rsidP="003E573C">
      <w:pPr>
        <w:rPr>
          <w:rFonts w:cs="Arial"/>
        </w:rPr>
      </w:pPr>
      <w:r>
        <w:rPr>
          <w:rFonts w:cs="Arial"/>
        </w:rPr>
        <w:t>&lt;ESA_QUESTION_</w:t>
      </w:r>
      <w:r w:rsidR="00C86E1C">
        <w:rPr>
          <w:rFonts w:cs="Arial"/>
        </w:rPr>
        <w:t>ESG</w:t>
      </w:r>
      <w:r>
        <w:rPr>
          <w:rFonts w:cs="Arial"/>
        </w:rPr>
        <w:t>_5&gt;</w:t>
      </w:r>
    </w:p>
    <w:p w:rsidR="003E573C" w:rsidRDefault="006B36FB" w:rsidP="003E573C">
      <w:pPr>
        <w:rPr>
          <w:rFonts w:cs="Arial"/>
        </w:rPr>
      </w:pPr>
      <w:permStart w:id="67714812" w:edGrp="everyone"/>
      <w:r>
        <w:rPr>
          <w:rFonts w:ascii="Museo Sans 100" w:hAnsi="Museo Sans 100"/>
        </w:rPr>
        <w:t>Others are better placed to comment on the substance of the indicators.  We refer to our earlier comments that firms should be able to opt-in/out of indicators.  This therefore paves the way for more indicators to be created as firms identify the impacts they consider to be the principal</w:t>
      </w:r>
      <w:r w:rsidR="001C682A">
        <w:rPr>
          <w:rFonts w:ascii="Museo Sans 100" w:hAnsi="Museo Sans 100"/>
        </w:rPr>
        <w:t xml:space="preserve"> </w:t>
      </w:r>
      <w:r>
        <w:rPr>
          <w:rFonts w:ascii="Museo Sans 100" w:hAnsi="Museo Sans 100"/>
        </w:rPr>
        <w:t>adverse ones.</w:t>
      </w:r>
      <w:permEnd w:id="67714812"/>
      <w:r w:rsidR="003E573C">
        <w:rPr>
          <w:rFonts w:cs="Arial"/>
        </w:rPr>
        <w:t>&lt;ESA_QUESTION_</w:t>
      </w:r>
      <w:r w:rsidR="00C86E1C">
        <w:rPr>
          <w:rFonts w:cs="Arial"/>
        </w:rPr>
        <w:t>ESG</w:t>
      </w:r>
      <w:r w:rsidR="003E573C">
        <w:rPr>
          <w:rFonts w:cs="Arial"/>
        </w:rPr>
        <w:t>_5&gt;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rsidR="003E573C" w:rsidRDefault="003E573C" w:rsidP="003E573C">
      <w:pPr>
        <w:rPr>
          <w:rFonts w:cs="Arial"/>
        </w:rPr>
      </w:pPr>
      <w:r>
        <w:rPr>
          <w:rFonts w:cs="Arial"/>
        </w:rPr>
        <w:t>&lt;ESA_QUESTION_</w:t>
      </w:r>
      <w:r w:rsidR="00C86E1C">
        <w:rPr>
          <w:rFonts w:cs="Arial"/>
        </w:rPr>
        <w:t>ESG</w:t>
      </w:r>
      <w:r>
        <w:rPr>
          <w:rFonts w:cs="Arial"/>
        </w:rPr>
        <w:t>_6&gt;</w:t>
      </w:r>
    </w:p>
    <w:p w:rsidR="003E573C" w:rsidRDefault="006B36FB" w:rsidP="003E573C">
      <w:pPr>
        <w:rPr>
          <w:rFonts w:cs="Arial"/>
        </w:rPr>
      </w:pPr>
      <w:permStart w:id="791836477" w:edGrp="everyone"/>
      <w:r>
        <w:rPr>
          <w:rFonts w:ascii="Museo Sans 100" w:hAnsi="Museo Sans 100"/>
        </w:rPr>
        <w:t>We empathise with the desire to increase disclosure in this area.  However, we do not consider this to be within the scope of principal adverse impacts.  This is an example of an indicator whose underlying impact is not obviously inherently ‘adverse’.</w:t>
      </w:r>
      <w:permEnd w:id="791836477"/>
      <w:r w:rsidR="003E573C">
        <w:rPr>
          <w:rFonts w:cs="Arial"/>
        </w:rPr>
        <w:t>&lt;ESA_QUESTION_</w:t>
      </w:r>
      <w:r w:rsidR="00C86E1C">
        <w:rPr>
          <w:rFonts w:cs="Arial"/>
        </w:rPr>
        <w:t>ESG</w:t>
      </w:r>
      <w:r w:rsidR="003E573C">
        <w:rPr>
          <w:rFonts w:cs="Arial"/>
        </w:rPr>
        <w:t>_6&gt;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rsidR="003E573C" w:rsidRDefault="003E573C" w:rsidP="003E573C">
      <w:pPr>
        <w:rPr>
          <w:rFonts w:cs="Arial"/>
        </w:rPr>
      </w:pPr>
      <w:r>
        <w:rPr>
          <w:rFonts w:cs="Arial"/>
        </w:rPr>
        <w:t>&lt;ESA_QUESTION_</w:t>
      </w:r>
      <w:r w:rsidR="00C86E1C">
        <w:rPr>
          <w:rFonts w:cs="Arial"/>
        </w:rPr>
        <w:t>ESG</w:t>
      </w:r>
      <w:r>
        <w:rPr>
          <w:rFonts w:cs="Arial"/>
        </w:rPr>
        <w:t>_7&gt;</w:t>
      </w:r>
    </w:p>
    <w:p w:rsidR="003E573C" w:rsidRDefault="006B36FB" w:rsidP="003E573C">
      <w:pPr>
        <w:rPr>
          <w:rFonts w:cs="Arial"/>
        </w:rPr>
      </w:pPr>
      <w:permStart w:id="1004093558" w:edGrp="everyone"/>
      <w:r>
        <w:rPr>
          <w:rFonts w:ascii="Museo Sans 100" w:hAnsi="Museo Sans 100"/>
        </w:rPr>
        <w:t>Echoing our introductory point around investor comprehension, there may be a concern that the disclosure proposed is based on data removed from its context.  Impact products and high-engagement strategies may suffer under this approach.</w:t>
      </w:r>
      <w:permEnd w:id="1004093558"/>
      <w:r w:rsidR="003E573C">
        <w:rPr>
          <w:rFonts w:cs="Arial"/>
        </w:rPr>
        <w:t>&lt;ESA_QUESTION_</w:t>
      </w:r>
      <w:r w:rsidR="00C86E1C">
        <w:rPr>
          <w:rFonts w:cs="Arial"/>
        </w:rPr>
        <w:t>ESG</w:t>
      </w:r>
      <w:r w:rsidR="003E573C">
        <w:rPr>
          <w:rFonts w:cs="Arial"/>
        </w:rPr>
        <w:t>_7&gt;</w:t>
      </w:r>
    </w:p>
    <w:p w:rsidR="003E573C" w:rsidRDefault="003E573C" w:rsidP="003E573C">
      <w:pPr>
        <w:rPr>
          <w:rFonts w:cs="Arial"/>
        </w:rPr>
      </w:pPr>
    </w:p>
    <w:p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rsidR="002A73F1" w:rsidRPr="002A73F1" w:rsidRDefault="002A73F1" w:rsidP="002A73F1">
      <w:pPr>
        <w:pStyle w:val="ListParagraph"/>
        <w:rPr>
          <w:rFonts w:asciiTheme="minorHAnsi" w:eastAsiaTheme="minorEastAsia" w:hAnsiTheme="minorHAnsi" w:cstheme="minorBidi"/>
          <w:b/>
          <w:sz w:val="22"/>
          <w:szCs w:val="20"/>
          <w:lang w:eastAsia="en-US"/>
        </w:rPr>
      </w:pPr>
    </w:p>
    <w:p w:rsidR="003E573C" w:rsidRDefault="003E573C" w:rsidP="003E573C">
      <w:pPr>
        <w:rPr>
          <w:rFonts w:cs="Arial"/>
        </w:rPr>
      </w:pPr>
      <w:r>
        <w:rPr>
          <w:rFonts w:cs="Arial"/>
        </w:rPr>
        <w:t>&lt;ESA_QUESTION_</w:t>
      </w:r>
      <w:r w:rsidR="00C86E1C">
        <w:rPr>
          <w:rFonts w:cs="Arial"/>
        </w:rPr>
        <w:t>ESG</w:t>
      </w:r>
      <w:r>
        <w:rPr>
          <w:rFonts w:cs="Arial"/>
        </w:rPr>
        <w:t>_8&gt;</w:t>
      </w:r>
    </w:p>
    <w:p w:rsidR="003E573C" w:rsidRDefault="006B36FB" w:rsidP="003E573C">
      <w:pPr>
        <w:rPr>
          <w:rFonts w:cs="Arial"/>
        </w:rPr>
      </w:pPr>
      <w:permStart w:id="1276065406" w:edGrp="everyone"/>
      <w:r>
        <w:rPr>
          <w:rFonts w:ascii="Museo Sans 100" w:hAnsi="Museo Sans 100"/>
        </w:rPr>
        <w:t>We are not well placed to comment on the specifics but would note that the disclosure needs to be proportionate, capable of being complied with (e.g. data availability) and comprehensible to investors.</w:t>
      </w:r>
      <w:permEnd w:id="1276065406"/>
      <w:r w:rsidR="003E573C">
        <w:rPr>
          <w:rFonts w:cs="Arial"/>
        </w:rPr>
        <w:t>&lt;ESA_QUESTION_</w:t>
      </w:r>
      <w:r w:rsidR="00C86E1C">
        <w:rPr>
          <w:rFonts w:cs="Arial"/>
        </w:rPr>
        <w:t>ESG</w:t>
      </w:r>
      <w:r w:rsidR="003E573C">
        <w:rPr>
          <w:rFonts w:cs="Arial"/>
        </w:rPr>
        <w:t>_8&gt;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rsidR="003E573C" w:rsidRDefault="003E573C" w:rsidP="003E573C">
      <w:pPr>
        <w:rPr>
          <w:rFonts w:cs="Arial"/>
        </w:rPr>
      </w:pPr>
      <w:r>
        <w:rPr>
          <w:rFonts w:cs="Arial"/>
        </w:rPr>
        <w:t>&lt;ESA_QUESTION_</w:t>
      </w:r>
      <w:r w:rsidR="00C86E1C">
        <w:rPr>
          <w:rFonts w:cs="Arial"/>
        </w:rPr>
        <w:t>ESG</w:t>
      </w:r>
      <w:r>
        <w:rPr>
          <w:rFonts w:cs="Arial"/>
        </w:rPr>
        <w:t>_9&gt;</w:t>
      </w:r>
    </w:p>
    <w:p w:rsidR="003E573C" w:rsidRDefault="006B36FB" w:rsidP="003E573C">
      <w:pPr>
        <w:rPr>
          <w:rFonts w:cs="Arial"/>
        </w:rPr>
      </w:pPr>
      <w:permStart w:id="6364921" w:edGrp="everyone"/>
      <w:r>
        <w:rPr>
          <w:rFonts w:ascii="Museo Sans 100" w:hAnsi="Museo Sans 100"/>
        </w:rPr>
        <w:t>As above, w</w:t>
      </w:r>
      <w:r w:rsidRPr="00B91389">
        <w:rPr>
          <w:rFonts w:ascii="Museo Sans 100" w:hAnsi="Museo Sans 100"/>
        </w:rPr>
        <w:t>e are not well placed to comment on the specifics but would note that the disclosure needs to be proportionate, capable of being complied with (e.g. data availability) and comprehensible to investors.</w:t>
      </w:r>
      <w:permEnd w:id="6364921"/>
      <w:r w:rsidR="003E573C">
        <w:rPr>
          <w:rFonts w:cs="Arial"/>
        </w:rPr>
        <w:t>&lt;ESA_QUESTION_</w:t>
      </w:r>
      <w:r w:rsidR="00C86E1C">
        <w:rPr>
          <w:rFonts w:cs="Arial"/>
        </w:rPr>
        <w:t>ESG</w:t>
      </w:r>
      <w:r w:rsidR="003E573C">
        <w:rPr>
          <w:rFonts w:cs="Arial"/>
        </w:rPr>
        <w:t>_9&gt;</w:t>
      </w:r>
    </w:p>
    <w:p w:rsidR="003E573C" w:rsidRDefault="003E573C" w:rsidP="003E573C">
      <w:pPr>
        <w:rPr>
          <w:rFonts w:cs="Arial"/>
        </w:rPr>
      </w:pPr>
    </w:p>
    <w:p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rsidR="003E573C" w:rsidRDefault="003E573C" w:rsidP="003E573C">
      <w:pPr>
        <w:rPr>
          <w:rFonts w:cs="Arial"/>
        </w:rPr>
      </w:pPr>
      <w:r>
        <w:rPr>
          <w:rFonts w:cs="Arial"/>
        </w:rPr>
        <w:t>&lt;ESA_QUESTION_</w:t>
      </w:r>
      <w:r w:rsidR="00C86E1C">
        <w:rPr>
          <w:rFonts w:cs="Arial"/>
        </w:rPr>
        <w:t>ESG</w:t>
      </w:r>
      <w:r>
        <w:rPr>
          <w:rFonts w:cs="Arial"/>
        </w:rPr>
        <w:t>_10&gt;</w:t>
      </w:r>
    </w:p>
    <w:p w:rsidR="00660004" w:rsidRPr="00660004" w:rsidRDefault="00660004" w:rsidP="00660004">
      <w:pPr>
        <w:spacing w:after="240"/>
        <w:ind w:left="851"/>
        <w:jc w:val="both"/>
        <w:rPr>
          <w:rFonts w:ascii="Museo Sans 100" w:hAnsi="Museo Sans 100"/>
          <w:sz w:val="18"/>
          <w:szCs w:val="18"/>
          <w:lang w:eastAsia="zh-CN"/>
        </w:rPr>
      </w:pPr>
      <w:permStart w:id="1924740655" w:edGrp="everyone"/>
      <w:r w:rsidRPr="00660004">
        <w:rPr>
          <w:rFonts w:ascii="Museo Sans 100" w:hAnsi="Museo Sans 100"/>
          <w:sz w:val="18"/>
          <w:szCs w:val="18"/>
          <w:lang w:eastAsia="zh-CN"/>
        </w:rPr>
        <w:t xml:space="preserve">We find it difficult to agree with a historical comparison measurement introduced at Level 2 without any supporting reference in Level 1. </w:t>
      </w:r>
    </w:p>
    <w:p w:rsidR="00660004" w:rsidRPr="00660004" w:rsidRDefault="00660004" w:rsidP="00660004">
      <w:pPr>
        <w:spacing w:after="240"/>
        <w:ind w:left="851"/>
        <w:jc w:val="both"/>
        <w:rPr>
          <w:rFonts w:ascii="Museo Sans 100" w:hAnsi="Museo Sans 100"/>
          <w:sz w:val="18"/>
          <w:szCs w:val="18"/>
          <w:lang w:eastAsia="zh-CN"/>
        </w:rPr>
      </w:pPr>
      <w:r w:rsidRPr="00660004">
        <w:rPr>
          <w:rFonts w:ascii="Museo Sans 100" w:hAnsi="Museo Sans 100"/>
          <w:sz w:val="18"/>
          <w:szCs w:val="18"/>
          <w:lang w:eastAsia="zh-CN"/>
        </w:rPr>
        <w:t>We are unclear as to what the purpose of the historical comparison is.  We assume that this is intended to indicate whether or not the FMP is making improvements over time.  However, there are many factors that would invalidate that measurement</w:t>
      </w:r>
      <w:r w:rsidR="001C682A" w:rsidRPr="001C682A">
        <w:t xml:space="preserve"> </w:t>
      </w:r>
      <w:r w:rsidR="001C682A" w:rsidRPr="001C682A">
        <w:rPr>
          <w:rFonts w:ascii="Museo Sans 100" w:hAnsi="Museo Sans 100"/>
          <w:sz w:val="18"/>
          <w:szCs w:val="18"/>
          <w:lang w:eastAsia="zh-CN"/>
        </w:rPr>
        <w:t>and make it hard to be a ‘like for like’ comparison</w:t>
      </w:r>
      <w:r w:rsidRPr="00660004">
        <w:rPr>
          <w:rFonts w:ascii="Museo Sans 100" w:hAnsi="Museo Sans 100"/>
          <w:sz w:val="18"/>
          <w:szCs w:val="18"/>
          <w:lang w:eastAsia="zh-CN"/>
        </w:rPr>
        <w:t>.  For example:</w:t>
      </w:r>
    </w:p>
    <w:p w:rsidR="00660004" w:rsidRPr="00660004" w:rsidRDefault="00660004" w:rsidP="00C10069">
      <w:pPr>
        <w:numPr>
          <w:ilvl w:val="0"/>
          <w:numId w:val="44"/>
        </w:numPr>
        <w:spacing w:after="240"/>
        <w:ind w:left="1276" w:hanging="425"/>
        <w:jc w:val="both"/>
        <w:rPr>
          <w:rFonts w:ascii="Museo Sans 100" w:hAnsi="Museo Sans 100"/>
          <w:sz w:val="18"/>
          <w:szCs w:val="18"/>
          <w:lang w:eastAsia="zh-CN"/>
        </w:rPr>
      </w:pPr>
      <w:r w:rsidRPr="00660004">
        <w:rPr>
          <w:rFonts w:ascii="Museo Sans 100" w:hAnsi="Museo Sans 100"/>
          <w:sz w:val="18"/>
          <w:szCs w:val="18"/>
          <w:lang w:eastAsia="zh-CN"/>
        </w:rPr>
        <w:t>Changes to underlying data provision or accuracy</w:t>
      </w:r>
    </w:p>
    <w:p w:rsidR="00660004" w:rsidRPr="00660004" w:rsidRDefault="00660004" w:rsidP="00C10069">
      <w:pPr>
        <w:numPr>
          <w:ilvl w:val="0"/>
          <w:numId w:val="44"/>
        </w:numPr>
        <w:spacing w:after="240"/>
        <w:ind w:left="1276" w:hanging="425"/>
        <w:jc w:val="both"/>
        <w:rPr>
          <w:rFonts w:ascii="Museo Sans 100" w:hAnsi="Museo Sans 100"/>
          <w:sz w:val="18"/>
          <w:szCs w:val="18"/>
          <w:lang w:eastAsia="zh-CN"/>
        </w:rPr>
      </w:pPr>
      <w:r w:rsidRPr="00660004">
        <w:rPr>
          <w:rFonts w:ascii="Museo Sans 100" w:hAnsi="Museo Sans 100"/>
          <w:sz w:val="18"/>
          <w:szCs w:val="18"/>
          <w:lang w:eastAsia="zh-CN"/>
        </w:rPr>
        <w:t>Changes to the way that the underlying company is managed (irrespective of the FMPs investment decisions)</w:t>
      </w:r>
    </w:p>
    <w:p w:rsidR="00660004" w:rsidRPr="00660004" w:rsidRDefault="00660004" w:rsidP="00C10069">
      <w:pPr>
        <w:numPr>
          <w:ilvl w:val="0"/>
          <w:numId w:val="44"/>
        </w:numPr>
        <w:spacing w:after="240"/>
        <w:ind w:left="1276" w:hanging="425"/>
        <w:jc w:val="both"/>
        <w:rPr>
          <w:rFonts w:ascii="Museo Sans 100" w:hAnsi="Museo Sans 100"/>
          <w:sz w:val="18"/>
          <w:szCs w:val="18"/>
          <w:lang w:eastAsia="zh-CN"/>
        </w:rPr>
      </w:pPr>
      <w:r w:rsidRPr="00660004">
        <w:rPr>
          <w:rFonts w:ascii="Museo Sans 100" w:hAnsi="Museo Sans 100"/>
          <w:sz w:val="18"/>
          <w:szCs w:val="18"/>
          <w:lang w:eastAsia="zh-CN"/>
        </w:rPr>
        <w:t>Acquisition of new business - which may involve becoming responsible for an existing portfolio.  If a lot of new  business is won in a year a firm could be seen to be going backwards without having taken any explicit management decisions.</w:t>
      </w:r>
    </w:p>
    <w:p w:rsidR="003E573C" w:rsidRDefault="00660004" w:rsidP="003E573C">
      <w:pPr>
        <w:rPr>
          <w:rFonts w:cs="Arial"/>
        </w:rPr>
      </w:pPr>
      <w:r w:rsidRPr="00660004">
        <w:rPr>
          <w:rFonts w:ascii="Museo Sans 100" w:hAnsi="Museo Sans 100"/>
          <w:sz w:val="18"/>
          <w:szCs w:val="18"/>
          <w:lang w:eastAsia="zh-CN"/>
        </w:rPr>
        <w:t>Additionally we note that firms are constrained by their mandates.  If a client is seeking income, that is much less achievable from a sustainable portfolio than a growth objective.  If client priorities change, that will be reflected in the FMP’s A</w:t>
      </w:r>
      <w:r w:rsidR="001C682A">
        <w:rPr>
          <w:rFonts w:ascii="Museo Sans 100" w:hAnsi="Museo Sans 100"/>
          <w:sz w:val="18"/>
          <w:szCs w:val="18"/>
          <w:lang w:eastAsia="zh-CN"/>
        </w:rPr>
        <w:t>U</w:t>
      </w:r>
      <w:r w:rsidRPr="00660004">
        <w:rPr>
          <w:rFonts w:ascii="Museo Sans 100" w:hAnsi="Museo Sans 100"/>
          <w:sz w:val="18"/>
          <w:szCs w:val="18"/>
          <w:lang w:eastAsia="zh-CN"/>
        </w:rPr>
        <w:t>M.</w:t>
      </w:r>
      <w:permEnd w:id="1924740655"/>
      <w:r w:rsidR="003E573C">
        <w:rPr>
          <w:rFonts w:cs="Arial"/>
        </w:rPr>
        <w:t>&lt;ESA_QUESTION_</w:t>
      </w:r>
      <w:r w:rsidR="00C86E1C">
        <w:rPr>
          <w:rFonts w:cs="Arial"/>
        </w:rPr>
        <w:t>ESG</w:t>
      </w:r>
      <w:r w:rsidR="003E573C">
        <w:rPr>
          <w:rFonts w:cs="Arial"/>
        </w:rPr>
        <w:t>_10&gt;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rsidR="003E573C" w:rsidRDefault="003E573C" w:rsidP="003E573C">
      <w:pPr>
        <w:rPr>
          <w:rFonts w:cs="Arial"/>
        </w:rPr>
      </w:pPr>
      <w:r>
        <w:rPr>
          <w:rFonts w:cs="Arial"/>
        </w:rPr>
        <w:t>&lt;ESA_QUESTION_</w:t>
      </w:r>
      <w:r w:rsidR="00C86E1C">
        <w:rPr>
          <w:rFonts w:cs="Arial"/>
        </w:rPr>
        <w:t>ESG</w:t>
      </w:r>
      <w:r>
        <w:rPr>
          <w:rFonts w:cs="Arial"/>
        </w:rPr>
        <w:t>_11&gt;</w:t>
      </w:r>
    </w:p>
    <w:p w:rsidR="00660004" w:rsidRPr="00660004" w:rsidRDefault="00660004" w:rsidP="00660004">
      <w:pPr>
        <w:spacing w:after="240"/>
        <w:ind w:left="851"/>
        <w:jc w:val="both"/>
        <w:rPr>
          <w:rFonts w:ascii="Museo Sans 100" w:hAnsi="Museo Sans 100"/>
          <w:bCs/>
          <w:sz w:val="18"/>
          <w:szCs w:val="18"/>
          <w:lang w:eastAsia="zh-CN"/>
        </w:rPr>
      </w:pPr>
      <w:permStart w:id="411596568" w:edGrp="everyone"/>
      <w:r w:rsidRPr="00660004">
        <w:rPr>
          <w:rFonts w:ascii="Museo Sans 100" w:hAnsi="Museo Sans 100"/>
          <w:bCs/>
          <w:sz w:val="18"/>
          <w:szCs w:val="18"/>
          <w:lang w:eastAsia="zh-CN"/>
        </w:rPr>
        <w:t>We have no comments as regarding potential “window dressing” techniques.</w:t>
      </w:r>
    </w:p>
    <w:p w:rsidR="00660004" w:rsidRPr="00660004" w:rsidRDefault="00660004" w:rsidP="00660004">
      <w:pPr>
        <w:spacing w:after="240"/>
        <w:ind w:left="851"/>
        <w:jc w:val="both"/>
        <w:rPr>
          <w:rFonts w:ascii="Museo Sans 100" w:hAnsi="Museo Sans 100"/>
          <w:bCs/>
          <w:sz w:val="18"/>
          <w:szCs w:val="18"/>
          <w:lang w:eastAsia="zh-CN"/>
        </w:rPr>
      </w:pPr>
      <w:r w:rsidRPr="00660004">
        <w:rPr>
          <w:rFonts w:ascii="Museo Sans 100" w:hAnsi="Museo Sans 100"/>
          <w:bCs/>
          <w:sz w:val="18"/>
          <w:szCs w:val="18"/>
          <w:lang w:eastAsia="zh-CN"/>
        </w:rPr>
        <w:t>We suspect firms will prefer a consistent methodology and reporting period but we would defer to them.</w:t>
      </w:r>
    </w:p>
    <w:p w:rsidR="003E573C" w:rsidRDefault="00660004" w:rsidP="003E573C">
      <w:pPr>
        <w:rPr>
          <w:rFonts w:cs="Arial"/>
        </w:rPr>
      </w:pPr>
      <w:r w:rsidRPr="00660004">
        <w:rPr>
          <w:rFonts w:ascii="Museo Sans 100" w:hAnsi="Museo Sans 100"/>
          <w:bCs/>
          <w:sz w:val="18"/>
          <w:szCs w:val="18"/>
          <w:lang w:eastAsia="zh-CN"/>
        </w:rPr>
        <w:t>We would point out that the calculation methodology already divorces disclosure from the actual investment decision.  Firms have to consider all holdings (no matter how fleeting) and disclose against those holdings after the fact.  Data availability may improve in the meantime which means that firms have to disclose against data that was not available at the time that the investment decision was made.  Potentially the decision to dispose of an asset would be made because new data became available but firms will still need to report, and be judged, against data that was not available during the holding period.</w:t>
      </w:r>
      <w:permEnd w:id="411596568"/>
      <w:r w:rsidR="003E573C">
        <w:rPr>
          <w:rFonts w:cs="Arial"/>
        </w:rPr>
        <w:t>&lt;ESA_QUESTION_</w:t>
      </w:r>
      <w:r w:rsidR="00C86E1C">
        <w:rPr>
          <w:rFonts w:cs="Arial"/>
        </w:rPr>
        <w:t>ESG</w:t>
      </w:r>
      <w:r w:rsidR="003E573C">
        <w:rPr>
          <w:rFonts w:cs="Arial"/>
        </w:rPr>
        <w:t>_11&gt;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rsidR="003E573C" w:rsidRDefault="003E573C" w:rsidP="003E573C">
      <w:pPr>
        <w:rPr>
          <w:rFonts w:cs="Arial"/>
        </w:rPr>
      </w:pPr>
      <w:r>
        <w:rPr>
          <w:rFonts w:cs="Arial"/>
        </w:rPr>
        <w:t>&lt;ESA_QUESTION_</w:t>
      </w:r>
      <w:r w:rsidR="00C86E1C">
        <w:rPr>
          <w:rFonts w:cs="Arial"/>
        </w:rPr>
        <w:t>ESG</w:t>
      </w:r>
      <w:r>
        <w:rPr>
          <w:rFonts w:cs="Arial"/>
        </w:rPr>
        <w:t>_12&gt;</w:t>
      </w:r>
    </w:p>
    <w:p w:rsidR="003E573C" w:rsidRDefault="00660004" w:rsidP="003E573C">
      <w:pPr>
        <w:rPr>
          <w:rFonts w:cs="Arial"/>
        </w:rPr>
      </w:pPr>
      <w:permStart w:id="462838503" w:edGrp="everyone"/>
      <w:r w:rsidRPr="00660004">
        <w:rPr>
          <w:rFonts w:ascii="Museo Sans 100" w:hAnsi="Museo Sans 100"/>
          <w:sz w:val="18"/>
          <w:szCs w:val="18"/>
          <w:lang w:eastAsia="zh-CN"/>
        </w:rPr>
        <w:t>We refer to our opening remarks regarding investor comprehension.  We see the benefit in specimen/example disclosures that firms can take inspiration from but are generally not in favour of mandatory, prescribed language.</w:t>
      </w:r>
      <w:permEnd w:id="462838503"/>
      <w:r w:rsidR="003E573C">
        <w:rPr>
          <w:rFonts w:cs="Arial"/>
        </w:rPr>
        <w:t>&lt;ESA_QUESTION_</w:t>
      </w:r>
      <w:r w:rsidR="00C86E1C">
        <w:rPr>
          <w:rFonts w:cs="Arial"/>
        </w:rPr>
        <w:t>ESG</w:t>
      </w:r>
      <w:r w:rsidR="003E573C">
        <w:rPr>
          <w:rFonts w:cs="Arial"/>
        </w:rPr>
        <w:t>_12&gt;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rsidR="003E573C" w:rsidRDefault="003E573C" w:rsidP="003E573C">
      <w:pPr>
        <w:rPr>
          <w:rFonts w:cs="Arial"/>
        </w:rPr>
      </w:pPr>
      <w:r>
        <w:rPr>
          <w:rFonts w:cs="Arial"/>
        </w:rPr>
        <w:t>&lt;ESA_QUESTION_</w:t>
      </w:r>
      <w:r w:rsidR="00C86E1C">
        <w:rPr>
          <w:rFonts w:cs="Arial"/>
        </w:rPr>
        <w:t>ESG</w:t>
      </w:r>
      <w:r>
        <w:rPr>
          <w:rFonts w:cs="Arial"/>
        </w:rPr>
        <w:t>_13&gt;</w:t>
      </w:r>
    </w:p>
    <w:p w:rsidR="003E573C" w:rsidRDefault="00660004" w:rsidP="003E573C">
      <w:pPr>
        <w:rPr>
          <w:rFonts w:cs="Arial"/>
        </w:rPr>
      </w:pPr>
      <w:permStart w:id="1635090075" w:edGrp="everyone"/>
      <w:r w:rsidRPr="00660004">
        <w:rPr>
          <w:rFonts w:ascii="Museo Sans 100" w:hAnsi="Museo Sans 100"/>
          <w:sz w:val="18"/>
          <w:szCs w:val="18"/>
          <w:lang w:eastAsia="zh-CN"/>
        </w:rPr>
        <w:t>It is our understanding that the ESAs are proceeding with the development of templates.  We would reiterate the principles of proportionality, achievability and investor comprehension.  We would suggest that any template should avoid using any verbatim prescribed text.</w:t>
      </w:r>
      <w:permEnd w:id="1635090075"/>
      <w:r w:rsidR="003E573C">
        <w:rPr>
          <w:rFonts w:cs="Arial"/>
        </w:rPr>
        <w:t>&lt;ESA_QUESTION_</w:t>
      </w:r>
      <w:r w:rsidR="00C86E1C">
        <w:rPr>
          <w:rFonts w:cs="Arial"/>
        </w:rPr>
        <w:t>ESG</w:t>
      </w:r>
      <w:r w:rsidR="003E573C">
        <w:rPr>
          <w:rFonts w:cs="Arial"/>
        </w:rPr>
        <w:t>_13&gt;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rsidR="003E573C" w:rsidRDefault="003E573C" w:rsidP="003E573C">
      <w:pPr>
        <w:rPr>
          <w:rFonts w:cs="Arial"/>
        </w:rPr>
      </w:pPr>
      <w:r>
        <w:rPr>
          <w:rFonts w:cs="Arial"/>
        </w:rPr>
        <w:t>&lt;ESA_QUESTION_</w:t>
      </w:r>
      <w:r w:rsidR="00C86E1C">
        <w:rPr>
          <w:rFonts w:cs="Arial"/>
        </w:rPr>
        <w:t>ESG</w:t>
      </w:r>
      <w:r>
        <w:rPr>
          <w:rFonts w:cs="Arial"/>
        </w:rPr>
        <w:t>_14&gt;</w:t>
      </w:r>
    </w:p>
    <w:p w:rsidR="00660004" w:rsidRPr="00660004" w:rsidRDefault="00660004" w:rsidP="00660004">
      <w:pPr>
        <w:spacing w:after="240"/>
        <w:ind w:left="851"/>
        <w:jc w:val="both"/>
        <w:rPr>
          <w:rFonts w:ascii="Museo Sans 100" w:hAnsi="Museo Sans 100"/>
          <w:sz w:val="18"/>
          <w:szCs w:val="18"/>
          <w:lang w:eastAsia="zh-CN"/>
        </w:rPr>
      </w:pPr>
      <w:permStart w:id="376832476" w:edGrp="everyone"/>
      <w:r w:rsidRPr="00660004">
        <w:rPr>
          <w:rFonts w:ascii="Museo Sans 100" w:hAnsi="Museo Sans 100"/>
          <w:sz w:val="18"/>
          <w:szCs w:val="18"/>
          <w:lang w:eastAsia="zh-CN"/>
        </w:rPr>
        <w:t xml:space="preserve">Earlier in our responses we made the point that comparability does not require uniformity.  </w:t>
      </w:r>
    </w:p>
    <w:p w:rsidR="00660004" w:rsidRPr="00660004" w:rsidRDefault="00660004" w:rsidP="00660004">
      <w:pPr>
        <w:spacing w:after="240"/>
        <w:ind w:left="851"/>
        <w:jc w:val="both"/>
        <w:rPr>
          <w:rFonts w:ascii="Museo Sans 100" w:hAnsi="Museo Sans 100"/>
          <w:sz w:val="18"/>
          <w:szCs w:val="18"/>
          <w:lang w:eastAsia="zh-CN"/>
        </w:rPr>
      </w:pPr>
      <w:r w:rsidRPr="00660004">
        <w:rPr>
          <w:rFonts w:ascii="Museo Sans 100" w:hAnsi="Museo Sans 100"/>
          <w:sz w:val="18"/>
          <w:szCs w:val="18"/>
          <w:lang w:eastAsia="zh-CN"/>
        </w:rPr>
        <w:t xml:space="preserve">We are concerned that mandatory templates continue to be pursued when there is no evidence that they actually enable comparisons in the real world.  We doubt that end-investors will make side by side comparisons of documents </w:t>
      </w:r>
      <w:proofErr w:type="spellStart"/>
      <w:r w:rsidRPr="00660004">
        <w:rPr>
          <w:rFonts w:ascii="Museo Sans 100" w:hAnsi="Museo Sans 100"/>
          <w:sz w:val="18"/>
          <w:szCs w:val="18"/>
          <w:lang w:eastAsia="zh-CN"/>
        </w:rPr>
        <w:t>such</w:t>
      </w:r>
      <w:proofErr w:type="spellEnd"/>
      <w:r w:rsidRPr="00660004">
        <w:rPr>
          <w:rFonts w:ascii="Museo Sans 100" w:hAnsi="Museo Sans 100"/>
          <w:sz w:val="18"/>
          <w:szCs w:val="18"/>
          <w:lang w:eastAsia="zh-CN"/>
        </w:rPr>
        <w:t xml:space="preserve"> as fund prospectuses.  We understand from clients that investors are shown often not to read the prospectus. </w:t>
      </w:r>
    </w:p>
    <w:p w:rsidR="003E573C" w:rsidRDefault="00660004" w:rsidP="003E573C">
      <w:pPr>
        <w:rPr>
          <w:rFonts w:cs="Arial"/>
        </w:rPr>
      </w:pPr>
      <w:r w:rsidRPr="00660004">
        <w:rPr>
          <w:rFonts w:ascii="Museo Sans 100" w:hAnsi="Museo Sans 100"/>
          <w:sz w:val="18"/>
          <w:szCs w:val="18"/>
          <w:lang w:eastAsia="zh-CN"/>
        </w:rPr>
        <w:t>We suggest that the ESAs articulate what they would like disclosure to say, potentially illustrated with examples, and allow the industry to develop best practice around this.</w:t>
      </w:r>
      <w:permEnd w:id="376832476"/>
      <w:r w:rsidR="003E573C">
        <w:rPr>
          <w:rFonts w:cs="Arial"/>
        </w:rPr>
        <w:t>&lt;ESA_QUESTION_</w:t>
      </w:r>
      <w:r w:rsidR="00C86E1C">
        <w:rPr>
          <w:rFonts w:cs="Arial"/>
        </w:rPr>
        <w:t>ESG</w:t>
      </w:r>
      <w:r w:rsidR="003E573C">
        <w:rPr>
          <w:rFonts w:cs="Arial"/>
        </w:rPr>
        <w:t>_14&gt;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rsidR="003E573C" w:rsidRDefault="003E573C" w:rsidP="003E573C">
      <w:pPr>
        <w:rPr>
          <w:rFonts w:cs="Arial"/>
        </w:rPr>
      </w:pPr>
      <w:r>
        <w:rPr>
          <w:rFonts w:cs="Arial"/>
        </w:rPr>
        <w:t>&lt;ESA_QUESTION_</w:t>
      </w:r>
      <w:r w:rsidR="00C86E1C">
        <w:rPr>
          <w:rFonts w:cs="Arial"/>
        </w:rPr>
        <w:t>ESG</w:t>
      </w:r>
      <w:r>
        <w:rPr>
          <w:rFonts w:cs="Arial"/>
        </w:rPr>
        <w:t>_15&gt;</w:t>
      </w:r>
    </w:p>
    <w:p w:rsidR="003E573C" w:rsidRDefault="00660004" w:rsidP="003E573C">
      <w:pPr>
        <w:rPr>
          <w:rFonts w:cs="Arial"/>
        </w:rPr>
      </w:pPr>
      <w:permStart w:id="529100801" w:edGrp="everyone"/>
      <w:r w:rsidRPr="00660004">
        <w:rPr>
          <w:rFonts w:ascii="Museo Sans 100" w:hAnsi="Museo Sans 100"/>
          <w:sz w:val="18"/>
          <w:szCs w:val="18"/>
          <w:lang w:eastAsia="zh-CN"/>
        </w:rPr>
        <w:t>We would just reiterate our thematic comments of proportionality, achievability and investor comprehension.</w:t>
      </w:r>
      <w:permEnd w:id="529100801"/>
      <w:r w:rsidR="003E573C">
        <w:rPr>
          <w:rFonts w:cs="Arial"/>
        </w:rPr>
        <w:t>&lt;ESA_QUESTION_</w:t>
      </w:r>
      <w:r w:rsidR="00C86E1C">
        <w:rPr>
          <w:rFonts w:cs="Arial"/>
        </w:rPr>
        <w:t>ESG</w:t>
      </w:r>
      <w:r w:rsidR="003E573C">
        <w:rPr>
          <w:rFonts w:cs="Arial"/>
        </w:rPr>
        <w:t>_15&gt;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rsidR="003E573C" w:rsidRDefault="003E573C" w:rsidP="003E573C">
      <w:pPr>
        <w:rPr>
          <w:rFonts w:cs="Arial"/>
        </w:rPr>
      </w:pPr>
      <w:r>
        <w:rPr>
          <w:rFonts w:cs="Arial"/>
        </w:rPr>
        <w:t>&lt;ESA_QUESTION_</w:t>
      </w:r>
      <w:r w:rsidR="00C86E1C">
        <w:rPr>
          <w:rFonts w:cs="Arial"/>
        </w:rPr>
        <w:t>ESG</w:t>
      </w:r>
      <w:r>
        <w:rPr>
          <w:rFonts w:cs="Arial"/>
        </w:rPr>
        <w:t>_16&gt;</w:t>
      </w:r>
    </w:p>
    <w:p w:rsidR="00660004" w:rsidRPr="00660004" w:rsidRDefault="00660004" w:rsidP="00660004">
      <w:pPr>
        <w:spacing w:after="240"/>
        <w:ind w:left="851"/>
        <w:jc w:val="both"/>
        <w:rPr>
          <w:rFonts w:ascii="Museo Sans 100" w:hAnsi="Museo Sans 100"/>
          <w:sz w:val="18"/>
          <w:szCs w:val="18"/>
          <w:lang w:eastAsia="zh-CN"/>
        </w:rPr>
      </w:pPr>
      <w:permStart w:id="1551242336" w:edGrp="everyone"/>
      <w:r w:rsidRPr="00660004">
        <w:rPr>
          <w:rFonts w:ascii="Museo Sans 100" w:hAnsi="Museo Sans 100"/>
          <w:sz w:val="18"/>
          <w:szCs w:val="18"/>
          <w:lang w:eastAsia="zh-CN"/>
        </w:rPr>
        <w:t xml:space="preserve">We assume that the ESAs are referring to the disclosure differences between the two Articles.  </w:t>
      </w:r>
    </w:p>
    <w:p w:rsidR="00660004" w:rsidRPr="00660004" w:rsidRDefault="00660004" w:rsidP="00660004">
      <w:pPr>
        <w:spacing w:after="240"/>
        <w:ind w:left="851"/>
        <w:jc w:val="both"/>
        <w:rPr>
          <w:rFonts w:ascii="Museo Sans 100" w:hAnsi="Museo Sans 100"/>
          <w:sz w:val="18"/>
          <w:szCs w:val="18"/>
          <w:lang w:eastAsia="zh-CN"/>
        </w:rPr>
      </w:pPr>
      <w:r w:rsidRPr="00660004">
        <w:rPr>
          <w:rFonts w:ascii="Museo Sans 100" w:hAnsi="Museo Sans 100"/>
          <w:sz w:val="18"/>
          <w:szCs w:val="18"/>
          <w:lang w:eastAsia="zh-CN"/>
        </w:rPr>
        <w:t>We consider that the disclosure of sustainable investments for Article 8 products should be voluntary since these products are not required to have sustainable investments – rather promote environmental or social characteristics</w:t>
      </w:r>
      <w:r w:rsidR="00D847BD">
        <w:rPr>
          <w:rFonts w:ascii="Museo Sans 100" w:hAnsi="Museo Sans 100"/>
          <w:sz w:val="18"/>
          <w:szCs w:val="18"/>
          <w:lang w:eastAsia="zh-CN"/>
        </w:rPr>
        <w:t>.</w:t>
      </w:r>
    </w:p>
    <w:p w:rsidR="00660004" w:rsidRPr="00660004" w:rsidRDefault="00660004" w:rsidP="00660004">
      <w:pPr>
        <w:spacing w:after="240"/>
        <w:ind w:left="851"/>
        <w:jc w:val="both"/>
        <w:rPr>
          <w:rFonts w:ascii="Museo Sans 100" w:hAnsi="Museo Sans 100"/>
          <w:sz w:val="18"/>
          <w:szCs w:val="18"/>
          <w:lang w:eastAsia="zh-CN"/>
        </w:rPr>
      </w:pPr>
      <w:r w:rsidRPr="00660004">
        <w:rPr>
          <w:rFonts w:ascii="Museo Sans 100" w:hAnsi="Museo Sans 100"/>
          <w:sz w:val="18"/>
          <w:szCs w:val="18"/>
          <w:lang w:eastAsia="zh-CN"/>
        </w:rPr>
        <w:t xml:space="preserve">However, we are more concerned with the legal distinction between what constitutes Article 8/9 products and, more particularly, the distinction between Article 8 products and ‘everything else’.  </w:t>
      </w:r>
    </w:p>
    <w:p w:rsidR="00660004" w:rsidRPr="00660004" w:rsidRDefault="00660004" w:rsidP="00660004">
      <w:pPr>
        <w:spacing w:after="240"/>
        <w:ind w:left="851"/>
        <w:jc w:val="both"/>
        <w:rPr>
          <w:rFonts w:ascii="Museo Sans 100" w:hAnsi="Museo Sans 100"/>
          <w:sz w:val="18"/>
          <w:szCs w:val="18"/>
          <w:lang w:eastAsia="zh-CN"/>
        </w:rPr>
      </w:pPr>
      <w:r w:rsidRPr="00660004">
        <w:rPr>
          <w:rFonts w:ascii="Museo Sans 100" w:hAnsi="Museo Sans 100"/>
          <w:sz w:val="18"/>
          <w:szCs w:val="18"/>
          <w:lang w:eastAsia="zh-CN"/>
        </w:rPr>
        <w:t>This is a matter of legal certainty and we would urge the ESAs to consider formally opining on the scope of these products or petitioning the Commission to clarify.</w:t>
      </w:r>
      <w:r w:rsidR="001C682A">
        <w:rPr>
          <w:rFonts w:ascii="Museo Sans 100" w:hAnsi="Museo Sans 100"/>
          <w:sz w:val="18"/>
          <w:szCs w:val="18"/>
          <w:lang w:eastAsia="zh-CN"/>
        </w:rPr>
        <w:t xml:space="preserve">  </w:t>
      </w:r>
      <w:r w:rsidR="001C682A" w:rsidRPr="001C682A">
        <w:rPr>
          <w:rFonts w:ascii="Museo Sans 100" w:hAnsi="Museo Sans 100"/>
          <w:sz w:val="18"/>
          <w:szCs w:val="18"/>
          <w:highlight w:val="yellow"/>
        </w:rPr>
        <w:t>We think that this is vital to help ensure a consistent application of these provisions.</w:t>
      </w:r>
      <w:r w:rsidRPr="00660004">
        <w:rPr>
          <w:rFonts w:ascii="Museo Sans 100" w:hAnsi="Museo Sans 100"/>
          <w:sz w:val="18"/>
          <w:szCs w:val="18"/>
          <w:lang w:eastAsia="zh-CN"/>
        </w:rPr>
        <w:t xml:space="preserve">  </w:t>
      </w:r>
    </w:p>
    <w:p w:rsidR="00660004" w:rsidRPr="00660004" w:rsidRDefault="00660004" w:rsidP="00660004">
      <w:pPr>
        <w:spacing w:after="240"/>
        <w:ind w:left="851"/>
        <w:jc w:val="both"/>
        <w:rPr>
          <w:rFonts w:ascii="Museo Sans 100" w:hAnsi="Museo Sans 100"/>
          <w:sz w:val="18"/>
          <w:szCs w:val="18"/>
          <w:lang w:eastAsia="zh-CN"/>
        </w:rPr>
      </w:pPr>
      <w:r w:rsidRPr="00660004">
        <w:rPr>
          <w:rFonts w:ascii="Museo Sans 100" w:hAnsi="Museo Sans 100"/>
          <w:sz w:val="18"/>
          <w:szCs w:val="18"/>
          <w:lang w:eastAsia="zh-CN"/>
        </w:rPr>
        <w:t xml:space="preserve">Specifically, we are confused by the practice of arguing that there is no power to interpret Level 1 while simultaneously adding recital 21 to the RTS.  We appreciate that this is not limited to this specific RTS. </w:t>
      </w:r>
    </w:p>
    <w:p w:rsidR="00660004" w:rsidRPr="00660004" w:rsidRDefault="00660004" w:rsidP="00660004">
      <w:pPr>
        <w:spacing w:before="240" w:after="240"/>
        <w:ind w:left="851"/>
        <w:jc w:val="both"/>
        <w:rPr>
          <w:rFonts w:ascii="Museo Sans 100" w:hAnsi="Museo Sans 100"/>
          <w:sz w:val="18"/>
          <w:szCs w:val="18"/>
          <w:lang w:eastAsia="zh-CN"/>
        </w:rPr>
      </w:pPr>
      <w:r w:rsidRPr="00660004">
        <w:rPr>
          <w:rFonts w:ascii="Museo Sans 100" w:hAnsi="Museo Sans 100"/>
          <w:sz w:val="18"/>
          <w:szCs w:val="18"/>
          <w:lang w:eastAsia="zh-CN"/>
        </w:rPr>
        <w:t xml:space="preserve">Our clients welcome the clarity from recitals.  However, from a legal perspective, we would ask the ESAs to consider what the impact of the recital is intended to be.  </w:t>
      </w:r>
    </w:p>
    <w:p w:rsidR="00660004" w:rsidRPr="00660004" w:rsidRDefault="001C682A" w:rsidP="00660004">
      <w:pPr>
        <w:pBdr>
          <w:left w:val="single" w:sz="36" w:space="4" w:color="D9D9D9" w:themeColor="background1" w:themeShade="D9"/>
        </w:pBdr>
        <w:suppressAutoHyphens/>
        <w:autoSpaceDE w:val="0"/>
        <w:autoSpaceDN w:val="0"/>
        <w:adjustRightInd w:val="0"/>
        <w:ind w:left="788"/>
        <w:jc w:val="both"/>
        <w:textAlignment w:val="center"/>
        <w:rPr>
          <w:rFonts w:ascii="Museo Sans 100" w:hAnsi="Museo Sans 100" w:cs="Museo Sans 300"/>
          <w:color w:val="000000"/>
          <w:sz w:val="18"/>
          <w:szCs w:val="18"/>
          <w:lang w:eastAsia="zh-CN"/>
        </w:rPr>
      </w:pPr>
      <w:r>
        <w:rPr>
          <w:rFonts w:ascii="Museo Sans 100" w:hAnsi="Museo Sans 100" w:cs="Museo Sans 300"/>
          <w:color w:val="000000"/>
          <w:sz w:val="18"/>
          <w:szCs w:val="18"/>
          <w:lang w:eastAsia="zh-CN"/>
        </w:rPr>
        <w:t>“</w:t>
      </w:r>
      <w:r w:rsidR="00660004" w:rsidRPr="00660004">
        <w:rPr>
          <w:rFonts w:ascii="Museo Sans 100" w:hAnsi="Museo Sans 100" w:cs="Museo Sans 300"/>
          <w:color w:val="000000"/>
          <w:sz w:val="18"/>
          <w:szCs w:val="18"/>
          <w:lang w:eastAsia="zh-CN"/>
        </w:rPr>
        <w:t xml:space="preserve">Financial products with environmental or social characteristics should be considered to be promoting, among other characteristics, environmental or social characteristics, or a combination </w:t>
      </w:r>
      <w:proofErr w:type="spellStart"/>
      <w:r w:rsidR="00660004" w:rsidRPr="00660004">
        <w:rPr>
          <w:rFonts w:ascii="Museo Sans 100" w:hAnsi="Museo Sans 100" w:cs="Museo Sans 300"/>
          <w:color w:val="000000"/>
          <w:sz w:val="18"/>
          <w:szCs w:val="18"/>
          <w:lang w:eastAsia="zh-CN"/>
        </w:rPr>
        <w:t>thereof</w:t>
      </w:r>
      <w:proofErr w:type="spellEnd"/>
      <w:r w:rsidR="00660004" w:rsidRPr="00660004">
        <w:rPr>
          <w:rFonts w:ascii="Museo Sans 100" w:hAnsi="Museo Sans 100" w:cs="Museo Sans 300"/>
          <w:color w:val="000000"/>
          <w:sz w:val="18"/>
          <w:szCs w:val="18"/>
          <w:lang w:eastAsia="zh-CN"/>
        </w:rPr>
        <w:t>, when information provided to clients, in marketing communications or in mandatory investor disclosures or as part of a process of automatic enrolment in an IORP, references sustainability factors that are taken in consideration when allocating the capital invested of the product.</w:t>
      </w:r>
      <w:r>
        <w:rPr>
          <w:rFonts w:ascii="Museo Sans 100" w:hAnsi="Museo Sans 100" w:cs="Museo Sans 300"/>
          <w:color w:val="000000"/>
          <w:sz w:val="18"/>
          <w:szCs w:val="18"/>
          <w:lang w:eastAsia="zh-CN"/>
        </w:rPr>
        <w:t>”</w:t>
      </w:r>
    </w:p>
    <w:p w:rsidR="00660004" w:rsidRPr="00660004" w:rsidRDefault="00660004" w:rsidP="00660004">
      <w:pPr>
        <w:spacing w:before="240" w:after="240"/>
        <w:ind w:left="851"/>
        <w:jc w:val="both"/>
        <w:rPr>
          <w:rFonts w:ascii="Museo Sans 100" w:hAnsi="Museo Sans 100"/>
          <w:sz w:val="18"/>
          <w:szCs w:val="18"/>
          <w:lang w:eastAsia="zh-CN"/>
        </w:rPr>
      </w:pPr>
      <w:r w:rsidRPr="00660004">
        <w:rPr>
          <w:rFonts w:ascii="Museo Sans 100" w:hAnsi="Museo Sans 100"/>
          <w:sz w:val="18"/>
          <w:szCs w:val="18"/>
          <w:lang w:eastAsia="zh-CN"/>
        </w:rPr>
        <w:t xml:space="preserve">To us, this appears to be a major interpretation of Level 1 since it suggests that Article 8 products are those products whose disclosure to investors includes any consideration of sustainability factors in the capital allocation process.  This is not apparent at Level 1. </w:t>
      </w:r>
    </w:p>
    <w:p w:rsidR="00660004" w:rsidRPr="00660004" w:rsidRDefault="00660004" w:rsidP="00660004">
      <w:pPr>
        <w:spacing w:before="240" w:after="240"/>
        <w:ind w:left="851"/>
        <w:jc w:val="both"/>
        <w:rPr>
          <w:rFonts w:ascii="Museo Sans 100" w:hAnsi="Museo Sans 100"/>
          <w:sz w:val="18"/>
          <w:szCs w:val="18"/>
          <w:lang w:eastAsia="zh-CN"/>
        </w:rPr>
      </w:pPr>
      <w:r w:rsidRPr="00660004">
        <w:rPr>
          <w:rFonts w:ascii="Museo Sans 100" w:hAnsi="Museo Sans 100"/>
          <w:sz w:val="18"/>
          <w:szCs w:val="18"/>
          <w:lang w:eastAsia="zh-CN"/>
        </w:rPr>
        <w:t>Does this mean that only products that meet the description in the recital are in scope? If not, does the recital add anything other than false comfort</w:t>
      </w:r>
      <w:r w:rsidR="00BE3F67">
        <w:rPr>
          <w:rFonts w:ascii="Museo Sans 100" w:hAnsi="Museo Sans 100"/>
          <w:sz w:val="18"/>
          <w:szCs w:val="18"/>
          <w:lang w:eastAsia="zh-CN"/>
        </w:rPr>
        <w:t>?</w:t>
      </w:r>
    </w:p>
    <w:p w:rsidR="00660004" w:rsidRPr="00660004" w:rsidRDefault="00660004" w:rsidP="00660004">
      <w:pPr>
        <w:spacing w:before="240" w:after="240"/>
        <w:ind w:left="851"/>
        <w:jc w:val="both"/>
        <w:rPr>
          <w:rFonts w:ascii="Museo Sans 100" w:hAnsi="Museo Sans 100"/>
          <w:sz w:val="18"/>
          <w:szCs w:val="18"/>
          <w:lang w:eastAsia="zh-CN"/>
        </w:rPr>
      </w:pPr>
      <w:r w:rsidRPr="00660004">
        <w:rPr>
          <w:rFonts w:ascii="Museo Sans 100" w:hAnsi="Museo Sans 100"/>
          <w:sz w:val="18"/>
          <w:szCs w:val="18"/>
          <w:lang w:eastAsia="zh-CN"/>
        </w:rPr>
        <w:t>Additionally while the following paragraph from the consultation paper was welcome</w:t>
      </w:r>
      <w:r w:rsidR="00BE3F67">
        <w:rPr>
          <w:rFonts w:ascii="Museo Sans 100" w:hAnsi="Museo Sans 100"/>
          <w:sz w:val="18"/>
          <w:szCs w:val="18"/>
          <w:lang w:eastAsia="zh-CN"/>
        </w:rPr>
        <w:t>,</w:t>
      </w:r>
      <w:r w:rsidRPr="00660004">
        <w:rPr>
          <w:rFonts w:ascii="Museo Sans 100" w:hAnsi="Museo Sans 100"/>
          <w:sz w:val="18"/>
          <w:szCs w:val="18"/>
          <w:lang w:eastAsia="zh-CN"/>
        </w:rPr>
        <w:t xml:space="preserve"> we would like to see this reflected in the law:</w:t>
      </w:r>
    </w:p>
    <w:p w:rsidR="003E573C" w:rsidRDefault="00660004" w:rsidP="003E573C">
      <w:pPr>
        <w:rPr>
          <w:rFonts w:cs="Arial"/>
        </w:rPr>
      </w:pPr>
      <w:r w:rsidRPr="00660004">
        <w:rPr>
          <w:rFonts w:ascii="Museo Sans 100" w:hAnsi="Museo Sans 100" w:cs="Museo Sans 300"/>
          <w:color w:val="000000"/>
          <w:sz w:val="18"/>
          <w:szCs w:val="18"/>
          <w:lang w:eastAsia="zh-CN"/>
        </w:rPr>
        <w:t>“The ESAs are aware that SFDR will include requirements on the taking into account of sustainability risks for all products and consequently considers that the broad concept of ‘ESG integration’ should not be enough to justify that a product promotes environmental or social characteristics.</w:t>
      </w:r>
      <w:r w:rsidR="001C682A">
        <w:rPr>
          <w:rFonts w:ascii="Museo Sans 100" w:hAnsi="Museo Sans 100" w:cs="Museo Sans 300"/>
          <w:color w:val="000000"/>
          <w:sz w:val="18"/>
          <w:szCs w:val="18"/>
          <w:lang w:eastAsia="zh-CN"/>
        </w:rPr>
        <w:t>”</w:t>
      </w:r>
      <w:permEnd w:id="1551242336"/>
      <w:r w:rsidR="003E573C">
        <w:rPr>
          <w:rFonts w:cs="Arial"/>
        </w:rPr>
        <w:t>&lt;ESA_QUESTION_</w:t>
      </w:r>
      <w:r w:rsidR="00C86E1C">
        <w:rPr>
          <w:rFonts w:cs="Arial"/>
        </w:rPr>
        <w:t>ESG</w:t>
      </w:r>
      <w:r w:rsidR="003E573C">
        <w:rPr>
          <w:rFonts w:cs="Arial"/>
        </w:rPr>
        <w:t>_16&gt;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rsidR="003E573C" w:rsidRDefault="003E573C" w:rsidP="003E573C">
      <w:pPr>
        <w:rPr>
          <w:rFonts w:cs="Arial"/>
        </w:rPr>
      </w:pPr>
      <w:r>
        <w:rPr>
          <w:rFonts w:cs="Arial"/>
        </w:rPr>
        <w:t>&lt;ESA_QUESTION_</w:t>
      </w:r>
      <w:r w:rsidR="00C86E1C">
        <w:rPr>
          <w:rFonts w:cs="Arial"/>
        </w:rPr>
        <w:t>ESG</w:t>
      </w:r>
      <w:r>
        <w:rPr>
          <w:rFonts w:cs="Arial"/>
        </w:rPr>
        <w:t>_17&gt;</w:t>
      </w:r>
    </w:p>
    <w:p w:rsidR="003E573C" w:rsidRDefault="00660004" w:rsidP="003E573C">
      <w:pPr>
        <w:rPr>
          <w:rFonts w:cs="Arial"/>
        </w:rPr>
      </w:pPr>
      <w:permStart w:id="1809280950" w:edGrp="everyone"/>
      <w:r w:rsidRPr="00660004">
        <w:rPr>
          <w:rFonts w:ascii="Museo Sans 100" w:hAnsi="Museo Sans 100"/>
          <w:sz w:val="18"/>
          <w:szCs w:val="18"/>
          <w:lang w:eastAsia="zh-CN"/>
        </w:rPr>
        <w:t>We have no specific comment but we refer to our earlier commentary around investor comprehension.</w:t>
      </w:r>
      <w:permEnd w:id="1809280950"/>
      <w:r w:rsidR="003E573C">
        <w:rPr>
          <w:rFonts w:cs="Arial"/>
        </w:rPr>
        <w:t>&lt;ESA_QUESTION_</w:t>
      </w:r>
      <w:r w:rsidR="00C86E1C">
        <w:rPr>
          <w:rFonts w:cs="Arial"/>
        </w:rPr>
        <w:t>ESG</w:t>
      </w:r>
      <w:r w:rsidR="003E573C">
        <w:rPr>
          <w:rFonts w:cs="Arial"/>
        </w:rPr>
        <w:t>_17&gt;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_18&gt;</w:t>
      </w:r>
    </w:p>
    <w:p w:rsidR="003E573C" w:rsidRDefault="00660004" w:rsidP="003E573C">
      <w:pPr>
        <w:rPr>
          <w:rFonts w:cs="Arial"/>
        </w:rPr>
      </w:pPr>
      <w:permStart w:id="463233634" w:edGrp="everyone"/>
      <w:r w:rsidRPr="00660004">
        <w:rPr>
          <w:rFonts w:ascii="Museo Sans 100" w:hAnsi="Museo Sans 100"/>
          <w:sz w:val="18"/>
          <w:szCs w:val="18"/>
          <w:lang w:eastAsia="zh-CN"/>
        </w:rPr>
        <w:t>We would defer to FMPs on this point.  We would, however, refer to our earlier commentary around investor comprehension and consumer testing.</w:t>
      </w:r>
      <w:permEnd w:id="463233634"/>
      <w:r w:rsidR="003E573C">
        <w:rPr>
          <w:rFonts w:cs="Arial"/>
        </w:rPr>
        <w:t>&lt;ESA_QUESTION_</w:t>
      </w:r>
      <w:r w:rsidR="00C86E1C">
        <w:rPr>
          <w:rFonts w:cs="Arial"/>
        </w:rPr>
        <w:t>ESG</w:t>
      </w:r>
      <w:r w:rsidR="003E573C">
        <w:rPr>
          <w:rFonts w:cs="Arial"/>
        </w:rPr>
        <w:t>_18&gt;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rsidR="003E573C" w:rsidRDefault="003E573C" w:rsidP="003E573C">
      <w:pPr>
        <w:rPr>
          <w:rFonts w:cs="Arial"/>
        </w:rPr>
      </w:pPr>
      <w:r>
        <w:rPr>
          <w:rFonts w:cs="Arial"/>
        </w:rPr>
        <w:t>&lt;ESA_QUESTION_</w:t>
      </w:r>
      <w:r w:rsidR="00C86E1C">
        <w:rPr>
          <w:rFonts w:cs="Arial"/>
        </w:rPr>
        <w:t>ESG</w:t>
      </w:r>
      <w:r>
        <w:rPr>
          <w:rFonts w:cs="Arial"/>
        </w:rPr>
        <w:t>_19&gt;</w:t>
      </w:r>
    </w:p>
    <w:p w:rsidR="003E573C" w:rsidRDefault="00660004" w:rsidP="003E573C">
      <w:pPr>
        <w:rPr>
          <w:rFonts w:cs="Arial"/>
        </w:rPr>
      </w:pPr>
      <w:permStart w:id="1302688043" w:edGrp="everyone"/>
      <w:r w:rsidRPr="00660004">
        <w:rPr>
          <w:rFonts w:ascii="Museo Sans 100" w:hAnsi="Museo Sans 100"/>
          <w:sz w:val="18"/>
          <w:szCs w:val="18"/>
          <w:lang w:eastAsia="zh-CN"/>
        </w:rPr>
        <w:t>We note th</w:t>
      </w:r>
      <w:r w:rsidR="001C682A">
        <w:rPr>
          <w:rFonts w:ascii="Museo Sans 100" w:hAnsi="Museo Sans 100"/>
          <w:sz w:val="18"/>
          <w:szCs w:val="18"/>
          <w:lang w:eastAsia="zh-CN"/>
        </w:rPr>
        <w:t xml:space="preserve">e </w:t>
      </w:r>
      <w:r w:rsidRPr="00660004">
        <w:rPr>
          <w:rFonts w:ascii="Museo Sans 100" w:hAnsi="Museo Sans 100"/>
          <w:sz w:val="18"/>
          <w:szCs w:val="18"/>
          <w:lang w:eastAsia="zh-CN"/>
        </w:rPr>
        <w:t>comments of others around solid vs other types of fossil-fuels made at the Public Hearing.  We have no further comments.</w:t>
      </w:r>
      <w:permEnd w:id="1302688043"/>
      <w:r w:rsidR="003E573C">
        <w:rPr>
          <w:rFonts w:cs="Arial"/>
        </w:rPr>
        <w:t>&lt;ESA_QUESTION_</w:t>
      </w:r>
      <w:r w:rsidR="00C86E1C">
        <w:rPr>
          <w:rFonts w:cs="Arial"/>
        </w:rPr>
        <w:t>ESG</w:t>
      </w:r>
      <w:r w:rsidR="003E573C">
        <w:rPr>
          <w:rFonts w:cs="Arial"/>
        </w:rPr>
        <w:t>_19&gt;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rsidR="003E573C" w:rsidRDefault="003E573C" w:rsidP="003E573C">
      <w:pPr>
        <w:rPr>
          <w:rFonts w:cs="Arial"/>
        </w:rPr>
      </w:pPr>
      <w:r>
        <w:rPr>
          <w:rFonts w:cs="Arial"/>
        </w:rPr>
        <w:t>&lt;ESA_QUESTION_</w:t>
      </w:r>
      <w:r w:rsidR="00C86E1C">
        <w:rPr>
          <w:rFonts w:cs="Arial"/>
        </w:rPr>
        <w:t>ESG</w:t>
      </w:r>
      <w:r>
        <w:rPr>
          <w:rFonts w:cs="Arial"/>
        </w:rPr>
        <w:t>_20&gt;</w:t>
      </w:r>
    </w:p>
    <w:p w:rsidR="003E573C" w:rsidRDefault="00660004" w:rsidP="003E573C">
      <w:pPr>
        <w:rPr>
          <w:rFonts w:cs="Arial"/>
        </w:rPr>
      </w:pPr>
      <w:permStart w:id="1257077309" w:edGrp="everyone"/>
      <w:r>
        <w:rPr>
          <w:rFonts w:ascii="Museo Sans 100" w:hAnsi="Museo Sans 100"/>
        </w:rPr>
        <w:t>No comment</w:t>
      </w:r>
      <w:r w:rsidR="00D847BD">
        <w:rPr>
          <w:rFonts w:ascii="Museo Sans 100" w:hAnsi="Museo Sans 100"/>
        </w:rPr>
        <w:t>.</w:t>
      </w:r>
      <w:r>
        <w:rPr>
          <w:rFonts w:cs="Arial"/>
        </w:rPr>
        <w:t xml:space="preserve"> </w:t>
      </w:r>
      <w:permEnd w:id="1257077309"/>
      <w:r w:rsidR="003E573C">
        <w:rPr>
          <w:rFonts w:cs="Arial"/>
        </w:rPr>
        <w:t>&lt;ESA_QUESTION_</w:t>
      </w:r>
      <w:r w:rsidR="00C86E1C">
        <w:rPr>
          <w:rFonts w:cs="Arial"/>
        </w:rPr>
        <w:t>ESG</w:t>
      </w:r>
      <w:r w:rsidR="003E573C">
        <w:rPr>
          <w:rFonts w:cs="Arial"/>
        </w:rPr>
        <w:t>_20&gt;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rsidR="003E573C" w:rsidRDefault="003E573C" w:rsidP="003E573C">
      <w:pPr>
        <w:rPr>
          <w:rFonts w:cs="Arial"/>
        </w:rPr>
      </w:pPr>
      <w:r>
        <w:rPr>
          <w:rFonts w:cs="Arial"/>
        </w:rPr>
        <w:t>&lt;ESA_QUESTION_</w:t>
      </w:r>
      <w:r w:rsidR="00C86E1C">
        <w:rPr>
          <w:rFonts w:cs="Arial"/>
        </w:rPr>
        <w:t>ESG</w:t>
      </w:r>
      <w:r>
        <w:rPr>
          <w:rFonts w:cs="Arial"/>
        </w:rPr>
        <w:t>_21&gt;</w:t>
      </w:r>
    </w:p>
    <w:p w:rsidR="00C10069" w:rsidRPr="00C10069" w:rsidRDefault="00C10069" w:rsidP="00C10069">
      <w:pPr>
        <w:spacing w:after="240"/>
        <w:ind w:left="851"/>
        <w:jc w:val="both"/>
        <w:rPr>
          <w:rFonts w:ascii="Museo Sans 100" w:hAnsi="Museo Sans 100"/>
          <w:sz w:val="18"/>
          <w:szCs w:val="18"/>
          <w:lang w:eastAsia="zh-CN"/>
        </w:rPr>
      </w:pPr>
      <w:permStart w:id="908539778" w:edGrp="everyone"/>
      <w:r w:rsidRPr="00C10069">
        <w:rPr>
          <w:rFonts w:ascii="Museo Sans 100" w:hAnsi="Museo Sans 100"/>
          <w:sz w:val="18"/>
          <w:szCs w:val="18"/>
          <w:lang w:eastAsia="zh-CN"/>
        </w:rPr>
        <w:t>It would seem sensible to form a uniform understanding of what constitutes ‘good governance’ as long as this is not made too granular.  The description above seems sufficiently wide to accommodate different types of company.  However, we note that not all investments are in ‘companies’ and there is uncertainty around the application for other types of exposures.</w:t>
      </w:r>
    </w:p>
    <w:p w:rsidR="003E573C" w:rsidRDefault="00C10069" w:rsidP="003E573C">
      <w:pPr>
        <w:rPr>
          <w:rFonts w:cs="Arial"/>
        </w:rPr>
      </w:pPr>
      <w:r w:rsidRPr="00C10069">
        <w:rPr>
          <w:rFonts w:ascii="Museo Sans 100" w:hAnsi="Museo Sans 100"/>
          <w:sz w:val="18"/>
          <w:szCs w:val="18"/>
          <w:lang w:eastAsia="zh-CN"/>
        </w:rPr>
        <w:t>It also appears to us that a company failing to meet good governance can cause a product to fall outside of Article 8.  Information about how this should be interpreted would be useful.</w:t>
      </w:r>
      <w:permEnd w:id="908539778"/>
      <w:r w:rsidR="003E573C">
        <w:rPr>
          <w:rFonts w:cs="Arial"/>
        </w:rPr>
        <w:t>&lt;ESA_QUESTION_</w:t>
      </w:r>
      <w:r w:rsidR="00C86E1C">
        <w:rPr>
          <w:rFonts w:cs="Arial"/>
        </w:rPr>
        <w:t>ESG</w:t>
      </w:r>
      <w:r w:rsidR="003E573C">
        <w:rPr>
          <w:rFonts w:cs="Arial"/>
        </w:rPr>
        <w:t>_21&gt;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rsidR="003E573C" w:rsidRDefault="003E573C" w:rsidP="003E573C">
      <w:pPr>
        <w:rPr>
          <w:rFonts w:cs="Arial"/>
        </w:rPr>
      </w:pPr>
      <w:r>
        <w:rPr>
          <w:rFonts w:cs="Arial"/>
        </w:rPr>
        <w:t>&lt;ESA_QUESTION_</w:t>
      </w:r>
      <w:r w:rsidR="00C86E1C">
        <w:rPr>
          <w:rFonts w:cs="Arial"/>
        </w:rPr>
        <w:t>ESG</w:t>
      </w:r>
      <w:r>
        <w:rPr>
          <w:rFonts w:cs="Arial"/>
        </w:rPr>
        <w:t>_22&gt;</w:t>
      </w:r>
    </w:p>
    <w:p w:rsidR="00C10069" w:rsidRPr="00C10069" w:rsidRDefault="00C10069" w:rsidP="00C10069">
      <w:pPr>
        <w:spacing w:after="240"/>
        <w:ind w:left="851"/>
        <w:jc w:val="both"/>
        <w:rPr>
          <w:rFonts w:ascii="Museo Sans 100" w:hAnsi="Museo Sans 100"/>
          <w:sz w:val="18"/>
          <w:szCs w:val="18"/>
          <w:lang w:eastAsia="zh-CN"/>
        </w:rPr>
      </w:pPr>
      <w:permStart w:id="1657939075" w:edGrp="everyone"/>
      <w:r w:rsidRPr="00C10069">
        <w:rPr>
          <w:rFonts w:ascii="Museo Sans 100" w:hAnsi="Museo Sans 100"/>
          <w:sz w:val="18"/>
          <w:szCs w:val="18"/>
          <w:lang w:eastAsia="zh-CN"/>
        </w:rPr>
        <w:t>We reiterate our earlier comments around investor comprehension and a preference for avoiding mandatory text.</w:t>
      </w:r>
    </w:p>
    <w:p w:rsidR="00C10069" w:rsidRPr="00C10069" w:rsidRDefault="00C10069" w:rsidP="00C10069">
      <w:pPr>
        <w:spacing w:after="240"/>
        <w:ind w:left="851"/>
        <w:jc w:val="both"/>
        <w:rPr>
          <w:rFonts w:ascii="Museo Sans 100" w:hAnsi="Museo Sans 100"/>
          <w:sz w:val="18"/>
          <w:szCs w:val="18"/>
          <w:lang w:eastAsia="zh-CN"/>
        </w:rPr>
      </w:pPr>
      <w:r w:rsidRPr="00C10069">
        <w:rPr>
          <w:rFonts w:ascii="Museo Sans 100" w:hAnsi="Museo Sans 100"/>
          <w:sz w:val="18"/>
          <w:szCs w:val="18"/>
          <w:lang w:eastAsia="zh-CN"/>
        </w:rPr>
        <w:t>We find the mandatory sentence prescribed in Article 16 “This product does not have as its objective sustainable investment.” to be unnecessarily complicated. Additionally, since the products in question do have ESG characteristics there is a potential to confuse so this sentence will need to be explained further.</w:t>
      </w:r>
    </w:p>
    <w:p w:rsidR="00C10069" w:rsidRPr="00BE3F67" w:rsidRDefault="00C10069" w:rsidP="00C10069">
      <w:pPr>
        <w:spacing w:after="240"/>
        <w:ind w:left="851"/>
        <w:jc w:val="both"/>
        <w:rPr>
          <w:rFonts w:ascii="Museo Sans 100" w:hAnsi="Museo Sans 100"/>
          <w:sz w:val="18"/>
          <w:szCs w:val="18"/>
          <w:lang w:eastAsia="zh-CN"/>
        </w:rPr>
      </w:pPr>
      <w:r w:rsidRPr="00C10069">
        <w:rPr>
          <w:rFonts w:ascii="Museo Sans 100" w:hAnsi="Museo Sans 100"/>
          <w:sz w:val="18"/>
          <w:szCs w:val="18"/>
          <w:lang w:eastAsia="zh-CN"/>
        </w:rPr>
        <w:t xml:space="preserve">This could be simplified as “This product has no sustainable investment objective” (reflecting the title of Article 16).  However, we would ask the ESAs </w:t>
      </w:r>
      <w:r w:rsidRPr="00BE3F67">
        <w:rPr>
          <w:rFonts w:ascii="Museo Sans 100" w:hAnsi="Museo Sans 100"/>
          <w:sz w:val="18"/>
          <w:szCs w:val="18"/>
          <w:lang w:eastAsia="zh-CN"/>
        </w:rPr>
        <w:t xml:space="preserve">to consider redrafting Article 16(1) to stipulate that “The section referred to in point (b) of Article 14 </w:t>
      </w:r>
      <w:proofErr w:type="spellStart"/>
      <w:r w:rsidRPr="00BE3F67">
        <w:rPr>
          <w:rFonts w:ascii="Museo Sans 100" w:hAnsi="Museo Sans 100"/>
          <w:sz w:val="18"/>
          <w:szCs w:val="18"/>
          <w:lang w:eastAsia="zh-CN"/>
        </w:rPr>
        <w:t>shall</w:t>
      </w:r>
      <w:proofErr w:type="spellEnd"/>
      <w:r w:rsidRPr="00BE3F67">
        <w:rPr>
          <w:rFonts w:ascii="Museo Sans 100" w:hAnsi="Museo Sans 100"/>
          <w:sz w:val="18"/>
          <w:szCs w:val="18"/>
          <w:lang w:eastAsia="zh-CN"/>
        </w:rPr>
        <w:t xml:space="preserve"> contain a statement explaining that the financial product does not have as its objective sustainable investment.”</w:t>
      </w:r>
    </w:p>
    <w:p w:rsidR="00C10069" w:rsidRPr="00C10069" w:rsidRDefault="00C10069" w:rsidP="00C10069">
      <w:pPr>
        <w:spacing w:after="240"/>
        <w:ind w:left="851"/>
        <w:jc w:val="both"/>
        <w:rPr>
          <w:rFonts w:ascii="Museo Sans 100" w:hAnsi="Museo Sans 100"/>
          <w:sz w:val="18"/>
          <w:szCs w:val="18"/>
          <w:lang w:eastAsia="zh-CN"/>
        </w:rPr>
      </w:pPr>
      <w:r w:rsidRPr="00C10069">
        <w:rPr>
          <w:rFonts w:ascii="Museo Sans 100" w:hAnsi="Museo Sans 100"/>
          <w:sz w:val="18"/>
          <w:szCs w:val="18"/>
          <w:lang w:eastAsia="zh-CN"/>
        </w:rPr>
        <w:t>As an aside, and appreciating that this is beyond the scope of the consultation, we find the mandatory text for Article 8 products introduced in the Taxonomy Regulation to be unhelpful:</w:t>
      </w:r>
    </w:p>
    <w:p w:rsidR="00C10069" w:rsidRPr="00C10069" w:rsidRDefault="00C10069" w:rsidP="00C10069">
      <w:pPr>
        <w:pBdr>
          <w:left w:val="single" w:sz="36" w:space="4" w:color="D9D9D9" w:themeColor="background1" w:themeShade="D9"/>
        </w:pBdr>
        <w:suppressAutoHyphens/>
        <w:autoSpaceDE w:val="0"/>
        <w:autoSpaceDN w:val="0"/>
        <w:adjustRightInd w:val="0"/>
        <w:ind w:left="788"/>
        <w:jc w:val="both"/>
        <w:textAlignment w:val="center"/>
        <w:rPr>
          <w:rFonts w:ascii="Museo Sans 100" w:hAnsi="Museo Sans 100" w:cs="Museo Sans 300"/>
          <w:color w:val="000000"/>
          <w:sz w:val="18"/>
          <w:szCs w:val="18"/>
          <w:lang w:eastAsia="zh-CN"/>
        </w:rPr>
      </w:pPr>
      <w:r w:rsidRPr="00C10069">
        <w:rPr>
          <w:rFonts w:ascii="Museo Sans 100" w:hAnsi="Museo Sans 100" w:cs="Museo Sans 300"/>
          <w:color w:val="000000"/>
          <w:sz w:val="18"/>
          <w:szCs w:val="18"/>
          <w:lang w:eastAsia="zh-CN"/>
        </w:rPr>
        <w:t>‘The “do no significant harm” principle applies only to those investments underlying the financial product that take into account the EU criteria for environmentally sustainable economic activities. The investments underlying the remaining portion of this financial product do not take into account the EU criteria for environmentally sustainable economic activities.’.</w:t>
      </w:r>
    </w:p>
    <w:p w:rsidR="00C10069" w:rsidRPr="00C10069" w:rsidRDefault="00C10069" w:rsidP="00C10069">
      <w:pPr>
        <w:spacing w:before="240" w:after="240"/>
        <w:ind w:left="851"/>
        <w:jc w:val="both"/>
        <w:rPr>
          <w:rFonts w:ascii="Museo Sans 100" w:hAnsi="Museo Sans 100"/>
          <w:sz w:val="18"/>
          <w:szCs w:val="18"/>
          <w:lang w:eastAsia="zh-CN"/>
        </w:rPr>
      </w:pPr>
      <w:r w:rsidRPr="00C10069">
        <w:rPr>
          <w:rFonts w:ascii="Museo Sans 100" w:hAnsi="Museo Sans 100"/>
          <w:sz w:val="18"/>
          <w:szCs w:val="18"/>
          <w:lang w:eastAsia="zh-CN"/>
        </w:rPr>
        <w:t>This illustrates how mandatory text can be unnecessarily complicated and legalistic.  Investors will not recognise the “do no significant harm” principle.  The mandatory text does not explain what this is or whether it is good.  It is written in complicated language and long sentences.</w:t>
      </w:r>
    </w:p>
    <w:p w:rsidR="00C10069" w:rsidRPr="00C10069" w:rsidRDefault="00C10069" w:rsidP="00C10069">
      <w:pPr>
        <w:spacing w:before="240" w:after="240"/>
        <w:ind w:left="851"/>
        <w:jc w:val="both"/>
        <w:rPr>
          <w:rFonts w:ascii="Museo Sans 100" w:hAnsi="Museo Sans 100"/>
          <w:sz w:val="18"/>
          <w:szCs w:val="18"/>
          <w:lang w:eastAsia="zh-CN"/>
        </w:rPr>
      </w:pPr>
      <w:r w:rsidRPr="00C10069">
        <w:rPr>
          <w:rFonts w:ascii="Museo Sans 100" w:hAnsi="Museo Sans 100"/>
          <w:sz w:val="18"/>
          <w:szCs w:val="18"/>
          <w:lang w:eastAsia="zh-CN"/>
        </w:rPr>
        <w:t xml:space="preserve">An example of the ways this could be simplified </w:t>
      </w:r>
      <w:r w:rsidR="001C682A">
        <w:rPr>
          <w:rFonts w:ascii="Museo Sans 100" w:hAnsi="Museo Sans 100"/>
          <w:sz w:val="18"/>
          <w:szCs w:val="18"/>
          <w:lang w:eastAsia="zh-CN"/>
        </w:rPr>
        <w:t xml:space="preserve">is as </w:t>
      </w:r>
      <w:r w:rsidRPr="00C10069">
        <w:rPr>
          <w:rFonts w:ascii="Museo Sans 100" w:hAnsi="Museo Sans 100"/>
          <w:sz w:val="18"/>
          <w:szCs w:val="18"/>
          <w:lang w:eastAsia="zh-CN"/>
        </w:rPr>
        <w:t>follows:</w:t>
      </w:r>
    </w:p>
    <w:p w:rsidR="00C10069" w:rsidRPr="00C10069" w:rsidRDefault="00BE3F67" w:rsidP="00C10069">
      <w:pPr>
        <w:pBdr>
          <w:top w:val="single" w:sz="36" w:space="1" w:color="F2F2F2"/>
          <w:left w:val="single" w:sz="36" w:space="0" w:color="F2F2F2"/>
          <w:bottom w:val="single" w:sz="36" w:space="1" w:color="F2F2F2"/>
          <w:right w:val="single" w:sz="36" w:space="4" w:color="F2F2F2"/>
        </w:pBdr>
        <w:shd w:val="clear" w:color="auto" w:fill="F2F2F2"/>
        <w:ind w:left="851"/>
        <w:jc w:val="both"/>
        <w:rPr>
          <w:rFonts w:ascii="Arial Nova Light" w:hAnsi="Arial Nova Light"/>
          <w:sz w:val="18"/>
          <w:szCs w:val="18"/>
          <w:lang w:eastAsia="zh-CN"/>
        </w:rPr>
      </w:pPr>
      <w:r>
        <w:rPr>
          <w:rFonts w:ascii="Arial Nova Light" w:hAnsi="Arial Nova Light"/>
          <w:sz w:val="18"/>
          <w:szCs w:val="18"/>
          <w:lang w:eastAsia="zh-CN"/>
        </w:rPr>
        <w:t>“</w:t>
      </w:r>
      <w:r w:rsidR="00C10069" w:rsidRPr="00C10069">
        <w:rPr>
          <w:rFonts w:ascii="Arial Nova Light" w:hAnsi="Arial Nova Light"/>
          <w:sz w:val="18"/>
          <w:szCs w:val="18"/>
          <w:lang w:eastAsia="zh-CN"/>
        </w:rPr>
        <w:t xml:space="preserve">This [product type] has some investments that reflect the [EU’s criteria for environmentally sustainable economic activities].  These investments are subject to a principle that investment into them must not harm other environmental objectives.  The other investments in the </w:t>
      </w:r>
      <w:r w:rsidR="001C682A">
        <w:rPr>
          <w:rFonts w:ascii="Arial Nova Light" w:hAnsi="Arial Nova Light"/>
          <w:sz w:val="18"/>
          <w:szCs w:val="18"/>
          <w:lang w:eastAsia="zh-CN"/>
        </w:rPr>
        <w:t>[fund/</w:t>
      </w:r>
      <w:r w:rsidR="00C10069" w:rsidRPr="00C10069">
        <w:rPr>
          <w:rFonts w:ascii="Arial Nova Light" w:hAnsi="Arial Nova Light"/>
          <w:sz w:val="18"/>
          <w:szCs w:val="18"/>
          <w:lang w:eastAsia="zh-CN"/>
        </w:rPr>
        <w:t>portfolio</w:t>
      </w:r>
      <w:r w:rsidR="001C682A">
        <w:rPr>
          <w:rFonts w:ascii="Arial Nova Light" w:hAnsi="Arial Nova Light"/>
          <w:sz w:val="18"/>
          <w:szCs w:val="18"/>
          <w:lang w:eastAsia="zh-CN"/>
        </w:rPr>
        <w:t>]</w:t>
      </w:r>
      <w:r w:rsidR="00C10069" w:rsidRPr="00C10069">
        <w:rPr>
          <w:rFonts w:ascii="Arial Nova Light" w:hAnsi="Arial Nova Light"/>
          <w:sz w:val="18"/>
          <w:szCs w:val="18"/>
          <w:lang w:eastAsia="zh-CN"/>
        </w:rPr>
        <w:t xml:space="preserve"> </w:t>
      </w:r>
      <w:r w:rsidR="001C682A">
        <w:rPr>
          <w:rFonts w:ascii="Arial Nova Light" w:hAnsi="Arial Nova Light"/>
          <w:sz w:val="18"/>
          <w:szCs w:val="18"/>
          <w:lang w:eastAsia="zh-CN"/>
        </w:rPr>
        <w:t xml:space="preserve">(as applicable) </w:t>
      </w:r>
      <w:r w:rsidR="00C10069" w:rsidRPr="00C10069">
        <w:rPr>
          <w:rFonts w:ascii="Arial Nova Light" w:hAnsi="Arial Nova Light"/>
          <w:sz w:val="18"/>
          <w:szCs w:val="18"/>
          <w:lang w:eastAsia="zh-CN"/>
        </w:rPr>
        <w:t>are not subject to this principle.</w:t>
      </w:r>
      <w:r>
        <w:rPr>
          <w:rFonts w:ascii="Arial Nova Light" w:hAnsi="Arial Nova Light"/>
          <w:sz w:val="18"/>
          <w:szCs w:val="18"/>
          <w:lang w:eastAsia="zh-CN"/>
        </w:rPr>
        <w:t>”</w:t>
      </w:r>
    </w:p>
    <w:p w:rsidR="003E573C" w:rsidRDefault="00C10069" w:rsidP="003E573C">
      <w:pPr>
        <w:rPr>
          <w:rFonts w:cs="Arial"/>
        </w:rPr>
      </w:pPr>
      <w:r w:rsidRPr="00C10069">
        <w:rPr>
          <w:rFonts w:ascii="Museo Sans 100" w:hAnsi="Museo Sans 100"/>
          <w:sz w:val="18"/>
          <w:szCs w:val="18"/>
          <w:lang w:eastAsia="zh-CN"/>
        </w:rPr>
        <w:t>However, it would have been preferable to ask for a statement to be made without stating what language is to be used.</w:t>
      </w:r>
      <w:permEnd w:id="1657939075"/>
      <w:r w:rsidR="003E573C">
        <w:rPr>
          <w:rFonts w:cs="Arial"/>
        </w:rPr>
        <w:t>&lt;ESA_QUESTION_</w:t>
      </w:r>
      <w:r w:rsidR="00C86E1C">
        <w:rPr>
          <w:rFonts w:cs="Arial"/>
        </w:rPr>
        <w:t>ESG</w:t>
      </w:r>
      <w:r w:rsidR="003E573C">
        <w:rPr>
          <w:rFonts w:cs="Arial"/>
        </w:rPr>
        <w:t>_22&gt;</w:t>
      </w:r>
    </w:p>
    <w:p w:rsidR="003E573C" w:rsidRDefault="003E573C" w:rsidP="003E573C">
      <w:pPr>
        <w:rPr>
          <w:rFonts w:cs="Arial"/>
        </w:rPr>
      </w:pPr>
    </w:p>
    <w:p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rsidR="003E573C" w:rsidRDefault="003E573C" w:rsidP="003E573C">
      <w:pPr>
        <w:rPr>
          <w:rFonts w:cs="Arial"/>
        </w:rPr>
      </w:pPr>
      <w:r>
        <w:rPr>
          <w:rFonts w:cs="Arial"/>
        </w:rPr>
        <w:t>&lt;ESA_QUESTION_</w:t>
      </w:r>
      <w:r w:rsidR="00C86E1C">
        <w:rPr>
          <w:rFonts w:cs="Arial"/>
        </w:rPr>
        <w:t>ESG</w:t>
      </w:r>
      <w:r>
        <w:rPr>
          <w:rFonts w:cs="Arial"/>
        </w:rPr>
        <w:t>_23&gt;</w:t>
      </w:r>
    </w:p>
    <w:p w:rsidR="003E573C" w:rsidRDefault="00C10069" w:rsidP="003E573C">
      <w:pPr>
        <w:rPr>
          <w:rFonts w:cs="Arial"/>
        </w:rPr>
      </w:pPr>
      <w:permStart w:id="167731526" w:edGrp="everyone"/>
      <w:r>
        <w:rPr>
          <w:rFonts w:ascii="Museo Sans 100" w:hAnsi="Museo Sans 100"/>
        </w:rPr>
        <w:t>We are aware of multiple initiatives from trade associations that specify definitions.  Definitions from the ESAs will undermine that work without an identified benefit.</w:t>
      </w:r>
      <w:permEnd w:id="167731526"/>
      <w:r w:rsidR="003E573C">
        <w:rPr>
          <w:rFonts w:cs="Arial"/>
        </w:rPr>
        <w:t>&lt;ESA_QUESTION_</w:t>
      </w:r>
      <w:r w:rsidR="00C86E1C">
        <w:rPr>
          <w:rFonts w:cs="Arial"/>
        </w:rPr>
        <w:t>ESG</w:t>
      </w:r>
      <w:r w:rsidR="003E573C">
        <w:rPr>
          <w:rFonts w:cs="Arial"/>
        </w:rPr>
        <w:t>_23&gt;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_24&gt;</w:t>
      </w:r>
    </w:p>
    <w:p w:rsidR="003E573C" w:rsidRDefault="00C10069" w:rsidP="003E573C">
      <w:pPr>
        <w:rPr>
          <w:rFonts w:cs="Arial"/>
        </w:rPr>
      </w:pPr>
      <w:permStart w:id="337779750" w:edGrp="everyone"/>
      <w:r w:rsidRPr="00C10069">
        <w:rPr>
          <w:rFonts w:ascii="Museo Sans 100" w:hAnsi="Museo Sans 100"/>
          <w:sz w:val="18"/>
          <w:szCs w:val="18"/>
          <w:lang w:eastAsia="zh-CN"/>
        </w:rPr>
        <w:t>No comment</w:t>
      </w:r>
      <w:r w:rsidR="00D847BD">
        <w:rPr>
          <w:rFonts w:ascii="Museo Sans 100" w:hAnsi="Museo Sans 100"/>
          <w:sz w:val="18"/>
          <w:szCs w:val="18"/>
          <w:lang w:eastAsia="zh-CN"/>
        </w:rPr>
        <w:t>.</w:t>
      </w:r>
      <w:permEnd w:id="337779750"/>
      <w:r w:rsidR="003E573C">
        <w:rPr>
          <w:rFonts w:cs="Arial"/>
        </w:rPr>
        <w:t>&lt;ESA_QUESTION_</w:t>
      </w:r>
      <w:r w:rsidR="00C86E1C">
        <w:rPr>
          <w:rFonts w:cs="Arial"/>
        </w:rPr>
        <w:t>ESG</w:t>
      </w:r>
      <w:r w:rsidR="003E573C">
        <w:rPr>
          <w:rFonts w:cs="Arial"/>
        </w:rPr>
        <w:t>_24&gt;</w:t>
      </w:r>
    </w:p>
    <w:p w:rsidR="003E573C" w:rsidRDefault="003E573C" w:rsidP="003E573C">
      <w:pPr>
        <w:rPr>
          <w:rFonts w:cs="Arial"/>
        </w:rPr>
      </w:pPr>
    </w:p>
    <w:p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rsidR="006920C8" w:rsidRDefault="006920C8" w:rsidP="006920C8">
      <w:pPr>
        <w:pStyle w:val="Questionstyle"/>
        <w:numPr>
          <w:ilvl w:val="0"/>
          <w:numId w:val="46"/>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rsidR="006920C8" w:rsidRDefault="006920C8" w:rsidP="006920C8">
      <w:pPr>
        <w:pStyle w:val="Questionstyle"/>
        <w:numPr>
          <w:ilvl w:val="0"/>
          <w:numId w:val="46"/>
        </w:numPr>
      </w:pPr>
      <w:r>
        <w:t>a short description of the policy to assess good governance practices of the investee companies - in the draft RTS below it is in pre-contractual disclosure Articles 17(c) and 26(c);</w:t>
      </w:r>
    </w:p>
    <w:p w:rsidR="006920C8" w:rsidRDefault="006920C8" w:rsidP="006920C8">
      <w:pPr>
        <w:pStyle w:val="Questionstyle"/>
        <w:numPr>
          <w:ilvl w:val="0"/>
          <w:numId w:val="46"/>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rsidR="006920C8" w:rsidRDefault="006920C8" w:rsidP="006920C8">
      <w:pPr>
        <w:pStyle w:val="Questionstyle"/>
        <w:numPr>
          <w:ilvl w:val="0"/>
          <w:numId w:val="46"/>
        </w:numPr>
      </w:pPr>
      <w:r>
        <w:t xml:space="preserve">a reference to whether data sources are external or internal and in what proportions - not currently reflected in the draft RTS but could complement the pre-contractual disclosures under Article 17. </w:t>
      </w:r>
    </w:p>
    <w:p w:rsidR="003E573C" w:rsidRDefault="003E573C" w:rsidP="006920C8">
      <w:pPr>
        <w:pStyle w:val="Questionstyle"/>
        <w:ind w:left="720"/>
      </w:pP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_25&gt;</w:t>
      </w:r>
    </w:p>
    <w:p w:rsidR="003E573C" w:rsidRDefault="00C10069" w:rsidP="003E573C">
      <w:pPr>
        <w:rPr>
          <w:rFonts w:cs="Arial"/>
        </w:rPr>
      </w:pPr>
      <w:permStart w:id="223117017" w:edGrp="everyone"/>
      <w:r w:rsidRPr="00C10069">
        <w:rPr>
          <w:rFonts w:ascii="Museo Sans 100" w:hAnsi="Museo Sans 100"/>
          <w:sz w:val="18"/>
          <w:szCs w:val="18"/>
          <w:lang w:eastAsia="zh-CN"/>
        </w:rPr>
        <w:t>No comment</w:t>
      </w:r>
      <w:r w:rsidR="00D847BD">
        <w:rPr>
          <w:rFonts w:ascii="Museo Sans 100" w:hAnsi="Museo Sans 100"/>
          <w:sz w:val="18"/>
          <w:szCs w:val="18"/>
          <w:lang w:eastAsia="zh-CN"/>
        </w:rPr>
        <w:t>.</w:t>
      </w:r>
      <w:permEnd w:id="223117017"/>
      <w:r w:rsidR="003E573C">
        <w:rPr>
          <w:rFonts w:cs="Arial"/>
        </w:rPr>
        <w:t>&lt;ESA_QUESTION_</w:t>
      </w:r>
      <w:r w:rsidR="00C86E1C">
        <w:rPr>
          <w:rFonts w:cs="Arial"/>
        </w:rPr>
        <w:t>ESG</w:t>
      </w:r>
      <w:r w:rsidR="003E573C">
        <w:rPr>
          <w:rFonts w:cs="Arial"/>
        </w:rPr>
        <w:t>_25&gt;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rsidR="003E573C" w:rsidRDefault="003E573C" w:rsidP="003E573C">
      <w:pPr>
        <w:rPr>
          <w:rFonts w:cs="Arial"/>
        </w:rPr>
      </w:pPr>
      <w:r>
        <w:rPr>
          <w:rFonts w:cs="Arial"/>
        </w:rPr>
        <w:t>&lt;ESA_QUESTION_</w:t>
      </w:r>
      <w:r w:rsidR="00C86E1C">
        <w:rPr>
          <w:rFonts w:cs="Arial"/>
        </w:rPr>
        <w:t>ESG</w:t>
      </w:r>
      <w:r>
        <w:rPr>
          <w:rFonts w:cs="Arial"/>
        </w:rPr>
        <w:t>_26&gt;</w:t>
      </w:r>
    </w:p>
    <w:p w:rsidR="003E573C" w:rsidRDefault="00C10069" w:rsidP="003E573C">
      <w:pPr>
        <w:rPr>
          <w:rFonts w:cs="Arial"/>
        </w:rPr>
      </w:pPr>
      <w:permStart w:id="1463766626" w:edGrp="everyone"/>
      <w:r w:rsidRPr="00C10069">
        <w:rPr>
          <w:rFonts w:ascii="Museo Sans 100" w:hAnsi="Museo Sans 100"/>
          <w:sz w:val="18"/>
          <w:szCs w:val="18"/>
          <w:lang w:eastAsia="zh-CN"/>
        </w:rPr>
        <w:t>We would defer to FMPs on this point but suspect that derivatives should be dealt with separately.</w:t>
      </w:r>
      <w:permEnd w:id="1463766626"/>
      <w:r w:rsidR="003E573C">
        <w:rPr>
          <w:rFonts w:cs="Arial"/>
        </w:rPr>
        <w:t>&lt;ESA_QUESTION_</w:t>
      </w:r>
      <w:r w:rsidR="00C86E1C">
        <w:rPr>
          <w:rFonts w:cs="Arial"/>
        </w:rPr>
        <w:t>ESG</w:t>
      </w:r>
      <w:r w:rsidR="003E573C">
        <w:rPr>
          <w:rFonts w:cs="Arial"/>
        </w:rPr>
        <w:t>_26&gt;</w:t>
      </w:r>
    </w:p>
    <w:p w:rsidR="003E573C" w:rsidRDefault="003E573C" w:rsidP="003E573C">
      <w:pPr>
        <w:rPr>
          <w:rFonts w:cs="Arial"/>
        </w:rPr>
      </w:pPr>
    </w:p>
    <w:p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rsidR="003E573C" w:rsidRDefault="003E573C" w:rsidP="003E573C">
      <w:pPr>
        <w:rPr>
          <w:rFonts w:cs="Arial"/>
        </w:rPr>
      </w:pPr>
      <w:r>
        <w:rPr>
          <w:rFonts w:cs="Arial"/>
        </w:rPr>
        <w:t>&lt;ESA_QUESTION_</w:t>
      </w:r>
      <w:r w:rsidR="00C86E1C">
        <w:rPr>
          <w:rFonts w:cs="Arial"/>
        </w:rPr>
        <w:t>ESG</w:t>
      </w:r>
      <w:r>
        <w:rPr>
          <w:rFonts w:cs="Arial"/>
        </w:rPr>
        <w:t>_27&gt;</w:t>
      </w:r>
    </w:p>
    <w:p w:rsidR="00C10069" w:rsidRPr="00C10069" w:rsidRDefault="00C10069" w:rsidP="00C10069">
      <w:pPr>
        <w:spacing w:after="240"/>
        <w:ind w:left="851"/>
        <w:jc w:val="both"/>
        <w:rPr>
          <w:rFonts w:ascii="Museo Sans 100" w:hAnsi="Museo Sans 100"/>
          <w:sz w:val="18"/>
          <w:szCs w:val="18"/>
          <w:lang w:eastAsia="zh-CN"/>
        </w:rPr>
      </w:pPr>
      <w:permStart w:id="205606630" w:edGrp="everyone"/>
      <w:r w:rsidRPr="00C10069">
        <w:rPr>
          <w:rFonts w:ascii="Museo Sans 100" w:hAnsi="Museo Sans 100"/>
          <w:sz w:val="18"/>
          <w:szCs w:val="18"/>
          <w:lang w:eastAsia="zh-CN"/>
        </w:rPr>
        <w:t>While there are others better placed to discuss the anticipated costs of compliance, we noted the following paragraph from the ESAs</w:t>
      </w:r>
      <w:r w:rsidR="00542211">
        <w:rPr>
          <w:rFonts w:ascii="Museo Sans 100" w:hAnsi="Museo Sans 100"/>
          <w:sz w:val="18"/>
          <w:szCs w:val="18"/>
          <w:lang w:eastAsia="zh-CN"/>
        </w:rPr>
        <w:t>’</w:t>
      </w:r>
      <w:r w:rsidRPr="00C10069">
        <w:rPr>
          <w:rFonts w:ascii="Museo Sans 100" w:hAnsi="Museo Sans 100"/>
          <w:sz w:val="18"/>
          <w:szCs w:val="18"/>
          <w:lang w:eastAsia="zh-CN"/>
        </w:rPr>
        <w:t xml:space="preserve"> impact analysis (emphasis added):  </w:t>
      </w:r>
    </w:p>
    <w:p w:rsidR="00C10069" w:rsidRPr="00C10069" w:rsidRDefault="00C10069" w:rsidP="00C10069">
      <w:pPr>
        <w:pBdr>
          <w:left w:val="single" w:sz="36" w:space="4" w:color="D9D9D9" w:themeColor="background1" w:themeShade="D9"/>
        </w:pBdr>
        <w:suppressAutoHyphens/>
        <w:autoSpaceDE w:val="0"/>
        <w:autoSpaceDN w:val="0"/>
        <w:adjustRightInd w:val="0"/>
        <w:ind w:left="788"/>
        <w:jc w:val="both"/>
        <w:textAlignment w:val="center"/>
        <w:rPr>
          <w:rFonts w:ascii="Museo Sans 100" w:hAnsi="Museo Sans 100" w:cs="Museo Sans 300"/>
          <w:color w:val="000000"/>
          <w:sz w:val="18"/>
          <w:szCs w:val="18"/>
          <w:lang w:eastAsia="zh-CN"/>
        </w:rPr>
      </w:pPr>
      <w:r w:rsidRPr="00C10069">
        <w:rPr>
          <w:rFonts w:ascii="Museo Sans 100" w:hAnsi="Museo Sans 100" w:cs="Museo Sans 300"/>
          <w:color w:val="000000"/>
          <w:sz w:val="18"/>
          <w:szCs w:val="18"/>
          <w:lang w:eastAsia="zh-CN"/>
        </w:rPr>
        <w:t xml:space="preserve">“The </w:t>
      </w:r>
      <w:r w:rsidRPr="00BE3F67">
        <w:rPr>
          <w:rFonts w:ascii="Museo Sans 100" w:hAnsi="Museo Sans 100" w:cs="Museo Sans 300"/>
          <w:b/>
          <w:bCs/>
          <w:color w:val="000000"/>
          <w:sz w:val="18"/>
          <w:szCs w:val="18"/>
          <w:lang w:eastAsia="zh-CN"/>
        </w:rPr>
        <w:t>majority</w:t>
      </w:r>
      <w:r w:rsidRPr="00C10069">
        <w:rPr>
          <w:rFonts w:ascii="Museo Sans 100" w:hAnsi="Museo Sans 100" w:cs="Museo Sans 300"/>
          <w:color w:val="000000"/>
          <w:sz w:val="18"/>
          <w:szCs w:val="18"/>
          <w:lang w:eastAsia="zh-CN"/>
        </w:rPr>
        <w:t xml:space="preserve"> of the ESAs’ working group believes that the integration of ESG considerations to disclose adverse impacts and actions taken will not be </w:t>
      </w:r>
      <w:r w:rsidRPr="00BE3F67">
        <w:rPr>
          <w:rFonts w:ascii="Museo Sans 100" w:hAnsi="Museo Sans 100" w:cs="Museo Sans 300"/>
          <w:b/>
          <w:bCs/>
          <w:color w:val="000000"/>
          <w:sz w:val="18"/>
          <w:szCs w:val="18"/>
          <w:lang w:eastAsia="zh-CN"/>
        </w:rPr>
        <w:t>disproportionately</w:t>
      </w:r>
      <w:r w:rsidRPr="00C10069">
        <w:rPr>
          <w:rFonts w:ascii="Museo Sans 100" w:hAnsi="Museo Sans 100" w:cs="Museo Sans 300"/>
          <w:color w:val="000000"/>
          <w:sz w:val="18"/>
          <w:szCs w:val="18"/>
          <w:lang w:eastAsia="zh-CN"/>
        </w:rPr>
        <w:t xml:space="preserve"> </w:t>
      </w:r>
      <w:r w:rsidRPr="00BE3F67">
        <w:rPr>
          <w:rFonts w:ascii="Museo Sans 100" w:hAnsi="Museo Sans 100" w:cs="Museo Sans 300"/>
          <w:b/>
          <w:bCs/>
          <w:color w:val="000000"/>
          <w:sz w:val="18"/>
          <w:szCs w:val="18"/>
          <w:lang w:eastAsia="zh-CN"/>
        </w:rPr>
        <w:t>high</w:t>
      </w:r>
      <w:r w:rsidRPr="00C10069">
        <w:rPr>
          <w:rFonts w:ascii="Museo Sans 100" w:hAnsi="Museo Sans 100" w:cs="Museo Sans 300"/>
          <w:color w:val="000000"/>
          <w:sz w:val="18"/>
          <w:szCs w:val="18"/>
          <w:lang w:eastAsia="zh-CN"/>
        </w:rPr>
        <w:t>.”</w:t>
      </w:r>
    </w:p>
    <w:p w:rsidR="00C10069" w:rsidRPr="00C10069" w:rsidRDefault="00C10069" w:rsidP="00C10069">
      <w:pPr>
        <w:spacing w:before="240" w:after="240"/>
        <w:ind w:left="851"/>
        <w:jc w:val="both"/>
        <w:rPr>
          <w:rFonts w:ascii="Museo Sans 100" w:hAnsi="Museo Sans 100"/>
          <w:sz w:val="18"/>
          <w:szCs w:val="18"/>
          <w:lang w:eastAsia="zh-CN"/>
        </w:rPr>
      </w:pPr>
      <w:r w:rsidRPr="00C10069">
        <w:rPr>
          <w:rFonts w:ascii="Museo Sans 100" w:hAnsi="Museo Sans 100"/>
          <w:sz w:val="18"/>
          <w:szCs w:val="18"/>
          <w:lang w:eastAsia="zh-CN"/>
        </w:rPr>
        <w:t>We assume that the words were carefully chosen and therefore that some of the ESAs</w:t>
      </w:r>
      <w:r w:rsidR="00542211">
        <w:rPr>
          <w:rFonts w:ascii="Museo Sans 100" w:hAnsi="Museo Sans 100"/>
          <w:sz w:val="18"/>
          <w:szCs w:val="18"/>
          <w:lang w:eastAsia="zh-CN"/>
        </w:rPr>
        <w:t>’</w:t>
      </w:r>
      <w:r w:rsidRPr="00C10069">
        <w:rPr>
          <w:rFonts w:ascii="Museo Sans 100" w:hAnsi="Museo Sans 100"/>
          <w:sz w:val="18"/>
          <w:szCs w:val="18"/>
          <w:lang w:eastAsia="zh-CN"/>
        </w:rPr>
        <w:t xml:space="preserve"> working group (albeit a minority) considered the proposals to have a ‘disproportiona</w:t>
      </w:r>
      <w:r w:rsidR="004C000A">
        <w:rPr>
          <w:rFonts w:ascii="Museo Sans 100" w:hAnsi="Museo Sans 100"/>
          <w:sz w:val="18"/>
          <w:szCs w:val="18"/>
          <w:lang w:eastAsia="zh-CN"/>
        </w:rPr>
        <w:t>tely</w:t>
      </w:r>
      <w:r w:rsidRPr="00C10069">
        <w:rPr>
          <w:rFonts w:ascii="Museo Sans 100" w:hAnsi="Museo Sans 100"/>
          <w:sz w:val="18"/>
          <w:szCs w:val="18"/>
          <w:lang w:eastAsia="zh-CN"/>
        </w:rPr>
        <w:t xml:space="preserve"> high’ cost.  This is a concern.</w:t>
      </w:r>
    </w:p>
    <w:p w:rsidR="003E573C" w:rsidRDefault="00C10069" w:rsidP="003E573C">
      <w:pPr>
        <w:rPr>
          <w:rFonts w:cs="Arial"/>
        </w:rPr>
      </w:pPr>
      <w:r w:rsidRPr="00C10069">
        <w:rPr>
          <w:rFonts w:ascii="Museo Sans 100" w:hAnsi="Museo Sans 100"/>
          <w:sz w:val="18"/>
          <w:szCs w:val="18"/>
          <w:lang w:eastAsia="zh-CN"/>
        </w:rPr>
        <w:t>We were also extremely interested to read that the cost of the regime was being expressed as a percentage of assets under management.  If the ESAs’ suggestion is that these costs can/should be borne by the products (i.e. the end investors) then this should be made highly explicit.  In the alternative we consider the AUM to be a non-relevant factor and would ask the ESAs to reassess to confirm that the impact analysis remains valid should the cost be assessed against FMPs’ revenue.</w:t>
      </w:r>
      <w:permEnd w:id="205606630"/>
      <w:r w:rsidR="003E573C">
        <w:rPr>
          <w:rFonts w:cs="Arial"/>
        </w:rPr>
        <w:t>&lt;ESA_QUESTION_</w:t>
      </w:r>
      <w:r w:rsidR="00C86E1C">
        <w:rPr>
          <w:rFonts w:cs="Arial"/>
        </w:rPr>
        <w:t>ESG</w:t>
      </w:r>
      <w:r w:rsidR="003E573C">
        <w:rPr>
          <w:rFonts w:cs="Arial"/>
        </w:rPr>
        <w:t>_27&gt;</w:t>
      </w:r>
    </w:p>
    <w:p w:rsidR="003E573C" w:rsidRDefault="003E573C" w:rsidP="003E573C">
      <w:pPr>
        <w:rPr>
          <w:rFonts w:cs="Arial"/>
        </w:rPr>
      </w:pPr>
    </w:p>
    <w:p w:rsidR="003E573C" w:rsidRPr="007B52B2" w:rsidRDefault="003E573C" w:rsidP="003E573C">
      <w:pPr>
        <w:rPr>
          <w:rFonts w:cs="Arial"/>
        </w:rPr>
      </w:pPr>
    </w:p>
    <w:p w:rsidR="00820CBA" w:rsidRPr="00820CBA" w:rsidRDefault="00820CBA" w:rsidP="003E573C">
      <w:pPr>
        <w:pStyle w:val="Questionstyle"/>
        <w:ind w:left="720"/>
      </w:pPr>
    </w:p>
    <w:sectPr w:rsidR="00820CBA" w:rsidRPr="00820CBA"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FEF" w:rsidRDefault="007C7FEF">
      <w:r>
        <w:separator/>
      </w:r>
    </w:p>
    <w:p w:rsidR="007C7FEF" w:rsidRDefault="007C7FEF"/>
  </w:endnote>
  <w:endnote w:type="continuationSeparator" w:id="0">
    <w:p w:rsidR="007C7FEF" w:rsidRDefault="007C7FEF">
      <w:r>
        <w:continuationSeparator/>
      </w:r>
    </w:p>
    <w:p w:rsidR="007C7FEF" w:rsidRDefault="007C7FEF"/>
  </w:endnote>
  <w:endnote w:type="continuationNotice" w:id="1">
    <w:p w:rsidR="007C7FEF" w:rsidRDefault="007C7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Arial"/>
    <w:panose1 w:val="00000000000000000000"/>
    <w:charset w:val="00"/>
    <w:family w:val="modern"/>
    <w:notTrueType/>
    <w:pitch w:val="variable"/>
    <w:sig w:usb0="A00000AF" w:usb1="4000004A"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useo Sans 300">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Museo Sans 900">
    <w:altName w:val="Arial"/>
    <w:panose1 w:val="00000000000000000000"/>
    <w:charset w:val="00"/>
    <w:family w:val="modern"/>
    <w:notTrueType/>
    <w:pitch w:val="variable"/>
    <w:sig w:usb0="A00000AF" w:usb1="4000004A" w:usb2="00000000" w:usb3="00000000" w:csb0="00000093"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FEF" w:rsidRDefault="007C7FEF">
      <w:r>
        <w:separator/>
      </w:r>
    </w:p>
    <w:p w:rsidR="007C7FEF" w:rsidRDefault="007C7FEF"/>
  </w:footnote>
  <w:footnote w:type="continuationSeparator" w:id="0">
    <w:p w:rsidR="007C7FEF" w:rsidRDefault="007C7FEF">
      <w:r>
        <w:continuationSeparator/>
      </w:r>
    </w:p>
    <w:p w:rsidR="007C7FEF" w:rsidRDefault="007C7FEF"/>
  </w:footnote>
  <w:footnote w:type="continuationNotice" w:id="1">
    <w:p w:rsidR="007C7FEF" w:rsidRDefault="007C7FEF"/>
  </w:footnote>
  <w:footnote w:id="2">
    <w:p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F27B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899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27EF1"/>
    <w:multiLevelType w:val="hybridMultilevel"/>
    <w:tmpl w:val="0C1CD77C"/>
    <w:lvl w:ilvl="0" w:tplc="58182CA0">
      <w:start w:val="1"/>
      <w:numFmt w:val="decimal"/>
      <w:lvlText w:val="%1."/>
      <w:lvlJc w:val="left"/>
      <w:pPr>
        <w:ind w:left="720" w:hanging="360"/>
      </w:pPr>
      <w:rPr>
        <w:rFonts w:ascii="Museo Sans 100" w:hAnsi="Museo Sans 100" w:hint="default"/>
        <w:b w:val="0"/>
        <w:bCs w:val="0"/>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E533FD"/>
    <w:multiLevelType w:val="hybridMultilevel"/>
    <w:tmpl w:val="BD562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B75810"/>
    <w:multiLevelType w:val="multilevel"/>
    <w:tmpl w:val="5A8AD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040E39"/>
    <w:multiLevelType w:val="hybridMultilevel"/>
    <w:tmpl w:val="66FA00D2"/>
    <w:lvl w:ilvl="0" w:tplc="8EBEAD6A">
      <w:numFmt w:val="bullet"/>
      <w:lvlText w:val="-"/>
      <w:lvlJc w:val="left"/>
      <w:pPr>
        <w:ind w:left="859" w:hanging="360"/>
      </w:pPr>
      <w:rPr>
        <w:rFonts w:ascii="Museo Sans 100" w:eastAsia="Times New Roman" w:hAnsi="Museo Sans 100" w:cs="Museo Sans 300"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6100671"/>
    <w:multiLevelType w:val="hybridMultilevel"/>
    <w:tmpl w:val="7E642662"/>
    <w:lvl w:ilvl="0" w:tplc="8EBEAD6A">
      <w:numFmt w:val="bullet"/>
      <w:lvlText w:val="-"/>
      <w:lvlJc w:val="left"/>
      <w:pPr>
        <w:ind w:left="1718" w:hanging="360"/>
      </w:pPr>
      <w:rPr>
        <w:rFonts w:ascii="Museo Sans 100" w:eastAsia="Times New Roman" w:hAnsi="Museo Sans 100" w:cs="Museo Sans 300" w:hint="default"/>
      </w:rPr>
    </w:lvl>
    <w:lvl w:ilvl="1" w:tplc="08090003" w:tentative="1">
      <w:start w:val="1"/>
      <w:numFmt w:val="bullet"/>
      <w:lvlText w:val="o"/>
      <w:lvlJc w:val="left"/>
      <w:pPr>
        <w:ind w:left="2299" w:hanging="360"/>
      </w:pPr>
      <w:rPr>
        <w:rFonts w:ascii="Courier New" w:hAnsi="Courier New" w:cs="Courier New" w:hint="default"/>
      </w:rPr>
    </w:lvl>
    <w:lvl w:ilvl="2" w:tplc="08090005" w:tentative="1">
      <w:start w:val="1"/>
      <w:numFmt w:val="bullet"/>
      <w:lvlText w:val=""/>
      <w:lvlJc w:val="left"/>
      <w:pPr>
        <w:ind w:left="3019" w:hanging="360"/>
      </w:pPr>
      <w:rPr>
        <w:rFonts w:ascii="Wingdings" w:hAnsi="Wingdings" w:hint="default"/>
      </w:rPr>
    </w:lvl>
    <w:lvl w:ilvl="3" w:tplc="08090001" w:tentative="1">
      <w:start w:val="1"/>
      <w:numFmt w:val="bullet"/>
      <w:lvlText w:val=""/>
      <w:lvlJc w:val="left"/>
      <w:pPr>
        <w:ind w:left="3739" w:hanging="360"/>
      </w:pPr>
      <w:rPr>
        <w:rFonts w:ascii="Symbol" w:hAnsi="Symbol" w:hint="default"/>
      </w:rPr>
    </w:lvl>
    <w:lvl w:ilvl="4" w:tplc="08090003" w:tentative="1">
      <w:start w:val="1"/>
      <w:numFmt w:val="bullet"/>
      <w:lvlText w:val="o"/>
      <w:lvlJc w:val="left"/>
      <w:pPr>
        <w:ind w:left="4459" w:hanging="360"/>
      </w:pPr>
      <w:rPr>
        <w:rFonts w:ascii="Courier New" w:hAnsi="Courier New" w:cs="Courier New" w:hint="default"/>
      </w:rPr>
    </w:lvl>
    <w:lvl w:ilvl="5" w:tplc="08090005" w:tentative="1">
      <w:start w:val="1"/>
      <w:numFmt w:val="bullet"/>
      <w:lvlText w:val=""/>
      <w:lvlJc w:val="left"/>
      <w:pPr>
        <w:ind w:left="5179" w:hanging="360"/>
      </w:pPr>
      <w:rPr>
        <w:rFonts w:ascii="Wingdings" w:hAnsi="Wingdings" w:hint="default"/>
      </w:rPr>
    </w:lvl>
    <w:lvl w:ilvl="6" w:tplc="08090001" w:tentative="1">
      <w:start w:val="1"/>
      <w:numFmt w:val="bullet"/>
      <w:lvlText w:val=""/>
      <w:lvlJc w:val="left"/>
      <w:pPr>
        <w:ind w:left="5899" w:hanging="360"/>
      </w:pPr>
      <w:rPr>
        <w:rFonts w:ascii="Symbol" w:hAnsi="Symbol" w:hint="default"/>
      </w:rPr>
    </w:lvl>
    <w:lvl w:ilvl="7" w:tplc="08090003" w:tentative="1">
      <w:start w:val="1"/>
      <w:numFmt w:val="bullet"/>
      <w:lvlText w:val="o"/>
      <w:lvlJc w:val="left"/>
      <w:pPr>
        <w:ind w:left="6619" w:hanging="360"/>
      </w:pPr>
      <w:rPr>
        <w:rFonts w:ascii="Courier New" w:hAnsi="Courier New" w:cs="Courier New" w:hint="default"/>
      </w:rPr>
    </w:lvl>
    <w:lvl w:ilvl="8" w:tplc="08090005" w:tentative="1">
      <w:start w:val="1"/>
      <w:numFmt w:val="bullet"/>
      <w:lvlText w:val=""/>
      <w:lvlJc w:val="left"/>
      <w:pPr>
        <w:ind w:left="7339" w:hanging="360"/>
      </w:pPr>
      <w:rPr>
        <w:rFonts w:ascii="Wingdings" w:hAnsi="Wingdings" w:hint="default"/>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8"/>
  </w:num>
  <w:num w:numId="5">
    <w:abstractNumId w:val="31"/>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11"/>
  </w:num>
  <w:num w:numId="16">
    <w:abstractNumId w:val="1"/>
  </w:num>
  <w:num w:numId="17">
    <w:abstractNumId w:val="17"/>
  </w:num>
  <w:num w:numId="18">
    <w:abstractNumId w:val="18"/>
  </w:num>
  <w:num w:numId="19">
    <w:abstractNumId w:val="20"/>
  </w:num>
  <w:num w:numId="20">
    <w:abstractNumId w:val="32"/>
  </w:num>
  <w:num w:numId="21">
    <w:abstractNumId w:val="42"/>
  </w:num>
  <w:num w:numId="22">
    <w:abstractNumId w:val="30"/>
  </w:num>
  <w:num w:numId="23">
    <w:abstractNumId w:val="10"/>
  </w:num>
  <w:num w:numId="24">
    <w:abstractNumId w:val="35"/>
  </w:num>
  <w:num w:numId="25">
    <w:abstractNumId w:val="34"/>
  </w:num>
  <w:num w:numId="26">
    <w:abstractNumId w:val="23"/>
  </w:num>
  <w:num w:numId="27">
    <w:abstractNumId w:val="38"/>
  </w:num>
  <w:num w:numId="28">
    <w:abstractNumId w:val="45"/>
  </w:num>
  <w:num w:numId="29">
    <w:abstractNumId w:val="7"/>
  </w:num>
  <w:num w:numId="30">
    <w:abstractNumId w:val="3"/>
  </w:num>
  <w:num w:numId="31">
    <w:abstractNumId w:val="26"/>
  </w:num>
  <w:num w:numId="32">
    <w:abstractNumId w:val="24"/>
  </w:num>
  <w:num w:numId="33">
    <w:abstractNumId w:val="41"/>
  </w:num>
  <w:num w:numId="34">
    <w:abstractNumId w:val="40"/>
  </w:num>
  <w:num w:numId="35">
    <w:abstractNumId w:val="12"/>
  </w:num>
  <w:num w:numId="36">
    <w:abstractNumId w:val="13"/>
  </w:num>
  <w:num w:numId="37">
    <w:abstractNumId w:val="15"/>
  </w:num>
  <w:num w:numId="38">
    <w:abstractNumId w:val="29"/>
  </w:num>
  <w:num w:numId="39">
    <w:abstractNumId w:val="25"/>
  </w:num>
  <w:num w:numId="40">
    <w:abstractNumId w:val="39"/>
  </w:num>
  <w:num w:numId="41">
    <w:abstractNumId w:val="2"/>
  </w:num>
  <w:num w:numId="42">
    <w:abstractNumId w:val="6"/>
  </w:num>
  <w:num w:numId="43">
    <w:abstractNumId w:val="22"/>
  </w:num>
  <w:num w:numId="44">
    <w:abstractNumId w:val="43"/>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45E0"/>
    <w:rsid w:val="000A58BE"/>
    <w:rsid w:val="000A7314"/>
    <w:rsid w:val="000A7B53"/>
    <w:rsid w:val="000A7B64"/>
    <w:rsid w:val="000A7D5F"/>
    <w:rsid w:val="000B145F"/>
    <w:rsid w:val="000B23AE"/>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0D56"/>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3B7E"/>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C682A"/>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1B7E"/>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A7A2E"/>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00A"/>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11"/>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004"/>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6FB"/>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77302"/>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C7FEF"/>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DAD"/>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56A"/>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4A8"/>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10C2"/>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1F4E"/>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3F67"/>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069"/>
    <w:rsid w:val="00C10B11"/>
    <w:rsid w:val="00C10BE6"/>
    <w:rsid w:val="00C11296"/>
    <w:rsid w:val="00C11905"/>
    <w:rsid w:val="00C1234A"/>
    <w:rsid w:val="00C12661"/>
    <w:rsid w:val="00C126E3"/>
    <w:rsid w:val="00C1330F"/>
    <w:rsid w:val="00C13ED7"/>
    <w:rsid w:val="00C14615"/>
    <w:rsid w:val="00C14F48"/>
    <w:rsid w:val="00C15296"/>
    <w:rsid w:val="00C159D8"/>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42"/>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47BD"/>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80A"/>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Body2">
    <w:name w:val="Body 2"/>
    <w:basedOn w:val="Normal"/>
    <w:qFormat/>
    <w:rsid w:val="006B36FB"/>
    <w:pPr>
      <w:spacing w:after="240"/>
      <w:ind w:left="851"/>
      <w:jc w:val="both"/>
    </w:pPr>
    <w:rPr>
      <w:rFonts w:ascii="Verdana" w:hAnsi="Verdana"/>
      <w:sz w:val="18"/>
      <w:szCs w:val="18"/>
      <w:lang w:eastAsia="zh-CN"/>
    </w:rPr>
  </w:style>
  <w:style w:type="paragraph" w:customStyle="1" w:styleId="BasicParagraph">
    <w:name w:val="[Basic Paragraph]"/>
    <w:basedOn w:val="Normal"/>
    <w:uiPriority w:val="99"/>
    <w:rsid w:val="001C682A"/>
    <w:pPr>
      <w:autoSpaceDE w:val="0"/>
      <w:autoSpaceDN w:val="0"/>
      <w:adjustRightInd w:val="0"/>
      <w:spacing w:line="288" w:lineRule="auto"/>
      <w:jc w:val="both"/>
      <w:textAlignment w:val="center"/>
    </w:pPr>
    <w:rPr>
      <w:rFonts w:ascii="Minion Pro" w:hAnsi="Minion Pro" w:cs="Minion Pro"/>
      <w:color w:val="000000"/>
      <w:sz w:val="24"/>
      <w:lang w:eastAsia="zh-CN"/>
    </w:rPr>
  </w:style>
  <w:style w:type="character" w:styleId="UnresolvedMention">
    <w:name w:val="Unresolved Mention"/>
    <w:basedOn w:val="DefaultParagraphFont"/>
    <w:uiPriority w:val="99"/>
    <w:semiHidden/>
    <w:unhideWhenUsed/>
    <w:rsid w:val="00812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rive.google.com/drive/folders/12neSJvI7qRLhQC9_l4G2Hpbnx0QafHtU?usp=sharin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yperlink" Target="https://drive.google.com/drive/folders/12neSJvI7qRLhQC9_l4G2Hpbnx0QafHtU?usp=shar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11482531-2B73-471E-96EC-6D4B9118C8A2}">
  <ds:schemaRefs>
    <ds:schemaRef ds:uri="http://schemas.openxmlformats.org/officeDocument/2006/bibliography"/>
  </ds:schemaRefs>
</ds:datastoreItem>
</file>

<file path=customXml/itemProps6.xml><?xml version="1.0" encoding="utf-8"?>
<ds:datastoreItem xmlns:ds="http://schemas.openxmlformats.org/officeDocument/2006/customXml" ds:itemID="{66C9795D-F06D-4EF9-A9D7-C438AA26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5681</Words>
  <Characters>31363</Characters>
  <Application>Microsoft Office Word</Application>
  <DocSecurity>8</DocSecurity>
  <Lines>522</Lines>
  <Paragraphs>242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LON_LIB1\23185957\4</vt:lpstr>
      <vt:lpstr>20110000</vt:lpstr>
      <vt:lpstr>20110000</vt:lpstr>
      <vt:lpstr>20110000</vt:lpstr>
      <vt:lpstr>20110000</vt:lpstr>
    </vt:vector>
  </TitlesOfParts>
  <Company>ESMA</Company>
  <LinksUpToDate>false</LinksUpToDate>
  <CharactersWithSpaces>36802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LON_LIB1\23185957\4</dc:title>
  <dc:creator>PritchT</dc:creator>
  <cp:lastModifiedBy>Eversheds Sutherland</cp:lastModifiedBy>
  <cp:revision>3</cp:revision>
  <cp:lastPrinted>2015-02-18T11:01:00Z</cp:lastPrinted>
  <dcterms:created xsi:type="dcterms:W3CDTF">2020-09-01T18:04:00Z</dcterms:created>
  <dcterms:modified xsi:type="dcterms:W3CDTF">2020-09-01T18:04:00Z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y fmtid="{D5CDD505-2E9C-101B-9397-08002B2CF9AE}" pid="18" name="eDOCS AutoSave">
    <vt:lpwstr/>
  </property>
  <property fmtid="{D5CDD505-2E9C-101B-9397-08002B2CF9AE}" pid="19" name="DOC_GUID">
    <vt:lpwstr>0ce1b3be-5d93-4a1b-b376-a3023c4439f4</vt:lpwstr>
  </property>
  <property fmtid="{D5CDD505-2E9C-101B-9397-08002B2CF9AE}" pid="20" name="DocType">
    <vt:lpwstr>DOC</vt:lpwstr>
  </property>
</Properties>
</file>