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EE" w:rsidRPr="00257381" w:rsidRDefault="00E847EE" w:rsidP="00E847EE">
      <w:pPr>
        <w:jc w:val="center"/>
        <w:rPr>
          <w:rFonts w:asciiTheme="minorHAnsi" w:hAnsiTheme="minorHAnsi" w:cstheme="minorHAnsi"/>
          <w:b/>
          <w:sz w:val="24"/>
          <w:lang w:val="en-US"/>
        </w:rPr>
      </w:pPr>
      <w:bookmarkStart w:id="0" w:name="_GoBack"/>
      <w:bookmarkEnd w:id="0"/>
      <w:r w:rsidRPr="00257381">
        <w:rPr>
          <w:rFonts w:asciiTheme="minorHAnsi" w:hAnsiTheme="minorHAnsi" w:cstheme="minorHAnsi"/>
          <w:b/>
          <w:sz w:val="24"/>
          <w:lang w:val="en-US"/>
        </w:rPr>
        <w:t>Introduction</w:t>
      </w:r>
    </w:p>
    <w:p w:rsidR="00EF4B8D" w:rsidRPr="00257381" w:rsidRDefault="00EF4B8D" w:rsidP="00E847EE">
      <w:pPr>
        <w:jc w:val="center"/>
        <w:rPr>
          <w:rFonts w:asciiTheme="minorHAnsi" w:hAnsiTheme="minorHAnsi" w:cstheme="minorHAnsi"/>
          <w:b/>
          <w:sz w:val="24"/>
          <w:lang w:val="en-US"/>
        </w:rPr>
      </w:pPr>
    </w:p>
    <w:p w:rsidR="00E847EE" w:rsidRDefault="00E62CF2" w:rsidP="00E847EE">
      <w:pPr>
        <w:jc w:val="both"/>
        <w:rPr>
          <w:rFonts w:asciiTheme="minorHAnsi" w:hAnsiTheme="minorHAnsi" w:cstheme="minorHAnsi"/>
          <w:sz w:val="24"/>
          <w:lang w:val="en-US"/>
        </w:rPr>
      </w:pPr>
      <w:r>
        <w:rPr>
          <w:rFonts w:asciiTheme="minorHAnsi" w:hAnsiTheme="minorHAnsi" w:cstheme="minorHAnsi"/>
          <w:sz w:val="24"/>
          <w:lang w:val="en-US"/>
        </w:rPr>
        <w:t>L</w:t>
      </w:r>
      <w:r w:rsidR="00E847EE" w:rsidRPr="00257381">
        <w:rPr>
          <w:rFonts w:asciiTheme="minorHAnsi" w:hAnsiTheme="minorHAnsi" w:cstheme="minorHAnsi"/>
          <w:sz w:val="24"/>
          <w:lang w:val="en-US"/>
        </w:rPr>
        <w:t xml:space="preserve">argest </w:t>
      </w:r>
      <w:r w:rsidR="006A56C5">
        <w:rPr>
          <w:rFonts w:asciiTheme="minorHAnsi" w:hAnsiTheme="minorHAnsi" w:cstheme="minorHAnsi"/>
          <w:sz w:val="24"/>
          <w:lang w:val="en-US"/>
        </w:rPr>
        <w:t xml:space="preserve">European </w:t>
      </w:r>
      <w:r w:rsidR="00E847EE" w:rsidRPr="00257381">
        <w:rPr>
          <w:rFonts w:asciiTheme="minorHAnsi" w:hAnsiTheme="minorHAnsi" w:cstheme="minorHAnsi"/>
          <w:sz w:val="24"/>
          <w:lang w:val="en-US"/>
        </w:rPr>
        <w:t>asset manager and rank</w:t>
      </w:r>
      <w:r>
        <w:rPr>
          <w:rFonts w:asciiTheme="minorHAnsi" w:hAnsiTheme="minorHAnsi" w:cstheme="minorHAnsi"/>
          <w:sz w:val="24"/>
          <w:lang w:val="en-US"/>
        </w:rPr>
        <w:t>ing</w:t>
      </w:r>
      <w:r w:rsidR="006A56C5">
        <w:rPr>
          <w:rFonts w:asciiTheme="minorHAnsi" w:hAnsiTheme="minorHAnsi" w:cstheme="minorHAnsi"/>
          <w:sz w:val="24"/>
          <w:lang w:val="en-US"/>
        </w:rPr>
        <w:t xml:space="preserve"> </w:t>
      </w:r>
      <w:r w:rsidR="00E847EE" w:rsidRPr="00257381">
        <w:rPr>
          <w:rFonts w:asciiTheme="minorHAnsi" w:hAnsiTheme="minorHAnsi" w:cstheme="minorHAnsi"/>
          <w:sz w:val="24"/>
          <w:lang w:val="en-US"/>
        </w:rPr>
        <w:t>in the top 10 globally</w:t>
      </w:r>
      <w:r>
        <w:rPr>
          <w:rFonts w:asciiTheme="minorHAnsi" w:hAnsiTheme="minorHAnsi" w:cstheme="minorHAnsi"/>
          <w:sz w:val="24"/>
          <w:lang w:val="en-US"/>
        </w:rPr>
        <w:t>, Amundi</w:t>
      </w:r>
      <w:r w:rsidR="00E847EE" w:rsidRPr="00257381">
        <w:rPr>
          <w:rFonts w:asciiTheme="minorHAnsi" w:hAnsiTheme="minorHAnsi" w:cstheme="minorHAnsi"/>
          <w:sz w:val="24"/>
          <w:lang w:val="en-US"/>
        </w:rPr>
        <w:t xml:space="preserve"> manages 1.527 billion euros of assets across six main investment hubs in Boston, Dublin, London, Milan, Paris and Tokyo.</w:t>
      </w:r>
      <w:r>
        <w:rPr>
          <w:rFonts w:asciiTheme="minorHAnsi" w:hAnsiTheme="minorHAnsi" w:cstheme="minorHAnsi"/>
          <w:sz w:val="24"/>
          <w:lang w:val="en-US"/>
        </w:rPr>
        <w:t xml:space="preserve"> It</w:t>
      </w:r>
      <w:r w:rsidR="00E847EE" w:rsidRPr="00257381">
        <w:rPr>
          <w:rFonts w:asciiTheme="minorHAnsi" w:hAnsiTheme="minorHAnsi" w:cstheme="minorHAnsi"/>
          <w:sz w:val="24"/>
          <w:lang w:val="en-US"/>
        </w:rPr>
        <w:t xml:space="preserve"> offers</w:t>
      </w:r>
      <w:r>
        <w:rPr>
          <w:rFonts w:asciiTheme="minorHAnsi" w:hAnsiTheme="minorHAnsi" w:cstheme="minorHAnsi"/>
          <w:sz w:val="24"/>
          <w:lang w:val="en-US"/>
        </w:rPr>
        <w:t xml:space="preserve"> to</w:t>
      </w:r>
      <w:r w:rsidR="00E847EE" w:rsidRPr="00257381">
        <w:rPr>
          <w:rFonts w:asciiTheme="minorHAnsi" w:hAnsiTheme="minorHAnsi" w:cstheme="minorHAnsi"/>
          <w:sz w:val="24"/>
          <w:lang w:val="en-US"/>
        </w:rPr>
        <w:t xml:space="preserve"> its clients in Europe, Asia-Pacific, the Middle East and the Americas a wealth of market expertise and a full range of capabilities across the active, passive and real assets investment universes. Clients also have access to a complete set of services and tools. Hea</w:t>
      </w:r>
      <w:r w:rsidR="00741296" w:rsidRPr="00257381">
        <w:rPr>
          <w:rFonts w:asciiTheme="minorHAnsi" w:hAnsiTheme="minorHAnsi" w:cstheme="minorHAnsi"/>
          <w:sz w:val="24"/>
          <w:lang w:val="en-US"/>
        </w:rPr>
        <w:t xml:space="preserve">dquartered in Paris, Amundi </w:t>
      </w:r>
      <w:proofErr w:type="gramStart"/>
      <w:r w:rsidR="00741296" w:rsidRPr="00257381">
        <w:rPr>
          <w:rFonts w:asciiTheme="minorHAnsi" w:hAnsiTheme="minorHAnsi" w:cstheme="minorHAnsi"/>
          <w:sz w:val="24"/>
          <w:lang w:val="en-US"/>
        </w:rPr>
        <w:t xml:space="preserve">was </w:t>
      </w:r>
      <w:r w:rsidR="00E847EE" w:rsidRPr="00257381">
        <w:rPr>
          <w:rFonts w:asciiTheme="minorHAnsi" w:hAnsiTheme="minorHAnsi" w:cstheme="minorHAnsi"/>
          <w:sz w:val="24"/>
          <w:lang w:val="en-US"/>
        </w:rPr>
        <w:t>listed</w:t>
      </w:r>
      <w:proofErr w:type="gramEnd"/>
      <w:r w:rsidR="00E847EE" w:rsidRPr="00257381">
        <w:rPr>
          <w:rFonts w:asciiTheme="minorHAnsi" w:hAnsiTheme="minorHAnsi" w:cstheme="minorHAnsi"/>
          <w:sz w:val="24"/>
          <w:lang w:val="en-US"/>
        </w:rPr>
        <w:t xml:space="preserve"> in November 2015.</w:t>
      </w:r>
    </w:p>
    <w:p w:rsidR="00B61CAD" w:rsidRPr="00257381" w:rsidRDefault="00B61CAD" w:rsidP="00E847EE">
      <w:pPr>
        <w:jc w:val="both"/>
        <w:rPr>
          <w:rFonts w:asciiTheme="minorHAnsi" w:hAnsiTheme="minorHAnsi" w:cstheme="minorHAnsi"/>
          <w:sz w:val="24"/>
          <w:lang w:val="en-US"/>
        </w:rPr>
      </w:pPr>
    </w:p>
    <w:p w:rsidR="00E847EE" w:rsidRDefault="00E847EE" w:rsidP="00E847EE">
      <w:pPr>
        <w:jc w:val="both"/>
        <w:rPr>
          <w:rFonts w:asciiTheme="minorHAnsi" w:hAnsiTheme="minorHAnsi" w:cstheme="minorHAnsi"/>
          <w:sz w:val="24"/>
          <w:lang w:val="en-US"/>
        </w:rPr>
      </w:pPr>
      <w:r w:rsidRPr="00257381">
        <w:rPr>
          <w:rFonts w:asciiTheme="minorHAnsi" w:hAnsiTheme="minorHAnsi" w:cstheme="minorHAnsi"/>
          <w:sz w:val="24"/>
          <w:lang w:val="en-US"/>
        </w:rPr>
        <w:t xml:space="preserve">Since inception, Amundi has put Responsible investment and corporate responsibility as one of its founding pillar, based on the convictions that first, the economic and financial actors have a greater responsibility towards sustainable society and then, that ESG </w:t>
      </w:r>
      <w:r w:rsidR="00E62CF2">
        <w:rPr>
          <w:rFonts w:asciiTheme="minorHAnsi" w:hAnsiTheme="minorHAnsi" w:cstheme="minorHAnsi"/>
          <w:sz w:val="24"/>
          <w:lang w:val="en-US"/>
        </w:rPr>
        <w:t>(</w:t>
      </w:r>
      <w:r w:rsidR="00FA0BAF">
        <w:rPr>
          <w:rFonts w:asciiTheme="minorHAnsi" w:hAnsiTheme="minorHAnsi" w:cstheme="minorHAnsi"/>
          <w:sz w:val="24"/>
          <w:lang w:val="en-US"/>
        </w:rPr>
        <w:t>“</w:t>
      </w:r>
      <w:r w:rsidR="00E62CF2">
        <w:rPr>
          <w:rFonts w:asciiTheme="minorHAnsi" w:hAnsiTheme="minorHAnsi" w:cstheme="minorHAnsi"/>
          <w:sz w:val="24"/>
          <w:lang w:val="en-US"/>
        </w:rPr>
        <w:t>Environment, Social and Governance</w:t>
      </w:r>
      <w:r w:rsidR="00FA0BAF">
        <w:rPr>
          <w:rFonts w:asciiTheme="minorHAnsi" w:hAnsiTheme="minorHAnsi" w:cstheme="minorHAnsi"/>
          <w:sz w:val="24"/>
          <w:lang w:val="en-US"/>
        </w:rPr>
        <w:t>”</w:t>
      </w:r>
      <w:r w:rsidR="00E62CF2">
        <w:rPr>
          <w:rFonts w:asciiTheme="minorHAnsi" w:hAnsiTheme="minorHAnsi" w:cstheme="minorHAnsi"/>
          <w:sz w:val="24"/>
          <w:lang w:val="en-US"/>
        </w:rPr>
        <w:t xml:space="preserve">) </w:t>
      </w:r>
      <w:r w:rsidRPr="00257381">
        <w:rPr>
          <w:rFonts w:asciiTheme="minorHAnsi" w:hAnsiTheme="minorHAnsi" w:cstheme="minorHAnsi"/>
          <w:sz w:val="24"/>
          <w:lang w:val="en-US"/>
        </w:rPr>
        <w:t xml:space="preserve">is a long-term driver of financial performances. In that respect, </w:t>
      </w:r>
      <w:r w:rsidR="006A56C5">
        <w:rPr>
          <w:rFonts w:asciiTheme="minorHAnsi" w:hAnsiTheme="minorHAnsi" w:cstheme="minorHAnsi"/>
          <w:sz w:val="24"/>
          <w:lang w:val="en-US"/>
        </w:rPr>
        <w:t xml:space="preserve">we </w:t>
      </w:r>
      <w:r w:rsidRPr="00257381">
        <w:rPr>
          <w:rFonts w:asciiTheme="minorHAnsi" w:hAnsiTheme="minorHAnsi" w:cstheme="minorHAnsi"/>
          <w:sz w:val="24"/>
          <w:lang w:val="en-US"/>
        </w:rPr>
        <w:t>consider the development of both, Responsible Investment solutions and ESG mainst</w:t>
      </w:r>
      <w:r w:rsidR="00EF4B8D" w:rsidRPr="00257381">
        <w:rPr>
          <w:rFonts w:asciiTheme="minorHAnsi" w:hAnsiTheme="minorHAnsi" w:cstheme="minorHAnsi"/>
          <w:sz w:val="24"/>
          <w:lang w:val="en-US"/>
        </w:rPr>
        <w:t>reaming</w:t>
      </w:r>
      <w:r w:rsidR="00FD12A5">
        <w:rPr>
          <w:rFonts w:asciiTheme="minorHAnsi" w:hAnsiTheme="minorHAnsi" w:cstheme="minorHAnsi"/>
          <w:sz w:val="24"/>
          <w:lang w:val="en-US"/>
        </w:rPr>
        <w:t xml:space="preserve"> </w:t>
      </w:r>
      <w:r w:rsidR="006A56C5">
        <w:rPr>
          <w:rFonts w:asciiTheme="minorHAnsi" w:hAnsiTheme="minorHAnsi" w:cstheme="minorHAnsi"/>
          <w:sz w:val="24"/>
          <w:lang w:val="en-US"/>
        </w:rPr>
        <w:t>as</w:t>
      </w:r>
      <w:r w:rsidR="00FD12A5">
        <w:rPr>
          <w:rFonts w:asciiTheme="minorHAnsi" w:hAnsiTheme="minorHAnsi" w:cstheme="minorHAnsi"/>
          <w:sz w:val="24"/>
          <w:lang w:val="en-US"/>
        </w:rPr>
        <w:t xml:space="preserve"> </w:t>
      </w:r>
      <w:r w:rsidR="00EF4B8D" w:rsidRPr="00257381">
        <w:rPr>
          <w:rFonts w:asciiTheme="minorHAnsi" w:hAnsiTheme="minorHAnsi" w:cstheme="minorHAnsi"/>
          <w:sz w:val="24"/>
          <w:lang w:val="en-US"/>
        </w:rPr>
        <w:t>essential</w:t>
      </w:r>
      <w:r w:rsidRPr="00257381">
        <w:rPr>
          <w:rFonts w:asciiTheme="minorHAnsi" w:hAnsiTheme="minorHAnsi" w:cstheme="minorHAnsi"/>
          <w:sz w:val="24"/>
          <w:lang w:val="en-US"/>
        </w:rPr>
        <w:t xml:space="preserve"> to reach a sustainable finance eco-system.</w:t>
      </w:r>
      <w:r w:rsidR="00B61CAD" w:rsidRPr="00B61CAD">
        <w:rPr>
          <w:rFonts w:asciiTheme="minorHAnsi" w:hAnsiTheme="minorHAnsi" w:cstheme="minorHAnsi"/>
          <w:sz w:val="24"/>
          <w:lang w:val="en-US"/>
        </w:rPr>
        <w:t xml:space="preserve"> </w:t>
      </w:r>
      <w:r w:rsidR="00B61CAD" w:rsidRPr="00257381">
        <w:rPr>
          <w:rFonts w:asciiTheme="minorHAnsi" w:hAnsiTheme="minorHAnsi" w:cstheme="minorHAnsi"/>
          <w:sz w:val="24"/>
          <w:lang w:val="en-US"/>
        </w:rPr>
        <w:t xml:space="preserve">Fully supportive of the Action Plan on Financing a Sustainable Growth back in March 2018, Amundi </w:t>
      </w:r>
      <w:r w:rsidR="00E62CF2">
        <w:rPr>
          <w:rFonts w:asciiTheme="minorHAnsi" w:hAnsiTheme="minorHAnsi" w:cstheme="minorHAnsi"/>
          <w:sz w:val="24"/>
          <w:lang w:val="en-US"/>
        </w:rPr>
        <w:t xml:space="preserve">is </w:t>
      </w:r>
      <w:r w:rsidR="006A56C5">
        <w:rPr>
          <w:rFonts w:asciiTheme="minorHAnsi" w:hAnsiTheme="minorHAnsi" w:cstheme="minorHAnsi"/>
          <w:sz w:val="24"/>
          <w:lang w:val="en-US"/>
        </w:rPr>
        <w:t xml:space="preserve">deeply </w:t>
      </w:r>
      <w:r w:rsidR="00E62CF2">
        <w:rPr>
          <w:rFonts w:asciiTheme="minorHAnsi" w:hAnsiTheme="minorHAnsi" w:cstheme="minorHAnsi"/>
          <w:sz w:val="24"/>
          <w:lang w:val="en-US"/>
        </w:rPr>
        <w:t>convinced</w:t>
      </w:r>
      <w:r w:rsidR="00E62CF2" w:rsidRPr="00257381">
        <w:rPr>
          <w:rFonts w:asciiTheme="minorHAnsi" w:hAnsiTheme="minorHAnsi" w:cstheme="minorHAnsi"/>
          <w:sz w:val="24"/>
          <w:lang w:val="en-US"/>
        </w:rPr>
        <w:t xml:space="preserve"> </w:t>
      </w:r>
      <w:r w:rsidR="00B61CAD" w:rsidRPr="00257381">
        <w:rPr>
          <w:rFonts w:asciiTheme="minorHAnsi" w:hAnsiTheme="minorHAnsi" w:cstheme="minorHAnsi"/>
          <w:sz w:val="24"/>
          <w:lang w:val="en-US"/>
        </w:rPr>
        <w:t xml:space="preserve">that the European Union has a key role to play in these times of unprecedented environmental and social challenges, as well as economic ones. </w:t>
      </w:r>
      <w:r w:rsidR="00E62CF2">
        <w:rPr>
          <w:rFonts w:asciiTheme="minorHAnsi" w:hAnsiTheme="minorHAnsi" w:cstheme="minorHAnsi"/>
          <w:sz w:val="24"/>
          <w:lang w:val="en-US"/>
        </w:rPr>
        <w:t xml:space="preserve">In this respect, </w:t>
      </w:r>
      <w:r w:rsidR="00E62CF2" w:rsidRPr="00257381">
        <w:rPr>
          <w:rFonts w:asciiTheme="minorHAnsi" w:hAnsiTheme="minorHAnsi" w:cstheme="minorHAnsi"/>
          <w:sz w:val="24"/>
          <w:lang w:val="en-US"/>
        </w:rPr>
        <w:t>the goals of the Paris Agreement</w:t>
      </w:r>
      <w:r w:rsidR="00E62CF2">
        <w:rPr>
          <w:rFonts w:asciiTheme="minorHAnsi" w:hAnsiTheme="minorHAnsi" w:cstheme="minorHAnsi"/>
          <w:sz w:val="24"/>
          <w:lang w:val="en-US"/>
        </w:rPr>
        <w:t xml:space="preserve"> as well as t</w:t>
      </w:r>
      <w:r w:rsidR="00B61CAD" w:rsidRPr="00257381">
        <w:rPr>
          <w:rFonts w:asciiTheme="minorHAnsi" w:hAnsiTheme="minorHAnsi" w:cstheme="minorHAnsi"/>
          <w:sz w:val="24"/>
          <w:lang w:val="en-US"/>
        </w:rPr>
        <w:t>he EU Green Deal set a clear path towards a more sustainable economy and asset managers have a responsibility to help reach</w:t>
      </w:r>
      <w:r w:rsidR="00E62CF2">
        <w:rPr>
          <w:rFonts w:asciiTheme="minorHAnsi" w:hAnsiTheme="minorHAnsi" w:cstheme="minorHAnsi"/>
          <w:sz w:val="24"/>
          <w:lang w:val="en-US"/>
        </w:rPr>
        <w:t>ing</w:t>
      </w:r>
      <w:r w:rsidR="00B61CAD" w:rsidRPr="00257381">
        <w:rPr>
          <w:rFonts w:asciiTheme="minorHAnsi" w:hAnsiTheme="minorHAnsi" w:cstheme="minorHAnsi"/>
          <w:sz w:val="24"/>
          <w:lang w:val="en-US"/>
        </w:rPr>
        <w:t xml:space="preserve"> the objectives.</w:t>
      </w:r>
    </w:p>
    <w:p w:rsidR="00B61CAD" w:rsidRPr="00257381" w:rsidRDefault="00B61CAD" w:rsidP="00E847EE">
      <w:pPr>
        <w:jc w:val="both"/>
        <w:rPr>
          <w:rFonts w:asciiTheme="minorHAnsi" w:hAnsiTheme="minorHAnsi" w:cstheme="minorHAnsi"/>
          <w:sz w:val="24"/>
          <w:lang w:val="en-US"/>
        </w:rPr>
      </w:pPr>
    </w:p>
    <w:p w:rsidR="00E62CF2" w:rsidRDefault="00B61CAD" w:rsidP="00E847EE">
      <w:pPr>
        <w:jc w:val="both"/>
        <w:rPr>
          <w:rFonts w:asciiTheme="minorHAnsi" w:hAnsiTheme="minorHAnsi" w:cstheme="minorHAnsi"/>
          <w:sz w:val="24"/>
        </w:rPr>
      </w:pPr>
      <w:r>
        <w:rPr>
          <w:rFonts w:asciiTheme="minorHAnsi" w:hAnsiTheme="minorHAnsi" w:cstheme="minorHAnsi"/>
          <w:sz w:val="24"/>
          <w:lang w:val="en-US"/>
        </w:rPr>
        <w:t xml:space="preserve">Against this background, </w:t>
      </w:r>
      <w:r w:rsidR="00E847EE" w:rsidRPr="00257381">
        <w:rPr>
          <w:rFonts w:asciiTheme="minorHAnsi" w:hAnsiTheme="minorHAnsi" w:cstheme="minorHAnsi"/>
          <w:sz w:val="24"/>
          <w:lang w:val="en-US"/>
        </w:rPr>
        <w:t xml:space="preserve">Amundi </w:t>
      </w:r>
      <w:r>
        <w:rPr>
          <w:rFonts w:asciiTheme="minorHAnsi" w:hAnsiTheme="minorHAnsi" w:cstheme="minorHAnsi"/>
          <w:sz w:val="24"/>
          <w:lang w:val="en-US"/>
        </w:rPr>
        <w:t>welcomes</w:t>
      </w:r>
      <w:r w:rsidR="00E847EE" w:rsidRPr="00257381">
        <w:rPr>
          <w:rFonts w:asciiTheme="minorHAnsi" w:hAnsiTheme="minorHAnsi" w:cstheme="minorHAnsi"/>
          <w:sz w:val="24"/>
          <w:lang w:val="en-US"/>
        </w:rPr>
        <w:t xml:space="preserve"> the opportunity to </w:t>
      </w:r>
      <w:r>
        <w:rPr>
          <w:rFonts w:asciiTheme="minorHAnsi" w:hAnsiTheme="minorHAnsi" w:cstheme="minorHAnsi"/>
          <w:sz w:val="24"/>
          <w:lang w:val="en-US"/>
        </w:rPr>
        <w:t>provide input to the consultation of the ESAs Joint Consultation Paper on ESG disclosures</w:t>
      </w:r>
      <w:r w:rsidR="00E62CF2">
        <w:rPr>
          <w:rFonts w:asciiTheme="minorHAnsi" w:hAnsiTheme="minorHAnsi" w:cstheme="minorHAnsi"/>
          <w:sz w:val="24"/>
          <w:lang w:val="en-US"/>
        </w:rPr>
        <w:t xml:space="preserve"> (“SFDR”)</w:t>
      </w:r>
      <w:r>
        <w:rPr>
          <w:rFonts w:asciiTheme="minorHAnsi" w:hAnsiTheme="minorHAnsi" w:cstheme="minorHAnsi"/>
          <w:sz w:val="24"/>
          <w:lang w:val="en-US"/>
        </w:rPr>
        <w:t xml:space="preserve">, </w:t>
      </w:r>
      <w:r w:rsidR="00E62CF2" w:rsidRPr="00B61CAD">
        <w:rPr>
          <w:rFonts w:asciiTheme="minorHAnsi" w:hAnsiTheme="minorHAnsi" w:cstheme="minorHAnsi"/>
          <w:sz w:val="24"/>
        </w:rPr>
        <w:t>as published by the ESAs on 23 April 2020</w:t>
      </w:r>
      <w:r w:rsidR="00E62CF2">
        <w:rPr>
          <w:rStyle w:val="FootnoteReference"/>
          <w:rFonts w:asciiTheme="minorHAnsi" w:hAnsiTheme="minorHAnsi" w:cstheme="minorHAnsi"/>
          <w:sz w:val="24"/>
        </w:rPr>
        <w:footnoteReference w:id="1"/>
      </w:r>
      <w:r w:rsidR="00E62CF2">
        <w:rPr>
          <w:rFonts w:asciiTheme="minorHAnsi" w:hAnsiTheme="minorHAnsi" w:cstheme="minorHAnsi"/>
          <w:sz w:val="24"/>
        </w:rPr>
        <w:t>.</w:t>
      </w:r>
    </w:p>
    <w:p w:rsidR="00B61CAD" w:rsidRDefault="00B61CAD" w:rsidP="000416F4">
      <w:pPr>
        <w:pStyle w:val="Standa1"/>
        <w:spacing w:before="120" w:after="120" w:line="276" w:lineRule="auto"/>
        <w:jc w:val="both"/>
        <w:rPr>
          <w:rFonts w:asciiTheme="minorHAnsi" w:hAnsiTheme="minorHAnsi" w:cstheme="minorHAnsi"/>
          <w:lang w:val="en-GB"/>
        </w:rPr>
      </w:pPr>
      <w:r>
        <w:rPr>
          <w:rFonts w:asciiTheme="minorHAnsi" w:hAnsiTheme="minorHAnsi" w:cstheme="minorHAnsi"/>
          <w:lang w:val="en-US"/>
        </w:rPr>
        <w:t xml:space="preserve">While </w:t>
      </w:r>
      <w:r w:rsidR="006A56C5">
        <w:rPr>
          <w:rFonts w:asciiTheme="minorHAnsi" w:hAnsiTheme="minorHAnsi" w:cstheme="minorHAnsi"/>
          <w:lang w:val="en-US"/>
        </w:rPr>
        <w:t xml:space="preserve">we </w:t>
      </w:r>
      <w:r>
        <w:rPr>
          <w:rFonts w:asciiTheme="minorHAnsi" w:hAnsiTheme="minorHAnsi" w:cstheme="minorHAnsi"/>
          <w:lang w:val="en-US"/>
        </w:rPr>
        <w:t>fully concur to the objectives of creating a strong framework for sustainable invest</w:t>
      </w:r>
      <w:r w:rsidR="00E62CF2">
        <w:rPr>
          <w:rFonts w:asciiTheme="minorHAnsi" w:hAnsiTheme="minorHAnsi" w:cstheme="minorHAnsi"/>
          <w:lang w:val="en-US"/>
        </w:rPr>
        <w:t xml:space="preserve">ment and </w:t>
      </w:r>
      <w:r>
        <w:rPr>
          <w:rFonts w:asciiTheme="minorHAnsi" w:hAnsiTheme="minorHAnsi" w:cstheme="minorHAnsi"/>
          <w:lang w:val="en-US"/>
        </w:rPr>
        <w:t xml:space="preserve">of increasing transparency for end-investors, we are however concerned about </w:t>
      </w:r>
      <w:r w:rsidR="003C0580" w:rsidRPr="00257381">
        <w:rPr>
          <w:rFonts w:asciiTheme="minorHAnsi" w:hAnsiTheme="minorHAnsi" w:cstheme="minorHAnsi"/>
          <w:lang w:val="en-US"/>
        </w:rPr>
        <w:t>some</w:t>
      </w:r>
      <w:r w:rsidR="00E847EE" w:rsidRPr="00257381">
        <w:rPr>
          <w:rFonts w:asciiTheme="minorHAnsi" w:hAnsiTheme="minorHAnsi" w:cstheme="minorHAnsi"/>
          <w:lang w:val="en-US"/>
        </w:rPr>
        <w:t xml:space="preserve"> crucial points</w:t>
      </w:r>
      <w:r w:rsidR="00E62CF2">
        <w:rPr>
          <w:rFonts w:asciiTheme="minorHAnsi" w:hAnsiTheme="minorHAnsi" w:cstheme="minorHAnsi"/>
          <w:lang w:val="en-US"/>
        </w:rPr>
        <w:t xml:space="preserve"> raised in the Consultation Paper and in the Draft regulatory technical standards (“RTS”)</w:t>
      </w:r>
      <w:r w:rsidR="00E847EE" w:rsidRPr="00257381">
        <w:rPr>
          <w:rFonts w:asciiTheme="minorHAnsi" w:hAnsiTheme="minorHAnsi" w:cstheme="minorHAnsi"/>
          <w:lang w:val="en-US"/>
        </w:rPr>
        <w:t>:</w:t>
      </w:r>
      <w:r w:rsidR="00EF4B8D" w:rsidRPr="00257381">
        <w:rPr>
          <w:rFonts w:asciiTheme="minorHAnsi" w:hAnsiTheme="minorHAnsi" w:cstheme="minorHAnsi"/>
          <w:b/>
          <w:bCs/>
          <w:lang w:val="en-GB"/>
        </w:rPr>
        <w:t xml:space="preserve"> </w:t>
      </w:r>
    </w:p>
    <w:p w:rsidR="0065625E" w:rsidRPr="00257381" w:rsidRDefault="006E405F" w:rsidP="00E62CF2">
      <w:pPr>
        <w:pStyle w:val="Standa1"/>
        <w:numPr>
          <w:ilvl w:val="0"/>
          <w:numId w:val="1"/>
        </w:numPr>
        <w:spacing w:before="120" w:after="120" w:line="276" w:lineRule="auto"/>
        <w:jc w:val="both"/>
        <w:rPr>
          <w:rFonts w:asciiTheme="minorHAnsi" w:hAnsiTheme="minorHAnsi" w:cstheme="minorHAnsi"/>
          <w:lang w:val="en-GB"/>
        </w:rPr>
      </w:pPr>
      <w:proofErr w:type="gramStart"/>
      <w:r>
        <w:rPr>
          <w:rFonts w:asciiTheme="minorHAnsi" w:hAnsiTheme="minorHAnsi" w:cstheme="minorHAnsi"/>
          <w:lang w:val="en-GB"/>
        </w:rPr>
        <w:t>First of all</w:t>
      </w:r>
      <w:proofErr w:type="gramEnd"/>
      <w:r>
        <w:rPr>
          <w:rFonts w:asciiTheme="minorHAnsi" w:hAnsiTheme="minorHAnsi" w:cstheme="minorHAnsi"/>
          <w:lang w:val="en-GB"/>
        </w:rPr>
        <w:t>, the current d</w:t>
      </w:r>
      <w:r w:rsidR="0065625E" w:rsidRPr="00257381">
        <w:rPr>
          <w:rFonts w:asciiTheme="minorHAnsi" w:hAnsiTheme="minorHAnsi" w:cstheme="minorHAnsi"/>
          <w:lang w:val="en-GB"/>
        </w:rPr>
        <w:t xml:space="preserve">raft RTS are very prescriptive and granular and </w:t>
      </w:r>
      <w:r w:rsidR="00257381">
        <w:rPr>
          <w:rFonts w:asciiTheme="minorHAnsi" w:hAnsiTheme="minorHAnsi" w:cstheme="minorHAnsi"/>
          <w:lang w:val="en-GB"/>
        </w:rPr>
        <w:t>go</w:t>
      </w:r>
      <w:r w:rsidR="0065625E" w:rsidRPr="00257381">
        <w:rPr>
          <w:rFonts w:asciiTheme="minorHAnsi" w:hAnsiTheme="minorHAnsi" w:cstheme="minorHAnsi"/>
          <w:lang w:val="en-GB"/>
        </w:rPr>
        <w:t xml:space="preserve"> further than the level 1 text</w:t>
      </w:r>
      <w:r w:rsidR="00E62CF2">
        <w:rPr>
          <w:rFonts w:asciiTheme="minorHAnsi" w:hAnsiTheme="minorHAnsi" w:cstheme="minorHAnsi"/>
          <w:lang w:val="en-GB"/>
        </w:rPr>
        <w:t xml:space="preserve"> prescriptions</w:t>
      </w:r>
      <w:r w:rsidR="00B61CAD">
        <w:rPr>
          <w:rFonts w:asciiTheme="minorHAnsi" w:hAnsiTheme="minorHAnsi" w:cstheme="minorHAnsi"/>
          <w:lang w:val="en-GB"/>
        </w:rPr>
        <w:t>.</w:t>
      </w:r>
      <w:r w:rsidR="00D4297D">
        <w:rPr>
          <w:rFonts w:ascii="Calibri" w:hAnsi="Calibri" w:cs="Calibri"/>
          <w:lang w:val="en-GB"/>
        </w:rPr>
        <w:t xml:space="preserve"> </w:t>
      </w:r>
      <w:r w:rsidR="00B23352">
        <w:rPr>
          <w:rFonts w:ascii="Calibri" w:hAnsi="Calibri" w:cs="Calibri"/>
          <w:lang w:val="en-GB"/>
        </w:rPr>
        <w:t xml:space="preserve">This is a real cause of concern, </w:t>
      </w:r>
      <w:r w:rsidR="00B23352" w:rsidRPr="00D4297D">
        <w:rPr>
          <w:rFonts w:ascii="Calibri" w:hAnsi="Calibri" w:cs="Calibri"/>
          <w:lang w:val="en-US"/>
        </w:rPr>
        <w:t>especially in such a short timeframe of implementation</w:t>
      </w:r>
      <w:r w:rsidR="00B23352">
        <w:rPr>
          <w:rFonts w:ascii="Calibri" w:hAnsi="Calibri" w:cs="Calibri"/>
          <w:lang w:val="en-US"/>
        </w:rPr>
        <w:t>.</w:t>
      </w:r>
      <w:r w:rsidR="00B23352" w:rsidRPr="00D4297D">
        <w:rPr>
          <w:rFonts w:ascii="Calibri" w:hAnsi="Calibri" w:cs="Calibri"/>
          <w:lang w:val="en-US"/>
        </w:rPr>
        <w:t> </w:t>
      </w:r>
      <w:r>
        <w:rPr>
          <w:rFonts w:asciiTheme="minorHAnsi" w:hAnsiTheme="minorHAnsi" w:cstheme="minorHAnsi"/>
          <w:lang w:val="en-GB"/>
        </w:rPr>
        <w:t xml:space="preserve">SFDR </w:t>
      </w:r>
      <w:r w:rsidR="00B61CAD">
        <w:rPr>
          <w:rFonts w:asciiTheme="minorHAnsi" w:hAnsiTheme="minorHAnsi" w:cstheme="minorHAnsi"/>
          <w:lang w:val="en-GB"/>
        </w:rPr>
        <w:t xml:space="preserve">requires the publication of a statement on due diligence policies with respect to adverse impact and disclosure of information on their policies </w:t>
      </w:r>
      <w:r>
        <w:rPr>
          <w:rFonts w:asciiTheme="minorHAnsi" w:hAnsiTheme="minorHAnsi" w:cstheme="minorHAnsi"/>
          <w:lang w:val="en-GB"/>
        </w:rPr>
        <w:t xml:space="preserve">on identification and </w:t>
      </w:r>
      <w:proofErr w:type="spellStart"/>
      <w:r>
        <w:rPr>
          <w:rFonts w:asciiTheme="minorHAnsi" w:hAnsiTheme="minorHAnsi" w:cstheme="minorHAnsi"/>
          <w:lang w:val="en-GB"/>
        </w:rPr>
        <w:t>priorisation</w:t>
      </w:r>
      <w:proofErr w:type="spellEnd"/>
      <w:r>
        <w:rPr>
          <w:rFonts w:asciiTheme="minorHAnsi" w:hAnsiTheme="minorHAnsi" w:cstheme="minorHAnsi"/>
          <w:lang w:val="en-GB"/>
        </w:rPr>
        <w:t xml:space="preserve"> of principal adverse impact and indicators, </w:t>
      </w:r>
      <w:r w:rsidR="00E62CF2">
        <w:rPr>
          <w:rFonts w:asciiTheme="minorHAnsi" w:hAnsiTheme="minorHAnsi" w:cstheme="minorHAnsi"/>
          <w:lang w:val="en-GB"/>
        </w:rPr>
        <w:t xml:space="preserve">along with a </w:t>
      </w:r>
      <w:r>
        <w:rPr>
          <w:rFonts w:asciiTheme="minorHAnsi" w:hAnsiTheme="minorHAnsi" w:cstheme="minorHAnsi"/>
          <w:lang w:val="en-GB"/>
        </w:rPr>
        <w:t>description of principal adverse impacts and actions</w:t>
      </w:r>
      <w:r w:rsidR="00E62CF2">
        <w:rPr>
          <w:rFonts w:asciiTheme="minorHAnsi" w:hAnsiTheme="minorHAnsi" w:cstheme="minorHAnsi"/>
          <w:lang w:val="en-GB"/>
        </w:rPr>
        <w:t>.</w:t>
      </w:r>
      <w:r w:rsidR="00D4297D" w:rsidRPr="00D4297D">
        <w:rPr>
          <w:rFonts w:ascii="Calibri" w:hAnsi="Calibri" w:cs="Calibri"/>
          <w:lang w:val="en-GB"/>
        </w:rPr>
        <w:t xml:space="preserve"> </w:t>
      </w:r>
      <w:r w:rsidR="00E62CF2">
        <w:rPr>
          <w:rFonts w:asciiTheme="minorHAnsi" w:hAnsiTheme="minorHAnsi" w:cstheme="minorHAnsi"/>
          <w:lang w:val="en-GB"/>
        </w:rPr>
        <w:t>However,</w:t>
      </w:r>
      <w:r>
        <w:rPr>
          <w:rFonts w:asciiTheme="minorHAnsi" w:hAnsiTheme="minorHAnsi" w:cstheme="minorHAnsi"/>
          <w:lang w:val="en-GB"/>
        </w:rPr>
        <w:t xml:space="preserve"> the level </w:t>
      </w:r>
      <w:proofErr w:type="gramStart"/>
      <w:r>
        <w:rPr>
          <w:rFonts w:asciiTheme="minorHAnsi" w:hAnsiTheme="minorHAnsi" w:cstheme="minorHAnsi"/>
          <w:lang w:val="en-GB"/>
        </w:rPr>
        <w:t>1</w:t>
      </w:r>
      <w:proofErr w:type="gramEnd"/>
      <w:r>
        <w:rPr>
          <w:rFonts w:asciiTheme="minorHAnsi" w:hAnsiTheme="minorHAnsi" w:cstheme="minorHAnsi"/>
          <w:lang w:val="en-GB"/>
        </w:rPr>
        <w:t xml:space="preserve"> text leaves the flexibility regarding which indicators to use.</w:t>
      </w:r>
      <w:r w:rsidR="00B23352">
        <w:rPr>
          <w:rFonts w:asciiTheme="minorHAnsi" w:hAnsiTheme="minorHAnsi" w:cstheme="minorHAnsi"/>
          <w:lang w:val="en-GB"/>
        </w:rPr>
        <w:t xml:space="preserve"> Therefore, we do not see the rationale to impose such prescriptive indicators and associated metrics.</w:t>
      </w:r>
      <w:r>
        <w:rPr>
          <w:rFonts w:asciiTheme="minorHAnsi" w:hAnsiTheme="minorHAnsi" w:cstheme="minorHAnsi"/>
          <w:lang w:val="en-GB"/>
        </w:rPr>
        <w:t xml:space="preserve"> In addition, we would like to raise </w:t>
      </w:r>
      <w:r w:rsidR="006A56C5">
        <w:rPr>
          <w:rFonts w:asciiTheme="minorHAnsi" w:hAnsiTheme="minorHAnsi" w:cstheme="minorHAnsi"/>
          <w:lang w:val="en-GB"/>
        </w:rPr>
        <w:t>awareness</w:t>
      </w:r>
      <w:r>
        <w:rPr>
          <w:rFonts w:asciiTheme="minorHAnsi" w:hAnsiTheme="minorHAnsi" w:cstheme="minorHAnsi"/>
          <w:lang w:val="en-GB"/>
        </w:rPr>
        <w:t xml:space="preserve"> on the insufficient availability of data on investee companies. While we hope that the forthcoming review of NFRD will provide improvement in the availability and reliability of ESG data, in the current context, a </w:t>
      </w:r>
      <w:proofErr w:type="gramStart"/>
      <w:r>
        <w:rPr>
          <w:rFonts w:asciiTheme="minorHAnsi" w:hAnsiTheme="minorHAnsi" w:cstheme="minorHAnsi"/>
          <w:lang w:val="en-GB"/>
        </w:rPr>
        <w:t>more qualitative</w:t>
      </w:r>
      <w:proofErr w:type="gramEnd"/>
      <w:r>
        <w:rPr>
          <w:rFonts w:asciiTheme="minorHAnsi" w:hAnsiTheme="minorHAnsi" w:cstheme="minorHAnsi"/>
          <w:lang w:val="en-GB"/>
        </w:rPr>
        <w:t xml:space="preserve"> assessment should be allowed.</w:t>
      </w:r>
    </w:p>
    <w:p w:rsidR="00EF4B8D" w:rsidRPr="006E405F" w:rsidRDefault="006E405F" w:rsidP="00E62CF2">
      <w:pPr>
        <w:pStyle w:val="Standa1"/>
        <w:numPr>
          <w:ilvl w:val="0"/>
          <w:numId w:val="1"/>
        </w:numPr>
        <w:spacing w:before="120" w:after="120" w:line="276" w:lineRule="auto"/>
        <w:jc w:val="both"/>
        <w:rPr>
          <w:rFonts w:asciiTheme="minorHAnsi" w:hAnsiTheme="minorHAnsi" w:cstheme="minorHAnsi"/>
          <w:lang w:val="en-GB"/>
        </w:rPr>
      </w:pPr>
      <w:r>
        <w:rPr>
          <w:rFonts w:asciiTheme="minorHAnsi" w:hAnsiTheme="minorHAnsi" w:cstheme="minorHAnsi"/>
          <w:bCs/>
          <w:lang w:val="en-GB"/>
        </w:rPr>
        <w:lastRenderedPageBreak/>
        <w:t>Second, m</w:t>
      </w:r>
      <w:r w:rsidR="00EF4B8D" w:rsidRPr="00257381">
        <w:rPr>
          <w:rFonts w:asciiTheme="minorHAnsi" w:hAnsiTheme="minorHAnsi" w:cstheme="minorHAnsi"/>
          <w:bCs/>
          <w:lang w:val="en-GB"/>
        </w:rPr>
        <w:t xml:space="preserve">ore clarity </w:t>
      </w:r>
      <w:r w:rsidR="003C0580" w:rsidRPr="00257381">
        <w:rPr>
          <w:rFonts w:asciiTheme="minorHAnsi" w:hAnsiTheme="minorHAnsi" w:cstheme="minorHAnsi"/>
          <w:bCs/>
          <w:lang w:val="en-GB"/>
        </w:rPr>
        <w:t xml:space="preserve">is </w:t>
      </w:r>
      <w:r w:rsidR="00EF4B8D" w:rsidRPr="00257381">
        <w:rPr>
          <w:rFonts w:asciiTheme="minorHAnsi" w:hAnsiTheme="minorHAnsi" w:cstheme="minorHAnsi"/>
          <w:bCs/>
          <w:lang w:val="en-GB"/>
        </w:rPr>
        <w:t xml:space="preserve">needed </w:t>
      </w:r>
      <w:r w:rsidR="003C0580" w:rsidRPr="00257381">
        <w:rPr>
          <w:rFonts w:asciiTheme="minorHAnsi" w:hAnsiTheme="minorHAnsi" w:cstheme="minorHAnsi"/>
          <w:bCs/>
          <w:lang w:val="en-GB"/>
        </w:rPr>
        <w:t xml:space="preserve">to assess which products </w:t>
      </w:r>
      <w:r w:rsidR="00EF4B8D" w:rsidRPr="00257381">
        <w:rPr>
          <w:rFonts w:asciiTheme="minorHAnsi" w:hAnsiTheme="minorHAnsi" w:cstheme="minorHAnsi"/>
          <w:bCs/>
          <w:lang w:val="en-GB"/>
        </w:rPr>
        <w:t>qualify as Art</w:t>
      </w:r>
      <w:r w:rsidR="00BD231C">
        <w:rPr>
          <w:rFonts w:asciiTheme="minorHAnsi" w:hAnsiTheme="minorHAnsi" w:cstheme="minorHAnsi"/>
          <w:bCs/>
          <w:lang w:val="en-GB"/>
        </w:rPr>
        <w:t>icle</w:t>
      </w:r>
      <w:r w:rsidR="00EF4B8D" w:rsidRPr="00257381">
        <w:rPr>
          <w:rFonts w:asciiTheme="minorHAnsi" w:hAnsiTheme="minorHAnsi" w:cstheme="minorHAnsi"/>
          <w:bCs/>
          <w:lang w:val="en-GB"/>
        </w:rPr>
        <w:t xml:space="preserve"> 8 and Art</w:t>
      </w:r>
      <w:r w:rsidR="00BD231C">
        <w:rPr>
          <w:rFonts w:asciiTheme="minorHAnsi" w:hAnsiTheme="minorHAnsi" w:cstheme="minorHAnsi"/>
          <w:bCs/>
          <w:lang w:val="en-GB"/>
        </w:rPr>
        <w:t>icle</w:t>
      </w:r>
      <w:r w:rsidR="00EF4B8D" w:rsidRPr="00257381">
        <w:rPr>
          <w:rFonts w:asciiTheme="minorHAnsi" w:hAnsiTheme="minorHAnsi" w:cstheme="minorHAnsi"/>
          <w:bCs/>
          <w:lang w:val="en-GB"/>
        </w:rPr>
        <w:t xml:space="preserve"> 9 products</w:t>
      </w:r>
      <w:r w:rsidR="00E62CF2">
        <w:rPr>
          <w:rFonts w:asciiTheme="minorHAnsi" w:hAnsiTheme="minorHAnsi" w:cstheme="minorHAnsi"/>
          <w:bCs/>
          <w:lang w:val="en-GB"/>
        </w:rPr>
        <w:t xml:space="preserve"> under SFDR level 1 text</w:t>
      </w:r>
      <w:r w:rsidR="00EF4B8D" w:rsidRPr="00257381">
        <w:rPr>
          <w:rFonts w:asciiTheme="minorHAnsi" w:hAnsiTheme="minorHAnsi" w:cstheme="minorHAnsi"/>
          <w:bCs/>
          <w:lang w:val="en-GB"/>
        </w:rPr>
        <w:t xml:space="preserve">, </w:t>
      </w:r>
      <w:r w:rsidR="003C0580" w:rsidRPr="00257381">
        <w:rPr>
          <w:rFonts w:asciiTheme="minorHAnsi" w:hAnsiTheme="minorHAnsi" w:cstheme="minorHAnsi"/>
          <w:bCs/>
          <w:lang w:val="en-GB"/>
        </w:rPr>
        <w:t>and therefore, what disclosure obligations are required</w:t>
      </w:r>
      <w:r w:rsidR="002F2EDB">
        <w:rPr>
          <w:rFonts w:asciiTheme="minorHAnsi" w:hAnsiTheme="minorHAnsi" w:cstheme="minorHAnsi"/>
          <w:bCs/>
          <w:lang w:val="en-GB"/>
        </w:rPr>
        <w:t xml:space="preserve"> accordingly</w:t>
      </w:r>
      <w:r w:rsidR="003C0580" w:rsidRPr="00257381">
        <w:rPr>
          <w:rFonts w:asciiTheme="minorHAnsi" w:hAnsiTheme="minorHAnsi" w:cstheme="minorHAnsi"/>
          <w:bCs/>
          <w:lang w:val="en-GB"/>
        </w:rPr>
        <w:t>.</w:t>
      </w:r>
      <w:r>
        <w:rPr>
          <w:rFonts w:asciiTheme="minorHAnsi" w:hAnsiTheme="minorHAnsi" w:cstheme="minorHAnsi"/>
          <w:lang w:val="en-GB"/>
        </w:rPr>
        <w:t xml:space="preserve"> </w:t>
      </w:r>
      <w:r w:rsidR="002F2EDB">
        <w:rPr>
          <w:rFonts w:asciiTheme="minorHAnsi" w:hAnsiTheme="minorHAnsi" w:cstheme="minorHAnsi"/>
          <w:lang w:val="en-GB"/>
        </w:rPr>
        <w:t>While we understand that the</w:t>
      </w:r>
      <w:r w:rsidR="00BD231C">
        <w:rPr>
          <w:rFonts w:asciiTheme="minorHAnsi" w:hAnsiTheme="minorHAnsi" w:cstheme="minorHAnsi"/>
          <w:lang w:val="en-GB"/>
        </w:rPr>
        <w:t xml:space="preserve"> key elements of</w:t>
      </w:r>
      <w:r w:rsidR="002F2EDB">
        <w:rPr>
          <w:rFonts w:asciiTheme="minorHAnsi" w:hAnsiTheme="minorHAnsi" w:cstheme="minorHAnsi"/>
          <w:lang w:val="en-GB"/>
        </w:rPr>
        <w:t xml:space="preserve"> </w:t>
      </w:r>
      <w:r w:rsidR="00BD231C">
        <w:rPr>
          <w:rFonts w:asciiTheme="minorHAnsi" w:hAnsiTheme="minorHAnsi" w:cstheme="minorHAnsi"/>
          <w:lang w:val="en-GB"/>
        </w:rPr>
        <w:t xml:space="preserve">definition of the products pertain to level </w:t>
      </w:r>
      <w:proofErr w:type="gramStart"/>
      <w:r w:rsidR="00BD231C">
        <w:rPr>
          <w:rFonts w:asciiTheme="minorHAnsi" w:hAnsiTheme="minorHAnsi" w:cstheme="minorHAnsi"/>
          <w:lang w:val="en-GB"/>
        </w:rPr>
        <w:t>1</w:t>
      </w:r>
      <w:proofErr w:type="gramEnd"/>
      <w:r w:rsidR="00BD231C">
        <w:rPr>
          <w:rFonts w:asciiTheme="minorHAnsi" w:hAnsiTheme="minorHAnsi" w:cstheme="minorHAnsi"/>
          <w:lang w:val="en-GB"/>
        </w:rPr>
        <w:t xml:space="preserve"> text, there is a need to define more precisely at level 2 both the perimeter and the delineation between Article 8 and Article 9 products</w:t>
      </w:r>
      <w:r w:rsidR="00E62CF2">
        <w:rPr>
          <w:rFonts w:asciiTheme="minorHAnsi" w:hAnsiTheme="minorHAnsi" w:cstheme="minorHAnsi"/>
          <w:lang w:val="en-GB"/>
        </w:rPr>
        <w:t>. This is essential</w:t>
      </w:r>
      <w:r w:rsidR="00BD231C">
        <w:rPr>
          <w:rFonts w:asciiTheme="minorHAnsi" w:hAnsiTheme="minorHAnsi" w:cstheme="minorHAnsi"/>
          <w:lang w:val="en-GB"/>
        </w:rPr>
        <w:t xml:space="preserve"> to clarify the scope of the requirements that differ from one category of product to another.</w:t>
      </w:r>
      <w:r w:rsidR="00E62CF2">
        <w:rPr>
          <w:rFonts w:asciiTheme="minorHAnsi" w:hAnsiTheme="minorHAnsi" w:cstheme="minorHAnsi"/>
          <w:lang w:val="en-GB"/>
        </w:rPr>
        <w:t xml:space="preserve"> Further clarification </w:t>
      </w:r>
      <w:proofErr w:type="gramStart"/>
      <w:r w:rsidR="00E62CF2">
        <w:rPr>
          <w:rFonts w:asciiTheme="minorHAnsi" w:hAnsiTheme="minorHAnsi" w:cstheme="minorHAnsi"/>
          <w:lang w:val="en-GB"/>
        </w:rPr>
        <w:t>is</w:t>
      </w:r>
      <w:r w:rsidR="0088123C" w:rsidRPr="006E405F">
        <w:rPr>
          <w:rFonts w:asciiTheme="minorHAnsi" w:hAnsiTheme="minorHAnsi" w:cstheme="minorHAnsi"/>
          <w:bCs/>
          <w:lang w:val="en-GB"/>
        </w:rPr>
        <w:t xml:space="preserve"> </w:t>
      </w:r>
      <w:r>
        <w:rPr>
          <w:rFonts w:asciiTheme="minorHAnsi" w:hAnsiTheme="minorHAnsi" w:cstheme="minorHAnsi"/>
          <w:bCs/>
          <w:lang w:val="en-GB"/>
        </w:rPr>
        <w:t xml:space="preserve">also </w:t>
      </w:r>
      <w:r w:rsidR="0088123C" w:rsidRPr="006E405F">
        <w:rPr>
          <w:rFonts w:asciiTheme="minorHAnsi" w:hAnsiTheme="minorHAnsi" w:cstheme="minorHAnsi"/>
          <w:bCs/>
          <w:lang w:val="en-GB"/>
        </w:rPr>
        <w:t>needed</w:t>
      </w:r>
      <w:proofErr w:type="gramEnd"/>
      <w:r w:rsidR="0088123C" w:rsidRPr="006E405F">
        <w:rPr>
          <w:rFonts w:asciiTheme="minorHAnsi" w:hAnsiTheme="minorHAnsi" w:cstheme="minorHAnsi"/>
          <w:bCs/>
          <w:lang w:val="en-GB"/>
        </w:rPr>
        <w:t xml:space="preserve"> on </w:t>
      </w:r>
      <w:r w:rsidR="00EF4B8D" w:rsidRPr="006E405F">
        <w:rPr>
          <w:rFonts w:asciiTheme="minorHAnsi" w:hAnsiTheme="minorHAnsi" w:cstheme="minorHAnsi"/>
          <w:bCs/>
          <w:lang w:val="en-GB"/>
        </w:rPr>
        <w:t>what can be considered as environmental and social characteristics</w:t>
      </w:r>
      <w:r>
        <w:rPr>
          <w:rFonts w:asciiTheme="minorHAnsi" w:hAnsiTheme="minorHAnsi" w:cstheme="minorHAnsi"/>
          <w:bCs/>
          <w:lang w:val="en-GB"/>
        </w:rPr>
        <w:t>.</w:t>
      </w:r>
    </w:p>
    <w:p w:rsidR="00EF4B8D" w:rsidRPr="00D4297D" w:rsidRDefault="006E405F" w:rsidP="008E4C34">
      <w:pPr>
        <w:pStyle w:val="Standa1"/>
        <w:numPr>
          <w:ilvl w:val="0"/>
          <w:numId w:val="1"/>
        </w:numPr>
        <w:spacing w:before="120" w:after="120" w:line="276" w:lineRule="auto"/>
        <w:jc w:val="both"/>
        <w:rPr>
          <w:rFonts w:asciiTheme="minorHAnsi" w:hAnsiTheme="minorHAnsi" w:cstheme="minorHAnsi"/>
          <w:lang w:val="en-GB"/>
        </w:rPr>
      </w:pPr>
      <w:r>
        <w:rPr>
          <w:rFonts w:asciiTheme="minorHAnsi" w:hAnsiTheme="minorHAnsi" w:cstheme="minorHAnsi"/>
          <w:bCs/>
          <w:lang w:val="en-GB"/>
        </w:rPr>
        <w:t>Third, b</w:t>
      </w:r>
      <w:r w:rsidR="0088123C" w:rsidRPr="00257381">
        <w:rPr>
          <w:rFonts w:asciiTheme="minorHAnsi" w:hAnsiTheme="minorHAnsi" w:cstheme="minorHAnsi"/>
          <w:bCs/>
          <w:lang w:val="en-GB"/>
        </w:rPr>
        <w:t>etter</w:t>
      </w:r>
      <w:r w:rsidR="00B630F4">
        <w:rPr>
          <w:rFonts w:asciiTheme="minorHAnsi" w:hAnsiTheme="minorHAnsi" w:cstheme="minorHAnsi"/>
          <w:bCs/>
          <w:lang w:val="en-GB"/>
        </w:rPr>
        <w:t xml:space="preserve"> consideration </w:t>
      </w:r>
      <w:proofErr w:type="gramStart"/>
      <w:r w:rsidR="002F2EDB">
        <w:rPr>
          <w:rFonts w:asciiTheme="minorHAnsi" w:hAnsiTheme="minorHAnsi" w:cstheme="minorHAnsi"/>
          <w:bCs/>
          <w:lang w:val="en-GB"/>
        </w:rPr>
        <w:t>should be given</w:t>
      </w:r>
      <w:proofErr w:type="gramEnd"/>
      <w:r w:rsidR="002F2EDB">
        <w:rPr>
          <w:rFonts w:asciiTheme="minorHAnsi" w:hAnsiTheme="minorHAnsi" w:cstheme="minorHAnsi"/>
          <w:bCs/>
          <w:lang w:val="en-GB"/>
        </w:rPr>
        <w:t xml:space="preserve"> to the differences in terms of investors and products. In this respect, disclosures and reporting requirements</w:t>
      </w:r>
      <w:r w:rsidR="00B630F4">
        <w:rPr>
          <w:rFonts w:asciiTheme="minorHAnsi" w:hAnsiTheme="minorHAnsi" w:cstheme="minorHAnsi"/>
          <w:bCs/>
          <w:lang w:val="en-GB"/>
        </w:rPr>
        <w:t xml:space="preserve"> </w:t>
      </w:r>
      <w:r w:rsidR="002F2EDB">
        <w:rPr>
          <w:rFonts w:asciiTheme="minorHAnsi" w:hAnsiTheme="minorHAnsi" w:cstheme="minorHAnsi"/>
          <w:bCs/>
          <w:lang w:val="en-GB"/>
        </w:rPr>
        <w:t xml:space="preserve">should be adjusted </w:t>
      </w:r>
      <w:r w:rsidR="00E62CF2">
        <w:rPr>
          <w:rFonts w:asciiTheme="minorHAnsi" w:hAnsiTheme="minorHAnsi" w:cstheme="minorHAnsi"/>
          <w:bCs/>
          <w:lang w:val="en-GB"/>
        </w:rPr>
        <w:t xml:space="preserve">in accordance with </w:t>
      </w:r>
      <w:r w:rsidR="002F2EDB">
        <w:rPr>
          <w:rFonts w:asciiTheme="minorHAnsi" w:hAnsiTheme="minorHAnsi" w:cstheme="minorHAnsi"/>
          <w:bCs/>
          <w:lang w:val="en-GB"/>
        </w:rPr>
        <w:t>the</w:t>
      </w:r>
      <w:r w:rsidR="00B630F4">
        <w:rPr>
          <w:rFonts w:asciiTheme="minorHAnsi" w:hAnsiTheme="minorHAnsi" w:cstheme="minorHAnsi"/>
          <w:bCs/>
          <w:lang w:val="en-GB"/>
        </w:rPr>
        <w:t xml:space="preserve"> types of investors (institutional or individuals) and funds (equity, bonds, green bonds, multi-assets, etc</w:t>
      </w:r>
      <w:r w:rsidR="00FD12A5">
        <w:rPr>
          <w:rFonts w:asciiTheme="minorHAnsi" w:hAnsiTheme="minorHAnsi" w:cstheme="minorHAnsi"/>
          <w:bCs/>
          <w:lang w:val="en-GB"/>
        </w:rPr>
        <w:t>.</w:t>
      </w:r>
      <w:r w:rsidR="002F2EDB">
        <w:rPr>
          <w:rFonts w:asciiTheme="minorHAnsi" w:hAnsiTheme="minorHAnsi" w:cstheme="minorHAnsi"/>
          <w:bCs/>
          <w:lang w:val="en-GB"/>
        </w:rPr>
        <w:t xml:space="preserve">). </w:t>
      </w:r>
      <w:r w:rsidR="002F73B1">
        <w:rPr>
          <w:rFonts w:asciiTheme="minorHAnsi" w:hAnsiTheme="minorHAnsi" w:cstheme="minorHAnsi"/>
          <w:bCs/>
          <w:lang w:val="en-GB"/>
        </w:rPr>
        <w:t xml:space="preserve">Any “one size fits all” approach that would not sufficiently take into account these parameters </w:t>
      </w:r>
      <w:proofErr w:type="gramStart"/>
      <w:r w:rsidR="002F73B1">
        <w:rPr>
          <w:rFonts w:asciiTheme="minorHAnsi" w:hAnsiTheme="minorHAnsi" w:cstheme="minorHAnsi"/>
          <w:bCs/>
          <w:lang w:val="en-GB"/>
        </w:rPr>
        <w:t>should be avoided</w:t>
      </w:r>
      <w:proofErr w:type="gramEnd"/>
      <w:r w:rsidR="002F73B1">
        <w:rPr>
          <w:rFonts w:asciiTheme="minorHAnsi" w:hAnsiTheme="minorHAnsi" w:cstheme="minorHAnsi"/>
          <w:bCs/>
          <w:lang w:val="en-GB"/>
        </w:rPr>
        <w:t>.</w:t>
      </w:r>
    </w:p>
    <w:p w:rsidR="00D4297D" w:rsidRPr="002E193E" w:rsidRDefault="00D4297D" w:rsidP="008E4C34">
      <w:pPr>
        <w:pStyle w:val="Standa1"/>
        <w:numPr>
          <w:ilvl w:val="0"/>
          <w:numId w:val="1"/>
        </w:numPr>
        <w:spacing w:before="120" w:after="120" w:line="276" w:lineRule="auto"/>
        <w:jc w:val="both"/>
        <w:rPr>
          <w:rFonts w:ascii="Calibri" w:hAnsi="Calibri" w:cs="Calibri"/>
          <w:lang w:val="en-GB"/>
        </w:rPr>
      </w:pPr>
      <w:r w:rsidRPr="002E193E">
        <w:rPr>
          <w:rFonts w:ascii="Calibri" w:hAnsi="Calibri" w:cs="Calibri"/>
          <w:bCs/>
          <w:lang w:val="en-GB"/>
        </w:rPr>
        <w:t xml:space="preserve">Fourth, </w:t>
      </w:r>
      <w:r w:rsidRPr="002E193E">
        <w:rPr>
          <w:rFonts w:ascii="Calibri" w:hAnsi="Calibri" w:cs="Calibri"/>
          <w:lang w:val="en-US"/>
        </w:rPr>
        <w:t xml:space="preserve">from an investor perspective, quantitative disclosure of principal adverse impacts at firm level is not </w:t>
      </w:r>
      <w:proofErr w:type="gramStart"/>
      <w:r w:rsidRPr="002E193E">
        <w:rPr>
          <w:rFonts w:ascii="Calibri" w:hAnsi="Calibri" w:cs="Calibri"/>
          <w:lang w:val="en-US"/>
        </w:rPr>
        <w:t>really relevant</w:t>
      </w:r>
      <w:proofErr w:type="gramEnd"/>
      <w:r w:rsidRPr="002E193E">
        <w:rPr>
          <w:rFonts w:ascii="Calibri" w:hAnsi="Calibri" w:cs="Calibri"/>
          <w:lang w:val="en-US"/>
        </w:rPr>
        <w:t>. Disclosure at firm level of the sum of products’ principal adverse impacts has little added value to investors who invest via funds and mandates and not in an asset management company.</w:t>
      </w:r>
    </w:p>
    <w:p w:rsidR="002F2EDB" w:rsidRPr="00FF5C47" w:rsidRDefault="00D4297D" w:rsidP="00E62CF2">
      <w:pPr>
        <w:pStyle w:val="Standa1"/>
        <w:numPr>
          <w:ilvl w:val="0"/>
          <w:numId w:val="1"/>
        </w:numPr>
        <w:spacing w:before="120" w:after="120" w:line="276" w:lineRule="auto"/>
        <w:jc w:val="both"/>
        <w:rPr>
          <w:rFonts w:asciiTheme="minorHAnsi" w:hAnsiTheme="minorHAnsi" w:cstheme="minorHAnsi"/>
          <w:lang w:val="en-GB"/>
        </w:rPr>
      </w:pPr>
      <w:r>
        <w:rPr>
          <w:rFonts w:asciiTheme="minorHAnsi" w:hAnsiTheme="minorHAnsi" w:cstheme="minorHAnsi"/>
          <w:bCs/>
          <w:lang w:val="en-GB"/>
        </w:rPr>
        <w:t>Fifth</w:t>
      </w:r>
      <w:r w:rsidR="002F2EDB">
        <w:rPr>
          <w:rFonts w:asciiTheme="minorHAnsi" w:hAnsiTheme="minorHAnsi" w:cstheme="minorHAnsi"/>
          <w:bCs/>
          <w:lang w:val="en-GB"/>
        </w:rPr>
        <w:t xml:space="preserve">, it is essential to ensure that the “Do Not Significantly Harm” (DNSH) principle that </w:t>
      </w:r>
      <w:proofErr w:type="gramStart"/>
      <w:r w:rsidR="002F2EDB">
        <w:rPr>
          <w:rFonts w:asciiTheme="minorHAnsi" w:hAnsiTheme="minorHAnsi" w:cstheme="minorHAnsi"/>
          <w:bCs/>
          <w:lang w:val="en-GB"/>
        </w:rPr>
        <w:t>will be defined</w:t>
      </w:r>
      <w:proofErr w:type="gramEnd"/>
      <w:r w:rsidR="002F2EDB">
        <w:rPr>
          <w:rFonts w:asciiTheme="minorHAnsi" w:hAnsiTheme="minorHAnsi" w:cstheme="minorHAnsi"/>
          <w:bCs/>
          <w:lang w:val="en-GB"/>
        </w:rPr>
        <w:t xml:space="preserve"> under the RTS is in line with the notion as provided under </w:t>
      </w:r>
      <w:r w:rsidR="00EF4B8D" w:rsidRPr="00257381">
        <w:rPr>
          <w:rFonts w:asciiTheme="minorHAnsi" w:hAnsiTheme="minorHAnsi" w:cstheme="minorHAnsi"/>
          <w:bCs/>
          <w:lang w:val="en-GB"/>
        </w:rPr>
        <w:t>the EU Taxonomy</w:t>
      </w:r>
      <w:r w:rsidR="006E405F">
        <w:rPr>
          <w:rFonts w:asciiTheme="minorHAnsi" w:hAnsiTheme="minorHAnsi" w:cstheme="minorHAnsi"/>
          <w:bCs/>
          <w:lang w:val="en-GB"/>
        </w:rPr>
        <w:t>. This</w:t>
      </w:r>
      <w:r w:rsidR="00EF4B8D" w:rsidRPr="00257381">
        <w:rPr>
          <w:rFonts w:asciiTheme="minorHAnsi" w:hAnsiTheme="minorHAnsi" w:cstheme="minorHAnsi"/>
          <w:bCs/>
          <w:lang w:val="en-GB"/>
        </w:rPr>
        <w:t xml:space="preserve"> </w:t>
      </w:r>
      <w:r w:rsidR="0088123C" w:rsidRPr="00257381">
        <w:rPr>
          <w:rFonts w:asciiTheme="minorHAnsi" w:hAnsiTheme="minorHAnsi" w:cstheme="minorHAnsi"/>
          <w:lang w:val="en-GB"/>
        </w:rPr>
        <w:t>is key for a proper implementation</w:t>
      </w:r>
      <w:r w:rsidR="002F2EDB">
        <w:rPr>
          <w:rFonts w:asciiTheme="minorHAnsi" w:hAnsiTheme="minorHAnsi" w:cstheme="minorHAnsi"/>
          <w:lang w:val="en-GB"/>
        </w:rPr>
        <w:t>.</w:t>
      </w:r>
      <w:r w:rsidR="0039434B" w:rsidRPr="000416F4">
        <w:rPr>
          <w:rFonts w:asciiTheme="minorHAnsi" w:hAnsiTheme="minorHAnsi" w:cstheme="minorHAnsi"/>
          <w:lang w:val="en-US"/>
        </w:rPr>
        <w:t xml:space="preserve"> </w:t>
      </w:r>
      <w:r w:rsidR="002F73B1">
        <w:rPr>
          <w:rFonts w:asciiTheme="minorHAnsi" w:hAnsiTheme="minorHAnsi" w:cstheme="minorHAnsi"/>
          <w:lang w:val="en-US"/>
        </w:rPr>
        <w:t xml:space="preserve">In addition, as far as </w:t>
      </w:r>
      <w:r w:rsidR="000416F4">
        <w:rPr>
          <w:rFonts w:asciiTheme="minorHAnsi" w:hAnsiTheme="minorHAnsi" w:cstheme="minorHAnsi"/>
          <w:lang w:val="en-US"/>
        </w:rPr>
        <w:t>exclusions</w:t>
      </w:r>
      <w:r w:rsidR="002F73B1">
        <w:rPr>
          <w:rFonts w:asciiTheme="minorHAnsi" w:hAnsiTheme="minorHAnsi" w:cstheme="minorHAnsi"/>
          <w:lang w:val="en-US"/>
        </w:rPr>
        <w:t xml:space="preserve"> are concerned</w:t>
      </w:r>
      <w:r w:rsidR="000416F4">
        <w:rPr>
          <w:rFonts w:asciiTheme="minorHAnsi" w:hAnsiTheme="minorHAnsi" w:cstheme="minorHAnsi"/>
          <w:lang w:val="en-US"/>
        </w:rPr>
        <w:t xml:space="preserve">, no specific activity </w:t>
      </w:r>
      <w:proofErr w:type="gramStart"/>
      <w:r w:rsidR="000416F4">
        <w:rPr>
          <w:rFonts w:asciiTheme="minorHAnsi" w:hAnsiTheme="minorHAnsi" w:cstheme="minorHAnsi"/>
          <w:lang w:val="en-US"/>
        </w:rPr>
        <w:t>should be added</w:t>
      </w:r>
      <w:proofErr w:type="gramEnd"/>
      <w:r w:rsidR="000416F4">
        <w:rPr>
          <w:rFonts w:asciiTheme="minorHAnsi" w:hAnsiTheme="minorHAnsi" w:cstheme="minorHAnsi"/>
          <w:lang w:val="en-US"/>
        </w:rPr>
        <w:t xml:space="preserve"> in </w:t>
      </w:r>
      <w:r w:rsidR="00980639">
        <w:rPr>
          <w:rFonts w:asciiTheme="minorHAnsi" w:hAnsiTheme="minorHAnsi" w:cstheme="minorHAnsi"/>
          <w:lang w:val="en-US"/>
        </w:rPr>
        <w:t xml:space="preserve">the </w:t>
      </w:r>
      <w:r w:rsidR="000416F4">
        <w:rPr>
          <w:rFonts w:asciiTheme="minorHAnsi" w:hAnsiTheme="minorHAnsi" w:cstheme="minorHAnsi"/>
          <w:lang w:val="en-US"/>
        </w:rPr>
        <w:t>level 2</w:t>
      </w:r>
      <w:r w:rsidR="006B766A">
        <w:rPr>
          <w:rFonts w:asciiTheme="minorHAnsi" w:hAnsiTheme="minorHAnsi" w:cstheme="minorHAnsi"/>
          <w:lang w:val="en-US"/>
        </w:rPr>
        <w:t xml:space="preserve"> text</w:t>
      </w:r>
      <w:r w:rsidR="000416F4">
        <w:rPr>
          <w:rFonts w:asciiTheme="minorHAnsi" w:hAnsiTheme="minorHAnsi" w:cstheme="minorHAnsi"/>
          <w:lang w:val="en-US"/>
        </w:rPr>
        <w:t>. As for the EU taxonomy regulation</w:t>
      </w:r>
      <w:r w:rsidR="0039434B" w:rsidRPr="006B766A">
        <w:rPr>
          <w:rFonts w:asciiTheme="minorHAnsi" w:hAnsiTheme="minorHAnsi" w:cstheme="minorHAnsi"/>
          <w:lang w:val="en-US"/>
        </w:rPr>
        <w:t>, it is of the utmost importance to have a cautious and solely science based approach in the applicat</w:t>
      </w:r>
      <w:r w:rsidR="00980639">
        <w:rPr>
          <w:rFonts w:asciiTheme="minorHAnsi" w:hAnsiTheme="minorHAnsi" w:cstheme="minorHAnsi"/>
          <w:lang w:val="en-US"/>
        </w:rPr>
        <w:t>ion of the DNSH</w:t>
      </w:r>
      <w:r w:rsidR="0039434B" w:rsidRPr="006B766A">
        <w:rPr>
          <w:rFonts w:asciiTheme="minorHAnsi" w:hAnsiTheme="minorHAnsi" w:cstheme="minorHAnsi"/>
          <w:lang w:val="en-US"/>
        </w:rPr>
        <w:t>.</w:t>
      </w:r>
      <w:r w:rsidR="0039434B" w:rsidRPr="000416F4">
        <w:rPr>
          <w:rFonts w:asciiTheme="minorHAnsi" w:hAnsiTheme="minorHAnsi" w:cstheme="minorHAnsi"/>
          <w:lang w:val="en-US"/>
        </w:rPr>
        <w:t xml:space="preserve"> It is essential to </w:t>
      </w:r>
      <w:r w:rsidR="006B766A">
        <w:rPr>
          <w:rFonts w:asciiTheme="minorHAnsi" w:hAnsiTheme="minorHAnsi" w:cstheme="minorHAnsi"/>
          <w:lang w:val="en-US"/>
        </w:rPr>
        <w:t>respect a</w:t>
      </w:r>
      <w:r w:rsidR="002F73B1">
        <w:rPr>
          <w:rFonts w:asciiTheme="minorHAnsi" w:hAnsiTheme="minorHAnsi" w:cstheme="minorHAnsi"/>
          <w:lang w:val="en-US"/>
        </w:rPr>
        <w:t xml:space="preserve"> full</w:t>
      </w:r>
      <w:r w:rsidR="0039434B" w:rsidRPr="000416F4">
        <w:rPr>
          <w:rFonts w:asciiTheme="minorHAnsi" w:hAnsiTheme="minorHAnsi" w:cstheme="minorHAnsi"/>
          <w:lang w:val="en-US"/>
        </w:rPr>
        <w:t xml:space="preserve"> technological neutrality and </w:t>
      </w:r>
      <w:r w:rsidR="006B766A">
        <w:rPr>
          <w:rFonts w:asciiTheme="minorHAnsi" w:hAnsiTheme="minorHAnsi" w:cstheme="minorHAnsi"/>
          <w:lang w:val="en-US"/>
        </w:rPr>
        <w:t xml:space="preserve">not exclude </w:t>
      </w:r>
      <w:r w:rsidR="0039434B" w:rsidRPr="000416F4">
        <w:rPr>
          <w:rFonts w:asciiTheme="minorHAnsi" w:hAnsiTheme="minorHAnsi" w:cstheme="minorHAnsi"/>
          <w:lang w:val="en-US"/>
        </w:rPr>
        <w:t xml:space="preserve">carbon neutral activities </w:t>
      </w:r>
      <w:r w:rsidR="002F73B1">
        <w:rPr>
          <w:rFonts w:asciiTheme="minorHAnsi" w:hAnsiTheme="minorHAnsi" w:cstheme="minorHAnsi"/>
          <w:lang w:val="en-US"/>
        </w:rPr>
        <w:t xml:space="preserve">- </w:t>
      </w:r>
      <w:r w:rsidR="006B766A">
        <w:rPr>
          <w:rFonts w:asciiTheme="minorHAnsi" w:hAnsiTheme="minorHAnsi" w:cstheme="minorHAnsi"/>
          <w:lang w:val="en-US"/>
        </w:rPr>
        <w:t>as nuclear energy</w:t>
      </w:r>
      <w:r w:rsidR="002F73B1">
        <w:rPr>
          <w:rFonts w:asciiTheme="minorHAnsi" w:hAnsiTheme="minorHAnsi" w:cstheme="minorHAnsi"/>
          <w:lang w:val="en-US"/>
        </w:rPr>
        <w:t xml:space="preserve"> -</w:t>
      </w:r>
      <w:r w:rsidR="006B766A">
        <w:rPr>
          <w:rFonts w:asciiTheme="minorHAnsi" w:hAnsiTheme="minorHAnsi" w:cstheme="minorHAnsi"/>
          <w:lang w:val="en-US"/>
        </w:rPr>
        <w:t xml:space="preserve"> </w:t>
      </w:r>
      <w:proofErr w:type="gramStart"/>
      <w:r w:rsidR="0039434B" w:rsidRPr="000416F4">
        <w:rPr>
          <w:rFonts w:asciiTheme="minorHAnsi" w:hAnsiTheme="minorHAnsi" w:cstheme="minorHAnsi"/>
          <w:lang w:val="en-US"/>
        </w:rPr>
        <w:t>on the basis of</w:t>
      </w:r>
      <w:proofErr w:type="gramEnd"/>
      <w:r w:rsidR="0039434B" w:rsidRPr="000416F4">
        <w:rPr>
          <w:rFonts w:asciiTheme="minorHAnsi" w:hAnsiTheme="minorHAnsi" w:cstheme="minorHAnsi"/>
          <w:lang w:val="en-US"/>
        </w:rPr>
        <w:t xml:space="preserve"> a too rigid application of the DNSH criteria.</w:t>
      </w:r>
    </w:p>
    <w:p w:rsidR="00B71C7A" w:rsidRPr="00FF5C47" w:rsidRDefault="00FF5C47" w:rsidP="006527A3">
      <w:pPr>
        <w:pStyle w:val="ListParagraph"/>
        <w:numPr>
          <w:ilvl w:val="0"/>
          <w:numId w:val="1"/>
        </w:numPr>
        <w:spacing w:before="120" w:after="120" w:line="276" w:lineRule="auto"/>
        <w:rPr>
          <w:rFonts w:asciiTheme="minorHAnsi" w:hAnsiTheme="minorHAnsi" w:cstheme="minorHAnsi"/>
          <w:sz w:val="24"/>
        </w:rPr>
      </w:pPr>
      <w:proofErr w:type="gramStart"/>
      <w:r w:rsidRPr="00FF5C47">
        <w:rPr>
          <w:rFonts w:asciiTheme="minorHAnsi" w:hAnsiTheme="minorHAnsi" w:cstheme="minorHAnsi"/>
          <w:sz w:val="24"/>
          <w:lang w:val="en-US"/>
        </w:rPr>
        <w:t>Last but not least</w:t>
      </w:r>
      <w:proofErr w:type="gramEnd"/>
      <w:r w:rsidRPr="00FF5C47">
        <w:rPr>
          <w:rFonts w:asciiTheme="minorHAnsi" w:hAnsiTheme="minorHAnsi" w:cstheme="minorHAnsi"/>
          <w:sz w:val="24"/>
          <w:lang w:val="en-US"/>
        </w:rPr>
        <w:t xml:space="preserve">, money market instruments should not be singled out in the disclosure. </w:t>
      </w:r>
      <w:proofErr w:type="gramStart"/>
      <w:r w:rsidRPr="00FF5C47">
        <w:rPr>
          <w:rFonts w:asciiTheme="minorHAnsi" w:hAnsiTheme="minorHAnsi" w:cstheme="minorHAnsi"/>
          <w:sz w:val="24"/>
          <w:lang w:val="en-US"/>
        </w:rPr>
        <w:t>Indeed, it seems there is a confusion in the text regarding the money market instrument (MMI) itself, as money market instruments do have the capacity to contribute to the specific environmental or social characteristics promoted by the product as any other instrument.</w:t>
      </w:r>
      <w:proofErr w:type="gramEnd"/>
      <w:r w:rsidRPr="00FF5C47">
        <w:rPr>
          <w:rFonts w:asciiTheme="minorHAnsi" w:hAnsiTheme="minorHAnsi" w:cstheme="minorHAnsi"/>
          <w:sz w:val="24"/>
          <w:lang w:val="en-US"/>
        </w:rPr>
        <w:t xml:space="preserve"> Level 1 does not give a mandate to define which asset is sup</w:t>
      </w:r>
      <w:r>
        <w:rPr>
          <w:rFonts w:asciiTheme="minorHAnsi" w:hAnsiTheme="minorHAnsi" w:cstheme="minorHAnsi"/>
          <w:sz w:val="24"/>
          <w:lang w:val="en-US"/>
        </w:rPr>
        <w:t>posed to be sustainable or not.</w:t>
      </w:r>
    </w:p>
    <w:sectPr w:rsidR="00B71C7A" w:rsidRPr="00FF5C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9B0" w:rsidRDefault="001D19B0" w:rsidP="00257381">
      <w:r>
        <w:separator/>
      </w:r>
    </w:p>
  </w:endnote>
  <w:endnote w:type="continuationSeparator" w:id="0">
    <w:p w:rsidR="001D19B0" w:rsidRDefault="001D19B0" w:rsidP="0025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9B0" w:rsidRDefault="001D19B0" w:rsidP="00257381">
      <w:r>
        <w:separator/>
      </w:r>
    </w:p>
  </w:footnote>
  <w:footnote w:type="continuationSeparator" w:id="0">
    <w:p w:rsidR="001D19B0" w:rsidRDefault="001D19B0" w:rsidP="00257381">
      <w:r>
        <w:continuationSeparator/>
      </w:r>
    </w:p>
  </w:footnote>
  <w:footnote w:id="1">
    <w:p w:rsidR="00E62CF2" w:rsidRPr="008E4C34" w:rsidRDefault="00E62CF2">
      <w:pPr>
        <w:pStyle w:val="FootnoteText"/>
        <w:rPr>
          <w:lang w:val="en-US"/>
        </w:rPr>
      </w:pPr>
      <w:r>
        <w:rPr>
          <w:rStyle w:val="FootnoteReference"/>
        </w:rPr>
        <w:footnoteRef/>
      </w:r>
      <w:r>
        <w:t xml:space="preserve"> </w:t>
      </w:r>
      <w:r w:rsidRPr="00E62CF2">
        <w:t>Draft regulatory technical standards with regard to the content, methodologies and presentation of disclosures pursuant to Article 2a, Article 4(6) and (7), Article 8(3), Article 9(5), Article 10(2) and Article 11(4) of Regulation (EU) 2019/2088 (“SFDR”), as published by the ESAs on 23 April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01F57"/>
    <w:multiLevelType w:val="hybridMultilevel"/>
    <w:tmpl w:val="F0CA06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3444BD"/>
    <w:multiLevelType w:val="hybridMultilevel"/>
    <w:tmpl w:val="AE5A3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EE"/>
    <w:rsid w:val="000416F4"/>
    <w:rsid w:val="000E3A18"/>
    <w:rsid w:val="001D19B0"/>
    <w:rsid w:val="00257381"/>
    <w:rsid w:val="002E193E"/>
    <w:rsid w:val="002F2EDB"/>
    <w:rsid w:val="002F73B1"/>
    <w:rsid w:val="0039434B"/>
    <w:rsid w:val="003C0580"/>
    <w:rsid w:val="003D0515"/>
    <w:rsid w:val="00541B77"/>
    <w:rsid w:val="0065625E"/>
    <w:rsid w:val="0066409F"/>
    <w:rsid w:val="006A56C5"/>
    <w:rsid w:val="006B766A"/>
    <w:rsid w:val="006E405F"/>
    <w:rsid w:val="00741296"/>
    <w:rsid w:val="0088123C"/>
    <w:rsid w:val="008E4C34"/>
    <w:rsid w:val="0090483C"/>
    <w:rsid w:val="00980639"/>
    <w:rsid w:val="00AA0728"/>
    <w:rsid w:val="00B10C18"/>
    <w:rsid w:val="00B23352"/>
    <w:rsid w:val="00B61CAD"/>
    <w:rsid w:val="00B630F4"/>
    <w:rsid w:val="00B71C7A"/>
    <w:rsid w:val="00BD231C"/>
    <w:rsid w:val="00CA7522"/>
    <w:rsid w:val="00D0646F"/>
    <w:rsid w:val="00D4297D"/>
    <w:rsid w:val="00E62CF2"/>
    <w:rsid w:val="00E847EE"/>
    <w:rsid w:val="00EF4B8D"/>
    <w:rsid w:val="00FA0BAF"/>
    <w:rsid w:val="00FD12A5"/>
    <w:rsid w:val="00FE2251"/>
    <w:rsid w:val="00FF5C4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083A9F0-DC84-46EE-BA3C-6677740C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7EE"/>
    <w:pPr>
      <w:spacing w:after="0" w:line="240" w:lineRule="auto"/>
    </w:pPr>
    <w:rPr>
      <w:rFonts w:ascii="Arial" w:eastAsia="Times New Roman" w:hAnsi="Arial" w:cs="Times New Roman"/>
      <w:sz w:val="20"/>
      <w:szCs w:val="24"/>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EI,Paragraphe de liste1,EC,PRI Bullets,zListeafsnit,Resume Title,Citation List,Lettre d'introduction,List Paragraph1,1st level - Bullet List Paragraph,List first level,List Paragraph Main,a List Paragraph,Bullet List"/>
    <w:basedOn w:val="Normal"/>
    <w:link w:val="ListParagraphChar"/>
    <w:uiPriority w:val="72"/>
    <w:qFormat/>
    <w:rsid w:val="00E847EE"/>
    <w:pPr>
      <w:ind w:left="720"/>
      <w:contextualSpacing/>
    </w:pPr>
  </w:style>
  <w:style w:type="character" w:customStyle="1" w:styleId="ListParagraphChar">
    <w:name w:val="List Paragraph Char"/>
    <w:aliases w:val="Paragraphe EI Char,Paragraphe de liste1 Char,EC Char,PRI Bullets Char,zListeafsnit Char,Resume Title Char,Citation List Char,Lettre d'introduction Char,List Paragraph1 Char,1st level - Bullet List Paragraph Char,List first level Char"/>
    <w:link w:val="ListParagraph"/>
    <w:uiPriority w:val="72"/>
    <w:qFormat/>
    <w:locked/>
    <w:rsid w:val="00E847EE"/>
    <w:rPr>
      <w:rFonts w:ascii="Arial" w:eastAsia="Times New Roman" w:hAnsi="Arial" w:cs="Times New Roman"/>
      <w:sz w:val="20"/>
      <w:szCs w:val="24"/>
      <w:lang w:val="en-GB" w:eastAsia="de-DE"/>
    </w:rPr>
  </w:style>
  <w:style w:type="paragraph" w:customStyle="1" w:styleId="Standa1">
    <w:name w:val="Standa1"/>
    <w:uiPriority w:val="99"/>
    <w:rsid w:val="00E847EE"/>
    <w:pPr>
      <w:spacing w:after="200" w:line="240" w:lineRule="auto"/>
    </w:pPr>
    <w:rPr>
      <w:rFonts w:ascii="Cambria" w:eastAsia="Cambria" w:hAnsi="Cambria" w:cs="Times New Roman"/>
      <w:sz w:val="24"/>
      <w:szCs w:val="24"/>
      <w:lang w:val="de-DE" w:eastAsia="en-US"/>
    </w:rPr>
  </w:style>
  <w:style w:type="paragraph" w:styleId="Header">
    <w:name w:val="header"/>
    <w:basedOn w:val="Normal"/>
    <w:link w:val="HeaderChar"/>
    <w:uiPriority w:val="99"/>
    <w:unhideWhenUsed/>
    <w:rsid w:val="00257381"/>
    <w:pPr>
      <w:tabs>
        <w:tab w:val="center" w:pos="4536"/>
        <w:tab w:val="right" w:pos="9072"/>
      </w:tabs>
    </w:pPr>
  </w:style>
  <w:style w:type="character" w:customStyle="1" w:styleId="HeaderChar">
    <w:name w:val="Header Char"/>
    <w:basedOn w:val="DefaultParagraphFont"/>
    <w:link w:val="Header"/>
    <w:uiPriority w:val="99"/>
    <w:rsid w:val="00257381"/>
    <w:rPr>
      <w:rFonts w:ascii="Arial" w:eastAsia="Times New Roman" w:hAnsi="Arial" w:cs="Times New Roman"/>
      <w:sz w:val="20"/>
      <w:szCs w:val="24"/>
      <w:lang w:val="en-GB" w:eastAsia="de-DE"/>
    </w:rPr>
  </w:style>
  <w:style w:type="paragraph" w:styleId="Footer">
    <w:name w:val="footer"/>
    <w:basedOn w:val="Normal"/>
    <w:link w:val="FooterChar"/>
    <w:uiPriority w:val="99"/>
    <w:unhideWhenUsed/>
    <w:rsid w:val="00257381"/>
    <w:pPr>
      <w:tabs>
        <w:tab w:val="center" w:pos="4536"/>
        <w:tab w:val="right" w:pos="9072"/>
      </w:tabs>
    </w:pPr>
  </w:style>
  <w:style w:type="character" w:customStyle="1" w:styleId="FooterChar">
    <w:name w:val="Footer Char"/>
    <w:basedOn w:val="DefaultParagraphFont"/>
    <w:link w:val="Footer"/>
    <w:uiPriority w:val="99"/>
    <w:rsid w:val="00257381"/>
    <w:rPr>
      <w:rFonts w:ascii="Arial" w:eastAsia="Times New Roman" w:hAnsi="Arial" w:cs="Times New Roman"/>
      <w:sz w:val="20"/>
      <w:szCs w:val="24"/>
      <w:lang w:val="en-GB" w:eastAsia="de-DE"/>
    </w:rPr>
  </w:style>
  <w:style w:type="paragraph" w:styleId="BalloonText">
    <w:name w:val="Balloon Text"/>
    <w:basedOn w:val="Normal"/>
    <w:link w:val="BalloonTextChar"/>
    <w:uiPriority w:val="99"/>
    <w:semiHidden/>
    <w:unhideWhenUsed/>
    <w:rsid w:val="00B61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CAD"/>
    <w:rPr>
      <w:rFonts w:ascii="Segoe UI" w:eastAsia="Times New Roman" w:hAnsi="Segoe UI" w:cs="Segoe UI"/>
      <w:sz w:val="18"/>
      <w:szCs w:val="18"/>
      <w:lang w:val="en-GB" w:eastAsia="de-DE"/>
    </w:rPr>
  </w:style>
  <w:style w:type="character" w:styleId="CommentReference">
    <w:name w:val="annotation reference"/>
    <w:basedOn w:val="DefaultParagraphFont"/>
    <w:uiPriority w:val="99"/>
    <w:semiHidden/>
    <w:unhideWhenUsed/>
    <w:rsid w:val="00B61CAD"/>
    <w:rPr>
      <w:sz w:val="16"/>
      <w:szCs w:val="16"/>
    </w:rPr>
  </w:style>
  <w:style w:type="paragraph" w:styleId="CommentText">
    <w:name w:val="annotation text"/>
    <w:basedOn w:val="Normal"/>
    <w:link w:val="CommentTextChar"/>
    <w:uiPriority w:val="99"/>
    <w:semiHidden/>
    <w:unhideWhenUsed/>
    <w:rsid w:val="00B61CAD"/>
    <w:rPr>
      <w:szCs w:val="20"/>
    </w:rPr>
  </w:style>
  <w:style w:type="character" w:customStyle="1" w:styleId="CommentTextChar">
    <w:name w:val="Comment Text Char"/>
    <w:basedOn w:val="DefaultParagraphFont"/>
    <w:link w:val="CommentText"/>
    <w:uiPriority w:val="99"/>
    <w:semiHidden/>
    <w:rsid w:val="00B61CAD"/>
    <w:rPr>
      <w:rFonts w:ascii="Arial" w:eastAsia="Times New Roman" w:hAnsi="Arial" w:cs="Times New Roman"/>
      <w:sz w:val="20"/>
      <w:szCs w:val="20"/>
      <w:lang w:val="en-GB" w:eastAsia="de-DE"/>
    </w:rPr>
  </w:style>
  <w:style w:type="paragraph" w:styleId="CommentSubject">
    <w:name w:val="annotation subject"/>
    <w:basedOn w:val="CommentText"/>
    <w:next w:val="CommentText"/>
    <w:link w:val="CommentSubjectChar"/>
    <w:uiPriority w:val="99"/>
    <w:semiHidden/>
    <w:unhideWhenUsed/>
    <w:rsid w:val="00B61CAD"/>
    <w:rPr>
      <w:b/>
      <w:bCs/>
    </w:rPr>
  </w:style>
  <w:style w:type="character" w:customStyle="1" w:styleId="CommentSubjectChar">
    <w:name w:val="Comment Subject Char"/>
    <w:basedOn w:val="CommentTextChar"/>
    <w:link w:val="CommentSubject"/>
    <w:uiPriority w:val="99"/>
    <w:semiHidden/>
    <w:rsid w:val="00B61CAD"/>
    <w:rPr>
      <w:rFonts w:ascii="Arial" w:eastAsia="Times New Roman" w:hAnsi="Arial" w:cs="Times New Roman"/>
      <w:b/>
      <w:bCs/>
      <w:sz w:val="20"/>
      <w:szCs w:val="20"/>
      <w:lang w:val="en-GB" w:eastAsia="de-DE"/>
    </w:rPr>
  </w:style>
  <w:style w:type="paragraph" w:styleId="FootnoteText">
    <w:name w:val="footnote text"/>
    <w:basedOn w:val="Normal"/>
    <w:link w:val="FootnoteTextChar"/>
    <w:uiPriority w:val="99"/>
    <w:semiHidden/>
    <w:unhideWhenUsed/>
    <w:rsid w:val="00E62CF2"/>
    <w:rPr>
      <w:szCs w:val="20"/>
    </w:rPr>
  </w:style>
  <w:style w:type="character" w:customStyle="1" w:styleId="FootnoteTextChar">
    <w:name w:val="Footnote Text Char"/>
    <w:basedOn w:val="DefaultParagraphFont"/>
    <w:link w:val="FootnoteText"/>
    <w:uiPriority w:val="99"/>
    <w:semiHidden/>
    <w:rsid w:val="00E62CF2"/>
    <w:rPr>
      <w:rFonts w:ascii="Arial" w:eastAsia="Times New Roman" w:hAnsi="Arial" w:cs="Times New Roman"/>
      <w:sz w:val="20"/>
      <w:szCs w:val="20"/>
      <w:lang w:val="en-GB" w:eastAsia="de-DE"/>
    </w:rPr>
  </w:style>
  <w:style w:type="character" w:styleId="FootnoteReference">
    <w:name w:val="footnote reference"/>
    <w:basedOn w:val="DefaultParagraphFont"/>
    <w:uiPriority w:val="99"/>
    <w:semiHidden/>
    <w:unhideWhenUsed/>
    <w:rsid w:val="00E62C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5173">
      <w:bodyDiv w:val="1"/>
      <w:marLeft w:val="0"/>
      <w:marRight w:val="0"/>
      <w:marTop w:val="0"/>
      <w:marBottom w:val="0"/>
      <w:divBdr>
        <w:top w:val="none" w:sz="0" w:space="0" w:color="auto"/>
        <w:left w:val="none" w:sz="0" w:space="0" w:color="auto"/>
        <w:bottom w:val="none" w:sz="0" w:space="0" w:color="auto"/>
        <w:right w:val="none" w:sz="0" w:space="0" w:color="auto"/>
      </w:divBdr>
    </w:div>
    <w:div w:id="1879976738">
      <w:bodyDiv w:val="1"/>
      <w:marLeft w:val="0"/>
      <w:marRight w:val="0"/>
      <w:marTop w:val="0"/>
      <w:marBottom w:val="0"/>
      <w:divBdr>
        <w:top w:val="none" w:sz="0" w:space="0" w:color="auto"/>
        <w:left w:val="none" w:sz="0" w:space="0" w:color="auto"/>
        <w:bottom w:val="none" w:sz="0" w:space="0" w:color="auto"/>
        <w:right w:val="none" w:sz="0" w:space="0" w:color="auto"/>
      </w:divBdr>
      <w:divsChild>
        <w:div w:id="1606229117">
          <w:marLeft w:val="0"/>
          <w:marRight w:val="0"/>
          <w:marTop w:val="0"/>
          <w:marBottom w:val="0"/>
          <w:divBdr>
            <w:top w:val="none" w:sz="0" w:space="0" w:color="auto"/>
            <w:left w:val="none" w:sz="0" w:space="0" w:color="auto"/>
            <w:bottom w:val="none" w:sz="0" w:space="0" w:color="auto"/>
            <w:right w:val="none" w:sz="0" w:space="0" w:color="auto"/>
          </w:divBdr>
          <w:divsChild>
            <w:div w:id="1982880767">
              <w:marLeft w:val="0"/>
              <w:marRight w:val="0"/>
              <w:marTop w:val="0"/>
              <w:marBottom w:val="0"/>
              <w:divBdr>
                <w:top w:val="none" w:sz="0" w:space="0" w:color="auto"/>
                <w:left w:val="none" w:sz="0" w:space="0" w:color="auto"/>
                <w:bottom w:val="none" w:sz="0" w:space="0" w:color="auto"/>
                <w:right w:val="none" w:sz="0" w:space="0" w:color="auto"/>
              </w:divBdr>
              <w:divsChild>
                <w:div w:id="1035083868">
                  <w:marLeft w:val="0"/>
                  <w:marRight w:val="0"/>
                  <w:marTop w:val="0"/>
                  <w:marBottom w:val="0"/>
                  <w:divBdr>
                    <w:top w:val="none" w:sz="0" w:space="0" w:color="auto"/>
                    <w:left w:val="none" w:sz="0" w:space="0" w:color="auto"/>
                    <w:bottom w:val="none" w:sz="0" w:space="0" w:color="auto"/>
                    <w:right w:val="none" w:sz="0" w:space="0" w:color="auto"/>
                  </w:divBdr>
                  <w:divsChild>
                    <w:div w:id="64495666">
                      <w:marLeft w:val="0"/>
                      <w:marRight w:val="0"/>
                      <w:marTop w:val="0"/>
                      <w:marBottom w:val="0"/>
                      <w:divBdr>
                        <w:top w:val="none" w:sz="0" w:space="0" w:color="auto"/>
                        <w:left w:val="none" w:sz="0" w:space="0" w:color="auto"/>
                        <w:bottom w:val="none" w:sz="0" w:space="0" w:color="auto"/>
                        <w:right w:val="none" w:sz="0" w:space="0" w:color="auto"/>
                      </w:divBdr>
                      <w:divsChild>
                        <w:div w:id="1303542492">
                          <w:marLeft w:val="0"/>
                          <w:marRight w:val="0"/>
                          <w:marTop w:val="0"/>
                          <w:marBottom w:val="0"/>
                          <w:divBdr>
                            <w:top w:val="none" w:sz="0" w:space="0" w:color="auto"/>
                            <w:left w:val="none" w:sz="0" w:space="0" w:color="auto"/>
                            <w:bottom w:val="none" w:sz="0" w:space="0" w:color="auto"/>
                            <w:right w:val="none" w:sz="0" w:space="0" w:color="auto"/>
                          </w:divBdr>
                          <w:divsChild>
                            <w:div w:id="726420848">
                              <w:marLeft w:val="0"/>
                              <w:marRight w:val="300"/>
                              <w:marTop w:val="180"/>
                              <w:marBottom w:val="0"/>
                              <w:divBdr>
                                <w:top w:val="none" w:sz="0" w:space="0" w:color="auto"/>
                                <w:left w:val="none" w:sz="0" w:space="0" w:color="auto"/>
                                <w:bottom w:val="none" w:sz="0" w:space="0" w:color="auto"/>
                                <w:right w:val="none" w:sz="0" w:space="0" w:color="auto"/>
                              </w:divBdr>
                              <w:divsChild>
                                <w:div w:id="10254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054475">
          <w:marLeft w:val="0"/>
          <w:marRight w:val="0"/>
          <w:marTop w:val="0"/>
          <w:marBottom w:val="0"/>
          <w:divBdr>
            <w:top w:val="none" w:sz="0" w:space="0" w:color="auto"/>
            <w:left w:val="none" w:sz="0" w:space="0" w:color="auto"/>
            <w:bottom w:val="none" w:sz="0" w:space="0" w:color="auto"/>
            <w:right w:val="none" w:sz="0" w:space="0" w:color="auto"/>
          </w:divBdr>
          <w:divsChild>
            <w:div w:id="395204520">
              <w:marLeft w:val="0"/>
              <w:marRight w:val="0"/>
              <w:marTop w:val="0"/>
              <w:marBottom w:val="0"/>
              <w:divBdr>
                <w:top w:val="none" w:sz="0" w:space="0" w:color="auto"/>
                <w:left w:val="none" w:sz="0" w:space="0" w:color="auto"/>
                <w:bottom w:val="none" w:sz="0" w:space="0" w:color="auto"/>
                <w:right w:val="none" w:sz="0" w:space="0" w:color="auto"/>
              </w:divBdr>
              <w:divsChild>
                <w:div w:id="1840191513">
                  <w:marLeft w:val="0"/>
                  <w:marRight w:val="0"/>
                  <w:marTop w:val="0"/>
                  <w:marBottom w:val="0"/>
                  <w:divBdr>
                    <w:top w:val="none" w:sz="0" w:space="0" w:color="auto"/>
                    <w:left w:val="none" w:sz="0" w:space="0" w:color="auto"/>
                    <w:bottom w:val="none" w:sz="0" w:space="0" w:color="auto"/>
                    <w:right w:val="none" w:sz="0" w:space="0" w:color="auto"/>
                  </w:divBdr>
                  <w:divsChild>
                    <w:div w:id="197591073">
                      <w:marLeft w:val="0"/>
                      <w:marRight w:val="0"/>
                      <w:marTop w:val="0"/>
                      <w:marBottom w:val="0"/>
                      <w:divBdr>
                        <w:top w:val="none" w:sz="0" w:space="0" w:color="auto"/>
                        <w:left w:val="none" w:sz="0" w:space="0" w:color="auto"/>
                        <w:bottom w:val="none" w:sz="0" w:space="0" w:color="auto"/>
                        <w:right w:val="none" w:sz="0" w:space="0" w:color="auto"/>
                      </w:divBdr>
                      <w:divsChild>
                        <w:div w:id="17447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29E15-2CD2-4EF2-938C-C6785777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4673</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Bogaty Thierry (AMUNDI)</dc:creator>
  <cp:keywords/>
  <dc:description/>
  <cp:lastModifiedBy>Bogaty Thierry (AMUNDI)</cp:lastModifiedBy>
  <cp:revision>3</cp:revision>
  <dcterms:created xsi:type="dcterms:W3CDTF">2020-09-01T08:26:00Z</dcterms:created>
  <dcterms:modified xsi:type="dcterms:W3CDTF">2020-09-01T08:31:00Z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-86633722</vt:i4>
  </property>
  <property fmtid="{D5CDD505-2E9C-101B-9397-08002B2CF9AE}" pid="3" name="_NewReviewCycle">
    <vt:lpwstr/>
  </property>
  <property fmtid="{D5CDD505-2E9C-101B-9397-08002B2CF9AE}" pid="4" name="_EmailSubject">
    <vt:lpwstr>SF DIsclosures - consultation</vt:lpwstr>
  </property>
  <property fmtid="{D5CDD505-2E9C-101B-9397-08002B2CF9AE}" pid="5" name="_AuthorEmail">
    <vt:lpwstr>thierry.bogaty@amundi.com</vt:lpwstr>
  </property>
  <property fmtid="{D5CDD505-2E9C-101B-9397-08002B2CF9AE}" pid="6" name="_AuthorEmailDisplayName">
    <vt:lpwstr>Bogaty Thierry (AMUNDI)</vt:lpwstr>
  </property>
  <property fmtid="{D5CDD505-2E9C-101B-9397-08002B2CF9AE}" pid="7" name="_PreviousAdHocReviewCycleID">
    <vt:i4>-101537973</vt:i4>
  </property>
</Properties>
</file>