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484C6FED" w14:textId="403147EC" w:rsidR="0010762E" w:rsidRDefault="00EB0FD8" w:rsidP="0010762E">
                <w:pPr>
                  <w:pStyle w:val="Subtitle"/>
                  <w:rPr>
                    <w:rFonts w:cs="Arial"/>
                  </w:rPr>
                </w:pPr>
                <w:r>
                  <w:rPr>
                    <w:rFonts w:cs="Arial"/>
                    <w:szCs w:val="28"/>
                  </w:rPr>
                  <w:t>Draft Guidelines o</w:t>
                </w:r>
                <w:r w:rsidRPr="00604718">
                  <w:rPr>
                    <w:rFonts w:cs="Arial"/>
                    <w:szCs w:val="28"/>
                  </w:rPr>
                  <w:t xml:space="preserve">n </w:t>
                </w:r>
                <w:r>
                  <w:rPr>
                    <w:rFonts w:cs="Arial"/>
                    <w:szCs w:val="28"/>
                  </w:rPr>
                  <w:t>calculation of positions in SFTs</w:t>
                </w:r>
                <w:r w:rsidRPr="00604718">
                  <w:rPr>
                    <w:rFonts w:cs="Arial"/>
                    <w:szCs w:val="28"/>
                  </w:rPr>
                  <w:t xml:space="preserve"> by Trade Repositories</w:t>
                </w:r>
              </w:p>
              <w:p w14:paraId="7EFF292E" w14:textId="137345E0" w:rsidR="00363639" w:rsidRDefault="00363639" w:rsidP="00363639">
                <w:pPr>
                  <w:pStyle w:val="Subtitle"/>
                  <w:rPr>
                    <w:rFonts w:cs="Arial"/>
                  </w:rPr>
                </w:pPr>
              </w:p>
              <w:p w14:paraId="26CF3934" w14:textId="4EE33F4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4D09CB7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74ED8D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EB0FD8">
            <w:rPr>
              <w:rFonts w:asciiTheme="minorHAnsi" w:eastAsiaTheme="minorEastAsia" w:hAnsiTheme="minorHAnsi" w:cstheme="minorBidi"/>
              <w:b/>
              <w:sz w:val="22"/>
              <w:szCs w:val="20"/>
              <w:lang w:eastAsia="en-US"/>
            </w:rPr>
            <w:t>15 September</w:t>
          </w:r>
          <w:r w:rsidR="008F1DCF">
            <w:rPr>
              <w:rFonts w:asciiTheme="minorHAnsi" w:eastAsiaTheme="minorEastAsia" w:hAnsiTheme="minorHAnsi" w:cstheme="minorBidi"/>
              <w:b/>
              <w:sz w:val="22"/>
              <w:szCs w:val="20"/>
              <w:lang w:eastAsia="en-US"/>
            </w:rPr>
            <w:t xml:space="preserve">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B0FD8">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07C7A37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w:t>
          </w:r>
          <w:r w:rsidR="00183743">
            <w:rPr>
              <w:rFonts w:eastAsiaTheme="minorEastAsia" w:cstheme="minorBidi"/>
              <w:szCs w:val="20"/>
              <w:lang w:eastAsia="en-US"/>
            </w:rPr>
            <w:t>SFPO</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45D5A13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83743">
            <w:rPr>
              <w:rFonts w:eastAsiaTheme="minorEastAsia" w:cstheme="minorBidi"/>
              <w:szCs w:val="20"/>
              <w:lang w:eastAsia="en-US"/>
            </w:rPr>
            <w:t>SFPO</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183743">
            <w:rPr>
              <w:rFonts w:eastAsiaTheme="minorEastAsia" w:cstheme="minorBidi"/>
              <w:szCs w:val="20"/>
              <w:lang w:eastAsia="en-US"/>
            </w:rPr>
            <w:t>SFPO</w:t>
          </w:r>
          <w:r w:rsidRPr="00C85C8B">
            <w:rPr>
              <w:rFonts w:eastAsiaTheme="minorEastAsia" w:cstheme="minorBidi"/>
              <w:szCs w:val="20"/>
              <w:lang w:eastAsia="en-US"/>
            </w:rPr>
            <w:t>_ABCD_RESPONSEFORM.</w:t>
          </w:r>
        </w:p>
        <w:p w14:paraId="1A9C59D6" w14:textId="275FC39B" w:rsid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w:t>
          </w:r>
          <w:r w:rsidRPr="00C85C8B">
            <w:rPr>
              <w:rFonts w:eastAsiaTheme="minorEastAsia" w:cstheme="minorBidi"/>
              <w:szCs w:val="20"/>
              <w:lang w:eastAsia="en-US"/>
            </w:rPr>
            <w:lastRenderedPageBreak/>
            <w:t>“</w:t>
          </w:r>
          <w:r w:rsidR="00757694" w:rsidRPr="00757694">
            <w:rPr>
              <w:rFonts w:eastAsiaTheme="minorEastAsia" w:cstheme="minorBidi"/>
              <w:szCs w:val="20"/>
              <w:lang w:eastAsia="en-US"/>
            </w:rPr>
            <w:t>Consultation on Guidelines on calculation of positions in SFTs by Trade Repositories</w:t>
          </w:r>
          <w:r w:rsidRPr="00C85C8B">
            <w:rPr>
              <w:rFonts w:eastAsiaTheme="minorEastAsia" w:cstheme="minorBidi"/>
              <w:szCs w:val="20"/>
              <w:lang w:eastAsia="en-US"/>
            </w:rPr>
            <w:t>”).</w:t>
          </w: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E37E27C" w14:textId="5B7931C9"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77C076"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39C99B77"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65DE725" w14:textId="77777777"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65DBBACF" w14:textId="2BAA50CF" w:rsidR="004000C6" w:rsidRPr="004000C6" w:rsidRDefault="004000C6" w:rsidP="004000C6">
      <w:pPr>
        <w:spacing w:after="250" w:line="276" w:lineRule="auto"/>
        <w:jc w:val="both"/>
        <w:rPr>
          <w:rFonts w:asciiTheme="minorHAnsi" w:eastAsiaTheme="minorEastAsia" w:hAnsiTheme="minorHAnsi" w:cstheme="minorBidi"/>
          <w:sz w:val="22"/>
          <w:szCs w:val="20"/>
          <w:lang w:eastAsia="en-US"/>
        </w:rPr>
      </w:pPr>
      <w:r w:rsidRPr="004000C6">
        <w:rPr>
          <w:rFonts w:asciiTheme="minorHAnsi" w:eastAsiaTheme="minorEastAsia" w:hAnsiTheme="minorHAnsi" w:cstheme="minorBidi"/>
          <w:sz w:val="22"/>
          <w:szCs w:val="20"/>
          <w:lang w:eastAsia="en-US"/>
        </w:rPr>
        <w:t xml:space="preserve">All interested stakeholders are invited to respond to this consultation paper. In particular, responses are sought from trade repositories (TRs), </w:t>
      </w:r>
      <w:r w:rsidR="00757694" w:rsidRPr="00757694">
        <w:rPr>
          <w:rFonts w:asciiTheme="minorHAnsi" w:eastAsiaTheme="minorEastAsia" w:hAnsiTheme="minorHAnsi" w:cstheme="minorBidi"/>
          <w:sz w:val="22"/>
          <w:szCs w:val="20"/>
          <w:lang w:eastAsia="en-US"/>
        </w:rPr>
        <w:t xml:space="preserve">trade associations and the entities specified in Article 12(2) of Regulation (EU) 2015/2365 (SFTR) </w:t>
      </w:r>
      <w:r w:rsidRPr="004000C6">
        <w:rPr>
          <w:rFonts w:asciiTheme="minorHAnsi" w:eastAsiaTheme="minorEastAsia" w:hAnsiTheme="minorHAnsi" w:cstheme="minorBidi"/>
          <w:sz w:val="22"/>
          <w:szCs w:val="20"/>
          <w:lang w:eastAsia="en-US"/>
        </w:rPr>
        <w:t>.</w:t>
      </w:r>
    </w:p>
    <w:p w14:paraId="48A7DB1B" w14:textId="2EFAEF5E"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EB0FD8">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Content>
            <w:tc>
              <w:tcPr>
                <w:tcW w:w="5595" w:type="dxa"/>
                <w:shd w:val="clear" w:color="auto" w:fill="auto"/>
              </w:tcPr>
              <w:p w14:paraId="1B67440D" w14:textId="5BC3EAE1" w:rsidR="00C85C8B" w:rsidRPr="00C85C8B" w:rsidRDefault="007D5E5D" w:rsidP="00C85C8B">
                <w:pPr>
                  <w:rPr>
                    <w:rFonts w:ascii="Arial" w:hAnsi="Arial" w:cs="Arial"/>
                    <w:color w:val="808080"/>
                    <w:sz w:val="20"/>
                    <w:lang w:eastAsia="de-DE"/>
                  </w:rPr>
                </w:pPr>
                <w:r w:rsidRPr="007D5E5D">
                  <w:rPr>
                    <w:rFonts w:ascii="Arial" w:hAnsi="Arial" w:cs="Arial"/>
                    <w:color w:val="808080"/>
                    <w:sz w:val="20"/>
                    <w:lang w:eastAsia="de-DE"/>
                  </w:rPr>
                  <w:t>DTCC Derivatives Repository PLC (DDRL)</w:t>
                </w:r>
              </w:p>
            </w:tc>
          </w:sdtContent>
        </w:sdt>
      </w:tr>
      <w:tr w:rsidR="00C85C8B" w:rsidRPr="00C85C8B" w14:paraId="216F3E57" w14:textId="77777777" w:rsidTr="00EB0FD8">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6DEFB142" w:rsidR="00C85C8B" w:rsidRPr="00C85C8B" w:rsidRDefault="005169B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D5E5D">
                  <w:rPr>
                    <w:rFonts w:ascii="Arial" w:hAnsi="Arial" w:cs="Arial"/>
                    <w:sz w:val="20"/>
                    <w:lang w:eastAsia="de-DE"/>
                  </w:rPr>
                  <w:t>Other Financial service providers</w:t>
                </w:r>
              </w:sdtContent>
            </w:sdt>
          </w:p>
        </w:tc>
      </w:tr>
      <w:tr w:rsidR="00C85C8B" w:rsidRPr="00C85C8B" w14:paraId="0D216581" w14:textId="77777777" w:rsidTr="00EB0FD8">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EB0FD8">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E38A6DA" w:rsidR="00C85C8B" w:rsidRPr="00C85C8B" w:rsidRDefault="007D5E5D" w:rsidP="00C85C8B">
                <w:pPr>
                  <w:rPr>
                    <w:rFonts w:ascii="Arial" w:hAnsi="Arial" w:cs="Arial"/>
                    <w:sz w:val="20"/>
                    <w:lang w:eastAsia="de-DE"/>
                  </w:rPr>
                </w:pPr>
                <w:r>
                  <w:rPr>
                    <w:rFonts w:ascii="Arial" w:hAnsi="Arial" w:cs="Arial"/>
                    <w:sz w:val="20"/>
                    <w:lang w:eastAsia="de-DE"/>
                  </w:rPr>
                  <w:t>UK</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76E851D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83743">
        <w:rPr>
          <w:rFonts w:asciiTheme="minorHAnsi" w:eastAsiaTheme="minorEastAsia" w:hAnsiTheme="minorHAnsi" w:cstheme="minorBidi"/>
          <w:sz w:val="22"/>
          <w:szCs w:val="20"/>
          <w:lang w:eastAsia="en-US"/>
        </w:rPr>
        <w:t>SFPO</w:t>
      </w:r>
      <w:r w:rsidRPr="00C85C8B">
        <w:rPr>
          <w:rFonts w:asciiTheme="minorHAnsi" w:eastAsiaTheme="minorEastAsia" w:hAnsiTheme="minorHAnsi" w:cstheme="minorBidi"/>
          <w:sz w:val="22"/>
          <w:szCs w:val="20"/>
          <w:lang w:eastAsia="en-US"/>
        </w:rPr>
        <w:t>_1&gt;</w:t>
      </w:r>
    </w:p>
    <w:p w14:paraId="22392E73" w14:textId="77777777" w:rsidR="007D5E5D" w:rsidRPr="007D5E5D" w:rsidRDefault="007D5E5D" w:rsidP="007D5E5D">
      <w:pPr>
        <w:spacing w:after="250" w:line="276" w:lineRule="auto"/>
        <w:jc w:val="both"/>
        <w:rPr>
          <w:rFonts w:ascii="Arial" w:eastAsiaTheme="minorEastAsia" w:hAnsi="Arial" w:cs="Arial"/>
          <w:sz w:val="22"/>
          <w:szCs w:val="20"/>
          <w:lang w:eastAsia="en-US"/>
        </w:rPr>
      </w:pPr>
      <w:permStart w:id="885457707" w:edGrp="everyone"/>
      <w:r w:rsidRPr="007D5E5D">
        <w:rPr>
          <w:rFonts w:ascii="Arial" w:eastAsiaTheme="minorEastAsia" w:hAnsi="Arial" w:cs="Arial"/>
          <w:sz w:val="22"/>
          <w:szCs w:val="20"/>
          <w:lang w:eastAsia="en-US"/>
        </w:rPr>
        <w:t xml:space="preserve">DDRL welcomes the opportunity to provide feedback on the proposed guidelines on position aggregation. The below outlines some general comments, taking into consideration potential material obstacles to successful implementation in line with the objectives stated in Paragraph 4(11). </w:t>
      </w:r>
    </w:p>
    <w:p w14:paraId="06B7A70E" w14:textId="77777777" w:rsidR="007D5E5D" w:rsidRPr="007D5E5D" w:rsidRDefault="007D5E5D" w:rsidP="007D5E5D">
      <w:pPr>
        <w:spacing w:after="250" w:line="276" w:lineRule="auto"/>
        <w:jc w:val="both"/>
        <w:rPr>
          <w:rFonts w:ascii="Arial" w:eastAsiaTheme="minorEastAsia" w:hAnsi="Arial" w:cs="Arial"/>
          <w:sz w:val="22"/>
          <w:szCs w:val="20"/>
          <w:lang w:eastAsia="en-US"/>
        </w:rPr>
      </w:pPr>
      <w:r w:rsidRPr="007D5E5D">
        <w:rPr>
          <w:rFonts w:ascii="Arial" w:eastAsiaTheme="minorEastAsia" w:hAnsi="Arial" w:cs="Arial"/>
          <w:sz w:val="22"/>
          <w:szCs w:val="20"/>
          <w:lang w:eastAsia="en-US"/>
        </w:rPr>
        <w:t xml:space="preserve">In general, the document lacks clarity on </w:t>
      </w:r>
      <w:proofErr w:type="gramStart"/>
      <w:r w:rsidRPr="007D5E5D">
        <w:rPr>
          <w:rFonts w:ascii="Arial" w:eastAsiaTheme="minorEastAsia" w:hAnsi="Arial" w:cs="Arial"/>
          <w:sz w:val="22"/>
          <w:szCs w:val="20"/>
          <w:lang w:eastAsia="en-US"/>
        </w:rPr>
        <w:t>a number of</w:t>
      </w:r>
      <w:proofErr w:type="gramEnd"/>
      <w:r w:rsidRPr="007D5E5D">
        <w:rPr>
          <w:rFonts w:ascii="Arial" w:eastAsiaTheme="minorEastAsia" w:hAnsi="Arial" w:cs="Arial"/>
          <w:sz w:val="22"/>
          <w:szCs w:val="20"/>
          <w:lang w:eastAsia="en-US"/>
        </w:rPr>
        <w:t xml:space="preserve"> fronts and in addition to the feedback provided later in this response, a level of ambiguity persists in the proposals. Whilst no overview of the regime is provided, it is understood at a high level that this consultation proposes two separate sets of positions aggregation reports – one set being discussed in Sections 5 and 6 of the consultation, and another different set of reports under section 7. Indeed, if ESMA choose to require separate reports to show the differences with and without outliers (as suggested in Guideline 4), there would be three sets of reports for each NCA. </w:t>
      </w:r>
    </w:p>
    <w:p w14:paraId="4E907D2E" w14:textId="77777777" w:rsidR="007D5E5D" w:rsidRPr="007D5E5D" w:rsidRDefault="007D5E5D" w:rsidP="007D5E5D">
      <w:pPr>
        <w:spacing w:after="250" w:line="276" w:lineRule="auto"/>
        <w:jc w:val="both"/>
        <w:rPr>
          <w:rFonts w:ascii="Arial" w:eastAsiaTheme="minorEastAsia" w:hAnsi="Arial" w:cs="Arial"/>
          <w:sz w:val="22"/>
          <w:szCs w:val="20"/>
          <w:lang w:eastAsia="en-US"/>
        </w:rPr>
      </w:pPr>
      <w:r w:rsidRPr="007D5E5D">
        <w:rPr>
          <w:rFonts w:ascii="Arial" w:eastAsiaTheme="minorEastAsia" w:hAnsi="Arial" w:cs="Arial"/>
          <w:sz w:val="22"/>
          <w:szCs w:val="20"/>
          <w:lang w:eastAsia="en-US"/>
        </w:rPr>
        <w:t xml:space="preserve">By way of context, at present, trade repositories (TRs) provide regulatory authorities regular (up to daily) reporting of every transaction (activity), position, and reconciliation status of every trade reported by, or on behalf of reporting counterparties. The aggregation of these positions at the level of the reporting counterparty provides valuable information on exposures that help assess systemic risks to financial stability and the FSB coordination of global supervisory authorities to determine a consistent framework to facilitate this aggregation at a global level. However, this consultation appears to propose two separate sets of reports which would, if implemented, result in an obligation on TRs to provide two distinct set of reports for each NCA. It is It is unclear why one set of reports, leveraging the data required by the FSB and determined in conjunction with global authorities is insufficient for the stated purpose of assessing systemic risks to financial stability. The scope of each set of reports in isolation is </w:t>
      </w:r>
      <w:r w:rsidRPr="007D5E5D">
        <w:rPr>
          <w:rFonts w:ascii="Arial" w:eastAsiaTheme="minorEastAsia" w:hAnsi="Arial" w:cs="Arial"/>
          <w:sz w:val="22"/>
          <w:szCs w:val="20"/>
          <w:lang w:eastAsia="en-US"/>
        </w:rPr>
        <w:lastRenderedPageBreak/>
        <w:t>potentially extremely onerous. It is anticipated that the cost to develop and deliver the capability on an ongoing basis is likely to be significant. This cost imposed on the TRs will ultimately impact the cost of reporting borne by reporting counterparties.</w:t>
      </w:r>
    </w:p>
    <w:p w14:paraId="181F374A" w14:textId="77777777" w:rsidR="007D5E5D" w:rsidRPr="007D5E5D" w:rsidRDefault="007D5E5D" w:rsidP="007D5E5D">
      <w:pPr>
        <w:spacing w:after="250" w:line="276" w:lineRule="auto"/>
        <w:jc w:val="both"/>
        <w:rPr>
          <w:rFonts w:ascii="Arial" w:eastAsiaTheme="minorEastAsia" w:hAnsi="Arial" w:cs="Arial"/>
          <w:sz w:val="22"/>
          <w:szCs w:val="20"/>
          <w:lang w:eastAsia="en-US"/>
        </w:rPr>
      </w:pPr>
      <w:r w:rsidRPr="007D5E5D">
        <w:rPr>
          <w:rFonts w:ascii="Arial" w:eastAsiaTheme="minorEastAsia" w:hAnsi="Arial" w:cs="Arial"/>
          <w:sz w:val="22"/>
          <w:szCs w:val="20"/>
          <w:lang w:eastAsia="en-US"/>
        </w:rPr>
        <w:t>The consultation paper proposes the use of an ISO 20022 XML messages for the reports defined in sections 5 &amp; 6, however at the time of writing we are unaware of suitable XML templates. This therefore suggests development of these templates is required via submission to the relevant ISO committees. This can be a lengthy process, as evidenced in the evaluation process of the current SFTR reports which took approximately 6 months and focused almost exclusively on reviewing one of the thirty templates due to time constraints. As discussed, generally the consultation paper lacks clarity and completeness in numerous areas. This consultation paper however sets ESMA’s expectation that the final guidelines will apply from 13th July 2021 however it may be more pragmatic to make this the latter of 13 July 2021 or at least 6 months following the publication of the final guidelines and relevant XML schema approval by the relevant ISO committee, in order to mitigate for any delays in publication and provide the necessary time for such changes to be analysed and scheduled in a coordinated fashion by the TRs. There are a variety of other items in this document that give credence to this approach such as the proposals around XML schemas which have not yet been specified.</w:t>
      </w:r>
    </w:p>
    <w:p w14:paraId="0098C2BE" w14:textId="77777777" w:rsidR="007D5E5D" w:rsidRPr="007D5E5D" w:rsidRDefault="007D5E5D" w:rsidP="007D5E5D">
      <w:pPr>
        <w:spacing w:after="250" w:line="276" w:lineRule="auto"/>
        <w:jc w:val="both"/>
        <w:rPr>
          <w:rFonts w:ascii="Arial" w:eastAsiaTheme="minorEastAsia" w:hAnsi="Arial" w:cs="Arial"/>
          <w:sz w:val="22"/>
          <w:szCs w:val="20"/>
          <w:lang w:eastAsia="en-US"/>
        </w:rPr>
      </w:pPr>
      <w:r w:rsidRPr="007D5E5D">
        <w:rPr>
          <w:rFonts w:ascii="Arial" w:eastAsiaTheme="minorEastAsia" w:hAnsi="Arial" w:cs="Arial"/>
          <w:sz w:val="22"/>
          <w:szCs w:val="20"/>
          <w:lang w:eastAsia="en-US"/>
        </w:rPr>
        <w:t>In terms of the reports required under sections 5 &amp; 6:</w:t>
      </w:r>
    </w:p>
    <w:p w14:paraId="7F73909E" w14:textId="77777777" w:rsidR="007D5E5D" w:rsidRPr="007D5E5D" w:rsidRDefault="007D5E5D" w:rsidP="007D5E5D">
      <w:pPr>
        <w:spacing w:after="250" w:line="276" w:lineRule="auto"/>
        <w:jc w:val="both"/>
        <w:rPr>
          <w:rFonts w:ascii="Arial" w:eastAsiaTheme="minorEastAsia" w:hAnsi="Arial" w:cs="Arial"/>
          <w:sz w:val="22"/>
          <w:szCs w:val="20"/>
          <w:lang w:eastAsia="en-US"/>
        </w:rPr>
      </w:pPr>
      <w:r w:rsidRPr="007D5E5D">
        <w:rPr>
          <w:rFonts w:ascii="Arial" w:eastAsiaTheme="minorEastAsia" w:hAnsi="Arial" w:cs="Arial"/>
          <w:sz w:val="22"/>
          <w:szCs w:val="20"/>
          <w:lang w:eastAsia="en-US"/>
        </w:rPr>
        <w:t xml:space="preserve">(a) a large portion of the final guidelines seems to be delegated to TRs to determine. The aggregation of reports requires a uniform, consistent approach across every TR, therefore the items such as aggregation algorithms and methodologies for identification of outliers needs considerable additional thought. This is especially pertinent in the context of the proposed fixed implementation date, as considerable additional work will be required by TRs to determine and agree the relevant implementation details. In addition, further clarity is required regarding items such as how the aggregation of net exposure collateral should work, and the treatment of negative amounts. </w:t>
      </w:r>
    </w:p>
    <w:p w14:paraId="0F7FF3F1" w14:textId="77777777" w:rsidR="007D5E5D" w:rsidRPr="007D5E5D" w:rsidRDefault="007D5E5D" w:rsidP="007D5E5D">
      <w:pPr>
        <w:spacing w:after="250" w:line="276" w:lineRule="auto"/>
        <w:jc w:val="both"/>
        <w:rPr>
          <w:rFonts w:ascii="Arial" w:eastAsiaTheme="minorEastAsia" w:hAnsi="Arial" w:cs="Arial"/>
          <w:sz w:val="22"/>
          <w:szCs w:val="20"/>
          <w:lang w:eastAsia="en-US"/>
        </w:rPr>
      </w:pPr>
      <w:r w:rsidRPr="007D5E5D">
        <w:rPr>
          <w:rFonts w:ascii="Arial" w:eastAsiaTheme="minorEastAsia" w:hAnsi="Arial" w:cs="Arial"/>
          <w:sz w:val="22"/>
          <w:szCs w:val="20"/>
          <w:lang w:eastAsia="en-US"/>
        </w:rPr>
        <w:t xml:space="preserve"> </w:t>
      </w:r>
      <w:r w:rsidRPr="007D5E5D">
        <w:rPr>
          <w:rFonts w:ascii="Arial" w:eastAsiaTheme="minorEastAsia" w:hAnsi="Arial" w:cs="Arial"/>
          <w:sz w:val="22"/>
          <w:szCs w:val="20"/>
          <w:lang w:eastAsia="en-US"/>
        </w:rPr>
        <w:tab/>
        <w:t xml:space="preserve">(b) the report contents seem to include large numbers of fields which do not have a bearing on exposures / systemic risk. The addition of superfluous data elements has a deleterious effect on the aggregation as it results in more granularity rather than providing high-level position aggregation. More thought should be given to the data elements </w:t>
      </w:r>
      <w:proofErr w:type="gramStart"/>
      <w:r w:rsidRPr="007D5E5D">
        <w:rPr>
          <w:rFonts w:ascii="Arial" w:eastAsiaTheme="minorEastAsia" w:hAnsi="Arial" w:cs="Arial"/>
          <w:sz w:val="22"/>
          <w:szCs w:val="20"/>
          <w:lang w:eastAsia="en-US"/>
        </w:rPr>
        <w:t>actually required</w:t>
      </w:r>
      <w:proofErr w:type="gramEnd"/>
      <w:r w:rsidRPr="007D5E5D">
        <w:rPr>
          <w:rFonts w:ascii="Arial" w:eastAsiaTheme="minorEastAsia" w:hAnsi="Arial" w:cs="Arial"/>
          <w:sz w:val="22"/>
          <w:szCs w:val="20"/>
          <w:lang w:eastAsia="en-US"/>
        </w:rPr>
        <w:t xml:space="preserve">. This is consistent with our belief that multiple sets of reports for ESMA’s purposes and the FSB creates less transparency, rather than more, whilst introducing significant burden for the TRs. </w:t>
      </w:r>
    </w:p>
    <w:p w14:paraId="3ABE0AD7" w14:textId="77777777" w:rsidR="007D5E5D" w:rsidRPr="007D5E5D" w:rsidRDefault="007D5E5D" w:rsidP="007D5E5D">
      <w:pPr>
        <w:spacing w:after="250" w:line="276" w:lineRule="auto"/>
        <w:jc w:val="both"/>
        <w:rPr>
          <w:rFonts w:ascii="Arial" w:eastAsiaTheme="minorEastAsia" w:hAnsi="Arial" w:cs="Arial"/>
          <w:sz w:val="22"/>
          <w:szCs w:val="20"/>
          <w:lang w:eastAsia="en-US"/>
        </w:rPr>
      </w:pPr>
      <w:r w:rsidRPr="007D5E5D">
        <w:rPr>
          <w:rFonts w:ascii="Arial" w:eastAsiaTheme="minorEastAsia" w:hAnsi="Arial" w:cs="Arial"/>
          <w:sz w:val="22"/>
          <w:szCs w:val="20"/>
          <w:lang w:eastAsia="en-US"/>
        </w:rPr>
        <w:t>(c) the proposal around the re-calculation of reports on request in Guideline 6 is an unworkable proposal in its current form, as detailed in the response to Q9.</w:t>
      </w:r>
    </w:p>
    <w:p w14:paraId="27B2ACFA" w14:textId="77777777" w:rsidR="007D5E5D" w:rsidRPr="007D5E5D" w:rsidRDefault="007D5E5D" w:rsidP="007D5E5D">
      <w:pPr>
        <w:spacing w:after="250" w:line="276" w:lineRule="auto"/>
        <w:jc w:val="both"/>
        <w:rPr>
          <w:rFonts w:ascii="Arial" w:eastAsiaTheme="minorEastAsia" w:hAnsi="Arial" w:cs="Arial"/>
          <w:sz w:val="22"/>
          <w:szCs w:val="20"/>
          <w:lang w:eastAsia="en-US"/>
        </w:rPr>
      </w:pPr>
      <w:r w:rsidRPr="007D5E5D">
        <w:rPr>
          <w:rFonts w:ascii="Arial" w:eastAsiaTheme="minorEastAsia" w:hAnsi="Arial" w:cs="Arial"/>
          <w:sz w:val="22"/>
          <w:szCs w:val="20"/>
          <w:lang w:eastAsia="en-US"/>
        </w:rPr>
        <w:t xml:space="preserve">An area of </w:t>
      </w:r>
      <w:proofErr w:type="gramStart"/>
      <w:r w:rsidRPr="007D5E5D">
        <w:rPr>
          <w:rFonts w:ascii="Arial" w:eastAsiaTheme="minorEastAsia" w:hAnsi="Arial" w:cs="Arial"/>
          <w:sz w:val="22"/>
          <w:szCs w:val="20"/>
          <w:lang w:eastAsia="en-US"/>
        </w:rPr>
        <w:t>particular concern</w:t>
      </w:r>
      <w:proofErr w:type="gramEnd"/>
      <w:r w:rsidRPr="007D5E5D">
        <w:rPr>
          <w:rFonts w:ascii="Arial" w:eastAsiaTheme="minorEastAsia" w:hAnsi="Arial" w:cs="Arial"/>
          <w:sz w:val="22"/>
          <w:szCs w:val="20"/>
          <w:lang w:eastAsia="en-US"/>
        </w:rPr>
        <w:t xml:space="preserve"> are the requirements for TRs to enriching or augment data in the process of aggregation, as for example, mentioned in paragraph 63. TRs have historically been explicitly prohibited from such activities in order to ensure the integrity of the data is preserved. The risks associated to this are discussed in more detail in our response to Q12, however it is noteworthy in this example that large volumes of enrichment would be required by TRs from transactional data, which introduces a heightened level of complexity and risk. This should be </w:t>
      </w:r>
      <w:r w:rsidRPr="007D5E5D">
        <w:rPr>
          <w:rFonts w:ascii="Arial" w:eastAsiaTheme="minorEastAsia" w:hAnsi="Arial" w:cs="Arial"/>
          <w:sz w:val="22"/>
          <w:szCs w:val="20"/>
          <w:lang w:eastAsia="en-US"/>
        </w:rPr>
        <w:lastRenderedPageBreak/>
        <w:t>avoided. This is also true of the FSB reports which under the proposals, contain a heavy amount of data mappings, augmentation and enrichment to produce.</w:t>
      </w:r>
    </w:p>
    <w:p w14:paraId="0CA2C89E" w14:textId="77777777" w:rsidR="007D5E5D" w:rsidRPr="007D5E5D" w:rsidRDefault="007D5E5D" w:rsidP="007D5E5D">
      <w:pPr>
        <w:spacing w:after="250" w:line="276" w:lineRule="auto"/>
        <w:jc w:val="both"/>
        <w:rPr>
          <w:rFonts w:ascii="Arial" w:eastAsiaTheme="minorEastAsia" w:hAnsi="Arial" w:cs="Arial"/>
          <w:sz w:val="22"/>
          <w:szCs w:val="20"/>
          <w:lang w:eastAsia="en-US"/>
        </w:rPr>
      </w:pPr>
      <w:r w:rsidRPr="007D5E5D">
        <w:rPr>
          <w:rFonts w:ascii="Arial" w:eastAsiaTheme="minorEastAsia" w:hAnsi="Arial" w:cs="Arial"/>
          <w:sz w:val="22"/>
          <w:szCs w:val="20"/>
          <w:lang w:eastAsia="en-US"/>
        </w:rPr>
        <w:t xml:space="preserve">For the FSB reports, readers are in large part referred to the guidance published by the FSB. The structure of the FSB’s documentation is quite different, therefore the level of alignment between the regime proposed by ESMA and the regime required by the FSB is far from transparent at this point. The FSB document appears to lack clarity on several fronts, including but not limited to information pertaining to the format in which the report should be provided, as well as the parameters that define what information a given authority is entitled to receive (as the intended audience of this document is not necessarily TRs). This point is also true of the ESMA reports discussed in sections 5 and 6. For example, it is not clear whether an authority should receive report where the Reporting Counterparty is in the country of the relevant authority, or whether the Branch of the Reporting Counterparty should be considered, or whether reference data should also be considered, etc. </w:t>
      </w:r>
    </w:p>
    <w:permEnd w:id="885457707"/>
    <w:p w14:paraId="15D00E65" w14:textId="12E20071"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83743">
        <w:rPr>
          <w:rFonts w:asciiTheme="minorHAnsi" w:eastAsiaTheme="minorEastAsia" w:hAnsiTheme="minorHAnsi" w:cstheme="minorBidi"/>
          <w:sz w:val="22"/>
          <w:szCs w:val="20"/>
          <w:lang w:eastAsia="en-US"/>
        </w:rPr>
        <w:t>SFPO</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4BA0A72F"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3BC646E5" w14:textId="77777777" w:rsidR="00044D43" w:rsidRDefault="00044D43" w:rsidP="00044D43">
      <w:pPr>
        <w:pStyle w:val="Questionstyle"/>
      </w:pPr>
      <w:bookmarkStart w:id="1" w:name="_Toc45100223"/>
      <w:bookmarkStart w:id="2" w:name="_Toc5036347"/>
      <w:bookmarkStart w:id="3" w:name="_Toc5036555"/>
      <w:bookmarkEnd w:id="0"/>
      <w:r>
        <w:t>Do you agree with the proposed approach to implementation? Please elaborate on the reasons for your response.</w:t>
      </w:r>
      <w:bookmarkEnd w:id="1"/>
      <w:r>
        <w:t xml:space="preserve"> </w:t>
      </w:r>
      <w:bookmarkEnd w:id="2"/>
      <w:bookmarkEnd w:id="3"/>
    </w:p>
    <w:p w14:paraId="409A81A7" w14:textId="77777777" w:rsidR="00044D43" w:rsidRDefault="00044D43" w:rsidP="00044D43">
      <w:pPr>
        <w:rPr>
          <w:rFonts w:ascii="Arial" w:hAnsi="Arial" w:cs="Arial"/>
        </w:rPr>
      </w:pPr>
      <w:r>
        <w:rPr>
          <w:rFonts w:ascii="Arial" w:hAnsi="Arial" w:cs="Arial"/>
        </w:rPr>
        <w:t>&lt;ESMA_QUESTION_SFPO_1&gt;</w:t>
      </w:r>
    </w:p>
    <w:p w14:paraId="026CC1EF" w14:textId="77777777" w:rsidR="00044D43" w:rsidRDefault="00044D43" w:rsidP="00044D43">
      <w:pPr>
        <w:rPr>
          <w:rFonts w:ascii="Arial" w:hAnsi="Arial" w:cs="Arial"/>
        </w:rPr>
      </w:pPr>
      <w:permStart w:id="1705798502" w:edGrp="everyone"/>
      <w:r>
        <w:rPr>
          <w:rFonts w:ascii="Arial" w:hAnsi="Arial" w:cs="Arial"/>
        </w:rPr>
        <w:t>TYPE YOUR TEXT HERE</w:t>
      </w:r>
    </w:p>
    <w:permEnd w:id="1705798502"/>
    <w:p w14:paraId="21588E45" w14:textId="77777777" w:rsidR="00044D43" w:rsidRDefault="00044D43" w:rsidP="00044D43">
      <w:pPr>
        <w:rPr>
          <w:rFonts w:ascii="Arial" w:hAnsi="Arial" w:cs="Arial"/>
        </w:rPr>
      </w:pPr>
      <w:r>
        <w:rPr>
          <w:rFonts w:ascii="Arial" w:hAnsi="Arial" w:cs="Arial"/>
        </w:rPr>
        <w:t>&lt;ESMA_QUESTION_SFPO_1&gt;</w:t>
      </w:r>
    </w:p>
    <w:p w14:paraId="5D56B97F" w14:textId="77777777" w:rsidR="00044D43" w:rsidRDefault="00044D43" w:rsidP="00044D43">
      <w:pPr>
        <w:rPr>
          <w:rFonts w:ascii="Arial" w:hAnsi="Arial" w:cs="Arial"/>
        </w:rPr>
      </w:pPr>
    </w:p>
    <w:p w14:paraId="6317121B" w14:textId="77777777" w:rsidR="00044D43" w:rsidRDefault="00044D43" w:rsidP="00044D43">
      <w:pPr>
        <w:pStyle w:val="Questionstyle"/>
        <w:rPr>
          <w:rFonts w:ascii="Arial" w:hAnsi="Arial" w:cs="Arial"/>
        </w:rPr>
      </w:pPr>
      <w:bookmarkStart w:id="4" w:name="_Toc45100224"/>
      <w:r>
        <w:t>Do you foresee any additional option, that would represent SFT exposures more accurately? Please detail the reasons for your response.</w:t>
      </w:r>
      <w:bookmarkEnd w:id="4"/>
    </w:p>
    <w:p w14:paraId="071E6EE7" w14:textId="77777777" w:rsidR="00044D43" w:rsidRDefault="00044D43" w:rsidP="00044D43">
      <w:pPr>
        <w:rPr>
          <w:rFonts w:ascii="Arial" w:hAnsi="Arial" w:cs="Arial"/>
        </w:rPr>
      </w:pPr>
      <w:r>
        <w:rPr>
          <w:rFonts w:ascii="Arial" w:hAnsi="Arial" w:cs="Arial"/>
        </w:rPr>
        <w:t>&lt;ESMA_QUESTION_SFPO_2&gt;</w:t>
      </w:r>
    </w:p>
    <w:p w14:paraId="431B2397" w14:textId="77777777" w:rsidR="007D5E5D" w:rsidRPr="007D5E5D" w:rsidRDefault="007D5E5D" w:rsidP="007D5E5D">
      <w:pPr>
        <w:rPr>
          <w:rFonts w:ascii="Arial" w:hAnsi="Arial" w:cs="Arial"/>
        </w:rPr>
      </w:pPr>
      <w:permStart w:id="1626622956" w:edGrp="everyone"/>
      <w:r w:rsidRPr="007D5E5D">
        <w:rPr>
          <w:rFonts w:ascii="Arial" w:hAnsi="Arial" w:cs="Arial"/>
        </w:rPr>
        <w:t>No. Indeed any methodology that deviates from the proposed approach would be very difficult for TRs to implement. Moreover, the use of this methodology is consistent with guidelines on reporting that in some circumstances only require reporting on an ‘actual’ basis.</w:t>
      </w:r>
    </w:p>
    <w:p w14:paraId="6AC3F78F" w14:textId="77777777" w:rsidR="007D5E5D" w:rsidRDefault="007D5E5D" w:rsidP="00044D43">
      <w:pPr>
        <w:rPr>
          <w:rFonts w:ascii="Arial" w:hAnsi="Arial" w:cs="Arial"/>
        </w:rPr>
      </w:pPr>
    </w:p>
    <w:p w14:paraId="5A470ABF" w14:textId="727417DA" w:rsidR="007D5E5D" w:rsidRDefault="007D5E5D" w:rsidP="00044D43">
      <w:pPr>
        <w:rPr>
          <w:rFonts w:ascii="Arial" w:hAnsi="Arial" w:cs="Arial"/>
        </w:rPr>
      </w:pPr>
      <w:r w:rsidRPr="007D5E5D">
        <w:rPr>
          <w:rFonts w:ascii="Arial" w:hAnsi="Arial" w:cs="Arial"/>
        </w:rPr>
        <w:t xml:space="preserve">In respect of ‘Exposures’ it should be specified for each product type which field should be considered as the appropriate measure of exposure. The example provided in Table 1 seems to use arbitrary numbers however, in order to ensure consistency across TRs, it is suggested that for each product type the relevant fields are specified. </w:t>
      </w:r>
    </w:p>
    <w:permEnd w:id="1626622956"/>
    <w:p w14:paraId="2141A14E" w14:textId="12016331" w:rsidR="00044D43" w:rsidRDefault="00044D43" w:rsidP="00044D43">
      <w:pPr>
        <w:rPr>
          <w:rFonts w:ascii="Arial" w:hAnsi="Arial" w:cs="Arial"/>
        </w:rPr>
      </w:pPr>
      <w:r>
        <w:rPr>
          <w:rFonts w:ascii="Arial" w:hAnsi="Arial" w:cs="Arial"/>
        </w:rPr>
        <w:t>&lt;ESMA_QUESTION_SFPO_2&gt;</w:t>
      </w:r>
    </w:p>
    <w:p w14:paraId="6DD5F7D0" w14:textId="77777777" w:rsidR="00044D43" w:rsidRDefault="00044D43" w:rsidP="00044D43">
      <w:pPr>
        <w:rPr>
          <w:rFonts w:ascii="Arial" w:hAnsi="Arial" w:cs="Arial"/>
        </w:rPr>
      </w:pPr>
    </w:p>
    <w:p w14:paraId="4490D588" w14:textId="77777777" w:rsidR="00044D43" w:rsidRDefault="00044D43" w:rsidP="00044D43">
      <w:pPr>
        <w:pStyle w:val="Questionstyle"/>
        <w:rPr>
          <w:rFonts w:ascii="Arial" w:hAnsi="Arial" w:cs="Arial"/>
        </w:rPr>
      </w:pPr>
      <w:bookmarkStart w:id="5" w:name="_Toc45100225"/>
      <w:r>
        <w:t xml:space="preserve">Is there any additional aspect that needs to be clarified with regards to the timeline for provision of position data? </w:t>
      </w:r>
      <w:bookmarkStart w:id="6" w:name="_Hlk41496343"/>
      <w:r>
        <w:t>Please detail the reasons for your response.</w:t>
      </w:r>
      <w:bookmarkEnd w:id="5"/>
      <w:bookmarkEnd w:id="6"/>
    </w:p>
    <w:p w14:paraId="035C9CB3" w14:textId="77777777" w:rsidR="00044D43" w:rsidRDefault="00044D43" w:rsidP="00044D43">
      <w:pPr>
        <w:rPr>
          <w:rFonts w:ascii="Arial" w:hAnsi="Arial" w:cs="Arial"/>
        </w:rPr>
      </w:pPr>
      <w:r>
        <w:rPr>
          <w:rFonts w:ascii="Arial" w:hAnsi="Arial" w:cs="Arial"/>
        </w:rPr>
        <w:t>&lt;ESMA_QUESTION_SFPO_3&gt;</w:t>
      </w:r>
    </w:p>
    <w:p w14:paraId="32798968" w14:textId="77777777" w:rsidR="007D5E5D" w:rsidRPr="007D5E5D" w:rsidRDefault="007D5E5D" w:rsidP="007D5E5D">
      <w:pPr>
        <w:rPr>
          <w:rFonts w:ascii="Arial" w:hAnsi="Arial" w:cs="Arial"/>
        </w:rPr>
      </w:pPr>
      <w:permStart w:id="2035043199" w:edGrp="everyone"/>
      <w:r w:rsidRPr="007D5E5D">
        <w:rPr>
          <w:rFonts w:ascii="Arial" w:hAnsi="Arial" w:cs="Arial"/>
        </w:rPr>
        <w:t xml:space="preserve">The use of “Event Date” could be misleading here as in circumstances where reports are backdated or other scenarios whereby the reporting date is not the event date, use of the Event Date may result in values not reflective of exposure. Therefore, it is recommended that the population is determined through reference to the Reporting Timestamp. This is especially pertinent in #5 and #6 of Table 2 where the refence should be to Reporting Timestamp. </w:t>
      </w:r>
    </w:p>
    <w:p w14:paraId="1B41C8EF" w14:textId="77777777" w:rsidR="007D5E5D" w:rsidRDefault="007D5E5D" w:rsidP="007D5E5D">
      <w:pPr>
        <w:rPr>
          <w:rFonts w:ascii="Arial" w:hAnsi="Arial" w:cs="Arial"/>
        </w:rPr>
      </w:pPr>
    </w:p>
    <w:p w14:paraId="7B992B7A" w14:textId="6F2C8D9E" w:rsidR="007D5E5D" w:rsidRPr="007D5E5D" w:rsidRDefault="007D5E5D" w:rsidP="007D5E5D">
      <w:pPr>
        <w:rPr>
          <w:rFonts w:ascii="Arial" w:hAnsi="Arial" w:cs="Arial"/>
        </w:rPr>
      </w:pPr>
      <w:r w:rsidRPr="007D5E5D">
        <w:rPr>
          <w:rFonts w:ascii="Arial" w:hAnsi="Arial" w:cs="Arial"/>
        </w:rPr>
        <w:t>Moreover, the process defined in Table 2 would not yield the outcome defined in Guideline 2 as this transactional workflow would only consider trades for which a submission has been received on the calculation date -2. It is our understanding that the intention of Guideline 2 is generate data based on “the most recent full day’s set of trade state data”, which implies the full outstanding position set. Therefore, this table should reflect the outstanding trade state population with an appropriate reference to when any FX rate should be determined. The FX rate should be based on the last reporting values in fields 57 and 88 of Table 2, rather than by reference to the relevant submission, to ensure accurate exposure even when a counterparty fails to update the relevant fields denoted for market value.</w:t>
      </w:r>
    </w:p>
    <w:p w14:paraId="5DCF60F4" w14:textId="77777777" w:rsidR="007D5E5D" w:rsidRDefault="007D5E5D" w:rsidP="007D5E5D">
      <w:pPr>
        <w:rPr>
          <w:rFonts w:ascii="Arial" w:hAnsi="Arial" w:cs="Arial"/>
        </w:rPr>
      </w:pPr>
    </w:p>
    <w:p w14:paraId="3E25D936" w14:textId="45C626E8" w:rsidR="007D5E5D" w:rsidRPr="007D5E5D" w:rsidRDefault="007D5E5D" w:rsidP="007D5E5D">
      <w:pPr>
        <w:rPr>
          <w:rFonts w:ascii="Arial" w:hAnsi="Arial" w:cs="Arial"/>
        </w:rPr>
      </w:pPr>
      <w:r w:rsidRPr="007D5E5D">
        <w:rPr>
          <w:rFonts w:ascii="Arial" w:hAnsi="Arial" w:cs="Arial"/>
        </w:rPr>
        <w:t xml:space="preserve">Lastly, reference is made in the table to use of T2F57 and T2F88 (understood to be fields 57 and 88 of Table 2 in the RTS). Field 57 is only applicable for submission on securities lending trades, where it is mandatory on Valuation action types and optional on NEWT, CORR and POSC action types. It is not applicable at all (i.e. cannot be submitted in the schema) on MODI action types, and for all other products </w:t>
      </w:r>
      <w:r w:rsidRPr="007D5E5D">
        <w:rPr>
          <w:rFonts w:ascii="Arial" w:hAnsi="Arial" w:cs="Arial"/>
        </w:rPr>
        <w:lastRenderedPageBreak/>
        <w:t xml:space="preserve">(Repo, BSB, ML). What are the appropriate fields to be used for exposure / market value for other product types?  In addition, field 2.88 should only be populated when the type of collateral component is SECU or COMM therefore CASH collateral market value is not considered by this field. Presumably fields 2.76 and 2.77 should also be </w:t>
      </w:r>
      <w:proofErr w:type="gramStart"/>
      <w:r w:rsidRPr="007D5E5D">
        <w:rPr>
          <w:rFonts w:ascii="Arial" w:hAnsi="Arial" w:cs="Arial"/>
        </w:rPr>
        <w:t>considered, but</w:t>
      </w:r>
      <w:proofErr w:type="gramEnd"/>
      <w:r w:rsidRPr="007D5E5D">
        <w:rPr>
          <w:rFonts w:ascii="Arial" w:hAnsi="Arial" w:cs="Arial"/>
        </w:rPr>
        <w:t xml:space="preserve"> are not referenced.</w:t>
      </w:r>
    </w:p>
    <w:p w14:paraId="37A8B281" w14:textId="77777777" w:rsidR="007D5E5D" w:rsidRDefault="007D5E5D" w:rsidP="00044D43">
      <w:pPr>
        <w:rPr>
          <w:rFonts w:ascii="Arial" w:hAnsi="Arial" w:cs="Arial"/>
        </w:rPr>
      </w:pPr>
    </w:p>
    <w:p w14:paraId="4F4D9A7D" w14:textId="77C76633" w:rsidR="007D5E5D" w:rsidRDefault="007D5E5D" w:rsidP="00044D43">
      <w:pPr>
        <w:rPr>
          <w:rFonts w:ascii="Arial" w:hAnsi="Arial" w:cs="Arial"/>
        </w:rPr>
      </w:pPr>
      <w:r w:rsidRPr="007D5E5D">
        <w:rPr>
          <w:rFonts w:ascii="Arial" w:hAnsi="Arial" w:cs="Arial"/>
        </w:rPr>
        <w:t xml:space="preserve">We currently provide ESMA with the latest calculated trade state for each trade, which is what should be aggregated. It is imperative that this guideline does not create the need for a new/different calculation or interpretation of a position solely for the purpose of these aggregations. </w:t>
      </w:r>
    </w:p>
    <w:permEnd w:id="2035043199"/>
    <w:p w14:paraId="3C8D38AF" w14:textId="31F641F8" w:rsidR="00044D43" w:rsidRDefault="00044D43" w:rsidP="00044D43">
      <w:pPr>
        <w:rPr>
          <w:rFonts w:ascii="Arial" w:hAnsi="Arial" w:cs="Arial"/>
        </w:rPr>
      </w:pPr>
      <w:r>
        <w:rPr>
          <w:rFonts w:ascii="Arial" w:hAnsi="Arial" w:cs="Arial"/>
        </w:rPr>
        <w:t>&lt;ESMA_QUESTION_SFPO_3&gt;</w:t>
      </w:r>
    </w:p>
    <w:p w14:paraId="10C4620D" w14:textId="77777777" w:rsidR="00044D43" w:rsidRDefault="00044D43" w:rsidP="00044D43">
      <w:pPr>
        <w:rPr>
          <w:rFonts w:ascii="Arial" w:hAnsi="Arial" w:cs="Arial"/>
        </w:rPr>
      </w:pPr>
    </w:p>
    <w:p w14:paraId="58F24358" w14:textId="77777777" w:rsidR="00044D43" w:rsidRDefault="00044D43" w:rsidP="00044D43">
      <w:pPr>
        <w:pStyle w:val="Questionstyle"/>
        <w:rPr>
          <w:rFonts w:ascii="Arial" w:hAnsi="Arial" w:cs="Arial"/>
        </w:rPr>
      </w:pPr>
      <w:bookmarkStart w:id="7" w:name="_Toc45100226"/>
      <w:r>
        <w:t>How should we consider the inclusion of SFTs in positions, when due to timezone difference, an SFT cannot be included in a position calculation for Event date T and it is reported on T+1? Please detail the reasons for your response.</w:t>
      </w:r>
      <w:bookmarkEnd w:id="7"/>
    </w:p>
    <w:p w14:paraId="610E70C4" w14:textId="77777777" w:rsidR="00044D43" w:rsidRDefault="00044D43" w:rsidP="00044D43">
      <w:pPr>
        <w:rPr>
          <w:rFonts w:ascii="Arial" w:hAnsi="Arial" w:cs="Arial"/>
        </w:rPr>
      </w:pPr>
      <w:r>
        <w:rPr>
          <w:rFonts w:ascii="Arial" w:hAnsi="Arial" w:cs="Arial"/>
        </w:rPr>
        <w:t>&lt;ESMA_QUESTION_SFPO_4&gt;</w:t>
      </w:r>
    </w:p>
    <w:p w14:paraId="3D9EF602" w14:textId="77777777" w:rsidR="007D5E5D" w:rsidRDefault="007D5E5D" w:rsidP="00044D43">
      <w:pPr>
        <w:rPr>
          <w:rFonts w:ascii="Arial" w:hAnsi="Arial" w:cs="Arial"/>
        </w:rPr>
      </w:pPr>
      <w:permStart w:id="1603611125" w:edGrp="everyone"/>
      <w:r w:rsidRPr="007D5E5D">
        <w:rPr>
          <w:rFonts w:ascii="Arial" w:hAnsi="Arial" w:cs="Arial"/>
        </w:rPr>
        <w:t xml:space="preserve">Further to the response provided for Q3, the position should be calculated by reference to the trade state produced for a position by the relevant TR. Indeed, as the reporting obligation does not require firms to report until T+1 this is likely to be a common scenario. Whilst at the time of writing certain questions </w:t>
      </w:r>
      <w:proofErr w:type="gramStart"/>
      <w:r w:rsidRPr="007D5E5D">
        <w:rPr>
          <w:rFonts w:ascii="Arial" w:hAnsi="Arial" w:cs="Arial"/>
        </w:rPr>
        <w:t>still remain</w:t>
      </w:r>
      <w:proofErr w:type="gramEnd"/>
      <w:r w:rsidRPr="007D5E5D">
        <w:rPr>
          <w:rFonts w:ascii="Arial" w:hAnsi="Arial" w:cs="Arial"/>
        </w:rPr>
        <w:t xml:space="preserve"> over the calculation of the trade state, in general this is a well understood process by the TRs. </w:t>
      </w:r>
    </w:p>
    <w:p w14:paraId="29A7241A" w14:textId="77777777" w:rsidR="007D5E5D" w:rsidRDefault="007D5E5D" w:rsidP="00044D43">
      <w:pPr>
        <w:rPr>
          <w:rFonts w:ascii="Arial" w:hAnsi="Arial" w:cs="Arial"/>
        </w:rPr>
      </w:pPr>
    </w:p>
    <w:p w14:paraId="5D2F048D" w14:textId="77777777" w:rsidR="007D5E5D" w:rsidRDefault="007D5E5D" w:rsidP="00044D43">
      <w:pPr>
        <w:rPr>
          <w:rFonts w:ascii="Arial" w:hAnsi="Arial" w:cs="Arial"/>
        </w:rPr>
      </w:pPr>
      <w:r w:rsidRPr="007D5E5D">
        <w:rPr>
          <w:rFonts w:ascii="Arial" w:hAnsi="Arial" w:cs="Arial"/>
        </w:rPr>
        <w:t xml:space="preserve">Therefore, this will ensure that regardless of the event date or time zone under which the trade is reported, it is included </w:t>
      </w:r>
      <w:proofErr w:type="gramStart"/>
      <w:r w:rsidRPr="007D5E5D">
        <w:rPr>
          <w:rFonts w:ascii="Arial" w:hAnsi="Arial" w:cs="Arial"/>
        </w:rPr>
        <w:t>in a given</w:t>
      </w:r>
      <w:proofErr w:type="gramEnd"/>
      <w:r w:rsidRPr="007D5E5D">
        <w:rPr>
          <w:rFonts w:ascii="Arial" w:hAnsi="Arial" w:cs="Arial"/>
        </w:rPr>
        <w:t xml:space="preserve"> trade state. Following the event data logic defined under ESMA’s ‘Guidelines to reporting under SFTR’ will result in inaccurate exposure values for back-dated transactions if the event date is used.</w:t>
      </w:r>
    </w:p>
    <w:permEnd w:id="1603611125"/>
    <w:p w14:paraId="2D9E7D1D" w14:textId="0C20B0E5" w:rsidR="00044D43" w:rsidRDefault="00044D43" w:rsidP="00044D43">
      <w:pPr>
        <w:rPr>
          <w:rFonts w:ascii="Arial" w:hAnsi="Arial" w:cs="Arial"/>
        </w:rPr>
      </w:pPr>
      <w:r>
        <w:rPr>
          <w:rFonts w:ascii="Arial" w:hAnsi="Arial" w:cs="Arial"/>
        </w:rPr>
        <w:t>&lt;ESMA_QUESTION_SFPO_4&gt;</w:t>
      </w:r>
    </w:p>
    <w:p w14:paraId="343292D6" w14:textId="77777777" w:rsidR="00044D43" w:rsidRDefault="00044D43" w:rsidP="00044D43">
      <w:pPr>
        <w:rPr>
          <w:rFonts w:ascii="Arial" w:hAnsi="Arial" w:cs="Arial"/>
        </w:rPr>
      </w:pPr>
    </w:p>
    <w:p w14:paraId="1337E94C" w14:textId="77777777" w:rsidR="00044D43" w:rsidRDefault="00044D43" w:rsidP="00044D43">
      <w:pPr>
        <w:pStyle w:val="Questionstyle"/>
        <w:rPr>
          <w:rFonts w:ascii="Arial" w:hAnsi="Arial" w:cs="Arial"/>
        </w:rPr>
      </w:pPr>
      <w:bookmarkStart w:id="8" w:name="_Toc45100227"/>
      <w:r>
        <w:t>Do you agree with the proposed approach for calculating positions and excluding SFTs which are missing one of the required metrics and dimensions? Alternatively, could you consider any of the proposed alternatives or propose some additional ways to calculate the SFT positions? Please detail the reasons for your response.</w:t>
      </w:r>
      <w:bookmarkEnd w:id="8"/>
    </w:p>
    <w:p w14:paraId="62FDBC02" w14:textId="77777777" w:rsidR="00044D43" w:rsidRDefault="00044D43" w:rsidP="00044D43">
      <w:pPr>
        <w:rPr>
          <w:rFonts w:ascii="Arial" w:hAnsi="Arial" w:cs="Arial"/>
        </w:rPr>
      </w:pPr>
      <w:r>
        <w:rPr>
          <w:rFonts w:ascii="Arial" w:hAnsi="Arial" w:cs="Arial"/>
        </w:rPr>
        <w:t>&lt;ESMA_QUESTION_SFPO_5&gt;</w:t>
      </w:r>
    </w:p>
    <w:p w14:paraId="60726223" w14:textId="77777777" w:rsidR="007D5E5D" w:rsidRDefault="007D5E5D" w:rsidP="00044D43">
      <w:pPr>
        <w:rPr>
          <w:rFonts w:ascii="Arial" w:hAnsi="Arial" w:cs="Arial"/>
        </w:rPr>
      </w:pPr>
      <w:permStart w:id="1391929852" w:edGrp="everyone"/>
      <w:r w:rsidRPr="007D5E5D">
        <w:rPr>
          <w:rFonts w:ascii="Arial" w:hAnsi="Arial" w:cs="Arial"/>
        </w:rPr>
        <w:t>Yes, we agree that this is the most appropriate approach. The alternative suggestions in paragraph 29 would create their own complexities in compiling data and in the case of (c) would result in inaccurate results. However, the proposed approach raises the question of why the validation rules do not make the relevant fields required if any gaps may lead to “substantial loss of position data when systemic risk is being assessed” and what such fields could be. If these fields are critical, to ensure consistency in reporting they should be mandatory for submitters.</w:t>
      </w:r>
    </w:p>
    <w:permEnd w:id="1391929852"/>
    <w:p w14:paraId="370D0E42" w14:textId="1B492738" w:rsidR="00044D43" w:rsidRDefault="00044D43" w:rsidP="00044D43">
      <w:pPr>
        <w:rPr>
          <w:rFonts w:ascii="Arial" w:hAnsi="Arial" w:cs="Arial"/>
        </w:rPr>
      </w:pPr>
      <w:r>
        <w:rPr>
          <w:rFonts w:ascii="Arial" w:hAnsi="Arial" w:cs="Arial"/>
        </w:rPr>
        <w:t>&lt;ESMA_QUESTION_SFPO_5&gt;</w:t>
      </w:r>
    </w:p>
    <w:p w14:paraId="0AE8C7D5" w14:textId="77777777" w:rsidR="00044D43" w:rsidRDefault="00044D43" w:rsidP="00044D43">
      <w:pPr>
        <w:rPr>
          <w:rFonts w:ascii="Arial" w:hAnsi="Arial" w:cs="Arial"/>
        </w:rPr>
      </w:pPr>
    </w:p>
    <w:p w14:paraId="1F46DF4B" w14:textId="77777777" w:rsidR="00044D43" w:rsidRDefault="00044D43" w:rsidP="00044D43">
      <w:pPr>
        <w:pStyle w:val="Questionstyle"/>
        <w:rPr>
          <w:rFonts w:ascii="Arial" w:hAnsi="Arial" w:cs="Arial"/>
        </w:rPr>
      </w:pPr>
      <w:bookmarkStart w:id="9" w:name="_Toc45100228"/>
      <w:r>
        <w:t>Do you agree with the establishment of a process for identification of outliers by the TRs? Please detail the reasons for your response.</w:t>
      </w:r>
      <w:bookmarkEnd w:id="9"/>
    </w:p>
    <w:p w14:paraId="7CF0FA76" w14:textId="77777777" w:rsidR="00044D43" w:rsidRDefault="00044D43" w:rsidP="00044D43">
      <w:pPr>
        <w:rPr>
          <w:rFonts w:ascii="Arial" w:hAnsi="Arial" w:cs="Arial"/>
        </w:rPr>
      </w:pPr>
      <w:r>
        <w:rPr>
          <w:rFonts w:ascii="Arial" w:hAnsi="Arial" w:cs="Arial"/>
        </w:rPr>
        <w:t>&lt;ESMA_QUESTION_SFPO_6&gt;</w:t>
      </w:r>
    </w:p>
    <w:p w14:paraId="73CBCB23" w14:textId="77777777" w:rsidR="007D5E5D" w:rsidRPr="007D5E5D" w:rsidRDefault="007D5E5D" w:rsidP="007D5E5D">
      <w:pPr>
        <w:rPr>
          <w:rFonts w:ascii="Arial" w:hAnsi="Arial" w:cs="Arial"/>
        </w:rPr>
      </w:pPr>
      <w:permStart w:id="1565794674" w:edGrp="everyone"/>
      <w:r w:rsidRPr="007D5E5D">
        <w:rPr>
          <w:rFonts w:ascii="Arial" w:hAnsi="Arial" w:cs="Arial"/>
        </w:rPr>
        <w:t xml:space="preserve">It is understood that the suggestion is for two identical sets of reports, one which includes outliers and another which does not. The purpose of excluding outliers in calculation is to remove anomalous values which could create misleading results. What therefore is the rationale for another set of the same reports including those </w:t>
      </w:r>
      <w:r w:rsidRPr="007D5E5D">
        <w:rPr>
          <w:rFonts w:ascii="Arial" w:hAnsi="Arial" w:cs="Arial"/>
        </w:rPr>
        <w:lastRenderedPageBreak/>
        <w:t>outlying values? For supervisory purposes which one should be relied upon? This seems duplicative without offering any supervisory benefits, and if anything could lead to confusion. Creating a set of reports including outliers also seems inconsistent with the comments in paragraph 32.</w:t>
      </w:r>
    </w:p>
    <w:p w14:paraId="1EE5A1C1" w14:textId="77777777" w:rsidR="007D5E5D" w:rsidRDefault="007D5E5D" w:rsidP="007D5E5D">
      <w:pPr>
        <w:rPr>
          <w:rFonts w:ascii="Arial" w:hAnsi="Arial" w:cs="Arial"/>
        </w:rPr>
      </w:pPr>
    </w:p>
    <w:p w14:paraId="6C3CF3B9" w14:textId="2F4C5856" w:rsidR="007D5E5D" w:rsidRPr="007D5E5D" w:rsidRDefault="007D5E5D" w:rsidP="007D5E5D">
      <w:pPr>
        <w:rPr>
          <w:rFonts w:ascii="Arial" w:hAnsi="Arial" w:cs="Arial"/>
        </w:rPr>
      </w:pPr>
      <w:r w:rsidRPr="007D5E5D">
        <w:rPr>
          <w:rFonts w:ascii="Arial" w:hAnsi="Arial" w:cs="Arial"/>
        </w:rPr>
        <w:t>We agree that the outliers should be calculated for the various SFT types. Specificity at the field level should be provided / agreed.</w:t>
      </w:r>
    </w:p>
    <w:p w14:paraId="0F948393" w14:textId="77777777" w:rsidR="007D5E5D" w:rsidRDefault="007D5E5D" w:rsidP="00044D43">
      <w:pPr>
        <w:rPr>
          <w:rFonts w:ascii="Arial" w:hAnsi="Arial" w:cs="Arial"/>
        </w:rPr>
      </w:pPr>
    </w:p>
    <w:p w14:paraId="142D7774" w14:textId="6A7B19AA" w:rsidR="007D5E5D" w:rsidRDefault="007D5E5D" w:rsidP="00044D43">
      <w:pPr>
        <w:rPr>
          <w:rFonts w:ascii="Arial" w:hAnsi="Arial" w:cs="Arial"/>
        </w:rPr>
      </w:pPr>
      <w:r w:rsidRPr="007D5E5D">
        <w:rPr>
          <w:rFonts w:ascii="Arial" w:hAnsi="Arial" w:cs="Arial"/>
        </w:rPr>
        <w:t>Paragraph 31 suggests an approach whereby TRs should implement their own approaches however, following an undefined period, ESMA would provide further guidance. In order to reduce the costs associated with throwaway work and more importantly ensure the data quality contained in these reports is of a high quality, it would be preferable for either (i) ESMA to define these standards (by product) as part of the final guidelines, or (ii) allow TRs to define these themselves via mutual agreement, or (iii) collaboratively with ESMA, to ensure benefit is derived from these reports from the outset.</w:t>
      </w:r>
    </w:p>
    <w:permEnd w:id="1565794674"/>
    <w:p w14:paraId="0BBBB84A" w14:textId="4D1E0833" w:rsidR="00044D43" w:rsidRDefault="00044D43" w:rsidP="00044D43">
      <w:pPr>
        <w:rPr>
          <w:rFonts w:ascii="Arial" w:hAnsi="Arial" w:cs="Arial"/>
        </w:rPr>
      </w:pPr>
      <w:r>
        <w:rPr>
          <w:rFonts w:ascii="Arial" w:hAnsi="Arial" w:cs="Arial"/>
        </w:rPr>
        <w:t>&lt;ESMA_QUESTION_SFPO_6&gt;</w:t>
      </w:r>
    </w:p>
    <w:p w14:paraId="3B99B877" w14:textId="77777777" w:rsidR="00044D43" w:rsidRDefault="00044D43" w:rsidP="00044D43">
      <w:pPr>
        <w:rPr>
          <w:rFonts w:ascii="Arial" w:hAnsi="Arial" w:cs="Arial"/>
        </w:rPr>
      </w:pPr>
    </w:p>
    <w:p w14:paraId="13466EF2" w14:textId="77777777" w:rsidR="00044D43" w:rsidRDefault="00044D43" w:rsidP="00044D43">
      <w:pPr>
        <w:pStyle w:val="Questionstyle"/>
        <w:rPr>
          <w:rFonts w:ascii="Arial" w:hAnsi="Arial" w:cs="Arial"/>
        </w:rPr>
      </w:pPr>
      <w:bookmarkStart w:id="10" w:name="_Toc45100229"/>
      <w:r>
        <w:t>Do you consider that this process should be further standardised across TRs? If so, what specific aspects and statistics should be considered?  Please detail the reasons for your response.</w:t>
      </w:r>
      <w:bookmarkEnd w:id="10"/>
    </w:p>
    <w:p w14:paraId="101AF8DB" w14:textId="77777777" w:rsidR="00044D43" w:rsidRDefault="00044D43" w:rsidP="00044D43">
      <w:pPr>
        <w:rPr>
          <w:rFonts w:ascii="Arial" w:hAnsi="Arial" w:cs="Arial"/>
        </w:rPr>
      </w:pPr>
      <w:r>
        <w:rPr>
          <w:rFonts w:ascii="Arial" w:hAnsi="Arial" w:cs="Arial"/>
        </w:rPr>
        <w:t>&lt;ESMA_QUESTION_SFPO_7&gt;</w:t>
      </w:r>
    </w:p>
    <w:p w14:paraId="5E80061D" w14:textId="77777777" w:rsidR="007D5E5D" w:rsidRPr="007D5E5D" w:rsidRDefault="007D5E5D" w:rsidP="007D5E5D">
      <w:pPr>
        <w:rPr>
          <w:rFonts w:ascii="Arial" w:hAnsi="Arial" w:cs="Arial"/>
        </w:rPr>
      </w:pPr>
      <w:permStart w:id="1972839091" w:edGrp="everyone"/>
      <w:r w:rsidRPr="007D5E5D">
        <w:rPr>
          <w:rFonts w:ascii="Arial" w:hAnsi="Arial" w:cs="Arial"/>
        </w:rPr>
        <w:t xml:space="preserve">As outlined in paragraph 30, </w:t>
      </w:r>
      <w:proofErr w:type="gramStart"/>
      <w:r w:rsidRPr="007D5E5D">
        <w:rPr>
          <w:rFonts w:ascii="Arial" w:hAnsi="Arial" w:cs="Arial"/>
        </w:rPr>
        <w:t>in order for</w:t>
      </w:r>
      <w:proofErr w:type="gramEnd"/>
      <w:r w:rsidRPr="007D5E5D">
        <w:rPr>
          <w:rFonts w:ascii="Arial" w:hAnsi="Arial" w:cs="Arial"/>
        </w:rPr>
        <w:t xml:space="preserve"> these to be valuable to authorities, it is important that the values are formed in a consistent manner so that they are comparable across TRs. </w:t>
      </w:r>
    </w:p>
    <w:p w14:paraId="6EE99004" w14:textId="77777777" w:rsidR="007D5E5D" w:rsidRDefault="007D5E5D" w:rsidP="007D5E5D">
      <w:pPr>
        <w:rPr>
          <w:rFonts w:ascii="Arial" w:hAnsi="Arial" w:cs="Arial"/>
        </w:rPr>
      </w:pPr>
    </w:p>
    <w:p w14:paraId="70776D2F" w14:textId="365ED3A1" w:rsidR="007D5E5D" w:rsidRPr="007D5E5D" w:rsidRDefault="007D5E5D" w:rsidP="007D5E5D">
      <w:pPr>
        <w:rPr>
          <w:rFonts w:ascii="Arial" w:hAnsi="Arial" w:cs="Arial"/>
        </w:rPr>
      </w:pPr>
      <w:r w:rsidRPr="007D5E5D">
        <w:rPr>
          <w:rFonts w:ascii="Arial" w:hAnsi="Arial" w:cs="Arial"/>
        </w:rPr>
        <w:t>As pointed out in the response to Q6, paragraph 31 suggests an approach whereby TRs should implement their own approaches however, following an undefined period, ESMA would provide further guidance. In order to reduce the costs associated with throwaway work and more importantly ensure the data quality contained in these reports is of a high quality, it would be preferable for either (i) ESMA to define these standards (by product) as part of the final guidelines, or (ii) allow TRs to define these themselves via mutual agreement, or (iii) collaboratively with ESMA, to ensure benefit is derived from these reports from the outset.</w:t>
      </w:r>
    </w:p>
    <w:p w14:paraId="6781AF28" w14:textId="77777777" w:rsidR="007D5E5D" w:rsidRDefault="007D5E5D" w:rsidP="00044D43">
      <w:pPr>
        <w:rPr>
          <w:rFonts w:ascii="Arial" w:hAnsi="Arial" w:cs="Arial"/>
        </w:rPr>
      </w:pPr>
    </w:p>
    <w:p w14:paraId="55ED0DA9" w14:textId="1146E311" w:rsidR="00044D43" w:rsidRDefault="007D5E5D" w:rsidP="00044D43">
      <w:pPr>
        <w:rPr>
          <w:rFonts w:ascii="Arial" w:hAnsi="Arial" w:cs="Arial"/>
        </w:rPr>
      </w:pPr>
      <w:r w:rsidRPr="007D5E5D">
        <w:rPr>
          <w:rFonts w:ascii="Arial" w:hAnsi="Arial" w:cs="Arial"/>
        </w:rPr>
        <w:t xml:space="preserve">Lastly aggregations in respect of negative amounts should be treated carefully. Portfolios collateralized at the net exposure level contain risk offsetting transactions and it may not always be appropriate to net across portfolios to determine exposure. </w:t>
      </w:r>
      <w:permEnd w:id="1972839091"/>
      <w:r w:rsidR="00044D43">
        <w:rPr>
          <w:rFonts w:ascii="Arial" w:hAnsi="Arial" w:cs="Arial"/>
        </w:rPr>
        <w:t>&lt;ESMA_QUESTION_SFPO_7&gt;</w:t>
      </w:r>
    </w:p>
    <w:p w14:paraId="0231EDBB" w14:textId="77777777" w:rsidR="00044D43" w:rsidRDefault="00044D43" w:rsidP="00044D43">
      <w:pPr>
        <w:rPr>
          <w:rFonts w:ascii="Arial" w:hAnsi="Arial" w:cs="Arial"/>
        </w:rPr>
      </w:pPr>
    </w:p>
    <w:p w14:paraId="5079D089" w14:textId="77777777" w:rsidR="00044D43" w:rsidRDefault="00044D43" w:rsidP="00044D43">
      <w:pPr>
        <w:pStyle w:val="Questionstyle"/>
        <w:rPr>
          <w:rFonts w:ascii="Arial" w:hAnsi="Arial" w:cs="Arial"/>
        </w:rPr>
      </w:pPr>
      <w:bookmarkStart w:id="11" w:name="_Toc45100230"/>
      <w:r>
        <w:t>What additional aspects should be clarified with regards to the availability of algorithms for ESMA? Please detail the reasons for your response.</w:t>
      </w:r>
      <w:bookmarkEnd w:id="11"/>
    </w:p>
    <w:p w14:paraId="6C41FB0D" w14:textId="77777777" w:rsidR="00044D43" w:rsidRDefault="00044D43" w:rsidP="00044D43">
      <w:pPr>
        <w:rPr>
          <w:rFonts w:ascii="Arial" w:hAnsi="Arial" w:cs="Arial"/>
        </w:rPr>
      </w:pPr>
      <w:r>
        <w:rPr>
          <w:rFonts w:ascii="Arial" w:hAnsi="Arial" w:cs="Arial"/>
        </w:rPr>
        <w:t>&lt;ESMA_QUESTION_SFPO_8&gt;</w:t>
      </w:r>
    </w:p>
    <w:p w14:paraId="3701BFA8" w14:textId="77777777" w:rsidR="007D5E5D" w:rsidRPr="007D5E5D" w:rsidRDefault="007D5E5D" w:rsidP="007D5E5D">
      <w:pPr>
        <w:rPr>
          <w:rFonts w:ascii="Arial" w:hAnsi="Arial" w:cs="Arial"/>
        </w:rPr>
      </w:pPr>
      <w:permStart w:id="1273524049" w:edGrp="everyone"/>
      <w:r w:rsidRPr="007D5E5D">
        <w:rPr>
          <w:rFonts w:ascii="Arial" w:hAnsi="Arial" w:cs="Arial"/>
        </w:rPr>
        <w:t>By ‘algorithm’ it is understood the requirement here is for TRs to be able to produce the requirements for how the position data should be derived, rather than the actual code.</w:t>
      </w:r>
    </w:p>
    <w:p w14:paraId="16B9876C" w14:textId="77777777" w:rsidR="00DB4D12" w:rsidRDefault="00DB4D12" w:rsidP="00044D43">
      <w:pPr>
        <w:rPr>
          <w:rFonts w:ascii="Arial" w:hAnsi="Arial" w:cs="Arial"/>
        </w:rPr>
      </w:pPr>
    </w:p>
    <w:p w14:paraId="4679AB2D" w14:textId="44A8B1CB" w:rsidR="00DB4D12" w:rsidRDefault="007D5E5D" w:rsidP="00044D43">
      <w:pPr>
        <w:rPr>
          <w:rFonts w:ascii="Arial" w:hAnsi="Arial" w:cs="Arial"/>
        </w:rPr>
      </w:pPr>
      <w:r w:rsidRPr="007D5E5D">
        <w:rPr>
          <w:rFonts w:ascii="Arial" w:hAnsi="Arial" w:cs="Arial"/>
        </w:rPr>
        <w:lastRenderedPageBreak/>
        <w:t xml:space="preserve">As noted in question 7, the requirements for aggregation should be clearly articulated across each field for TRs to ensure a uniform methodology is implemented and ESMA have full transparency into the process. </w:t>
      </w:r>
    </w:p>
    <w:permEnd w:id="1273524049"/>
    <w:p w14:paraId="1E7A02F5" w14:textId="738167D7" w:rsidR="00044D43" w:rsidRDefault="00044D43" w:rsidP="00044D43">
      <w:pPr>
        <w:rPr>
          <w:rFonts w:ascii="Arial" w:hAnsi="Arial" w:cs="Arial"/>
        </w:rPr>
      </w:pPr>
      <w:r>
        <w:rPr>
          <w:rFonts w:ascii="Arial" w:hAnsi="Arial" w:cs="Arial"/>
        </w:rPr>
        <w:t>&lt;ESMA_QUESTION_SFPO_8&gt;</w:t>
      </w:r>
    </w:p>
    <w:p w14:paraId="49D02980" w14:textId="77777777" w:rsidR="00044D43" w:rsidRDefault="00044D43" w:rsidP="00044D43">
      <w:pPr>
        <w:rPr>
          <w:rFonts w:ascii="Arial" w:hAnsi="Arial" w:cs="Arial"/>
        </w:rPr>
      </w:pPr>
    </w:p>
    <w:p w14:paraId="51D4EBB1" w14:textId="77777777" w:rsidR="00044D43" w:rsidRDefault="00044D43" w:rsidP="00044D43">
      <w:pPr>
        <w:pStyle w:val="Questionstyle"/>
        <w:rPr>
          <w:rFonts w:ascii="Arial" w:hAnsi="Arial" w:cs="Arial"/>
        </w:rPr>
      </w:pPr>
      <w:bookmarkStart w:id="12" w:name="_Toc45100231"/>
      <w:r>
        <w:t>Do you agree with the proposal to align the record-keeping of position calculations under SFTR with EMIR? What other aspects should be considered? Please detail the reasons for your response.</w:t>
      </w:r>
      <w:bookmarkEnd w:id="12"/>
      <w:r>
        <w:t xml:space="preserve"> </w:t>
      </w:r>
    </w:p>
    <w:p w14:paraId="7062B71F" w14:textId="77777777" w:rsidR="00044D43" w:rsidRDefault="00044D43" w:rsidP="00044D43">
      <w:pPr>
        <w:rPr>
          <w:rFonts w:ascii="Arial" w:hAnsi="Arial" w:cs="Arial"/>
        </w:rPr>
      </w:pPr>
      <w:r>
        <w:rPr>
          <w:rFonts w:ascii="Arial" w:hAnsi="Arial" w:cs="Arial"/>
        </w:rPr>
        <w:t>&lt;ESMA_QUESTION_SFPO_9&gt;</w:t>
      </w:r>
    </w:p>
    <w:p w14:paraId="6A63B3B8" w14:textId="77777777" w:rsidR="00DB4D12" w:rsidRPr="00DB4D12" w:rsidRDefault="00DB4D12" w:rsidP="00DB4D12">
      <w:pPr>
        <w:rPr>
          <w:rFonts w:ascii="Arial" w:hAnsi="Arial" w:cs="Arial"/>
        </w:rPr>
      </w:pPr>
      <w:permStart w:id="1831621536" w:edGrp="everyone"/>
      <w:r w:rsidRPr="00DB4D12">
        <w:rPr>
          <w:rFonts w:ascii="Arial" w:hAnsi="Arial" w:cs="Arial"/>
        </w:rPr>
        <w:t>How should the record keeping of position calculations be understood in this context? Is Guideline 6 requesting a copy of the report to be stored for 2 years? If so, we agree with this approach.</w:t>
      </w:r>
    </w:p>
    <w:p w14:paraId="7F66E379" w14:textId="77777777" w:rsidR="00DB4D12" w:rsidRDefault="00DB4D12" w:rsidP="00DB4D12">
      <w:pPr>
        <w:rPr>
          <w:rFonts w:ascii="Arial" w:hAnsi="Arial" w:cs="Arial"/>
        </w:rPr>
      </w:pPr>
    </w:p>
    <w:p w14:paraId="0DF2904F" w14:textId="103C9683" w:rsidR="00DB4D12" w:rsidRPr="00DB4D12" w:rsidRDefault="00DB4D12" w:rsidP="00DB4D12">
      <w:pPr>
        <w:rPr>
          <w:rFonts w:ascii="Arial" w:hAnsi="Arial" w:cs="Arial"/>
        </w:rPr>
      </w:pPr>
      <w:proofErr w:type="gramStart"/>
      <w:r w:rsidRPr="00DB4D12">
        <w:rPr>
          <w:rFonts w:ascii="Arial" w:hAnsi="Arial" w:cs="Arial"/>
        </w:rPr>
        <w:t>In regard to</w:t>
      </w:r>
      <w:proofErr w:type="gramEnd"/>
      <w:r w:rsidRPr="00DB4D12">
        <w:rPr>
          <w:rFonts w:ascii="Arial" w:hAnsi="Arial" w:cs="Arial"/>
        </w:rPr>
        <w:t xml:space="preserve"> “mistakes” by reporting counterparties, in this context this is understood to mean positions for which a Correction or Error is provided? When the reconciled position does not match? During the month of August 2020, on average the DTCC received over 40,000 corrections per day. Practically speaking this Guideline would mean that every single day the position calculations would need to be re-run as the prevalence of these reports is high (more so on Corrections) so it is highly likely that every aggregation would be impacted daily. Therefore, even if the report were re-run, it would likely be outdated the very next day. From a TR perspective, scheduling these ad-hoc activities can add complexity to existing processes and therefore are normally scheduled events. It seems both impractical and redundant to produce corrected reports when a single “mistake” is made by a reporting counterparty. It is also unclear how a TR would notify authorities of these mistakes in a secure way, outside of the communication of this data via the existing medium (i.e. the TAR which can be provided daily and which would contain this data).It is also noted that authorities are already provided with the full suite of detailed transaction reports on a daily basis, so transparency into corrections is already provided.  Furthermore, in accordance with ESMA’s guidelines on reporting under SFTR, historic corrections should not form part of the trade state. Therefore, in respect of mistakes by reporting counterparties, there is an inconsistency in approach.</w:t>
      </w:r>
    </w:p>
    <w:p w14:paraId="6C4F6859" w14:textId="77777777" w:rsidR="00DB4D12" w:rsidRDefault="00DB4D12" w:rsidP="00044D43">
      <w:pPr>
        <w:rPr>
          <w:rFonts w:ascii="Arial" w:hAnsi="Arial" w:cs="Arial"/>
        </w:rPr>
      </w:pPr>
    </w:p>
    <w:p w14:paraId="48D0EDDE" w14:textId="77777777" w:rsidR="00DB4D12" w:rsidRDefault="00DB4D12" w:rsidP="00044D43">
      <w:pPr>
        <w:rPr>
          <w:rFonts w:ascii="Arial" w:hAnsi="Arial" w:cs="Arial"/>
        </w:rPr>
      </w:pPr>
      <w:r w:rsidRPr="00DB4D12">
        <w:rPr>
          <w:rFonts w:ascii="Arial" w:hAnsi="Arial" w:cs="Arial"/>
        </w:rPr>
        <w:t xml:space="preserve">If these reporting counterparty mistakes should result in position recalculation, the frequency should be limited and a threshold should be applied such that a position recalculation may only be requested when the mistakes are statistically significant – for example where 10% of positions in that aggregation are deemed to have </w:t>
      </w:r>
      <w:proofErr w:type="spellStart"/>
      <w:r w:rsidRPr="00DB4D12">
        <w:rPr>
          <w:rFonts w:ascii="Arial" w:hAnsi="Arial" w:cs="Arial"/>
        </w:rPr>
        <w:t>mistakes</w:t>
      </w:r>
      <w:proofErr w:type="spellEnd"/>
      <w:r w:rsidRPr="00DB4D12">
        <w:rPr>
          <w:rFonts w:ascii="Arial" w:hAnsi="Arial" w:cs="Arial"/>
        </w:rPr>
        <w:t xml:space="preserve"> in their reporting.</w:t>
      </w:r>
    </w:p>
    <w:p w14:paraId="10381505" w14:textId="77777777" w:rsidR="00DB4D12" w:rsidRDefault="00DB4D12" w:rsidP="00044D43">
      <w:pPr>
        <w:rPr>
          <w:rFonts w:ascii="Arial" w:hAnsi="Arial" w:cs="Arial"/>
        </w:rPr>
      </w:pPr>
    </w:p>
    <w:p w14:paraId="0BE36476" w14:textId="436E173E" w:rsidR="00DB4D12" w:rsidRDefault="00DB4D12" w:rsidP="00044D43">
      <w:pPr>
        <w:rPr>
          <w:rFonts w:ascii="Arial" w:hAnsi="Arial" w:cs="Arial"/>
        </w:rPr>
      </w:pPr>
      <w:r w:rsidRPr="00DB4D12">
        <w:rPr>
          <w:rFonts w:ascii="Arial" w:hAnsi="Arial" w:cs="Arial"/>
        </w:rPr>
        <w:t xml:space="preserve">Is Guideline 8 here for the old TR to provide the position aggregation reports for a reporting counterparty for a given day to the new TR? This would seem like the preferable approach rather than repeating the calculation already performed by the old TR. If so, this should be included in the upcoming guidelines on portability for SFTR. However, it is noted that via TRACE, authorities </w:t>
      </w:r>
      <w:proofErr w:type="gramStart"/>
      <w:r w:rsidRPr="00DB4D12">
        <w:rPr>
          <w:rFonts w:ascii="Arial" w:hAnsi="Arial" w:cs="Arial"/>
        </w:rPr>
        <w:t>have the ability to</w:t>
      </w:r>
      <w:proofErr w:type="gramEnd"/>
      <w:r w:rsidRPr="00DB4D12">
        <w:rPr>
          <w:rFonts w:ascii="Arial" w:hAnsi="Arial" w:cs="Arial"/>
        </w:rPr>
        <w:t xml:space="preserve"> query historic data, therefore porting these reports does not seem to provide any value however does create additional cost. </w:t>
      </w:r>
    </w:p>
    <w:permEnd w:id="1831621536"/>
    <w:p w14:paraId="32E7F1EA" w14:textId="1EB11E48" w:rsidR="00044D43" w:rsidRDefault="00044D43" w:rsidP="00044D43">
      <w:pPr>
        <w:rPr>
          <w:rFonts w:ascii="Arial" w:hAnsi="Arial" w:cs="Arial"/>
        </w:rPr>
      </w:pPr>
      <w:r>
        <w:rPr>
          <w:rFonts w:ascii="Arial" w:hAnsi="Arial" w:cs="Arial"/>
        </w:rPr>
        <w:t>&lt;ESMA_QUESTION_SFPO_9&gt;</w:t>
      </w:r>
    </w:p>
    <w:p w14:paraId="0738717B" w14:textId="77777777" w:rsidR="00044D43" w:rsidRDefault="00044D43" w:rsidP="00044D43">
      <w:pPr>
        <w:rPr>
          <w:rFonts w:ascii="Arial" w:hAnsi="Arial" w:cs="Arial"/>
        </w:rPr>
      </w:pPr>
    </w:p>
    <w:p w14:paraId="1B663C80" w14:textId="77777777" w:rsidR="00044D43" w:rsidRDefault="00044D43" w:rsidP="00044D43">
      <w:pPr>
        <w:pStyle w:val="Questionstyle"/>
        <w:rPr>
          <w:rFonts w:ascii="Arial" w:hAnsi="Arial" w:cs="Arial"/>
        </w:rPr>
      </w:pPr>
      <w:bookmarkStart w:id="13" w:name="_Toc45100232"/>
      <w:r>
        <w:lastRenderedPageBreak/>
        <w:t>Do you agree with the proposed approach to compute weighted-average prices and volumes? Do you agree with the proposed list of fields in Table 2 for the computations? Please detail the reasons for your response.</w:t>
      </w:r>
      <w:bookmarkEnd w:id="13"/>
      <w:r>
        <w:t xml:space="preserve"> </w:t>
      </w:r>
    </w:p>
    <w:p w14:paraId="3C2BB28C" w14:textId="77777777" w:rsidR="00044D43" w:rsidRDefault="00044D43" w:rsidP="00044D43">
      <w:pPr>
        <w:rPr>
          <w:rFonts w:ascii="Arial" w:hAnsi="Arial" w:cs="Arial"/>
        </w:rPr>
      </w:pPr>
      <w:r>
        <w:rPr>
          <w:rFonts w:ascii="Arial" w:hAnsi="Arial" w:cs="Arial"/>
        </w:rPr>
        <w:t>&lt;ESMA_QUESTION_SFPO_10&gt;</w:t>
      </w:r>
    </w:p>
    <w:p w14:paraId="1791DD6B" w14:textId="77777777" w:rsidR="00DB4D12" w:rsidRPr="00DB4D12" w:rsidRDefault="00DB4D12" w:rsidP="00DB4D12">
      <w:pPr>
        <w:rPr>
          <w:rFonts w:ascii="Arial" w:hAnsi="Arial" w:cs="Arial"/>
        </w:rPr>
      </w:pPr>
      <w:permStart w:id="73862014" w:edGrp="everyone"/>
      <w:r w:rsidRPr="00DB4D12">
        <w:rPr>
          <w:rFonts w:ascii="Arial" w:hAnsi="Arial" w:cs="Arial"/>
        </w:rPr>
        <w:t xml:space="preserve">Paragraph 55 notes that exposures should be calculated separately for each counterparty side (collateral giver vs collateral taker). Therefore, it is our understanding that the information specified in Table 3 is to be calculated twice – once for collateral taker and once for collateral giver. </w:t>
      </w:r>
    </w:p>
    <w:p w14:paraId="4DF31914" w14:textId="77777777" w:rsidR="00DB4D12" w:rsidRDefault="00DB4D12" w:rsidP="00DB4D12">
      <w:pPr>
        <w:rPr>
          <w:rFonts w:ascii="Arial" w:hAnsi="Arial" w:cs="Arial"/>
        </w:rPr>
      </w:pPr>
    </w:p>
    <w:p w14:paraId="51E8136F" w14:textId="2DB32DDC" w:rsidR="00DB4D12" w:rsidRPr="00DB4D12" w:rsidRDefault="00DB4D12" w:rsidP="00DB4D12">
      <w:pPr>
        <w:rPr>
          <w:rFonts w:ascii="Arial" w:hAnsi="Arial" w:cs="Arial"/>
        </w:rPr>
      </w:pPr>
      <w:r w:rsidRPr="00DB4D12">
        <w:rPr>
          <w:rFonts w:ascii="Arial" w:hAnsi="Arial" w:cs="Arial"/>
        </w:rPr>
        <w:t>It is our understanding based on the fields to be used in the Overview report that this report only pertains to SFTs and does not contain Margin or Reuse data.</w:t>
      </w:r>
    </w:p>
    <w:p w14:paraId="4F3E60B1" w14:textId="77777777" w:rsidR="00DB4D12" w:rsidRPr="00DB4D12" w:rsidRDefault="00DB4D12" w:rsidP="00DB4D12">
      <w:pPr>
        <w:rPr>
          <w:rFonts w:ascii="Arial" w:hAnsi="Arial" w:cs="Arial"/>
        </w:rPr>
      </w:pPr>
      <w:r w:rsidRPr="00DB4D12">
        <w:rPr>
          <w:rFonts w:ascii="Arial" w:hAnsi="Arial" w:cs="Arial"/>
        </w:rPr>
        <w:t>It is noted that no price metrics are provided for SLB products. Does this mean no price metrics are expected?</w:t>
      </w:r>
    </w:p>
    <w:p w14:paraId="1DE678C9" w14:textId="77777777" w:rsidR="00DB4D12" w:rsidRDefault="00DB4D12" w:rsidP="00DB4D12">
      <w:pPr>
        <w:rPr>
          <w:rFonts w:ascii="Arial" w:hAnsi="Arial" w:cs="Arial"/>
        </w:rPr>
      </w:pPr>
    </w:p>
    <w:p w14:paraId="27103833" w14:textId="0215EB09" w:rsidR="00DB4D12" w:rsidRPr="00DB4D12" w:rsidRDefault="00DB4D12" w:rsidP="00DB4D12">
      <w:pPr>
        <w:rPr>
          <w:rFonts w:ascii="Arial" w:hAnsi="Arial" w:cs="Arial"/>
        </w:rPr>
      </w:pPr>
      <w:r w:rsidRPr="00DB4D12">
        <w:rPr>
          <w:rFonts w:ascii="Arial" w:hAnsi="Arial" w:cs="Arial"/>
        </w:rPr>
        <w:t xml:space="preserve">How should the values in Table 3 be applied? </w:t>
      </w:r>
    </w:p>
    <w:p w14:paraId="3448C476" w14:textId="77777777" w:rsidR="00DB4D12" w:rsidRPr="00DB4D12" w:rsidRDefault="00DB4D12" w:rsidP="00DB4D12">
      <w:pPr>
        <w:rPr>
          <w:rFonts w:ascii="Arial" w:hAnsi="Arial" w:cs="Arial"/>
        </w:rPr>
      </w:pPr>
      <w:r w:rsidRPr="00DB4D12">
        <w:rPr>
          <w:rFonts w:ascii="Arial" w:hAnsi="Arial" w:cs="Arial"/>
        </w:rPr>
        <w:t xml:space="preserve">- For example, the Volume metrics show two fields for SLB. Is this Loan Value OR Market Value, or Loan Value AND Market Value? It is noted that the Market Value is an optional field so may not be populated. </w:t>
      </w:r>
    </w:p>
    <w:p w14:paraId="66A5A4BA" w14:textId="77777777" w:rsidR="00DB4D12" w:rsidRPr="00DB4D12" w:rsidRDefault="00DB4D12" w:rsidP="00DB4D12">
      <w:pPr>
        <w:rPr>
          <w:rFonts w:ascii="Arial" w:hAnsi="Arial" w:cs="Arial"/>
        </w:rPr>
      </w:pPr>
      <w:r w:rsidRPr="00DB4D12">
        <w:rPr>
          <w:rFonts w:ascii="Arial" w:hAnsi="Arial" w:cs="Arial"/>
        </w:rPr>
        <w:t>-  Where there are multiple options, are they expected to be aggregated or repeated for each metric?</w:t>
      </w:r>
    </w:p>
    <w:p w14:paraId="7BAD66CF" w14:textId="77777777" w:rsidR="00DB4D12" w:rsidRPr="00DB4D12" w:rsidRDefault="00DB4D12" w:rsidP="00DB4D12">
      <w:pPr>
        <w:rPr>
          <w:rFonts w:ascii="Arial" w:hAnsi="Arial" w:cs="Arial"/>
        </w:rPr>
      </w:pPr>
      <w:r w:rsidRPr="00DB4D12">
        <w:rPr>
          <w:rFonts w:ascii="Arial" w:hAnsi="Arial" w:cs="Arial"/>
        </w:rPr>
        <w:t>- ML states Outstanding Margin Loan + Short Market Value, so presumably this is a netted value?</w:t>
      </w:r>
    </w:p>
    <w:p w14:paraId="464DFAFA" w14:textId="77777777" w:rsidR="00DB4D12" w:rsidRPr="00DB4D12" w:rsidRDefault="00DB4D12" w:rsidP="00DB4D12">
      <w:pPr>
        <w:rPr>
          <w:rFonts w:ascii="Arial" w:hAnsi="Arial" w:cs="Arial"/>
        </w:rPr>
      </w:pPr>
      <w:r w:rsidRPr="00DB4D12">
        <w:rPr>
          <w:rFonts w:ascii="Arial" w:hAnsi="Arial" w:cs="Arial"/>
        </w:rPr>
        <w:t>- When fields specified or not applicable, how should these be aggregated? For example, the Price metrics show BSB to be calculated on field 2.38 divided by 2.37, however 2.38 is only conditionally required on submission so may not be available</w:t>
      </w:r>
    </w:p>
    <w:p w14:paraId="38A21253" w14:textId="77777777" w:rsidR="00DB4D12" w:rsidRPr="00DB4D12" w:rsidRDefault="00DB4D12" w:rsidP="00DB4D12">
      <w:pPr>
        <w:rPr>
          <w:rFonts w:ascii="Arial" w:hAnsi="Arial" w:cs="Arial"/>
        </w:rPr>
      </w:pPr>
      <w:r w:rsidRPr="00DB4D12">
        <w:rPr>
          <w:rFonts w:ascii="Arial" w:hAnsi="Arial" w:cs="Arial"/>
        </w:rPr>
        <w:t xml:space="preserve">It is understood that both net exposure collateral (i.e. netted amounts) should be aggregated with trade-based collateral (gross amounts). Therefore, it is noted that despite calculating these values by reference to the Counterparty Side, the inclusion of net exposure collateral will inherently factor in some offset exposure values.  </w:t>
      </w:r>
    </w:p>
    <w:p w14:paraId="3CA5DB43" w14:textId="77777777" w:rsidR="00DB4D12" w:rsidRPr="00DB4D12" w:rsidRDefault="00DB4D12" w:rsidP="00DB4D12">
      <w:pPr>
        <w:rPr>
          <w:rFonts w:ascii="Arial" w:hAnsi="Arial" w:cs="Arial"/>
        </w:rPr>
      </w:pPr>
      <w:r w:rsidRPr="00DB4D12">
        <w:rPr>
          <w:rFonts w:ascii="Arial" w:hAnsi="Arial" w:cs="Arial"/>
        </w:rPr>
        <w:t>Regarding guideline 10, are there any specifications to be followed to give the unique value for each counterparty pair? Examples will be helpful to ensure same approach is followed by TRs.</w:t>
      </w:r>
    </w:p>
    <w:p w14:paraId="7FA838D0" w14:textId="77777777" w:rsidR="00DB4D12" w:rsidRDefault="00DB4D12" w:rsidP="00044D43">
      <w:pPr>
        <w:rPr>
          <w:rFonts w:ascii="Arial" w:hAnsi="Arial" w:cs="Arial"/>
        </w:rPr>
      </w:pPr>
    </w:p>
    <w:p w14:paraId="754D333A" w14:textId="2DB4798F" w:rsidR="00DB4D12" w:rsidRDefault="00DB4D12" w:rsidP="00044D43">
      <w:pPr>
        <w:rPr>
          <w:rFonts w:ascii="Arial" w:hAnsi="Arial" w:cs="Arial"/>
        </w:rPr>
      </w:pPr>
      <w:r w:rsidRPr="00DB4D12">
        <w:rPr>
          <w:rFonts w:ascii="Arial" w:hAnsi="Arial" w:cs="Arial"/>
        </w:rPr>
        <w:t>Regarding guideline 11, worked out examples showing the computation of the weighted averages for prices and volumes will be helpful to have consistent understanding of the approach by all TRs.</w:t>
      </w:r>
    </w:p>
    <w:permEnd w:id="73862014"/>
    <w:p w14:paraId="49DEF37E" w14:textId="4ABAA4B3" w:rsidR="00044D43" w:rsidRDefault="00044D43" w:rsidP="00044D43">
      <w:pPr>
        <w:rPr>
          <w:rFonts w:ascii="Arial" w:hAnsi="Arial" w:cs="Arial"/>
        </w:rPr>
      </w:pPr>
      <w:r>
        <w:rPr>
          <w:rFonts w:ascii="Arial" w:hAnsi="Arial" w:cs="Arial"/>
        </w:rPr>
        <w:t>&lt;ESMA_QUESTION_SFPO_10&gt;</w:t>
      </w:r>
    </w:p>
    <w:p w14:paraId="09300E01" w14:textId="77777777" w:rsidR="00044D43" w:rsidRDefault="00044D43" w:rsidP="00044D43">
      <w:pPr>
        <w:rPr>
          <w:rFonts w:ascii="Arial" w:hAnsi="Arial" w:cs="Arial"/>
        </w:rPr>
      </w:pPr>
    </w:p>
    <w:p w14:paraId="1395FF0D" w14:textId="77777777" w:rsidR="00044D43" w:rsidRDefault="00044D43" w:rsidP="00044D43">
      <w:pPr>
        <w:pStyle w:val="Questionstyle"/>
        <w:rPr>
          <w:rFonts w:ascii="Arial" w:hAnsi="Arial" w:cs="Arial"/>
        </w:rPr>
      </w:pPr>
      <w:bookmarkStart w:id="14" w:name="_Toc45100233"/>
      <w:r>
        <w:t>Do you agree with including in the report the original currency of the SFTs as well as its EUR equivalent monetary values? Do you consider that a different approach to bucketing should be considered? Please detail the reasons for your response.</w:t>
      </w:r>
      <w:bookmarkEnd w:id="14"/>
    </w:p>
    <w:p w14:paraId="7C666285" w14:textId="77777777" w:rsidR="00044D43" w:rsidRDefault="00044D43" w:rsidP="00044D43">
      <w:pPr>
        <w:rPr>
          <w:rFonts w:ascii="Arial" w:hAnsi="Arial" w:cs="Arial"/>
        </w:rPr>
      </w:pPr>
      <w:r>
        <w:rPr>
          <w:rFonts w:ascii="Arial" w:hAnsi="Arial" w:cs="Arial"/>
        </w:rPr>
        <w:t>&lt;ESMA_QUESTION_SFPO_11&gt;</w:t>
      </w:r>
    </w:p>
    <w:p w14:paraId="1A15B05D" w14:textId="77777777" w:rsidR="00DB4D12" w:rsidRDefault="00DB4D12" w:rsidP="00044D43">
      <w:pPr>
        <w:rPr>
          <w:rFonts w:ascii="Arial" w:hAnsi="Arial" w:cs="Arial"/>
        </w:rPr>
      </w:pPr>
      <w:permStart w:id="613221760" w:edGrp="everyone"/>
      <w:r w:rsidRPr="00DB4D12">
        <w:rPr>
          <w:rFonts w:ascii="Arial" w:hAnsi="Arial" w:cs="Arial"/>
        </w:rPr>
        <w:t xml:space="preserve">Footnote 17 proposes an alternate approach of converting non-EUR amounts based on prevailing FX rates however this is dismissed due to the risk of inconsistencies for transactions in which the loan and collateral sides are denominated in different currencies. Guideline 13 seems to provide a different approach however ultimately the same conversion to EUR is required. More consideration should be given to the simple conversion of non-EUR amounts to EUR. </w:t>
      </w:r>
      <w:proofErr w:type="gramStart"/>
      <w:r w:rsidRPr="00DB4D12">
        <w:rPr>
          <w:rFonts w:ascii="Arial" w:hAnsi="Arial" w:cs="Arial"/>
        </w:rPr>
        <w:t>As long as</w:t>
      </w:r>
      <w:proofErr w:type="gramEnd"/>
      <w:r w:rsidRPr="00DB4D12">
        <w:rPr>
          <w:rFonts w:ascii="Arial" w:hAnsi="Arial" w:cs="Arial"/>
        </w:rPr>
        <w:t xml:space="preserve"> this is done based on spot rates from the same day, even where the base currencies are different. As </w:t>
      </w:r>
      <w:r w:rsidRPr="00DB4D12">
        <w:rPr>
          <w:rFonts w:ascii="Arial" w:hAnsi="Arial" w:cs="Arial"/>
        </w:rPr>
        <w:lastRenderedPageBreak/>
        <w:t xml:space="preserve">footnote 17 observes, this is a more accurate (and a </w:t>
      </w:r>
      <w:proofErr w:type="gramStart"/>
      <w:r w:rsidRPr="00DB4D12">
        <w:rPr>
          <w:rFonts w:ascii="Arial" w:hAnsi="Arial" w:cs="Arial"/>
        </w:rPr>
        <w:t>more simple</w:t>
      </w:r>
      <w:proofErr w:type="gramEnd"/>
      <w:r w:rsidRPr="00DB4D12">
        <w:rPr>
          <w:rFonts w:ascii="Arial" w:hAnsi="Arial" w:cs="Arial"/>
        </w:rPr>
        <w:t xml:space="preserve">) approach. For the purpose of systemic risk, most documented SFTs have a base currency specified in the relevant master </w:t>
      </w:r>
      <w:proofErr w:type="gramStart"/>
      <w:r w:rsidRPr="00DB4D12">
        <w:rPr>
          <w:rFonts w:ascii="Arial" w:hAnsi="Arial" w:cs="Arial"/>
        </w:rPr>
        <w:t>agreement</w:t>
      </w:r>
      <w:proofErr w:type="gramEnd"/>
      <w:r w:rsidRPr="00DB4D12">
        <w:rPr>
          <w:rFonts w:ascii="Arial" w:hAnsi="Arial" w:cs="Arial"/>
        </w:rPr>
        <w:t xml:space="preserve"> which is normally used in a termination event, so the inclusion of FX risk in a conversion is consistent with the counterparty risk in a default scenario. Providing the original currency in addition to the EUR exposure provides authorities little extra value.</w:t>
      </w:r>
    </w:p>
    <w:permEnd w:id="613221760"/>
    <w:p w14:paraId="3B337BF6" w14:textId="7EB8FED8" w:rsidR="00044D43" w:rsidRDefault="00044D43" w:rsidP="00044D43">
      <w:pPr>
        <w:rPr>
          <w:rFonts w:ascii="Arial" w:hAnsi="Arial" w:cs="Arial"/>
        </w:rPr>
      </w:pPr>
      <w:r>
        <w:rPr>
          <w:rFonts w:ascii="Arial" w:hAnsi="Arial" w:cs="Arial"/>
        </w:rPr>
        <w:t>&lt;ESMA_QUESTION_SFPO_11&gt;</w:t>
      </w:r>
    </w:p>
    <w:p w14:paraId="41276635" w14:textId="77777777" w:rsidR="00044D43" w:rsidRDefault="00044D43" w:rsidP="00044D43">
      <w:pPr>
        <w:rPr>
          <w:rFonts w:ascii="Arial" w:hAnsi="Arial" w:cs="Arial"/>
        </w:rPr>
      </w:pPr>
    </w:p>
    <w:p w14:paraId="1F88D0EE" w14:textId="77777777" w:rsidR="00044D43" w:rsidRDefault="00044D43" w:rsidP="00044D43">
      <w:pPr>
        <w:pStyle w:val="Questionstyle"/>
        <w:rPr>
          <w:rFonts w:ascii="Arial" w:hAnsi="Arial" w:cs="Arial"/>
        </w:rPr>
      </w:pPr>
      <w:bookmarkStart w:id="15" w:name="_Toc45100234"/>
      <w:r>
        <w:t>Do you consider that the key characteristics of SFTs are covered by the proposed list of dimensions in Table 3? If not, please indicate which other data fields should be considered and how those should be considered? Alternatively, do you consider that some dimensions could be excluded as they would not contribute to the better understanding of the outstanding exposures between SFTs? Please detail the reasons for your response?</w:t>
      </w:r>
      <w:bookmarkEnd w:id="15"/>
      <w:r>
        <w:t xml:space="preserve"> </w:t>
      </w:r>
    </w:p>
    <w:p w14:paraId="5EC3ED7C" w14:textId="77777777" w:rsidR="00044D43" w:rsidRDefault="00044D43" w:rsidP="00044D43">
      <w:pPr>
        <w:rPr>
          <w:rFonts w:ascii="Arial" w:hAnsi="Arial" w:cs="Arial"/>
        </w:rPr>
      </w:pPr>
      <w:r>
        <w:rPr>
          <w:rFonts w:ascii="Arial" w:hAnsi="Arial" w:cs="Arial"/>
        </w:rPr>
        <w:t>&lt;ESMA_QUESTION_SFPO_12&gt;</w:t>
      </w:r>
    </w:p>
    <w:p w14:paraId="51644A0F" w14:textId="77777777" w:rsidR="00DB4D12" w:rsidRPr="00DB4D12" w:rsidRDefault="00DB4D12" w:rsidP="00DB4D12">
      <w:pPr>
        <w:rPr>
          <w:rFonts w:ascii="Arial" w:hAnsi="Arial" w:cs="Arial"/>
        </w:rPr>
      </w:pPr>
      <w:permStart w:id="1029701652" w:edGrp="everyone"/>
      <w:r w:rsidRPr="00DB4D12">
        <w:rPr>
          <w:rFonts w:ascii="Arial" w:hAnsi="Arial" w:cs="Arial"/>
        </w:rPr>
        <w:t xml:space="preserve">For the purpose of exposure </w:t>
      </w:r>
      <w:proofErr w:type="gramStart"/>
      <w:r w:rsidRPr="00DB4D12">
        <w:rPr>
          <w:rFonts w:ascii="Arial" w:hAnsi="Arial" w:cs="Arial"/>
        </w:rPr>
        <w:t>calculation</w:t>
      </w:r>
      <w:proofErr w:type="gramEnd"/>
      <w:r w:rsidRPr="00DB4D12">
        <w:rPr>
          <w:rFonts w:ascii="Arial" w:hAnsi="Arial" w:cs="Arial"/>
        </w:rPr>
        <w:t xml:space="preserve"> a number of fields are superfluous to the exposure itself. Whilst some of the proposed fields may in some circumstances provide some interesting context, they are to some extent inconsistent with the exposure objective of position aggregation. Indeed, this information is already available to authorities at an aggregate level via the trade reports – e.g. trade state report, trade activity report, et al, therefore much of this context is duplicative. We would also argue that this level of granularity reduces the value of the report because limited aggregation will </w:t>
      </w:r>
      <w:proofErr w:type="gramStart"/>
      <w:r w:rsidRPr="00DB4D12">
        <w:rPr>
          <w:rFonts w:ascii="Arial" w:hAnsi="Arial" w:cs="Arial"/>
        </w:rPr>
        <w:t>actually occur</w:t>
      </w:r>
      <w:proofErr w:type="gramEnd"/>
      <w:r w:rsidRPr="00DB4D12">
        <w:rPr>
          <w:rFonts w:ascii="Arial" w:hAnsi="Arial" w:cs="Arial"/>
        </w:rPr>
        <w:t xml:space="preserve">. </w:t>
      </w:r>
    </w:p>
    <w:p w14:paraId="7B035A33" w14:textId="77777777" w:rsidR="00DB4D12" w:rsidRDefault="00DB4D12" w:rsidP="00DB4D12">
      <w:pPr>
        <w:rPr>
          <w:rFonts w:ascii="Arial" w:hAnsi="Arial" w:cs="Arial"/>
        </w:rPr>
      </w:pPr>
    </w:p>
    <w:p w14:paraId="0F7A1537" w14:textId="04819A26" w:rsidR="00DB4D12" w:rsidRPr="00DB4D12" w:rsidRDefault="00DB4D12" w:rsidP="00DB4D12">
      <w:pPr>
        <w:rPr>
          <w:rFonts w:ascii="Arial" w:hAnsi="Arial" w:cs="Arial"/>
        </w:rPr>
      </w:pPr>
      <w:r w:rsidRPr="00DB4D12">
        <w:rPr>
          <w:rFonts w:ascii="Arial" w:hAnsi="Arial" w:cs="Arial"/>
        </w:rPr>
        <w:t xml:space="preserve">Some of those fields least relevant to position risk monitoring are those counterparty fields that do not concern the two ‘on-risk’ parties, namely the Reporting Counterparty and Other Counterparty. For </w:t>
      </w:r>
      <w:proofErr w:type="gramStart"/>
      <w:r w:rsidRPr="00DB4D12">
        <w:rPr>
          <w:rFonts w:ascii="Arial" w:hAnsi="Arial" w:cs="Arial"/>
        </w:rPr>
        <w:t>example</w:t>
      </w:r>
      <w:proofErr w:type="gramEnd"/>
      <w:r w:rsidRPr="00DB4D12">
        <w:rPr>
          <w:rFonts w:ascii="Arial" w:hAnsi="Arial" w:cs="Arial"/>
        </w:rPr>
        <w:t xml:space="preserve"> the Trading Venue, and to a lesser extent the Tri-party Agent and Agent Lender. Other fields also provide limited value, such as the Jurisdiction of the Issuer (as the country code is not a proxy for default risk) and Portfolio Code(s) fields as the data is being aggregated at a level above the portfolio, therefore a bespoke 52 character ID in isolation is not consistent with monitoring counterparty risk. </w:t>
      </w:r>
    </w:p>
    <w:p w14:paraId="36565E37" w14:textId="77777777" w:rsidR="00DB4D12" w:rsidRDefault="00DB4D12" w:rsidP="00044D43">
      <w:pPr>
        <w:rPr>
          <w:rFonts w:ascii="Arial" w:hAnsi="Arial" w:cs="Arial"/>
        </w:rPr>
      </w:pPr>
    </w:p>
    <w:p w14:paraId="23F3C1C3" w14:textId="77777777" w:rsidR="00DB4D12" w:rsidRDefault="00DB4D12" w:rsidP="00044D43">
      <w:pPr>
        <w:rPr>
          <w:rFonts w:ascii="Arial" w:hAnsi="Arial" w:cs="Arial"/>
        </w:rPr>
      </w:pPr>
      <w:r w:rsidRPr="00DB4D12">
        <w:rPr>
          <w:rFonts w:ascii="Arial" w:hAnsi="Arial" w:cs="Arial"/>
        </w:rPr>
        <w:t xml:space="preserve">For the fields related to reconciliation (other TR and status) it should be considered that the other side may not have been reported (whether eligible or not) or has not been paired if reported, therefore this information may not be available. Lastly, paragraph 63 </w:t>
      </w:r>
      <w:proofErr w:type="gramStart"/>
      <w:r w:rsidRPr="00DB4D12">
        <w:rPr>
          <w:rFonts w:ascii="Arial" w:hAnsi="Arial" w:cs="Arial"/>
        </w:rPr>
        <w:t>makes reference</w:t>
      </w:r>
      <w:proofErr w:type="gramEnd"/>
      <w:r w:rsidRPr="00DB4D12">
        <w:rPr>
          <w:rFonts w:ascii="Arial" w:hAnsi="Arial" w:cs="Arial"/>
        </w:rPr>
        <w:t xml:space="preserve"> to TRs extracting additional data from ISINs on reported trades. Whilst it is not clear what is meant by this paragraph, TRs have historically been prohibited from enriching reported data in any form. Aside from the high resource / time it would take to do this across the entire population of outstanding trades, it also introduces data quality risk on this reported data outside the standard control framework of validating ingested data. Additionally, enriching data from the transaction data rather than reference data assumes all counterparties are reporting correctly, noting that for fields like collateral quality, this is a firm’s internal assessment. Therefore, there is likely to be inconsistency in reported data. Reference data should be derived from reference data sources.</w:t>
      </w:r>
    </w:p>
    <w:permEnd w:id="1029701652"/>
    <w:p w14:paraId="04BE12F9" w14:textId="2A6947C9" w:rsidR="00044D43" w:rsidRDefault="00044D43" w:rsidP="00044D43">
      <w:pPr>
        <w:rPr>
          <w:rFonts w:ascii="Arial" w:hAnsi="Arial" w:cs="Arial"/>
        </w:rPr>
      </w:pPr>
      <w:r>
        <w:rPr>
          <w:rFonts w:ascii="Arial" w:hAnsi="Arial" w:cs="Arial"/>
        </w:rPr>
        <w:t>&lt;ESMA_QUESTION_SFPO_12&gt;</w:t>
      </w:r>
    </w:p>
    <w:p w14:paraId="0AEA8013" w14:textId="77777777" w:rsidR="00044D43" w:rsidRDefault="00044D43" w:rsidP="00044D43">
      <w:pPr>
        <w:rPr>
          <w:rFonts w:ascii="Arial" w:hAnsi="Arial" w:cs="Arial"/>
        </w:rPr>
      </w:pPr>
    </w:p>
    <w:p w14:paraId="6140136B" w14:textId="77777777" w:rsidR="00044D43" w:rsidRDefault="00044D43" w:rsidP="00044D43">
      <w:pPr>
        <w:pStyle w:val="Questionstyle"/>
        <w:rPr>
          <w:rFonts w:ascii="Arial" w:hAnsi="Arial" w:cs="Arial"/>
        </w:rPr>
      </w:pPr>
      <w:bookmarkStart w:id="16" w:name="_Hlk45114479"/>
      <w:bookmarkStart w:id="17" w:name="_Toc45100235"/>
      <w:r>
        <w:lastRenderedPageBreak/>
        <w:t xml:space="preserve">Specifically </w:t>
      </w:r>
      <w:bookmarkEnd w:id="16"/>
      <w:r>
        <w:t>in the case of the collateralisation on net exposure basis, do you think that the TRs should create separate positions for those SFTs without considering the counterparty side? Please detail the reasons for your response?</w:t>
      </w:r>
      <w:bookmarkEnd w:id="17"/>
    </w:p>
    <w:p w14:paraId="7235EAC0" w14:textId="77777777" w:rsidR="00044D43" w:rsidRDefault="00044D43" w:rsidP="00044D43">
      <w:pPr>
        <w:rPr>
          <w:rFonts w:ascii="Arial" w:hAnsi="Arial" w:cs="Arial"/>
        </w:rPr>
      </w:pPr>
      <w:r>
        <w:rPr>
          <w:rFonts w:ascii="Arial" w:hAnsi="Arial" w:cs="Arial"/>
        </w:rPr>
        <w:t>&lt;ESMA_QUESTION_SFPO_13&gt;</w:t>
      </w:r>
    </w:p>
    <w:p w14:paraId="7F5E3828" w14:textId="77777777" w:rsidR="00DB4D12" w:rsidRDefault="00DB4D12" w:rsidP="00044D43">
      <w:pPr>
        <w:rPr>
          <w:rFonts w:ascii="Arial" w:hAnsi="Arial" w:cs="Arial"/>
        </w:rPr>
      </w:pPr>
      <w:permStart w:id="1113279127" w:edGrp="everyone"/>
      <w:r w:rsidRPr="00DB4D12">
        <w:rPr>
          <w:rFonts w:ascii="Arial" w:hAnsi="Arial" w:cs="Arial"/>
        </w:rPr>
        <w:t>Yes, for the collateral reports only. As mentioned in the response to Q10, aggregating against a net and a gross amount may obscure the data. However, decomposing the collateral provided at a net exposure level in order to determine the allocation for each UTI is simply not possible, therefore this should only apply to the collateral reports.</w:t>
      </w:r>
    </w:p>
    <w:permEnd w:id="1113279127"/>
    <w:p w14:paraId="3C11B4A1" w14:textId="2A043B28" w:rsidR="00044D43" w:rsidRDefault="00044D43" w:rsidP="00044D43">
      <w:pPr>
        <w:rPr>
          <w:rFonts w:ascii="Arial" w:hAnsi="Arial" w:cs="Arial"/>
        </w:rPr>
      </w:pPr>
      <w:r>
        <w:rPr>
          <w:rFonts w:ascii="Arial" w:hAnsi="Arial" w:cs="Arial"/>
        </w:rPr>
        <w:t>&lt;ESMA_QUESTION_SFPO_13&gt;</w:t>
      </w:r>
    </w:p>
    <w:p w14:paraId="0E4B6573" w14:textId="77777777" w:rsidR="00044D43" w:rsidRDefault="00044D43" w:rsidP="00044D43">
      <w:pPr>
        <w:rPr>
          <w:rFonts w:ascii="Arial" w:hAnsi="Arial" w:cs="Arial"/>
        </w:rPr>
      </w:pPr>
    </w:p>
    <w:p w14:paraId="7D7FA1E6" w14:textId="77777777" w:rsidR="00044D43" w:rsidRDefault="00044D43" w:rsidP="00044D43">
      <w:pPr>
        <w:pStyle w:val="Questionstyle"/>
        <w:rPr>
          <w:rFonts w:ascii="Arial" w:hAnsi="Arial" w:cs="Arial"/>
        </w:rPr>
      </w:pPr>
      <w:bookmarkStart w:id="18" w:name="_Toc45100236"/>
      <w:r>
        <w:t>Do you agree with the proposed bucketing? Should ESMA consider an alternative approach? Please detail the reasons for your response.</w:t>
      </w:r>
      <w:bookmarkEnd w:id="18"/>
    </w:p>
    <w:p w14:paraId="2472EC71" w14:textId="77777777" w:rsidR="00044D43" w:rsidRDefault="00044D43" w:rsidP="00044D43">
      <w:pPr>
        <w:rPr>
          <w:rFonts w:ascii="Arial" w:hAnsi="Arial" w:cs="Arial"/>
        </w:rPr>
      </w:pPr>
      <w:r>
        <w:rPr>
          <w:rFonts w:ascii="Arial" w:hAnsi="Arial" w:cs="Arial"/>
        </w:rPr>
        <w:t>&lt;ESMA_QUESTION_SFPO_14&gt;</w:t>
      </w:r>
    </w:p>
    <w:p w14:paraId="67E57680" w14:textId="7D754165" w:rsidR="00044D43" w:rsidRDefault="00DB4D12" w:rsidP="00044D43">
      <w:pPr>
        <w:rPr>
          <w:rFonts w:ascii="Arial" w:hAnsi="Arial" w:cs="Arial"/>
        </w:rPr>
      </w:pPr>
      <w:permStart w:id="1659658475" w:edGrp="everyone"/>
      <w:r w:rsidRPr="00DB4D12">
        <w:rPr>
          <w:rFonts w:ascii="Arial" w:hAnsi="Arial" w:cs="Arial"/>
        </w:rPr>
        <w:t>As mentioned in our response to Q12, the Jurisdiction of the Issuer (i.e. a country code) is not a proxy for default risk and so whilst at a macro level (across counterparties) this may be an interesting (if not high-level) metric, at a counterparty level the default risk pertains to the issuing entity not their country, so this field gives very little information pertaining to exposure.</w:t>
      </w:r>
    </w:p>
    <w:permEnd w:id="1659658475"/>
    <w:p w14:paraId="69000954" w14:textId="77777777" w:rsidR="00044D43" w:rsidRDefault="00044D43" w:rsidP="00044D43">
      <w:pPr>
        <w:rPr>
          <w:rFonts w:ascii="Arial" w:hAnsi="Arial" w:cs="Arial"/>
        </w:rPr>
      </w:pPr>
      <w:r>
        <w:rPr>
          <w:rFonts w:ascii="Arial" w:hAnsi="Arial" w:cs="Arial"/>
        </w:rPr>
        <w:t>&lt;ESMA_QUESTION_SFPO_14&gt;</w:t>
      </w:r>
    </w:p>
    <w:p w14:paraId="4172CCE2" w14:textId="77777777" w:rsidR="00044D43" w:rsidRDefault="00044D43" w:rsidP="00044D43">
      <w:pPr>
        <w:rPr>
          <w:rFonts w:ascii="Arial" w:hAnsi="Arial" w:cs="Arial"/>
        </w:rPr>
      </w:pPr>
    </w:p>
    <w:p w14:paraId="6C2ACD1F" w14:textId="77777777" w:rsidR="00044D43" w:rsidRDefault="00044D43" w:rsidP="00044D43">
      <w:pPr>
        <w:pStyle w:val="Questionstyle"/>
        <w:rPr>
          <w:rFonts w:ascii="Arial" w:hAnsi="Arial" w:cs="Arial"/>
        </w:rPr>
      </w:pPr>
      <w:bookmarkStart w:id="19" w:name="_Toc45100237"/>
      <w:r>
        <w:t>Do you agree with the proposed inclusion of triparty agents and agent lenders in the position reports? Please detail the reasons for your response.</w:t>
      </w:r>
      <w:bookmarkEnd w:id="19"/>
    </w:p>
    <w:p w14:paraId="410C01FE" w14:textId="77777777" w:rsidR="00044D43" w:rsidRDefault="00044D43" w:rsidP="00044D43">
      <w:pPr>
        <w:rPr>
          <w:rFonts w:ascii="Arial" w:hAnsi="Arial" w:cs="Arial"/>
        </w:rPr>
      </w:pPr>
      <w:r>
        <w:rPr>
          <w:rFonts w:ascii="Arial" w:hAnsi="Arial" w:cs="Arial"/>
        </w:rPr>
        <w:t>&lt;ESMA_QUESTION_SFPO_15&gt;</w:t>
      </w:r>
    </w:p>
    <w:p w14:paraId="7B70BE23" w14:textId="77777777" w:rsidR="00DB4D12" w:rsidRDefault="00DB4D12" w:rsidP="00044D43">
      <w:pPr>
        <w:rPr>
          <w:rFonts w:ascii="Arial" w:hAnsi="Arial" w:cs="Arial"/>
        </w:rPr>
      </w:pPr>
      <w:permStart w:id="1791313383" w:edGrp="everyone"/>
      <w:r w:rsidRPr="00DB4D12">
        <w:rPr>
          <w:rFonts w:ascii="Arial" w:hAnsi="Arial" w:cs="Arial"/>
        </w:rPr>
        <w:t>Whilst this information could be provided, it is not relevant to a reporting counterparty’s exposure but rather market structure. As noted by ESMA in paragraph 66, this information is already available with more granularity in the transaction level, which provide better insight into market structure than would be provided via this suggested guideline 16.</w:t>
      </w:r>
    </w:p>
    <w:permEnd w:id="1791313383"/>
    <w:p w14:paraId="381D04BA" w14:textId="4A460669" w:rsidR="00044D43" w:rsidRDefault="00044D43" w:rsidP="00044D43">
      <w:pPr>
        <w:rPr>
          <w:rFonts w:ascii="Arial" w:hAnsi="Arial" w:cs="Arial"/>
        </w:rPr>
      </w:pPr>
      <w:r>
        <w:rPr>
          <w:rFonts w:ascii="Arial" w:hAnsi="Arial" w:cs="Arial"/>
        </w:rPr>
        <w:t>&lt;ESMA_QUESTION_SFPO_15&gt;</w:t>
      </w:r>
    </w:p>
    <w:p w14:paraId="4C4B28C3" w14:textId="77777777" w:rsidR="00044D43" w:rsidRDefault="00044D43" w:rsidP="00044D43">
      <w:pPr>
        <w:rPr>
          <w:rFonts w:ascii="Arial" w:hAnsi="Arial" w:cs="Arial"/>
        </w:rPr>
      </w:pPr>
    </w:p>
    <w:p w14:paraId="7A67AED5" w14:textId="77777777" w:rsidR="00044D43" w:rsidRDefault="00044D43" w:rsidP="00044D43">
      <w:pPr>
        <w:pStyle w:val="Questionstyle"/>
        <w:rPr>
          <w:rFonts w:ascii="Arial" w:hAnsi="Arial" w:cs="Arial"/>
        </w:rPr>
      </w:pPr>
      <w:bookmarkStart w:id="20" w:name="_Toc45100238"/>
      <w:r>
        <w:t>Do you agree with the proposed list of benchmarks and tenors? Are there other key interest rate benchmarks that should be included? Please detail the reasons for your response.</w:t>
      </w:r>
      <w:bookmarkEnd w:id="20"/>
      <w:r>
        <w:t xml:space="preserve">  </w:t>
      </w:r>
    </w:p>
    <w:p w14:paraId="76AB1417" w14:textId="77777777" w:rsidR="00044D43" w:rsidRDefault="00044D43" w:rsidP="00044D43">
      <w:pPr>
        <w:rPr>
          <w:rFonts w:ascii="Arial" w:hAnsi="Arial" w:cs="Arial"/>
        </w:rPr>
      </w:pPr>
      <w:r>
        <w:rPr>
          <w:rFonts w:ascii="Arial" w:hAnsi="Arial" w:cs="Arial"/>
        </w:rPr>
        <w:t>&lt;ESMA_QUESTION_SFPO_16&gt;</w:t>
      </w:r>
    </w:p>
    <w:p w14:paraId="4121CD81" w14:textId="48D5956B" w:rsidR="00DB4D12" w:rsidRDefault="00DB4D12" w:rsidP="00044D43">
      <w:pPr>
        <w:rPr>
          <w:rFonts w:ascii="Arial" w:hAnsi="Arial" w:cs="Arial"/>
        </w:rPr>
      </w:pPr>
      <w:permStart w:id="29967527" w:edGrp="everyone"/>
      <w:r w:rsidRPr="00DB4D12">
        <w:rPr>
          <w:rFonts w:ascii="Arial" w:hAnsi="Arial" w:cs="Arial"/>
        </w:rPr>
        <w:t xml:space="preserve">For (a) there is no corresponding value in the enumerated list that can be submitted in this field. Notwithstanding this, SFTR allows a more comprehensive list of floating rates, including </w:t>
      </w:r>
      <w:proofErr w:type="spellStart"/>
      <w:proofErr w:type="gramStart"/>
      <w:r w:rsidRPr="00DB4D12">
        <w:rPr>
          <w:rFonts w:ascii="Arial" w:hAnsi="Arial" w:cs="Arial"/>
        </w:rPr>
        <w:t>a</w:t>
      </w:r>
      <w:proofErr w:type="spellEnd"/>
      <w:proofErr w:type="gramEnd"/>
      <w:r w:rsidRPr="00DB4D12">
        <w:rPr>
          <w:rFonts w:ascii="Arial" w:hAnsi="Arial" w:cs="Arial"/>
        </w:rPr>
        <w:t xml:space="preserve"> alphanumeric 25-character option. Aggregation on alphanumeric / </w:t>
      </w:r>
      <w:proofErr w:type="spellStart"/>
      <w:r w:rsidRPr="00DB4D12">
        <w:rPr>
          <w:rFonts w:ascii="Arial" w:hAnsi="Arial" w:cs="Arial"/>
        </w:rPr>
        <w:t>freetext</w:t>
      </w:r>
      <w:proofErr w:type="spellEnd"/>
      <w:r w:rsidRPr="00DB4D12">
        <w:rPr>
          <w:rFonts w:ascii="Arial" w:hAnsi="Arial" w:cs="Arial"/>
        </w:rPr>
        <w:t xml:space="preserve"> values themselves is clearly not practicable and so would go in bucket (g). It is worth noting that the proposed tenors contain a value €STR which would be rejected at ingestion by the TRs as € is neither an alphabetical nor numeric value and so would not pass validations.</w:t>
      </w:r>
    </w:p>
    <w:permEnd w:id="29967527"/>
    <w:p w14:paraId="47A8577D" w14:textId="43B2E5AC" w:rsidR="00044D43" w:rsidRDefault="00044D43" w:rsidP="00044D43">
      <w:pPr>
        <w:rPr>
          <w:rFonts w:ascii="Arial" w:hAnsi="Arial" w:cs="Arial"/>
        </w:rPr>
      </w:pPr>
      <w:r>
        <w:rPr>
          <w:rFonts w:ascii="Arial" w:hAnsi="Arial" w:cs="Arial"/>
        </w:rPr>
        <w:t>&lt;ESMA_QUESTION_SFPO_16&gt;</w:t>
      </w:r>
    </w:p>
    <w:p w14:paraId="203130C7" w14:textId="77777777" w:rsidR="00044D43" w:rsidRDefault="00044D43" w:rsidP="00044D43">
      <w:pPr>
        <w:rPr>
          <w:rFonts w:ascii="Arial" w:hAnsi="Arial" w:cs="Arial"/>
        </w:rPr>
      </w:pPr>
    </w:p>
    <w:p w14:paraId="1A28F805" w14:textId="77777777" w:rsidR="00044D43" w:rsidRDefault="00044D43" w:rsidP="00044D43">
      <w:pPr>
        <w:pStyle w:val="Questionstyle"/>
        <w:rPr>
          <w:rFonts w:ascii="Arial" w:hAnsi="Arial" w:cs="Arial"/>
          <w:lang w:eastAsia="ja-JP"/>
        </w:rPr>
      </w:pPr>
      <w:bookmarkStart w:id="21" w:name="_Toc45100239"/>
      <w:r>
        <w:rPr>
          <w:lang w:eastAsia="ja-JP"/>
        </w:rPr>
        <w:t>Do you agree with the proposed grouping of SFT positions based on the trading venue field? Please detail the reasons for your response.</w:t>
      </w:r>
      <w:bookmarkEnd w:id="21"/>
      <w:r>
        <w:rPr>
          <w:lang w:eastAsia="ja-JP"/>
        </w:rPr>
        <w:t xml:space="preserve"> </w:t>
      </w:r>
    </w:p>
    <w:p w14:paraId="30BF945C" w14:textId="77777777" w:rsidR="00044D43" w:rsidRDefault="00044D43" w:rsidP="00044D43">
      <w:pPr>
        <w:rPr>
          <w:rFonts w:ascii="Arial" w:hAnsi="Arial" w:cs="Arial"/>
          <w:lang w:eastAsia="en-US"/>
        </w:rPr>
      </w:pPr>
      <w:r>
        <w:rPr>
          <w:rFonts w:ascii="Arial" w:hAnsi="Arial" w:cs="Arial"/>
        </w:rPr>
        <w:t>&lt;ESMA_QUESTION_SFPO_17&gt;</w:t>
      </w:r>
    </w:p>
    <w:p w14:paraId="5F3AA6ED" w14:textId="77777777" w:rsidR="005169BD" w:rsidRDefault="005169BD" w:rsidP="00044D43">
      <w:pPr>
        <w:rPr>
          <w:rFonts w:ascii="Arial" w:hAnsi="Arial" w:cs="Arial"/>
        </w:rPr>
      </w:pPr>
      <w:permStart w:id="1904490982" w:edGrp="everyone"/>
      <w:r w:rsidRPr="005169BD">
        <w:rPr>
          <w:rFonts w:ascii="Arial" w:hAnsi="Arial" w:cs="Arial"/>
        </w:rPr>
        <w:lastRenderedPageBreak/>
        <w:t xml:space="preserve">As noted by ESMA in paragraph 70, the inclusion of data already </w:t>
      </w:r>
      <w:proofErr w:type="gramStart"/>
      <w:r w:rsidRPr="005169BD">
        <w:rPr>
          <w:rFonts w:ascii="Arial" w:hAnsi="Arial" w:cs="Arial"/>
        </w:rPr>
        <w:t>present</w:t>
      </w:r>
      <w:proofErr w:type="gramEnd"/>
      <w:r w:rsidRPr="005169BD">
        <w:rPr>
          <w:rFonts w:ascii="Arial" w:hAnsi="Arial" w:cs="Arial"/>
        </w:rPr>
        <w:t xml:space="preserve"> in the transactional data risks detracting from the intended purpose of these reports and the data points aimed at are market structure analysis rather than exposure calculation. In order to calculate this, TRs would need to be furnished with an exhaustive list of EEA venue MIC codes which must be maintained on an ongoing basis. In order to ensure this is accurate this should be made available to TRs in a computer readable format and communicated periodically via an automated feed, as with other reference data sources like the GLEIF. </w:t>
      </w:r>
    </w:p>
    <w:permEnd w:id="1904490982"/>
    <w:p w14:paraId="094C5689" w14:textId="19C615AF" w:rsidR="00044D43" w:rsidRDefault="00044D43" w:rsidP="00044D43">
      <w:pPr>
        <w:rPr>
          <w:rFonts w:ascii="Arial" w:hAnsi="Arial" w:cs="Arial"/>
        </w:rPr>
      </w:pPr>
      <w:r>
        <w:rPr>
          <w:rFonts w:ascii="Arial" w:hAnsi="Arial" w:cs="Arial"/>
        </w:rPr>
        <w:t>&lt;ESMA_QUESTION_SFPO_17&gt;</w:t>
      </w:r>
    </w:p>
    <w:p w14:paraId="50A07499" w14:textId="77777777" w:rsidR="00044D43" w:rsidRDefault="00044D43" w:rsidP="00044D43">
      <w:pPr>
        <w:rPr>
          <w:rFonts w:ascii="Arial" w:hAnsi="Arial" w:cs="Arial"/>
        </w:rPr>
      </w:pPr>
    </w:p>
    <w:p w14:paraId="36A5FF94" w14:textId="77777777" w:rsidR="00044D43" w:rsidRDefault="00044D43" w:rsidP="00044D43">
      <w:pPr>
        <w:pStyle w:val="Questionstyle"/>
        <w:rPr>
          <w:rFonts w:ascii="Arial" w:hAnsi="Arial" w:cs="Arial"/>
        </w:rPr>
      </w:pPr>
      <w:bookmarkStart w:id="22" w:name="_Toc45100240"/>
      <w:r>
        <w:t>Do you agree with the proposed bucketing regarding maturity dates? What additional aspects should be considered when calculating the term of the SFTs and the residual maturity of the securities used to collateralise that SFT? Please detail the reasons for your response.</w:t>
      </w:r>
      <w:bookmarkEnd w:id="22"/>
      <w:r>
        <w:t xml:space="preserve"> </w:t>
      </w:r>
    </w:p>
    <w:p w14:paraId="194A9D1F" w14:textId="77777777" w:rsidR="00044D43" w:rsidRDefault="00044D43" w:rsidP="00044D43">
      <w:pPr>
        <w:rPr>
          <w:rFonts w:ascii="Arial" w:hAnsi="Arial" w:cs="Arial"/>
        </w:rPr>
      </w:pPr>
      <w:r>
        <w:rPr>
          <w:rFonts w:ascii="Arial" w:hAnsi="Arial" w:cs="Arial"/>
        </w:rPr>
        <w:t>&lt;ESMA_QUESTION_SFPO_18&gt;</w:t>
      </w:r>
    </w:p>
    <w:p w14:paraId="04870AED" w14:textId="77777777" w:rsidR="005169BD" w:rsidRDefault="005169BD" w:rsidP="00044D43">
      <w:pPr>
        <w:rPr>
          <w:rFonts w:ascii="Arial" w:hAnsi="Arial" w:cs="Arial"/>
        </w:rPr>
      </w:pPr>
      <w:permStart w:id="1214325980" w:edGrp="everyone"/>
      <w:r w:rsidRPr="005169BD">
        <w:rPr>
          <w:rFonts w:ascii="Arial" w:hAnsi="Arial" w:cs="Arial"/>
        </w:rPr>
        <w:t>Does Guideline 19 apply to Margin Loans, or just Repo, SBSC, and SLEB? Margin Loans do not have a value date/start date, are not Open term and there is no maturity date. How should Margin Loans be classified?</w:t>
      </w:r>
    </w:p>
    <w:p w14:paraId="19F78096" w14:textId="77777777" w:rsidR="005169BD" w:rsidRDefault="005169BD" w:rsidP="005169BD">
      <w:pPr>
        <w:rPr>
          <w:rFonts w:ascii="Arial" w:hAnsi="Arial" w:cs="Arial"/>
        </w:rPr>
      </w:pPr>
    </w:p>
    <w:p w14:paraId="28A2C1DD" w14:textId="7B12C409" w:rsidR="005169BD" w:rsidRPr="005169BD" w:rsidRDefault="005169BD" w:rsidP="005169BD">
      <w:pPr>
        <w:rPr>
          <w:rFonts w:ascii="Arial" w:hAnsi="Arial" w:cs="Arial"/>
        </w:rPr>
      </w:pPr>
      <w:r w:rsidRPr="005169BD">
        <w:rPr>
          <w:rFonts w:ascii="Arial" w:hAnsi="Arial" w:cs="Arial"/>
        </w:rPr>
        <w:t>The proposed bucketing of maturity dates is unnecessarily complex and can result in misleading bucketing, especially in the final example provided in Guideline 20. This seems primarily due to the calculation concerning months. Alternative approaches would be to treat one month as simply 30 days from the relevant reference date. Alternatively, a 28-day term may also be considered, with the same mechanic of calculating the remaining term as the difference between the reference date and Maturity date. A final alternative is to treat the months without a 29, 30, or 31 as being ‘end of month’ convention, whereby on reference day 31 January, a trade due to mature on 28 February is considered to be 1 month, however a trade with a reference date of 30th April maturing on 31 May would be considered over one month.</w:t>
      </w:r>
    </w:p>
    <w:p w14:paraId="4F9FB08E" w14:textId="77777777" w:rsidR="005169BD" w:rsidRDefault="005169BD" w:rsidP="005169BD">
      <w:pPr>
        <w:rPr>
          <w:rFonts w:ascii="Arial" w:hAnsi="Arial" w:cs="Arial"/>
        </w:rPr>
      </w:pPr>
    </w:p>
    <w:p w14:paraId="06F40997" w14:textId="470CC2F3" w:rsidR="005169BD" w:rsidRPr="005169BD" w:rsidRDefault="005169BD" w:rsidP="005169BD">
      <w:pPr>
        <w:rPr>
          <w:rFonts w:ascii="Arial" w:hAnsi="Arial" w:cs="Arial"/>
        </w:rPr>
      </w:pPr>
      <w:r w:rsidRPr="005169BD">
        <w:rPr>
          <w:rFonts w:ascii="Arial" w:hAnsi="Arial" w:cs="Arial"/>
        </w:rPr>
        <w:t>It is assumed here that evergreen transactions would be calculated in the same mechanism by reference to the remaining term.</w:t>
      </w:r>
    </w:p>
    <w:p w14:paraId="40361A38" w14:textId="77777777" w:rsidR="005169BD" w:rsidRDefault="005169BD" w:rsidP="005169BD">
      <w:pPr>
        <w:rPr>
          <w:rFonts w:ascii="Arial" w:hAnsi="Arial" w:cs="Arial"/>
        </w:rPr>
      </w:pPr>
    </w:p>
    <w:p w14:paraId="57488FF5" w14:textId="3C450DFB" w:rsidR="005169BD" w:rsidRDefault="005169BD" w:rsidP="005169BD">
      <w:pPr>
        <w:rPr>
          <w:rFonts w:ascii="Arial" w:hAnsi="Arial" w:cs="Arial"/>
        </w:rPr>
      </w:pPr>
      <w:r w:rsidRPr="005169BD">
        <w:rPr>
          <w:rFonts w:ascii="Arial" w:hAnsi="Arial" w:cs="Arial"/>
        </w:rPr>
        <w:t xml:space="preserve">In </w:t>
      </w:r>
      <w:proofErr w:type="gramStart"/>
      <w:r w:rsidRPr="005169BD">
        <w:rPr>
          <w:rFonts w:ascii="Arial" w:hAnsi="Arial" w:cs="Arial"/>
        </w:rPr>
        <w:t>addition</w:t>
      </w:r>
      <w:proofErr w:type="gramEnd"/>
      <w:r w:rsidRPr="005169BD">
        <w:rPr>
          <w:rFonts w:ascii="Arial" w:hAnsi="Arial" w:cs="Arial"/>
        </w:rPr>
        <w:t xml:space="preserve"> as part of the FSB aggregations specified in Guideline 28, no similar guidance is given on the calculation of tenor in respect of months without a 29, 30, or 31st day. What is expected in respect of these calculations? The methodology should align</w:t>
      </w:r>
    </w:p>
    <w:permEnd w:id="1214325980"/>
    <w:p w14:paraId="188B7B42" w14:textId="4BBAC5F1" w:rsidR="00044D43" w:rsidRDefault="00044D43" w:rsidP="00044D43">
      <w:pPr>
        <w:rPr>
          <w:rFonts w:ascii="Arial" w:hAnsi="Arial" w:cs="Arial"/>
        </w:rPr>
      </w:pPr>
      <w:r>
        <w:rPr>
          <w:rFonts w:ascii="Arial" w:hAnsi="Arial" w:cs="Arial"/>
        </w:rPr>
        <w:t>&lt;ESMA_QUESTION_SFPO_18&gt;</w:t>
      </w:r>
    </w:p>
    <w:p w14:paraId="3A044421" w14:textId="77777777" w:rsidR="00044D43" w:rsidRDefault="00044D43" w:rsidP="00044D43">
      <w:pPr>
        <w:rPr>
          <w:rFonts w:ascii="Arial" w:hAnsi="Arial" w:cs="Arial"/>
        </w:rPr>
      </w:pPr>
    </w:p>
    <w:p w14:paraId="50B685D2" w14:textId="77777777" w:rsidR="00044D43" w:rsidRDefault="00044D43" w:rsidP="00044D43">
      <w:pPr>
        <w:pStyle w:val="Questionstyle"/>
        <w:rPr>
          <w:rFonts w:ascii="Arial" w:hAnsi="Arial" w:cs="Arial"/>
        </w:rPr>
      </w:pPr>
      <w:bookmarkStart w:id="23" w:name="_Toc45100241"/>
      <w:r>
        <w:t>Do you agree with the inclusion of all values on reconciliation status or additional grouping should be performed? Please detail the reasons for your response.</w:t>
      </w:r>
      <w:bookmarkEnd w:id="23"/>
    </w:p>
    <w:p w14:paraId="0538AF58" w14:textId="77777777" w:rsidR="00044D43" w:rsidRDefault="00044D43" w:rsidP="00044D43">
      <w:pPr>
        <w:rPr>
          <w:rFonts w:ascii="Arial" w:hAnsi="Arial" w:cs="Arial"/>
        </w:rPr>
      </w:pPr>
      <w:r>
        <w:rPr>
          <w:rFonts w:ascii="Arial" w:hAnsi="Arial" w:cs="Arial"/>
        </w:rPr>
        <w:t>&lt;ESMA_QUESTION_SFPO_19&gt;</w:t>
      </w:r>
    </w:p>
    <w:p w14:paraId="0F4D1089" w14:textId="77777777" w:rsidR="005169BD" w:rsidRDefault="005169BD" w:rsidP="00044D43">
      <w:pPr>
        <w:rPr>
          <w:rFonts w:ascii="Arial" w:hAnsi="Arial" w:cs="Arial"/>
        </w:rPr>
      </w:pPr>
      <w:permStart w:id="650798564" w:edGrp="everyone"/>
      <w:r w:rsidRPr="005169BD">
        <w:rPr>
          <w:rFonts w:ascii="Arial" w:hAnsi="Arial" w:cs="Arial"/>
        </w:rPr>
        <w:t>The approach outlined in paragraph 75 is an appropriate breakdown of the reconciliation status. It is noted that in this context and consistent with the actual reconciliation reports, a value of ‘reconciled’ would be applied when both loan and collateral information is fully reconciled.</w:t>
      </w:r>
    </w:p>
    <w:permEnd w:id="650798564"/>
    <w:p w14:paraId="51306AF6" w14:textId="42854FA4" w:rsidR="00044D43" w:rsidRDefault="00044D43" w:rsidP="00044D43">
      <w:pPr>
        <w:rPr>
          <w:rFonts w:ascii="Arial" w:hAnsi="Arial" w:cs="Arial"/>
        </w:rPr>
      </w:pPr>
      <w:r>
        <w:rPr>
          <w:rFonts w:ascii="Arial" w:hAnsi="Arial" w:cs="Arial"/>
        </w:rPr>
        <w:t>&lt;ESMA_QUESTION_SFPO_19&gt;</w:t>
      </w:r>
    </w:p>
    <w:p w14:paraId="4984444C" w14:textId="77777777" w:rsidR="00044D43" w:rsidRDefault="00044D43" w:rsidP="00044D43">
      <w:pPr>
        <w:rPr>
          <w:rFonts w:ascii="Arial" w:hAnsi="Arial" w:cs="Arial"/>
        </w:rPr>
      </w:pPr>
    </w:p>
    <w:p w14:paraId="723CE4C8" w14:textId="77777777" w:rsidR="00044D43" w:rsidRDefault="00044D43" w:rsidP="00044D43">
      <w:pPr>
        <w:pStyle w:val="Questionstyle"/>
        <w:rPr>
          <w:rFonts w:ascii="Arial" w:hAnsi="Arial" w:cs="Arial"/>
        </w:rPr>
      </w:pPr>
      <w:bookmarkStart w:id="24" w:name="_Toc45100242"/>
      <w:r>
        <w:lastRenderedPageBreak/>
        <w:t>Do you agree with the use of ISO 20022 XML messages for the FSB positions? Please provide the reasoning for your answer.</w:t>
      </w:r>
      <w:bookmarkEnd w:id="24"/>
      <w:r>
        <w:t xml:space="preserve">  </w:t>
      </w:r>
    </w:p>
    <w:p w14:paraId="2521D04F" w14:textId="77777777" w:rsidR="00044D43" w:rsidRDefault="00044D43" w:rsidP="00044D43">
      <w:pPr>
        <w:rPr>
          <w:rFonts w:ascii="Arial" w:hAnsi="Arial" w:cs="Arial"/>
        </w:rPr>
      </w:pPr>
      <w:r>
        <w:rPr>
          <w:rFonts w:ascii="Arial" w:hAnsi="Arial" w:cs="Arial"/>
        </w:rPr>
        <w:t>&lt;ESMA_QUESTION_SFPO_20&gt;</w:t>
      </w:r>
    </w:p>
    <w:p w14:paraId="5DA59E64" w14:textId="77777777" w:rsidR="005169BD" w:rsidRPr="005169BD" w:rsidRDefault="005169BD" w:rsidP="005169BD">
      <w:pPr>
        <w:rPr>
          <w:rFonts w:ascii="Arial" w:hAnsi="Arial" w:cs="Arial"/>
        </w:rPr>
      </w:pPr>
      <w:permStart w:id="1710177823" w:edGrp="everyone"/>
      <w:r w:rsidRPr="005169BD">
        <w:rPr>
          <w:rFonts w:ascii="Arial" w:hAnsi="Arial" w:cs="Arial"/>
        </w:rPr>
        <w:t xml:space="preserve">What is the proposed schema(s) in which these reports should be provided? It is not possible to opine on this without a thorough review of the proposed XML standard. If this XML schema is a new schema and requires approval by the ISO Standards Committee, or has yet to be published, based on experience of the length of review period for the XML schemas currently in use for SFTR this alone would prove an obstacle to TRs receiving final drafts in time to be able to analyse and design the systems required to produce such reports by July 2021. </w:t>
      </w:r>
    </w:p>
    <w:p w14:paraId="67F8FCC1" w14:textId="77777777" w:rsidR="005169BD" w:rsidRDefault="005169BD" w:rsidP="005169BD">
      <w:pPr>
        <w:rPr>
          <w:rFonts w:ascii="Arial" w:hAnsi="Arial" w:cs="Arial"/>
        </w:rPr>
      </w:pPr>
    </w:p>
    <w:p w14:paraId="35BA3DD1" w14:textId="20473CEC" w:rsidR="005169BD" w:rsidRPr="005169BD" w:rsidRDefault="005169BD" w:rsidP="005169BD">
      <w:pPr>
        <w:rPr>
          <w:rFonts w:ascii="Arial" w:hAnsi="Arial" w:cs="Arial"/>
        </w:rPr>
      </w:pPr>
      <w:r w:rsidRPr="005169BD">
        <w:rPr>
          <w:rFonts w:ascii="Arial" w:hAnsi="Arial" w:cs="Arial"/>
        </w:rPr>
        <w:t>The consultation paper sets ESMA’s expectation that the final guidelines will apply from 13th July 2021 however it may be more pragmatic to make this the latter of 13 July 2021 or at least 6 months following the publication of the final guidelines and relevant XML schema approval by the relevant ISO committee, in order to mitigate for any delays in publication and provide the necessary time for such changes to be analysed and scheduled in a coordinated fashion by the TRs.</w:t>
      </w:r>
    </w:p>
    <w:p w14:paraId="26A13E3E" w14:textId="77777777" w:rsidR="005169BD" w:rsidRDefault="005169BD" w:rsidP="00044D43">
      <w:pPr>
        <w:rPr>
          <w:rFonts w:ascii="Arial" w:hAnsi="Arial" w:cs="Arial"/>
        </w:rPr>
      </w:pPr>
    </w:p>
    <w:p w14:paraId="45D1E4E7" w14:textId="56055BD8" w:rsidR="005169BD" w:rsidRDefault="005169BD" w:rsidP="00044D43">
      <w:pPr>
        <w:rPr>
          <w:rFonts w:ascii="Arial" w:hAnsi="Arial" w:cs="Arial"/>
        </w:rPr>
      </w:pPr>
      <w:r w:rsidRPr="005169BD">
        <w:rPr>
          <w:rFonts w:ascii="Arial" w:hAnsi="Arial" w:cs="Arial"/>
        </w:rPr>
        <w:t xml:space="preserve">Additionally, who would own these schemas? Will ESMA be specifying / owning these schemas given that these are FSB requirements? Also based on experience with the current schemas for SFTR (e.g. rejected trades report), these should be as open as possible to avoid scenarios whereby schema limitations restrict the ability to provide authorities the required data in reports. </w:t>
      </w:r>
    </w:p>
    <w:permEnd w:id="1710177823"/>
    <w:p w14:paraId="666AB873" w14:textId="389BA33B" w:rsidR="00044D43" w:rsidRDefault="00044D43" w:rsidP="00044D43">
      <w:pPr>
        <w:rPr>
          <w:rFonts w:ascii="Arial" w:hAnsi="Arial" w:cs="Arial"/>
        </w:rPr>
      </w:pPr>
      <w:r>
        <w:rPr>
          <w:rFonts w:ascii="Arial" w:hAnsi="Arial" w:cs="Arial"/>
        </w:rPr>
        <w:t>&lt;ESMA_QUESTION_SFPO_20&gt;</w:t>
      </w:r>
    </w:p>
    <w:p w14:paraId="2732EF1E" w14:textId="77777777" w:rsidR="00044D43" w:rsidRDefault="00044D43" w:rsidP="00044D43">
      <w:pPr>
        <w:rPr>
          <w:rFonts w:ascii="Arial" w:hAnsi="Arial" w:cs="Arial"/>
        </w:rPr>
      </w:pPr>
    </w:p>
    <w:p w14:paraId="680C157B" w14:textId="77777777" w:rsidR="00044D43" w:rsidRDefault="00044D43" w:rsidP="00044D43">
      <w:pPr>
        <w:pStyle w:val="Questionstyle"/>
        <w:rPr>
          <w:rFonts w:ascii="Arial" w:hAnsi="Arial" w:cs="Arial"/>
        </w:rPr>
      </w:pPr>
      <w:bookmarkStart w:id="25" w:name="_Toc45100243"/>
      <w:r>
        <w:t>Do you agree that the FSB reports should be calculated for all authorities (i.e. also NCAs/NCBs that are not mandated to report the FSB) for risk monitoring purposes? Please elaborate on the relevant cost aspects. Please detail the reasons for your response.</w:t>
      </w:r>
      <w:bookmarkEnd w:id="25"/>
      <w:r>
        <w:t xml:space="preserve">  </w:t>
      </w:r>
    </w:p>
    <w:p w14:paraId="32A109BE" w14:textId="77777777" w:rsidR="00044D43" w:rsidRDefault="00044D43" w:rsidP="00044D43">
      <w:pPr>
        <w:rPr>
          <w:rFonts w:ascii="Arial" w:hAnsi="Arial" w:cs="Arial"/>
        </w:rPr>
      </w:pPr>
      <w:r>
        <w:rPr>
          <w:rFonts w:ascii="Arial" w:hAnsi="Arial" w:cs="Arial"/>
        </w:rPr>
        <w:t>&lt;ESMA_QUESTION_SFPO_21&gt;</w:t>
      </w:r>
    </w:p>
    <w:p w14:paraId="50886388" w14:textId="77777777" w:rsidR="005169BD" w:rsidRPr="005169BD" w:rsidRDefault="005169BD" w:rsidP="005169BD">
      <w:pPr>
        <w:rPr>
          <w:rFonts w:ascii="Arial" w:hAnsi="Arial" w:cs="Arial"/>
        </w:rPr>
      </w:pPr>
      <w:permStart w:id="214390062" w:edGrp="everyone"/>
      <w:r w:rsidRPr="005169BD">
        <w:rPr>
          <w:rFonts w:ascii="Arial" w:hAnsi="Arial" w:cs="Arial"/>
        </w:rPr>
        <w:t xml:space="preserve">To produce reports for all authorities would add significant cost for TRs. The calculation and production of reports is a processing heavy activity </w:t>
      </w:r>
      <w:proofErr w:type="gramStart"/>
      <w:r w:rsidRPr="005169BD">
        <w:rPr>
          <w:rFonts w:ascii="Arial" w:hAnsi="Arial" w:cs="Arial"/>
        </w:rPr>
        <w:t>and also</w:t>
      </w:r>
      <w:proofErr w:type="gramEnd"/>
      <w:r w:rsidRPr="005169BD">
        <w:rPr>
          <w:rFonts w:ascii="Arial" w:hAnsi="Arial" w:cs="Arial"/>
        </w:rPr>
        <w:t xml:space="preserve"> adds to network costs in their distribution. Additionally, introducing a major processing overhead for TRs should be balanced against the existing processing activities which run such as ingestion, production of response message, reporting for Reporting Counterparties, reporting for Entities Responsible For Reporting, reporting for Report Submitting Entities (the latter two which are not currently required under EMIR), recurrent and </w:t>
      </w:r>
      <w:proofErr w:type="spellStart"/>
      <w:r w:rsidRPr="005169BD">
        <w:rPr>
          <w:rFonts w:ascii="Arial" w:hAnsi="Arial" w:cs="Arial"/>
        </w:rPr>
        <w:t>adhoc</w:t>
      </w:r>
      <w:proofErr w:type="spellEnd"/>
      <w:r w:rsidRPr="005169BD">
        <w:rPr>
          <w:rFonts w:ascii="Arial" w:hAnsi="Arial" w:cs="Arial"/>
        </w:rPr>
        <w:t xml:space="preserve"> reporting for regulators, reconciliation (both intra and inter-TR with associated file exchanges), and the calculation and production of public reporting, as well as less frequent but intensive processes such as entity merger activity and portability, all of which are incumbent on the TR to process. The scale of additional processing requirements should be considered carefully to limit the introduction of risk into already heavy overnight processes required from TRs. </w:t>
      </w:r>
    </w:p>
    <w:p w14:paraId="7D1295F6" w14:textId="77777777" w:rsidR="005169BD" w:rsidRDefault="005169BD" w:rsidP="00044D43">
      <w:pPr>
        <w:rPr>
          <w:rFonts w:ascii="Arial" w:hAnsi="Arial" w:cs="Arial"/>
        </w:rPr>
      </w:pPr>
    </w:p>
    <w:p w14:paraId="75D3B211" w14:textId="2DD26FAA" w:rsidR="00044D43" w:rsidRDefault="005169BD" w:rsidP="00044D43">
      <w:pPr>
        <w:rPr>
          <w:rFonts w:ascii="Arial" w:hAnsi="Arial" w:cs="Arial"/>
        </w:rPr>
      </w:pPr>
      <w:r w:rsidRPr="005169BD">
        <w:rPr>
          <w:rFonts w:ascii="Arial" w:hAnsi="Arial" w:cs="Arial"/>
        </w:rPr>
        <w:t xml:space="preserve">In addition to the cost component, SFTR maintains strict entitlement rules governing the data to be provided to authorities. The FSB table contains counterparty data and entities referred to in Article 12(2) of Regulation (EU) 2015/2365 would only have access to this data in accordance with the requirements of Delegated Regulation (EU) 2019/357. Providing this data to authorities as aggregate position data would to some extent undermine those entitlement rules and provide data pertaining to </w:t>
      </w:r>
      <w:r w:rsidRPr="005169BD">
        <w:rPr>
          <w:rFonts w:ascii="Arial" w:hAnsi="Arial" w:cs="Arial"/>
        </w:rPr>
        <w:lastRenderedPageBreak/>
        <w:t xml:space="preserve">reporting counterparties to those authorities that have no basis of entitlement. </w:t>
      </w:r>
      <w:permEnd w:id="214390062"/>
      <w:r w:rsidR="00044D43">
        <w:rPr>
          <w:rFonts w:ascii="Arial" w:hAnsi="Arial" w:cs="Arial"/>
        </w:rPr>
        <w:t>&lt;ESMA_QUESTION_SFPO_21&gt;</w:t>
      </w:r>
    </w:p>
    <w:p w14:paraId="55633268" w14:textId="77777777" w:rsidR="00044D43" w:rsidRDefault="00044D43" w:rsidP="00044D43">
      <w:pPr>
        <w:rPr>
          <w:rFonts w:ascii="Arial" w:hAnsi="Arial" w:cs="Arial"/>
        </w:rPr>
      </w:pPr>
    </w:p>
    <w:p w14:paraId="59919FEA" w14:textId="77777777" w:rsidR="00044D43" w:rsidRDefault="00044D43" w:rsidP="00044D43">
      <w:pPr>
        <w:pStyle w:val="Questionstyle"/>
        <w:rPr>
          <w:rFonts w:ascii="Arial" w:hAnsi="Arial" w:cs="Arial"/>
        </w:rPr>
      </w:pPr>
      <w:bookmarkStart w:id="26" w:name="_Toc45100244"/>
      <w:r>
        <w:t>Do you agree with usage of the ECB conversion rates? Are you aware any other public data source providing conversion rates for further currencies?</w:t>
      </w:r>
      <w:bookmarkEnd w:id="26"/>
    </w:p>
    <w:p w14:paraId="42B0AF92" w14:textId="77777777" w:rsidR="00044D43" w:rsidRDefault="00044D43" w:rsidP="00044D43">
      <w:pPr>
        <w:rPr>
          <w:rFonts w:ascii="Arial" w:hAnsi="Arial" w:cs="Arial"/>
        </w:rPr>
      </w:pPr>
      <w:r>
        <w:rPr>
          <w:rFonts w:ascii="Arial" w:hAnsi="Arial" w:cs="Arial"/>
        </w:rPr>
        <w:t>&lt;ESMA_QUESTION_SFPO_22&gt;</w:t>
      </w:r>
    </w:p>
    <w:p w14:paraId="50AC3D4C" w14:textId="77777777" w:rsidR="005169BD" w:rsidRPr="005169BD" w:rsidRDefault="005169BD" w:rsidP="005169BD">
      <w:pPr>
        <w:rPr>
          <w:rFonts w:ascii="Arial" w:hAnsi="Arial" w:cs="Arial"/>
        </w:rPr>
      </w:pPr>
      <w:permStart w:id="1162897032" w:edGrp="everyone"/>
      <w:r w:rsidRPr="005169BD">
        <w:rPr>
          <w:rFonts w:ascii="Arial" w:hAnsi="Arial" w:cs="Arial"/>
        </w:rPr>
        <w:t xml:space="preserve">Whilst ECB conversion rates can be used, as noted there are sometimes limitations with the available currency pairs. A fallback source is one approach however it is noted that this creates inconsistency with the sources. </w:t>
      </w:r>
      <w:proofErr w:type="gramStart"/>
      <w:r w:rsidRPr="005169BD">
        <w:rPr>
          <w:rFonts w:ascii="Arial" w:hAnsi="Arial" w:cs="Arial"/>
        </w:rPr>
        <w:t>In reality, most</w:t>
      </w:r>
      <w:proofErr w:type="gramEnd"/>
      <w:r w:rsidRPr="005169BD">
        <w:rPr>
          <w:rFonts w:ascii="Arial" w:hAnsi="Arial" w:cs="Arial"/>
        </w:rPr>
        <w:t xml:space="preserve"> fallback sources will be from paid-for data providers, which undermines the mandate of a free source and also introduces some inconsistency in sources. </w:t>
      </w:r>
      <w:proofErr w:type="gramStart"/>
      <w:r w:rsidRPr="005169BD">
        <w:rPr>
          <w:rFonts w:ascii="Arial" w:hAnsi="Arial" w:cs="Arial"/>
        </w:rPr>
        <w:t>With this in mind, TRs</w:t>
      </w:r>
      <w:proofErr w:type="gramEnd"/>
      <w:r w:rsidRPr="005169BD">
        <w:rPr>
          <w:rFonts w:ascii="Arial" w:hAnsi="Arial" w:cs="Arial"/>
        </w:rPr>
        <w:t xml:space="preserve"> may prefer to use a single source even if it is from a commercial source. </w:t>
      </w:r>
      <w:proofErr w:type="gramStart"/>
      <w:r w:rsidRPr="005169BD">
        <w:rPr>
          <w:rFonts w:ascii="Arial" w:hAnsi="Arial" w:cs="Arial"/>
        </w:rPr>
        <w:t>In reality, TRs</w:t>
      </w:r>
      <w:proofErr w:type="gramEnd"/>
      <w:r w:rsidRPr="005169BD">
        <w:rPr>
          <w:rFonts w:ascii="Arial" w:hAnsi="Arial" w:cs="Arial"/>
        </w:rPr>
        <w:t xml:space="preserve"> already incur this cost for the conversion requirements under Public Reporting due to the missing currency pairs at the ECB, therefore this is unlikely to create additional cost burden for TRs.  </w:t>
      </w:r>
    </w:p>
    <w:p w14:paraId="001144CA" w14:textId="77777777" w:rsidR="005169BD" w:rsidRDefault="005169BD" w:rsidP="00044D43">
      <w:pPr>
        <w:rPr>
          <w:rFonts w:ascii="Arial" w:hAnsi="Arial" w:cs="Arial"/>
        </w:rPr>
      </w:pPr>
    </w:p>
    <w:p w14:paraId="26039BF6" w14:textId="7382E828" w:rsidR="005169BD" w:rsidRDefault="005169BD" w:rsidP="00044D43">
      <w:pPr>
        <w:rPr>
          <w:rFonts w:ascii="Arial" w:hAnsi="Arial" w:cs="Arial"/>
        </w:rPr>
      </w:pPr>
      <w:r w:rsidRPr="005169BD">
        <w:rPr>
          <w:rFonts w:ascii="Arial" w:hAnsi="Arial" w:cs="Arial"/>
        </w:rPr>
        <w:t>Regarding guideline 24, please confirm the four tables that TRs should generate data sets for repos and reverse repos? As per ‘Table 8 - Proposed dimensions for the FSB repos and reverse repos positions’ there are only three tables (T02, T03 and T04) mentioned for this data set.</w:t>
      </w:r>
    </w:p>
    <w:permEnd w:id="1162897032"/>
    <w:p w14:paraId="7D20C4BC" w14:textId="1224BA16" w:rsidR="00044D43" w:rsidRDefault="00044D43" w:rsidP="00044D43">
      <w:pPr>
        <w:rPr>
          <w:rFonts w:ascii="Arial" w:hAnsi="Arial" w:cs="Arial"/>
        </w:rPr>
      </w:pPr>
      <w:r>
        <w:rPr>
          <w:rFonts w:ascii="Arial" w:hAnsi="Arial" w:cs="Arial"/>
        </w:rPr>
        <w:t>&lt;ESMA_QUESTION_SFPO_22&gt;</w:t>
      </w:r>
    </w:p>
    <w:p w14:paraId="6D285D80" w14:textId="77777777" w:rsidR="00044D43" w:rsidRDefault="00044D43" w:rsidP="00044D43">
      <w:pPr>
        <w:rPr>
          <w:rFonts w:ascii="Arial" w:hAnsi="Arial" w:cs="Arial"/>
        </w:rPr>
      </w:pPr>
    </w:p>
    <w:p w14:paraId="4097E56C" w14:textId="77777777" w:rsidR="00044D43" w:rsidRDefault="00044D43" w:rsidP="00044D43">
      <w:pPr>
        <w:pStyle w:val="Questionstyle"/>
        <w:rPr>
          <w:rFonts w:ascii="Arial" w:hAnsi="Arial" w:cs="Arial"/>
        </w:rPr>
      </w:pPr>
      <w:bookmarkStart w:id="27" w:name="_Toc44344933"/>
      <w:r>
        <w:t>Which public and non-public sources of the LEI to sector mapping could be used to classify entities not reporting under SFTR? Please elaborate further on the proposed source.</w:t>
      </w:r>
      <w:bookmarkEnd w:id="27"/>
    </w:p>
    <w:p w14:paraId="1E4925B2" w14:textId="77777777" w:rsidR="00044D43" w:rsidRDefault="00044D43" w:rsidP="00044D43">
      <w:pPr>
        <w:rPr>
          <w:rFonts w:ascii="Arial" w:hAnsi="Arial" w:cs="Arial"/>
        </w:rPr>
      </w:pPr>
      <w:r>
        <w:rPr>
          <w:rFonts w:ascii="Arial" w:hAnsi="Arial" w:cs="Arial"/>
        </w:rPr>
        <w:t>&lt;ESMA_QUESTION_SFPO_23&gt;</w:t>
      </w:r>
    </w:p>
    <w:p w14:paraId="6485E538" w14:textId="2E264A90" w:rsidR="005169BD" w:rsidRDefault="005169BD" w:rsidP="00044D43">
      <w:pPr>
        <w:rPr>
          <w:rFonts w:ascii="Arial" w:hAnsi="Arial" w:cs="Arial"/>
        </w:rPr>
      </w:pPr>
      <w:permStart w:id="881607698" w:edGrp="everyone"/>
      <w:r>
        <w:rPr>
          <w:rFonts w:ascii="Arial" w:hAnsi="Arial" w:cs="Arial"/>
        </w:rPr>
        <w:t>Under Guideline 29, i</w:t>
      </w:r>
      <w:r w:rsidRPr="005169BD">
        <w:rPr>
          <w:rFonts w:ascii="Arial" w:hAnsi="Arial" w:cs="Arial"/>
        </w:rPr>
        <w:t>t is noted that for securities this field must be populated for SFTR, however where no value exists, a default value is specified to be populated. This will likely result in misreporting under (e).</w:t>
      </w:r>
    </w:p>
    <w:p w14:paraId="35E44F29" w14:textId="77777777" w:rsidR="005169BD" w:rsidRDefault="005169BD" w:rsidP="005169BD">
      <w:pPr>
        <w:rPr>
          <w:rFonts w:ascii="Arial" w:hAnsi="Arial" w:cs="Arial"/>
        </w:rPr>
      </w:pPr>
    </w:p>
    <w:p w14:paraId="36735810" w14:textId="36CEC83B" w:rsidR="005169BD" w:rsidRPr="005169BD" w:rsidRDefault="005169BD" w:rsidP="005169BD">
      <w:pPr>
        <w:rPr>
          <w:rFonts w:ascii="Arial" w:hAnsi="Arial" w:cs="Arial"/>
        </w:rPr>
      </w:pPr>
      <w:r w:rsidRPr="005169BD">
        <w:rPr>
          <w:rFonts w:ascii="Arial" w:hAnsi="Arial" w:cs="Arial"/>
        </w:rPr>
        <w:t>These classifications were introduced by European regulatory regimes like EMIR and MiFID II and are not commonly used outside of these purposes. We are not aware of public or non-public sources to derive these sector classifications for entities outside of the fields provided for the Reporting Counterparty in the SFTR field specification.</w:t>
      </w:r>
    </w:p>
    <w:p w14:paraId="02062CA4" w14:textId="77777777" w:rsidR="005169BD" w:rsidRPr="005169BD" w:rsidRDefault="005169BD" w:rsidP="005169BD">
      <w:pPr>
        <w:rPr>
          <w:rFonts w:ascii="Arial" w:hAnsi="Arial" w:cs="Arial"/>
        </w:rPr>
      </w:pPr>
      <w:r w:rsidRPr="005169BD">
        <w:rPr>
          <w:rFonts w:ascii="Arial" w:hAnsi="Arial" w:cs="Arial"/>
        </w:rPr>
        <w:t>In regard to paragraph 88(b) we disagree with this approach</w:t>
      </w:r>
      <w:proofErr w:type="gramStart"/>
      <w:r w:rsidRPr="005169BD">
        <w:rPr>
          <w:rFonts w:ascii="Arial" w:hAnsi="Arial" w:cs="Arial"/>
        </w:rPr>
        <w:t>. .</w:t>
      </w:r>
      <w:proofErr w:type="gramEnd"/>
      <w:r w:rsidRPr="005169BD">
        <w:rPr>
          <w:rFonts w:ascii="Arial" w:hAnsi="Arial" w:cs="Arial"/>
        </w:rPr>
        <w:t xml:space="preserve"> Where multiple values exist, the concept of overwriting / augmenting that reported data is inconsistent with the controls employed by TRs to ensure data integrity. </w:t>
      </w:r>
    </w:p>
    <w:p w14:paraId="0E1F7B99" w14:textId="77777777" w:rsidR="005169BD" w:rsidRDefault="005169BD" w:rsidP="005169BD">
      <w:pPr>
        <w:rPr>
          <w:rFonts w:ascii="Arial" w:hAnsi="Arial" w:cs="Arial"/>
        </w:rPr>
      </w:pPr>
    </w:p>
    <w:p w14:paraId="41EB465A" w14:textId="12BD9590" w:rsidR="005169BD" w:rsidRPr="005169BD" w:rsidRDefault="005169BD" w:rsidP="005169BD">
      <w:pPr>
        <w:rPr>
          <w:rFonts w:ascii="Arial" w:hAnsi="Arial" w:cs="Arial"/>
        </w:rPr>
      </w:pPr>
      <w:r w:rsidRPr="005169BD">
        <w:rPr>
          <w:rFonts w:ascii="Arial" w:hAnsi="Arial" w:cs="Arial"/>
        </w:rPr>
        <w:t xml:space="preserve">The proposed methodology of basing data on the classification of a weighted volume to find the data is flawed as it does not take into consideration </w:t>
      </w:r>
    </w:p>
    <w:p w14:paraId="79F6BC11" w14:textId="77777777" w:rsidR="005169BD" w:rsidRPr="005169BD" w:rsidRDefault="005169BD" w:rsidP="005169BD">
      <w:pPr>
        <w:rPr>
          <w:rFonts w:ascii="Arial" w:hAnsi="Arial" w:cs="Arial"/>
        </w:rPr>
      </w:pPr>
      <w:r w:rsidRPr="005169BD">
        <w:rPr>
          <w:rFonts w:ascii="Arial" w:hAnsi="Arial" w:cs="Arial"/>
        </w:rPr>
        <w:t>(i)</w:t>
      </w:r>
      <w:r w:rsidRPr="005169BD">
        <w:rPr>
          <w:rFonts w:ascii="Arial" w:hAnsi="Arial" w:cs="Arial"/>
        </w:rPr>
        <w:tab/>
        <w:t xml:space="preserve">the fact that some firms have multiple businesses within the same LEI, for example, wealth management and global markets, who would likely have different reporting sections. </w:t>
      </w:r>
    </w:p>
    <w:p w14:paraId="0999D310" w14:textId="77777777" w:rsidR="005169BD" w:rsidRPr="005169BD" w:rsidRDefault="005169BD" w:rsidP="005169BD">
      <w:pPr>
        <w:rPr>
          <w:rFonts w:ascii="Arial" w:hAnsi="Arial" w:cs="Arial"/>
        </w:rPr>
      </w:pPr>
      <w:r w:rsidRPr="005169BD">
        <w:rPr>
          <w:rFonts w:ascii="Arial" w:hAnsi="Arial" w:cs="Arial"/>
        </w:rPr>
        <w:t>(ii)</w:t>
      </w:r>
      <w:r w:rsidRPr="005169BD">
        <w:rPr>
          <w:rFonts w:ascii="Arial" w:hAnsi="Arial" w:cs="Arial"/>
        </w:rPr>
        <w:tab/>
        <w:t>The cost and complexity for TRs</w:t>
      </w:r>
    </w:p>
    <w:p w14:paraId="0E0750AE" w14:textId="6D42BC17" w:rsidR="005169BD" w:rsidRDefault="005169BD" w:rsidP="005169BD">
      <w:pPr>
        <w:rPr>
          <w:rFonts w:ascii="Arial" w:hAnsi="Arial" w:cs="Arial"/>
        </w:rPr>
      </w:pPr>
      <w:r w:rsidRPr="005169BD">
        <w:rPr>
          <w:rFonts w:ascii="Arial" w:hAnsi="Arial" w:cs="Arial"/>
        </w:rPr>
        <w:t>(iii)</w:t>
      </w:r>
      <w:r w:rsidRPr="005169BD">
        <w:rPr>
          <w:rFonts w:ascii="Arial" w:hAnsi="Arial" w:cs="Arial"/>
        </w:rPr>
        <w:tab/>
        <w:t>Where the other counterparty has reported to another TR or is a non-EEA counterparty, the TR will not have this data.</w:t>
      </w:r>
    </w:p>
    <w:permEnd w:id="881607698"/>
    <w:p w14:paraId="358FAA88" w14:textId="39E014AC" w:rsidR="00044D43" w:rsidRDefault="00044D43" w:rsidP="00044D43">
      <w:pPr>
        <w:rPr>
          <w:rFonts w:ascii="Arial" w:hAnsi="Arial" w:cs="Arial"/>
        </w:rPr>
      </w:pPr>
      <w:r>
        <w:rPr>
          <w:rFonts w:ascii="Arial" w:hAnsi="Arial" w:cs="Arial"/>
        </w:rPr>
        <w:t>&lt;ESMA_QUESTION_SFPO_23&gt;</w:t>
      </w:r>
    </w:p>
    <w:p w14:paraId="638DFEE4" w14:textId="77777777" w:rsidR="00044D43" w:rsidRDefault="00044D43" w:rsidP="00044D43">
      <w:pPr>
        <w:rPr>
          <w:rFonts w:ascii="Arial" w:hAnsi="Arial" w:cs="Arial"/>
        </w:rPr>
      </w:pPr>
    </w:p>
    <w:p w14:paraId="597868B6" w14:textId="77777777" w:rsidR="00044D43" w:rsidRDefault="00044D43" w:rsidP="00044D43">
      <w:pPr>
        <w:pStyle w:val="Questionstyle"/>
        <w:rPr>
          <w:rFonts w:ascii="Arial" w:hAnsi="Arial" w:cs="Arial"/>
        </w:rPr>
      </w:pPr>
      <w:bookmarkStart w:id="28" w:name="_Toc45100245"/>
      <w:r>
        <w:lastRenderedPageBreak/>
        <w:t>What additional aspects related to the aggregations for FSB reporting should be clarified? Please detail the reasons for your response.</w:t>
      </w:r>
      <w:bookmarkEnd w:id="28"/>
    </w:p>
    <w:p w14:paraId="7B55FFEE" w14:textId="77777777" w:rsidR="00044D43" w:rsidRDefault="00044D43" w:rsidP="00044D43">
      <w:pPr>
        <w:rPr>
          <w:rFonts w:ascii="Arial" w:hAnsi="Arial" w:cs="Arial"/>
        </w:rPr>
      </w:pPr>
      <w:r>
        <w:rPr>
          <w:rFonts w:ascii="Arial" w:hAnsi="Arial" w:cs="Arial"/>
        </w:rPr>
        <w:t>&lt;ESMA_QUESTION_SFPO_24&gt;</w:t>
      </w:r>
    </w:p>
    <w:p w14:paraId="24084526" w14:textId="77777777" w:rsidR="005169BD" w:rsidRDefault="005169BD" w:rsidP="00044D43">
      <w:pPr>
        <w:rPr>
          <w:rFonts w:ascii="Arial" w:hAnsi="Arial" w:cs="Arial"/>
        </w:rPr>
      </w:pPr>
      <w:permStart w:id="1562783168" w:edGrp="everyone"/>
      <w:r w:rsidRPr="005169BD">
        <w:rPr>
          <w:rFonts w:ascii="Arial" w:hAnsi="Arial" w:cs="Arial"/>
        </w:rPr>
        <w:t>As noted in paragraph 91(b) of this CP, the SFTR data elements do not fully mirror the FSB data elements. Leaving this mapping for TRs to determine could easily result in variations in interpretation across the TRs and therefore difficulty in aggregating data by NCAs. Therefore, we believe the granular mapping should be provided to ensure consistency of interpretation.</w:t>
      </w:r>
    </w:p>
    <w:permEnd w:id="1562783168"/>
    <w:p w14:paraId="4956EA66" w14:textId="0832E859" w:rsidR="00044D43" w:rsidRDefault="00044D43" w:rsidP="00044D43">
      <w:pPr>
        <w:rPr>
          <w:rFonts w:ascii="Arial" w:hAnsi="Arial" w:cs="Arial"/>
        </w:rPr>
      </w:pPr>
      <w:r>
        <w:rPr>
          <w:rFonts w:ascii="Arial" w:hAnsi="Arial" w:cs="Arial"/>
        </w:rPr>
        <w:t>&lt;ESMA_QUESTION_SFPO_24&gt;</w:t>
      </w:r>
    </w:p>
    <w:p w14:paraId="266B2C04" w14:textId="77777777" w:rsidR="00044D43" w:rsidRDefault="00044D43" w:rsidP="00044D43">
      <w:pPr>
        <w:rPr>
          <w:rFonts w:ascii="Arial" w:hAnsi="Arial" w:cs="Arial"/>
        </w:rPr>
      </w:pPr>
    </w:p>
    <w:p w14:paraId="78844A93" w14:textId="77777777" w:rsidR="00044D43" w:rsidRDefault="00044D43" w:rsidP="00044D43">
      <w:pPr>
        <w:pStyle w:val="Questionstyle"/>
        <w:rPr>
          <w:rFonts w:ascii="Arial" w:hAnsi="Arial" w:cs="Arial"/>
        </w:rPr>
      </w:pPr>
      <w:bookmarkStart w:id="29" w:name="_Toc45100246"/>
      <w:r>
        <w:t>Do you understand and agree with the proposed mapping for repo and reverse repo of the FSB reporting guidelines? If not please detail further.</w:t>
      </w:r>
      <w:bookmarkEnd w:id="29"/>
      <w:r>
        <w:t xml:space="preserve"> </w:t>
      </w:r>
    </w:p>
    <w:p w14:paraId="062DE14B" w14:textId="77777777" w:rsidR="00044D43" w:rsidRDefault="00044D43" w:rsidP="00044D43">
      <w:pPr>
        <w:rPr>
          <w:rFonts w:ascii="Arial" w:hAnsi="Arial" w:cs="Arial"/>
        </w:rPr>
      </w:pPr>
      <w:r>
        <w:rPr>
          <w:rFonts w:ascii="Arial" w:hAnsi="Arial" w:cs="Arial"/>
        </w:rPr>
        <w:t>&lt;ESMA_QUESTION_SFPO_25&gt;</w:t>
      </w:r>
    </w:p>
    <w:p w14:paraId="1E2663E3" w14:textId="77777777" w:rsidR="005169BD" w:rsidRPr="005169BD" w:rsidRDefault="005169BD" w:rsidP="005169BD">
      <w:pPr>
        <w:rPr>
          <w:rFonts w:ascii="Arial" w:hAnsi="Arial" w:cs="Arial"/>
        </w:rPr>
      </w:pPr>
      <w:permStart w:id="179258472" w:edGrp="everyone"/>
      <w:r w:rsidRPr="005169BD">
        <w:rPr>
          <w:rFonts w:ascii="Arial" w:hAnsi="Arial" w:cs="Arial"/>
        </w:rPr>
        <w:t>Some of the language used in paragraphs 90 and 91 is difficult to follow and should be clarified to avoid confusion.</w:t>
      </w:r>
    </w:p>
    <w:p w14:paraId="1AD82AF3" w14:textId="77777777" w:rsidR="005169BD" w:rsidRDefault="005169BD" w:rsidP="005169BD">
      <w:pPr>
        <w:rPr>
          <w:rFonts w:ascii="Arial" w:hAnsi="Arial" w:cs="Arial"/>
        </w:rPr>
      </w:pPr>
    </w:p>
    <w:p w14:paraId="41D2CC9D" w14:textId="1CDE6512" w:rsidR="005169BD" w:rsidRPr="005169BD" w:rsidRDefault="005169BD" w:rsidP="005169BD">
      <w:pPr>
        <w:rPr>
          <w:rFonts w:ascii="Arial" w:hAnsi="Arial" w:cs="Arial"/>
        </w:rPr>
      </w:pPr>
      <w:r w:rsidRPr="005169BD">
        <w:rPr>
          <w:rFonts w:ascii="Arial" w:hAnsi="Arial" w:cs="Arial"/>
        </w:rPr>
        <w:t xml:space="preserve">Please refer to the responses related to guidelines 23 to 31. </w:t>
      </w:r>
    </w:p>
    <w:p w14:paraId="4F007202" w14:textId="77777777" w:rsidR="005169BD" w:rsidRPr="005169BD" w:rsidRDefault="005169BD" w:rsidP="005169BD">
      <w:pPr>
        <w:rPr>
          <w:rFonts w:ascii="Arial" w:hAnsi="Arial" w:cs="Arial"/>
        </w:rPr>
      </w:pPr>
      <w:r w:rsidRPr="005169BD">
        <w:rPr>
          <w:rFonts w:ascii="Arial" w:hAnsi="Arial" w:cs="Arial"/>
        </w:rPr>
        <w:t>In Table 7, under the ‘Filter’ row, is “Executed within the last months” supposed to refer to a multiple number of months? If so, how many?</w:t>
      </w:r>
    </w:p>
    <w:p w14:paraId="5F22A1CC" w14:textId="77777777" w:rsidR="005169BD" w:rsidRPr="005169BD" w:rsidRDefault="005169BD" w:rsidP="005169BD">
      <w:pPr>
        <w:rPr>
          <w:rFonts w:ascii="Arial" w:hAnsi="Arial" w:cs="Arial"/>
        </w:rPr>
      </w:pPr>
      <w:r w:rsidRPr="005169BD">
        <w:rPr>
          <w:rFonts w:ascii="Arial" w:hAnsi="Arial" w:cs="Arial"/>
        </w:rPr>
        <w:t xml:space="preserve">From the information available in Table 8 (and the FSB guidelines), it is not clear why Other Counterparty is considered for the FSB field ‘Sector of the Reporting Party’ however as noted under Q23, the Sector of the Other Counterparty is not available. Likewise, the same comment for the FSB field ‘Counterparty Sector’. </w:t>
      </w:r>
    </w:p>
    <w:p w14:paraId="4EA5FE9A" w14:textId="77777777" w:rsidR="005169BD" w:rsidRPr="005169BD" w:rsidRDefault="005169BD" w:rsidP="005169BD">
      <w:pPr>
        <w:rPr>
          <w:rFonts w:ascii="Arial" w:hAnsi="Arial" w:cs="Arial"/>
        </w:rPr>
      </w:pPr>
      <w:r w:rsidRPr="005169BD">
        <w:rPr>
          <w:rFonts w:ascii="Arial" w:hAnsi="Arial" w:cs="Arial"/>
        </w:rPr>
        <w:t>It is noted that for securities this field must be populated for SFTR, however where no value exists, a default value is specified to be populated. This will likely result in misreporting</w:t>
      </w:r>
    </w:p>
    <w:p w14:paraId="47A299EE" w14:textId="77777777" w:rsidR="005169BD" w:rsidRDefault="005169BD" w:rsidP="00044D43">
      <w:pPr>
        <w:rPr>
          <w:rFonts w:ascii="Arial" w:hAnsi="Arial" w:cs="Arial"/>
        </w:rPr>
      </w:pPr>
    </w:p>
    <w:p w14:paraId="16757CB6" w14:textId="71F463B9" w:rsidR="00044D43" w:rsidRDefault="005169BD" w:rsidP="00044D43">
      <w:pPr>
        <w:rPr>
          <w:rFonts w:ascii="Arial" w:hAnsi="Arial" w:cs="Arial"/>
        </w:rPr>
      </w:pPr>
      <w:r w:rsidRPr="005169BD">
        <w:rPr>
          <w:rFonts w:ascii="Arial" w:hAnsi="Arial" w:cs="Arial"/>
        </w:rPr>
        <w:t xml:space="preserve">For the FSB field ‘Market Segment – Trading’ it is noted that </w:t>
      </w:r>
      <w:proofErr w:type="gramStart"/>
      <w:r w:rsidRPr="005169BD">
        <w:rPr>
          <w:rFonts w:ascii="Arial" w:hAnsi="Arial" w:cs="Arial"/>
        </w:rPr>
        <w:t>both of the suggested</w:t>
      </w:r>
      <w:proofErr w:type="gramEnd"/>
      <w:r w:rsidRPr="005169BD">
        <w:rPr>
          <w:rFonts w:ascii="Arial" w:hAnsi="Arial" w:cs="Arial"/>
        </w:rPr>
        <w:t xml:space="preserve"> fields are optional on all action types. Whilst firms clearly should be reporting these fields if possible, scope for incorrect FSB reporting is noted on this basis. </w:t>
      </w:r>
      <w:permEnd w:id="179258472"/>
      <w:r w:rsidR="00044D43">
        <w:rPr>
          <w:rFonts w:ascii="Arial" w:hAnsi="Arial" w:cs="Arial"/>
        </w:rPr>
        <w:t>&lt;ESMA_QUESTION_SFPO_25&gt;</w:t>
      </w:r>
    </w:p>
    <w:p w14:paraId="343E1D1F" w14:textId="77777777" w:rsidR="00044D43" w:rsidRDefault="00044D43" w:rsidP="00044D43">
      <w:pPr>
        <w:rPr>
          <w:rFonts w:ascii="Arial" w:hAnsi="Arial" w:cs="Arial"/>
        </w:rPr>
      </w:pPr>
    </w:p>
    <w:p w14:paraId="4DF00148" w14:textId="77777777" w:rsidR="00044D43" w:rsidRDefault="00044D43" w:rsidP="00044D43">
      <w:pPr>
        <w:pStyle w:val="Questionstyle"/>
        <w:rPr>
          <w:rFonts w:ascii="Arial" w:hAnsi="Arial" w:cs="Arial"/>
        </w:rPr>
      </w:pPr>
      <w:bookmarkStart w:id="30" w:name="_Toc45100247"/>
      <w:r>
        <w:t>Do you understand and agree to the securities lending mapping of the FSB reporting guidelines? If not please detail further.</w:t>
      </w:r>
      <w:bookmarkEnd w:id="30"/>
    </w:p>
    <w:p w14:paraId="0B6E0AE4" w14:textId="77777777" w:rsidR="00044D43" w:rsidRDefault="00044D43" w:rsidP="00044D43">
      <w:pPr>
        <w:rPr>
          <w:rFonts w:ascii="Arial" w:hAnsi="Arial" w:cs="Arial"/>
        </w:rPr>
      </w:pPr>
      <w:r>
        <w:rPr>
          <w:rFonts w:ascii="Arial" w:hAnsi="Arial" w:cs="Arial"/>
        </w:rPr>
        <w:t>&lt;ESMA_QUESTION_SFPO_26&gt;</w:t>
      </w:r>
    </w:p>
    <w:p w14:paraId="0F71FFD4" w14:textId="77777777" w:rsidR="005169BD" w:rsidRDefault="005169BD" w:rsidP="00044D43">
      <w:pPr>
        <w:rPr>
          <w:rFonts w:ascii="Arial" w:hAnsi="Arial" w:cs="Arial"/>
        </w:rPr>
      </w:pPr>
      <w:permStart w:id="1524963117" w:edGrp="everyone"/>
      <w:r w:rsidRPr="005169BD">
        <w:rPr>
          <w:rFonts w:ascii="Arial" w:hAnsi="Arial" w:cs="Arial"/>
        </w:rPr>
        <w:t xml:space="preserve">From the information available in Table 11 (and the FSB guidelines), it is not clear why Other Counterparty is considered for the FSB field ‘Sector of the Reporting Party’ however as noted under Q23, the Sector of the Other Counterparty is not available. </w:t>
      </w:r>
    </w:p>
    <w:permEnd w:id="1524963117"/>
    <w:p w14:paraId="1B7F31A9" w14:textId="50DED3D9" w:rsidR="00044D43" w:rsidRDefault="00044D43" w:rsidP="00044D43">
      <w:pPr>
        <w:rPr>
          <w:rFonts w:ascii="Arial" w:hAnsi="Arial" w:cs="Arial"/>
        </w:rPr>
      </w:pPr>
      <w:r>
        <w:rPr>
          <w:rFonts w:ascii="Arial" w:hAnsi="Arial" w:cs="Arial"/>
        </w:rPr>
        <w:t>&lt;ESMA_QUESTION_SFPO_26&gt;</w:t>
      </w:r>
    </w:p>
    <w:p w14:paraId="79A0D358" w14:textId="77777777" w:rsidR="00044D43" w:rsidRDefault="00044D43" w:rsidP="00044D43">
      <w:pPr>
        <w:rPr>
          <w:rFonts w:ascii="Arial" w:hAnsi="Arial" w:cs="Arial"/>
        </w:rPr>
      </w:pPr>
    </w:p>
    <w:p w14:paraId="29D8C497" w14:textId="77777777" w:rsidR="00044D43" w:rsidRDefault="00044D43" w:rsidP="00044D43">
      <w:pPr>
        <w:pStyle w:val="Questionstyle"/>
        <w:rPr>
          <w:rFonts w:ascii="Arial" w:hAnsi="Arial" w:cs="Arial"/>
        </w:rPr>
      </w:pPr>
      <w:bookmarkStart w:id="31" w:name="_Toc45100248"/>
      <w:r>
        <w:t>Do you understand and agree to the margin lending mapping of the FSB reporting guidelines? If not please detail further.</w:t>
      </w:r>
      <w:bookmarkEnd w:id="31"/>
    </w:p>
    <w:p w14:paraId="7BFAA4CD" w14:textId="77777777" w:rsidR="00044D43" w:rsidRDefault="00044D43" w:rsidP="00044D43">
      <w:pPr>
        <w:rPr>
          <w:rFonts w:ascii="Arial" w:hAnsi="Arial" w:cs="Arial"/>
        </w:rPr>
      </w:pPr>
      <w:r>
        <w:rPr>
          <w:rFonts w:ascii="Arial" w:hAnsi="Arial" w:cs="Arial"/>
        </w:rPr>
        <w:t>&lt;ESMA_QUESTION_SFPO_27&gt;</w:t>
      </w:r>
    </w:p>
    <w:p w14:paraId="4D97E061" w14:textId="77777777" w:rsidR="005169BD" w:rsidRPr="005169BD" w:rsidRDefault="005169BD" w:rsidP="005169BD">
      <w:pPr>
        <w:rPr>
          <w:rFonts w:ascii="Arial" w:hAnsi="Arial" w:cs="Arial"/>
        </w:rPr>
      </w:pPr>
      <w:permStart w:id="1705335089" w:edGrp="everyone"/>
      <w:r w:rsidRPr="005169BD">
        <w:rPr>
          <w:rFonts w:ascii="Arial" w:hAnsi="Arial" w:cs="Arial"/>
        </w:rPr>
        <w:t xml:space="preserve">From the information available in Table 14 (and the FSB guidelines), it is not clear why Other Counterparty is considered for the FSB field ‘Sector of the Reporting Party’ however as noted under Q23, the Sector of the Other Counterparty is not available. </w:t>
      </w:r>
    </w:p>
    <w:p w14:paraId="35208737" w14:textId="5687D788" w:rsidR="00044D43" w:rsidRDefault="005169BD" w:rsidP="00044D43">
      <w:pPr>
        <w:rPr>
          <w:rFonts w:ascii="Arial" w:hAnsi="Arial" w:cs="Arial"/>
        </w:rPr>
      </w:pPr>
      <w:r w:rsidRPr="005169BD">
        <w:rPr>
          <w:rFonts w:ascii="Arial" w:hAnsi="Arial" w:cs="Arial"/>
        </w:rPr>
        <w:lastRenderedPageBreak/>
        <w:t xml:space="preserve">It is unclear how the weighting should be applied between the Outstanding margin loan (2.69) and Short market value (2.71). Please provide further clarity. </w:t>
      </w:r>
      <w:bookmarkStart w:id="32" w:name="_GoBack"/>
      <w:bookmarkEnd w:id="32"/>
      <w:permEnd w:id="1705335089"/>
      <w:r w:rsidR="00044D43">
        <w:rPr>
          <w:rFonts w:ascii="Arial" w:hAnsi="Arial" w:cs="Arial"/>
        </w:rPr>
        <w:t>&lt;ESMA_QUESTION_SFPO_27&gt;</w:t>
      </w:r>
    </w:p>
    <w:p w14:paraId="60888218" w14:textId="77777777" w:rsidR="0010762E" w:rsidRDefault="0010762E" w:rsidP="00044D43">
      <w:pPr>
        <w:pStyle w:val="Questionstyle"/>
        <w:numPr>
          <w:ilvl w:val="0"/>
          <w:numId w:val="0"/>
        </w:numPr>
        <w:ind w:left="360"/>
      </w:pPr>
    </w:p>
    <w:sectPr w:rsidR="0010762E"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D7936" w14:textId="77777777" w:rsidR="00EB0FD8" w:rsidRDefault="00EB0FD8" w:rsidP="007E7997">
      <w:r>
        <w:separator/>
      </w:r>
    </w:p>
  </w:endnote>
  <w:endnote w:type="continuationSeparator" w:id="0">
    <w:p w14:paraId="63BE16BB" w14:textId="77777777" w:rsidR="00EB0FD8" w:rsidRDefault="00EB0FD8" w:rsidP="007E7997">
      <w:r>
        <w:continuationSeparator/>
      </w:r>
    </w:p>
  </w:endnote>
  <w:endnote w:type="continuationNotice" w:id="1">
    <w:p w14:paraId="1E665AE4" w14:textId="77777777" w:rsidR="00EB0FD8" w:rsidRDefault="00EB0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7ADD5" w14:textId="77777777" w:rsidR="004F598F" w:rsidRDefault="004F5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B0FD8" w:rsidRDefault="00EB0FD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EB0FD8" w:rsidRDefault="00EB0F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6D9C2DDE" w:rsidR="00EB0FD8" w:rsidRPr="00514DFA" w:rsidRDefault="00EB0FD8" w:rsidP="007A160F">
    <w:pPr>
      <w:pStyle w:val="Footer"/>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 xml:space="preserve">09 July </w:t>
    </w:r>
    <w:r w:rsidRPr="0010762E">
      <w:rPr>
        <w:rFonts w:asciiTheme="majorHAnsi" w:hAnsiTheme="majorHAnsi"/>
        <w:color w:val="FFFFFF" w:themeColor="background1"/>
      </w:rPr>
      <w:t>2020</w:t>
    </w:r>
    <w:r>
      <w:rPr>
        <w:rFonts w:asciiTheme="majorHAnsi" w:hAnsiTheme="majorHAnsi"/>
        <w:color w:val="FFFFFF" w:themeColor="background1"/>
      </w:rPr>
      <w:t xml:space="preserve"> | </w:t>
    </w:r>
    <w:r w:rsidR="00757694" w:rsidRPr="00757694">
      <w:rPr>
        <w:rFonts w:asciiTheme="majorHAnsi" w:hAnsiTheme="majorHAnsi"/>
        <w:color w:val="FFFFFF" w:themeColor="background1"/>
      </w:rPr>
      <w:t>ESMA74-362-718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EB0FD8" w:rsidRPr="008F1DCF" w:rsidRDefault="00EB0FD8"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B0FD8" w:rsidRDefault="00EB0FD8" w:rsidP="008F1DC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AB6EC7" w14:textId="1F85019A" w:rsidR="00EB0FD8" w:rsidRDefault="00EB0FD8"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6EA72" w14:textId="77777777" w:rsidR="00EB0FD8" w:rsidRDefault="00EB0FD8" w:rsidP="007E7997">
      <w:r>
        <w:separator/>
      </w:r>
    </w:p>
  </w:footnote>
  <w:footnote w:type="continuationSeparator" w:id="0">
    <w:p w14:paraId="54F4F3D2" w14:textId="77777777" w:rsidR="00EB0FD8" w:rsidRDefault="00EB0FD8" w:rsidP="007E7997">
      <w:r>
        <w:continuationSeparator/>
      </w:r>
    </w:p>
  </w:footnote>
  <w:footnote w:type="continuationNotice" w:id="1">
    <w:p w14:paraId="6A2AB4F7" w14:textId="77777777" w:rsidR="00EB0FD8" w:rsidRDefault="00EB0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7FFF5" w14:textId="77777777" w:rsidR="004F598F" w:rsidRDefault="004F5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B0FD8" w:rsidRDefault="00EB0FD8">
    <w:pPr>
      <w:pStyle w:val="Header"/>
    </w:pPr>
  </w:p>
  <w:p w14:paraId="59FA3C9D" w14:textId="77777777" w:rsidR="00EB0FD8" w:rsidRDefault="00EB0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B0FD8" w:rsidRDefault="00EB0FD8">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6BE1" w14:textId="77777777" w:rsidR="00EB0FD8" w:rsidRPr="003669AC" w:rsidRDefault="00EB0FD8" w:rsidP="00EB0FD8">
    <w:pPr>
      <w:pStyle w:val="Header"/>
      <w:ind w:left="708"/>
      <w:jc w:val="right"/>
    </w:pPr>
  </w:p>
  <w:p w14:paraId="4E70851B" w14:textId="77777777" w:rsidR="00EB0FD8" w:rsidRPr="003669AC" w:rsidRDefault="00EB0FD8" w:rsidP="00EB0FD8">
    <w:pPr>
      <w:pStyle w:val="Header"/>
      <w:ind w:left="708"/>
      <w:jc w:val="right"/>
    </w:pPr>
  </w:p>
  <w:p w14:paraId="4DAF4C00" w14:textId="68E09EF4" w:rsidR="00EB0FD8" w:rsidRPr="008F1DCF" w:rsidRDefault="00EB0FD8" w:rsidP="00EB0FD8">
    <w:pPr>
      <w:pStyle w:val="Header"/>
      <w:ind w:left="6663"/>
      <w:rPr>
        <w:rFonts w:asciiTheme="majorHAnsi" w:hAnsiTheme="majorHAnsi" w:cstheme="majorHAnsi"/>
        <w:color w:val="2F5496" w:themeColor="accent5" w:themeShade="BF"/>
        <w:sz w:val="20"/>
      </w:rPr>
    </w:pP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EB0FD8" w:rsidRPr="008F1DCF" w14:paraId="3C1246A2" w14:textId="77777777" w:rsidTr="00EB0FD8">
      <w:trPr>
        <w:trHeight w:hRule="exact" w:val="589"/>
      </w:trPr>
      <w:tc>
        <w:tcPr>
          <w:tcW w:w="2377" w:type="dxa"/>
        </w:tcPr>
        <w:p w14:paraId="59038B1E" w14:textId="2067C0D1" w:rsidR="00EB0FD8" w:rsidRPr="008F1DCF" w:rsidRDefault="00EB0FD8" w:rsidP="00EB0FD8">
          <w:pPr>
            <w:pStyle w:val="02Date"/>
            <w:rPr>
              <w:rFonts w:asciiTheme="majorHAnsi" w:hAnsiTheme="majorHAnsi" w:cstheme="majorHAnsi"/>
            </w:rPr>
          </w:pPr>
          <w:r>
            <w:rPr>
              <w:rFonts w:asciiTheme="majorHAnsi" w:hAnsiTheme="majorHAnsi" w:cstheme="majorHAnsi"/>
            </w:rPr>
            <w:t>9 July  2020</w:t>
          </w:r>
        </w:p>
        <w:p w14:paraId="77FCE60C" w14:textId="578A3A85" w:rsidR="00EB0FD8" w:rsidRPr="008F1DCF" w:rsidRDefault="00757694" w:rsidP="00EB0FD8">
          <w:pPr>
            <w:pStyle w:val="02Date"/>
            <w:rPr>
              <w:rFonts w:asciiTheme="majorHAnsi" w:hAnsiTheme="majorHAnsi" w:cstheme="majorHAnsi"/>
            </w:rPr>
          </w:pPr>
          <w:r w:rsidRPr="00757694">
            <w:rPr>
              <w:rFonts w:asciiTheme="majorHAnsi" w:hAnsiTheme="majorHAnsi" w:cstheme="majorHAnsi"/>
            </w:rPr>
            <w:t>ESMA74-362-718</w:t>
          </w:r>
        </w:p>
      </w:tc>
    </w:tr>
  </w:tbl>
  <w:p w14:paraId="242C7A76" w14:textId="77777777" w:rsidR="00EB0FD8" w:rsidRDefault="00EB0FD8" w:rsidP="00EB0FD8">
    <w:pPr>
      <w:pStyle w:val="Header"/>
      <w:ind w:left="6663"/>
      <w:rPr>
        <w:color w:val="FF0000"/>
        <w:sz w:val="20"/>
      </w:rPr>
    </w:pPr>
  </w:p>
  <w:p w14:paraId="5962D0E4" w14:textId="77777777" w:rsidR="00EB0FD8" w:rsidRDefault="00EB0FD8">
    <w:pPr>
      <w:pStyle w:val="Header"/>
    </w:pPr>
    <w:r>
      <w:rPr>
        <w:noProof/>
        <w:lang w:val="en-US"/>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7A22" w14:textId="77777777" w:rsidR="00EB0FD8" w:rsidRDefault="00EB0FD8">
    <w:pPr>
      <w:pStyle w:val="Header"/>
    </w:pPr>
  </w:p>
  <w:p w14:paraId="462F1DD4" w14:textId="77777777" w:rsidR="00EB0FD8" w:rsidRDefault="00EB0FD8">
    <w:pPr>
      <w:pStyle w:val="Header"/>
    </w:pPr>
  </w:p>
  <w:p w14:paraId="18981FB1" w14:textId="77777777" w:rsidR="00EB0FD8" w:rsidRDefault="00EB0FD8">
    <w:pPr>
      <w:pStyle w:val="Header"/>
    </w:pPr>
    <w:r>
      <w:rPr>
        <w:noProof/>
        <w:lang w:val="en-US"/>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B0FD8" w:rsidRDefault="00EB0FD8"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35ED0"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B0FD8" w:rsidRPr="00D13661" w:rsidRDefault="00EB0FD8"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B0FD8" w:rsidRPr="00C3170E" w:rsidRDefault="00EB0FD8" w:rsidP="00B50534">
    <w:pPr>
      <w:pStyle w:val="Header"/>
      <w:jc w:val="right"/>
      <w:rPr>
        <w:color w:val="2F5496" w:themeColor="accent5" w:themeShade="BF"/>
        <w:sz w:val="20"/>
      </w:rPr>
    </w:pPr>
  </w:p>
  <w:p w14:paraId="5EAB6EC6" w14:textId="77777777" w:rsidR="00EB0FD8" w:rsidRPr="00B50534" w:rsidRDefault="00EB0FD8"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F5C29CB4"/>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D31676"/>
    <w:multiLevelType w:val="hybridMultilevel"/>
    <w:tmpl w:val="A83A417A"/>
    <w:lvl w:ilvl="0" w:tplc="6644AA00">
      <w:start w:val="1"/>
      <w:numFmt w:val="decimal"/>
      <w:pStyle w:val="Questionstyle"/>
      <w:lvlText w:val="Q%1:"/>
      <w:lvlJc w:val="left"/>
      <w:pPr>
        <w:ind w:left="360" w:hanging="360"/>
      </w:pPr>
      <w:rPr>
        <w:rFonts w:asciiTheme="minorHAnsi" w:hAnsiTheme="minorHAnsi" w:cstheme="minorHAnsi" w:hint="default"/>
        <w:b/>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0"/>
  </w:num>
  <w:num w:numId="4">
    <w:abstractNumId w:val="1"/>
  </w:num>
  <w:num w:numId="5">
    <w:abstractNumId w:val="8"/>
  </w:num>
  <w:num w:numId="6">
    <w:abstractNumId w:val="12"/>
  </w:num>
  <w:num w:numId="7">
    <w:abstractNumId w:val="7"/>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 w:numId="2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fkGKm/DlVnts5Pg7dC2R7JGnmNkiDsNtz94oPUqgbTgTINlmPKFXkSccbUMeC/h+fH2nT9INJR/yPv8pkH20jg==" w:salt="NvsJHccR8e4bYKF//YkaZA=="/>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D43"/>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7B1"/>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0762E"/>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3743"/>
    <w:rsid w:val="001862A5"/>
    <w:rsid w:val="00186A70"/>
    <w:rsid w:val="00191035"/>
    <w:rsid w:val="001918E5"/>
    <w:rsid w:val="00191AE9"/>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25A"/>
    <w:rsid w:val="001E5E30"/>
    <w:rsid w:val="001E6559"/>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271C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64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118A"/>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26F4"/>
    <w:rsid w:val="003C481D"/>
    <w:rsid w:val="003C4EB5"/>
    <w:rsid w:val="003D2CED"/>
    <w:rsid w:val="003D344A"/>
    <w:rsid w:val="003D3BB8"/>
    <w:rsid w:val="003D7C07"/>
    <w:rsid w:val="003E13FD"/>
    <w:rsid w:val="003E1C24"/>
    <w:rsid w:val="003E61FC"/>
    <w:rsid w:val="003E77BC"/>
    <w:rsid w:val="003F0EDF"/>
    <w:rsid w:val="003F20C7"/>
    <w:rsid w:val="003F39B1"/>
    <w:rsid w:val="004000C6"/>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37DFC"/>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490D"/>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4F598F"/>
    <w:rsid w:val="005028B9"/>
    <w:rsid w:val="00505E17"/>
    <w:rsid w:val="00511A59"/>
    <w:rsid w:val="00511C3B"/>
    <w:rsid w:val="00514440"/>
    <w:rsid w:val="00514DFA"/>
    <w:rsid w:val="005166C3"/>
    <w:rsid w:val="005169BD"/>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071A2"/>
    <w:rsid w:val="00613BF6"/>
    <w:rsid w:val="00616D27"/>
    <w:rsid w:val="006234FE"/>
    <w:rsid w:val="00623840"/>
    <w:rsid w:val="006255EC"/>
    <w:rsid w:val="00625A25"/>
    <w:rsid w:val="0062736A"/>
    <w:rsid w:val="00634700"/>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57694"/>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5E5D"/>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4AEE"/>
    <w:rsid w:val="008D5C28"/>
    <w:rsid w:val="008E2D26"/>
    <w:rsid w:val="008E4076"/>
    <w:rsid w:val="008E7DBA"/>
    <w:rsid w:val="008F1DCF"/>
    <w:rsid w:val="008F3386"/>
    <w:rsid w:val="008F3AD9"/>
    <w:rsid w:val="008F4642"/>
    <w:rsid w:val="008F4E00"/>
    <w:rsid w:val="008F761D"/>
    <w:rsid w:val="00900D44"/>
    <w:rsid w:val="00902520"/>
    <w:rsid w:val="00906DC4"/>
    <w:rsid w:val="0091457F"/>
    <w:rsid w:val="0091507E"/>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6424"/>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C13"/>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0BAB"/>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31B"/>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D12"/>
    <w:rsid w:val="00DB4F4B"/>
    <w:rsid w:val="00DC070F"/>
    <w:rsid w:val="00DC3858"/>
    <w:rsid w:val="00DC3A57"/>
    <w:rsid w:val="00DC5798"/>
    <w:rsid w:val="00DC7A95"/>
    <w:rsid w:val="00DD33E9"/>
    <w:rsid w:val="00DD55C2"/>
    <w:rsid w:val="00DD759E"/>
    <w:rsid w:val="00DE314E"/>
    <w:rsid w:val="00DE4CFB"/>
    <w:rsid w:val="00DF045B"/>
    <w:rsid w:val="00DF1ED8"/>
    <w:rsid w:val="00DF3785"/>
    <w:rsid w:val="00DF3D27"/>
    <w:rsid w:val="00DF6074"/>
    <w:rsid w:val="00E02239"/>
    <w:rsid w:val="00E047EC"/>
    <w:rsid w:val="00E07D42"/>
    <w:rsid w:val="00E11CFE"/>
    <w:rsid w:val="00E163E9"/>
    <w:rsid w:val="00E16F45"/>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0FD8"/>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044D43"/>
    <w:pPr>
      <w:numPr>
        <w:numId w:val="20"/>
      </w:numPr>
      <w:spacing w:line="276" w:lineRule="auto"/>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044D43"/>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739209845">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956674436">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ESMA74-362-718</_dlc_DocId>
    <TaxCatchAll xmlns="20fbe147-bbda-4e53-b6b1-7e8bbff3fe19">
      <Value>569</Value>
      <Value>302</Value>
      <Value>14</Value>
    </TaxCatchAll>
    <_dlc_DocIdUrl xmlns="20fbe147-bbda-4e53-b6b1-7e8bbff3fe19">
      <Url>https://sherpa.esma.europa.eu/sites/MKT/MDP/_layouts/15/DocIdRedir.aspx?ID=ESMA74-362-718</Url>
      <Description>ESMA74-362-718</Description>
    </_dlc_DocIdUrl>
    <Year xmlns="20fbe147-bbda-4e53-b6b1-7e8bbff3fe19">2020</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SFT reporting</TermName>
          <TermId xmlns="http://schemas.microsoft.com/office/infopath/2007/PartnerControls">e0d4b112-1ee5-4c52-a87c-fddd961d9836</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adfed02cb80f4453940112edc610ae0b xmlns="20fbe147-bbda-4e53-b6b1-7e8bbff3fe19">
      <Terms xmlns="http://schemas.microsoft.com/office/infopath/2007/PartnerControls"/>
    </adfed02cb80f4453940112edc610ae0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DD693DA3-895E-476F-BC40-C78AAF5E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8337F5EE-E87B-49CE-96B5-F95CE63A0DF2}">
  <ds:schemaRefs>
    <ds:schemaRef ds:uri="20fbe147-bbda-4e53-b6b1-7e8bbff3fe19"/>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sharepoint/v4"/>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4A63A87-6A17-4D73-93F7-7ECF4166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18</TotalTime>
  <Pages>18</Pages>
  <Words>6384</Words>
  <Characters>36392</Characters>
  <Application>Microsoft Office Word</Application>
  <DocSecurity>8</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Ana Uria-Weis</cp:lastModifiedBy>
  <cp:revision>3</cp:revision>
  <cp:lastPrinted>2017-07-24T14:47:00Z</cp:lastPrinted>
  <dcterms:created xsi:type="dcterms:W3CDTF">2020-08-25T10:38:00Z</dcterms:created>
  <dcterms:modified xsi:type="dcterms:W3CDTF">2020-09-15T14:59:00Z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4744ea77-58d9-4ccf-bfe0-08b22a985bfd</vt:lpwstr>
  </property>
  <property fmtid="{D5CDD505-2E9C-101B-9397-08002B2CF9AE}" pid="6" name="DocumentType">
    <vt:lpwstr>302;#Feedback Statement (includes responses)|00bc750a-87e5-4a0d-9385-52a7c69693e1</vt:lpwstr>
  </property>
  <property fmtid="{D5CDD505-2E9C-101B-9397-08002B2CF9AE}" pid="7" name="Topic">
    <vt:lpwstr>569;#SFT reporting|e0d4b112-1ee5-4c52-a87c-fddd961d9836</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572;#MiFID reports - MiFIR 19(1) - Systematic internalisers|0ca04240-fd38-4a54-8e30-5845a9089599</vt:lpwstr>
  </property>
  <property fmtid="{D5CDD505-2E9C-101B-9397-08002B2CF9AE}" pid="18" name="MultiTopic">
    <vt:lpwstr/>
  </property>
  <property fmtid="{D5CDD505-2E9C-101B-9397-08002B2CF9AE}" pid="19" name="MSIP_Label_e823a16b-a30b-4b34-8886-728ecf81b33e_Enabled">
    <vt:lpwstr>True</vt:lpwstr>
  </property>
  <property fmtid="{D5CDD505-2E9C-101B-9397-08002B2CF9AE}" pid="20" name="MSIP_Label_e823a16b-a30b-4b34-8886-728ecf81b33e_SiteId">
    <vt:lpwstr>0465519d-7f55-4d47-998b-55e2a86f04a8</vt:lpwstr>
  </property>
  <property fmtid="{D5CDD505-2E9C-101B-9397-08002B2CF9AE}" pid="21" name="MSIP_Label_e823a16b-a30b-4b34-8886-728ecf81b33e_Owner">
    <vt:lpwstr>auriaweis@dtcc.com</vt:lpwstr>
  </property>
  <property fmtid="{D5CDD505-2E9C-101B-9397-08002B2CF9AE}" pid="22" name="MSIP_Label_e823a16b-a30b-4b34-8886-728ecf81b33e_SetDate">
    <vt:lpwstr>2020-08-25T10:37:53.2886010Z</vt:lpwstr>
  </property>
  <property fmtid="{D5CDD505-2E9C-101B-9397-08002B2CF9AE}" pid="23" name="MSIP_Label_e823a16b-a30b-4b34-8886-728ecf81b33e_Name">
    <vt:lpwstr>DTCC Public (White)</vt:lpwstr>
  </property>
  <property fmtid="{D5CDD505-2E9C-101B-9397-08002B2CF9AE}" pid="24" name="MSIP_Label_e823a16b-a30b-4b34-8886-728ecf81b33e_Application">
    <vt:lpwstr>Microsoft Azure Information Protection</vt:lpwstr>
  </property>
  <property fmtid="{D5CDD505-2E9C-101B-9397-08002B2CF9AE}" pid="25" name="MSIP_Label_e823a16b-a30b-4b34-8886-728ecf81b33e_ActionId">
    <vt:lpwstr>8bfd1a30-ec7c-4bdc-b63c-88f81ca91995</vt:lpwstr>
  </property>
  <property fmtid="{D5CDD505-2E9C-101B-9397-08002B2CF9AE}" pid="26" name="MSIP_Label_e823a16b-a30b-4b34-8886-728ecf81b33e_Extended_MSFT_Method">
    <vt:lpwstr>Manual</vt:lpwstr>
  </property>
  <property fmtid="{D5CDD505-2E9C-101B-9397-08002B2CF9AE}" pid="27" name="MSIP_Label_fb0fcc3b-45fa-4aa7-80c5-b223a3f136ae_Enabled">
    <vt:lpwstr>True</vt:lpwstr>
  </property>
  <property fmtid="{D5CDD505-2E9C-101B-9397-08002B2CF9AE}" pid="28" name="MSIP_Label_fb0fcc3b-45fa-4aa7-80c5-b223a3f136ae_SiteId">
    <vt:lpwstr>0465519d-7f55-4d47-998b-55e2a86f04a8</vt:lpwstr>
  </property>
  <property fmtid="{D5CDD505-2E9C-101B-9397-08002B2CF9AE}" pid="29" name="MSIP_Label_fb0fcc3b-45fa-4aa7-80c5-b223a3f136ae_Owner">
    <vt:lpwstr>auriaweis@dtcc.com</vt:lpwstr>
  </property>
  <property fmtid="{D5CDD505-2E9C-101B-9397-08002B2CF9AE}" pid="30" name="MSIP_Label_fb0fcc3b-45fa-4aa7-80c5-b223a3f136ae_SetDate">
    <vt:lpwstr>2020-08-25T10:37:53.2886010Z</vt:lpwstr>
  </property>
  <property fmtid="{D5CDD505-2E9C-101B-9397-08002B2CF9AE}" pid="31" name="MSIP_Label_fb0fcc3b-45fa-4aa7-80c5-b223a3f136ae_Name">
    <vt:lpwstr>No Marking</vt:lpwstr>
  </property>
  <property fmtid="{D5CDD505-2E9C-101B-9397-08002B2CF9AE}" pid="32" name="MSIP_Label_fb0fcc3b-45fa-4aa7-80c5-b223a3f136ae_Application">
    <vt:lpwstr>Microsoft Azure Information Protection</vt:lpwstr>
  </property>
  <property fmtid="{D5CDD505-2E9C-101B-9397-08002B2CF9AE}" pid="33" name="MSIP_Label_fb0fcc3b-45fa-4aa7-80c5-b223a3f136ae_ActionId">
    <vt:lpwstr>8bfd1a30-ec7c-4bdc-b63c-88f81ca91995</vt:lpwstr>
  </property>
  <property fmtid="{D5CDD505-2E9C-101B-9397-08002B2CF9AE}" pid="34" name="MSIP_Label_fb0fcc3b-45fa-4aa7-80c5-b223a3f136ae_Parent">
    <vt:lpwstr>e823a16b-a30b-4b34-8886-728ecf81b33e</vt:lpwstr>
  </property>
  <property fmtid="{D5CDD505-2E9C-101B-9397-08002B2CF9AE}" pid="35" name="MSIP_Label_fb0fcc3b-45fa-4aa7-80c5-b223a3f136ae_Extended_MSFT_Method">
    <vt:lpwstr>Manual</vt:lpwstr>
  </property>
  <property fmtid="{D5CDD505-2E9C-101B-9397-08002B2CF9AE}" pid="36" name="Sensitivity">
    <vt:lpwstr>DTCC Public (White) No Marking</vt:lpwstr>
  </property>
</Properties>
</file>