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berschrift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bookmarkStart w:id="0" w:name="_GoBack"/>
          <w:r>
            <w:rPr>
              <w:rFonts w:eastAsiaTheme="minorEastAsia" w:cstheme="minorBidi"/>
              <w:szCs w:val="20"/>
              <w:lang w:eastAsia="en-US"/>
            </w:rPr>
            <w:t>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w:t>
          </w:r>
          <w:bookmarkEnd w:id="0"/>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1"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1"/>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2"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4B9FD663" w:rsidR="00C85C8B" w:rsidRPr="00C85C8B" w:rsidRDefault="002C160C" w:rsidP="002C160C">
                <w:pPr>
                  <w:rPr>
                    <w:rFonts w:ascii="Arial" w:hAnsi="Arial" w:cs="Arial"/>
                    <w:color w:val="808080"/>
                    <w:sz w:val="20"/>
                    <w:lang w:eastAsia="de-DE"/>
                  </w:rPr>
                </w:pPr>
                <w:r>
                  <w:rPr>
                    <w:rFonts w:ascii="Arial" w:hAnsi="Arial" w:cs="Arial"/>
                    <w:color w:val="808080"/>
                    <w:sz w:val="20"/>
                    <w:lang w:eastAsia="de-DE"/>
                  </w:rPr>
                  <w:t>ZIA German Property Federation</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1567F500" w:rsidR="00C85C8B" w:rsidRPr="00C85C8B" w:rsidRDefault="003C0B4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C160C">
                  <w:rPr>
                    <w:rFonts w:ascii="Arial" w:hAnsi="Arial" w:cs="Arial"/>
                    <w:sz w:val="20"/>
                    <w:lang w:eastAsia="de-DE"/>
                  </w:rPr>
                  <w:t>Other Financial service providers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206015B3" w:rsidR="00C85C8B" w:rsidRPr="00C85C8B" w:rsidRDefault="002C160C"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03B3E644" w:rsidR="00C85C8B" w:rsidRPr="00C85C8B" w:rsidRDefault="002C160C" w:rsidP="00C85C8B">
                <w:pPr>
                  <w:rPr>
                    <w:rFonts w:ascii="Arial" w:hAnsi="Arial" w:cs="Arial"/>
                    <w:sz w:val="20"/>
                    <w:lang w:eastAsia="de-DE"/>
                  </w:rPr>
                </w:pPr>
                <w:r>
                  <w:rPr>
                    <w:rFonts w:ascii="Arial" w:hAnsi="Arial" w:cs="Arial"/>
                    <w:sz w:val="20"/>
                    <w:lang w:eastAsia="de-DE"/>
                  </w:rPr>
                  <w:t>Germany</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6B9418CC" w14:textId="4FE42BF8" w:rsidR="002C160C" w:rsidRPr="002C160C" w:rsidRDefault="002C160C" w:rsidP="002C160C">
      <w:pPr>
        <w:spacing w:after="250" w:line="276" w:lineRule="auto"/>
        <w:jc w:val="both"/>
        <w:rPr>
          <w:rFonts w:ascii="Arial" w:eastAsiaTheme="minorEastAsia" w:hAnsi="Arial" w:cs="Arial"/>
          <w:sz w:val="22"/>
          <w:szCs w:val="20"/>
          <w:lang w:eastAsia="en-US"/>
        </w:rPr>
      </w:pPr>
      <w:permStart w:id="1853699001" w:edGrp="everyone"/>
      <w:r>
        <w:rPr>
          <w:rFonts w:ascii="Arial" w:eastAsiaTheme="minorEastAsia" w:hAnsi="Arial" w:cs="Arial"/>
          <w:sz w:val="22"/>
          <w:szCs w:val="20"/>
          <w:lang w:eastAsia="en-US"/>
        </w:rPr>
        <w:t>Dear Sir/Madam,</w:t>
      </w:r>
    </w:p>
    <w:p w14:paraId="25E298E2" w14:textId="7A6EDDCF" w:rsidR="002C160C" w:rsidRPr="002C160C" w:rsidRDefault="002C160C" w:rsidP="002C160C">
      <w:pPr>
        <w:spacing w:after="250" w:line="276" w:lineRule="auto"/>
        <w:jc w:val="both"/>
        <w:rPr>
          <w:rFonts w:ascii="Arial" w:eastAsiaTheme="minorEastAsia" w:hAnsi="Arial" w:cs="Arial"/>
          <w:sz w:val="22"/>
          <w:szCs w:val="20"/>
          <w:lang w:eastAsia="en-US"/>
        </w:rPr>
      </w:pPr>
      <w:r w:rsidRPr="002C160C">
        <w:rPr>
          <w:rFonts w:ascii="Arial" w:eastAsiaTheme="minorEastAsia" w:hAnsi="Arial" w:cs="Arial"/>
          <w:sz w:val="22"/>
          <w:szCs w:val="20"/>
          <w:lang w:eastAsia="en-US"/>
        </w:rPr>
        <w:t xml:space="preserve">the German Property Federation (ZIA) is the leading association of the real </w:t>
      </w:r>
      <w:proofErr w:type="spellStart"/>
      <w:r w:rsidRPr="002C160C">
        <w:rPr>
          <w:rFonts w:ascii="Arial" w:eastAsiaTheme="minorEastAsia" w:hAnsi="Arial" w:cs="Arial"/>
          <w:sz w:val="22"/>
          <w:szCs w:val="20"/>
          <w:lang w:eastAsia="en-US"/>
        </w:rPr>
        <w:t>es-tate</w:t>
      </w:r>
      <w:proofErr w:type="spellEnd"/>
      <w:r w:rsidRPr="002C160C">
        <w:rPr>
          <w:rFonts w:ascii="Arial" w:eastAsiaTheme="minorEastAsia" w:hAnsi="Arial" w:cs="Arial"/>
          <w:sz w:val="22"/>
          <w:szCs w:val="20"/>
          <w:lang w:eastAsia="en-US"/>
        </w:rPr>
        <w:t xml:space="preserve"> industry in Germany. Through our members we represent over 37.000 companies along the entire value chain. A significant part of our members are classified as AIFMs and therefore the guidelines are of g</w:t>
      </w:r>
      <w:r>
        <w:rPr>
          <w:rFonts w:ascii="Arial" w:eastAsiaTheme="minorEastAsia" w:hAnsi="Arial" w:cs="Arial"/>
          <w:sz w:val="22"/>
          <w:szCs w:val="20"/>
          <w:lang w:eastAsia="en-US"/>
        </w:rPr>
        <w:t>reat relevance for our members.</w:t>
      </w:r>
    </w:p>
    <w:p w14:paraId="061803AC" w14:textId="77777777" w:rsidR="002C160C" w:rsidRDefault="002C160C" w:rsidP="00C85C8B">
      <w:pPr>
        <w:spacing w:after="250" w:line="276" w:lineRule="auto"/>
        <w:jc w:val="both"/>
        <w:rPr>
          <w:rFonts w:ascii="Arial" w:eastAsiaTheme="minorEastAsia" w:hAnsi="Arial" w:cs="Arial"/>
          <w:sz w:val="22"/>
          <w:szCs w:val="20"/>
          <w:lang w:eastAsia="en-US"/>
        </w:rPr>
      </w:pPr>
      <w:r w:rsidRPr="002C160C">
        <w:rPr>
          <w:rFonts w:ascii="Arial" w:eastAsiaTheme="minorEastAsia" w:hAnsi="Arial" w:cs="Arial"/>
          <w:sz w:val="22"/>
          <w:szCs w:val="20"/>
          <w:lang w:eastAsia="en-US"/>
        </w:rPr>
        <w:t>We thank you for the opportunity of commenting the draft and answering some of your questions.</w:t>
      </w:r>
    </w:p>
    <w:permEnd w:id="1853699001"/>
    <w:p w14:paraId="35D0D096" w14:textId="69A1AD68"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8AAEAC4" w14:textId="71C5BC48" w:rsidR="002C160C" w:rsidRPr="002C160C" w:rsidRDefault="002C160C" w:rsidP="002C160C">
      <w:pPr>
        <w:rPr>
          <w:rFonts w:ascii="Arial" w:hAnsi="Arial" w:cs="Arial"/>
        </w:rPr>
      </w:pPr>
      <w:permStart w:id="870130210" w:edGrp="everyone"/>
      <w:r w:rsidRPr="002C160C">
        <w:rPr>
          <w:rFonts w:ascii="Arial" w:hAnsi="Arial" w:cs="Arial"/>
        </w:rPr>
        <w:t xml:space="preserve">While we support ESMA’s initiative to establish clear rules for governance, oversight and documentation when outsourcing to cloud service providers, we strongly recommend to emphasize the principle </w:t>
      </w:r>
      <w:r>
        <w:rPr>
          <w:rFonts w:ascii="Arial" w:hAnsi="Arial" w:cs="Arial"/>
        </w:rPr>
        <w:t>of proportionality in the guide</w:t>
      </w:r>
      <w:r w:rsidRPr="002C160C">
        <w:rPr>
          <w:rFonts w:ascii="Arial" w:hAnsi="Arial" w:cs="Arial"/>
        </w:rPr>
        <w:t xml:space="preserve">lines. </w:t>
      </w:r>
      <w:proofErr w:type="spellStart"/>
      <w:r w:rsidRPr="002C160C">
        <w:rPr>
          <w:rFonts w:ascii="Arial" w:hAnsi="Arial" w:cs="Arial"/>
        </w:rPr>
        <w:lastRenderedPageBreak/>
        <w:t>Proportionality</w:t>
      </w:r>
      <w:proofErr w:type="spellEnd"/>
      <w:r w:rsidRPr="002C160C">
        <w:rPr>
          <w:rFonts w:ascii="Arial" w:hAnsi="Arial" w:cs="Arial"/>
        </w:rPr>
        <w:t xml:space="preserve"> is only mentioned in no. 26c when referring to the size and complexity of firms. </w:t>
      </w:r>
    </w:p>
    <w:p w14:paraId="7FFD4CB9" w14:textId="77777777" w:rsidR="002C160C" w:rsidRPr="002C160C" w:rsidRDefault="002C160C" w:rsidP="002C160C">
      <w:pPr>
        <w:rPr>
          <w:rFonts w:ascii="Arial" w:hAnsi="Arial" w:cs="Arial"/>
        </w:rPr>
      </w:pPr>
    </w:p>
    <w:p w14:paraId="4462A712" w14:textId="77777777" w:rsidR="002C160C" w:rsidRDefault="002C160C" w:rsidP="00E33392">
      <w:pPr>
        <w:rPr>
          <w:rFonts w:ascii="Arial" w:hAnsi="Arial" w:cs="Arial"/>
        </w:rPr>
      </w:pPr>
      <w:r w:rsidRPr="002C160C">
        <w:rPr>
          <w:rFonts w:ascii="Arial" w:hAnsi="Arial" w:cs="Arial"/>
        </w:rPr>
        <w:t>In our opinion the principle of proportionality should be underlined as a crucial element for using the guidelines.</w:t>
      </w:r>
    </w:p>
    <w:permEnd w:id="870130210"/>
    <w:p w14:paraId="6004914E" w14:textId="6D5A830E"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41A8E824" w14:textId="49C9E636" w:rsidR="00E33392" w:rsidRDefault="002C160C" w:rsidP="00E33392">
      <w:pPr>
        <w:rPr>
          <w:rFonts w:ascii="Arial" w:hAnsi="Arial" w:cs="Arial"/>
        </w:rPr>
      </w:pPr>
      <w:permStart w:id="1685610127" w:edGrp="everyone"/>
      <w:r w:rsidRPr="002C160C">
        <w:rPr>
          <w:rFonts w:ascii="Arial" w:hAnsi="Arial" w:cs="Arial"/>
        </w:rPr>
        <w:t>We only partially agree with the pre-outsourci</w:t>
      </w:r>
      <w:r>
        <w:rPr>
          <w:rFonts w:ascii="Arial" w:hAnsi="Arial" w:cs="Arial"/>
        </w:rPr>
        <w:t>ng guideline. Especially regard</w:t>
      </w:r>
      <w:r w:rsidRPr="002C160C">
        <w:rPr>
          <w:rFonts w:ascii="Arial" w:hAnsi="Arial" w:cs="Arial"/>
        </w:rPr>
        <w:t xml:space="preserve">ing no. 33a we consider this requirement unnecessary as long as the client can be sure that EU law applies, that the data </w:t>
      </w:r>
      <w:r>
        <w:rPr>
          <w:rFonts w:ascii="Arial" w:hAnsi="Arial" w:cs="Arial"/>
        </w:rPr>
        <w:t>is protected and that he can en</w:t>
      </w:r>
      <w:r w:rsidRPr="002C160C">
        <w:rPr>
          <w:rFonts w:ascii="Arial" w:hAnsi="Arial" w:cs="Arial"/>
        </w:rPr>
        <w:t>force his claims against the service provider i</w:t>
      </w:r>
      <w:r>
        <w:rPr>
          <w:rFonts w:ascii="Arial" w:hAnsi="Arial" w:cs="Arial"/>
        </w:rPr>
        <w:t>n accordance with present juris</w:t>
      </w:r>
      <w:r w:rsidRPr="002C160C">
        <w:rPr>
          <w:rFonts w:ascii="Arial" w:hAnsi="Arial" w:cs="Arial"/>
        </w:rPr>
        <w:t xml:space="preserve">diction.  </w:t>
      </w:r>
      <w:permEnd w:id="1685610127"/>
      <w:r w:rsidR="00E33392">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77777777" w:rsidR="00E33392" w:rsidRDefault="00E33392" w:rsidP="00E33392">
      <w:pPr>
        <w:rPr>
          <w:rFonts w:ascii="Arial" w:hAnsi="Arial" w:cs="Arial"/>
        </w:rPr>
      </w:pPr>
      <w:permStart w:id="792990084" w:edGrp="everyone"/>
      <w:r>
        <w:rPr>
          <w:rFonts w:ascii="Arial" w:hAnsi="Arial" w:cs="Arial"/>
        </w:rPr>
        <w:t>TYPE YOUR TEXT HERE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6AA596F5" w14:textId="7192AD83" w:rsidR="002C160C" w:rsidRPr="002C160C" w:rsidRDefault="002C160C" w:rsidP="002C160C">
      <w:pPr>
        <w:rPr>
          <w:rFonts w:ascii="Arial" w:hAnsi="Arial" w:cs="Arial"/>
        </w:rPr>
      </w:pPr>
      <w:permStart w:id="1998543046" w:edGrp="everyone"/>
      <w:r w:rsidRPr="002C160C">
        <w:rPr>
          <w:rFonts w:ascii="Arial" w:hAnsi="Arial" w:cs="Arial"/>
        </w:rPr>
        <w:t>The requirements for the exit strategy should be proportionate and take into account the reliability (availability</w:t>
      </w:r>
      <w:r>
        <w:rPr>
          <w:rFonts w:ascii="Arial" w:hAnsi="Arial" w:cs="Arial"/>
        </w:rPr>
        <w:t>,</w:t>
      </w:r>
      <w:r w:rsidRPr="002C160C">
        <w:rPr>
          <w:rFonts w:ascii="Arial" w:hAnsi="Arial" w:cs="Arial"/>
        </w:rPr>
        <w:t xml:space="preserve"> commitments, creditworthiness) of the CSP. </w:t>
      </w:r>
    </w:p>
    <w:p w14:paraId="6D9D1669" w14:textId="77777777" w:rsidR="002C160C" w:rsidRPr="002C160C" w:rsidRDefault="002C160C" w:rsidP="002C160C">
      <w:pPr>
        <w:rPr>
          <w:rFonts w:ascii="Arial" w:hAnsi="Arial" w:cs="Arial"/>
        </w:rPr>
      </w:pPr>
    </w:p>
    <w:p w14:paraId="38FC8944" w14:textId="77777777" w:rsidR="002C160C" w:rsidRDefault="002C160C" w:rsidP="00E33392">
      <w:pPr>
        <w:rPr>
          <w:rFonts w:ascii="Arial" w:hAnsi="Arial" w:cs="Arial"/>
        </w:rPr>
      </w:pPr>
      <w:r w:rsidRPr="002C160C">
        <w:rPr>
          <w:rFonts w:ascii="Arial" w:hAnsi="Arial" w:cs="Arial"/>
        </w:rPr>
        <w:t>In particular, no. 44a and 44b should be formulated in such a way that there is no de-facto obligation to permanently maintain an alternative system and that these requirements do not automatically lead to an economic inefficiency of the cloud solutions.</w:t>
      </w:r>
    </w:p>
    <w:permEnd w:id="1998543046"/>
    <w:p w14:paraId="425323A3" w14:textId="6841A24E"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77777777" w:rsidR="00E33392" w:rsidRDefault="00E33392" w:rsidP="00E33392">
      <w:pPr>
        <w:rPr>
          <w:rFonts w:ascii="Arial" w:hAnsi="Arial" w:cs="Arial"/>
        </w:rPr>
      </w:pPr>
      <w:permStart w:id="1893742938" w:edGrp="everyone"/>
      <w:r>
        <w:rPr>
          <w:rFonts w:ascii="Arial" w:hAnsi="Arial" w:cs="Arial"/>
        </w:rPr>
        <w:t>TYPE YOUR TEXT HERE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52C04D91" w14:textId="77777777" w:rsidR="002C160C" w:rsidRPr="002C160C" w:rsidRDefault="002C160C" w:rsidP="002C160C">
      <w:pPr>
        <w:rPr>
          <w:rFonts w:ascii="Arial" w:hAnsi="Arial" w:cs="Arial"/>
        </w:rPr>
      </w:pPr>
      <w:permStart w:id="943999632" w:edGrp="everyone"/>
      <w:r w:rsidRPr="002C160C">
        <w:rPr>
          <w:rFonts w:ascii="Arial" w:hAnsi="Arial" w:cs="Arial"/>
        </w:rPr>
        <w:t>We only partially agree with this guideline and recommend an adjustment of the proposed requirements.</w:t>
      </w:r>
    </w:p>
    <w:p w14:paraId="366C8CAF" w14:textId="77777777" w:rsidR="002C160C" w:rsidRPr="002C160C" w:rsidRDefault="002C160C" w:rsidP="002C160C">
      <w:pPr>
        <w:rPr>
          <w:rFonts w:ascii="Arial" w:hAnsi="Arial" w:cs="Arial"/>
        </w:rPr>
      </w:pPr>
    </w:p>
    <w:p w14:paraId="2CCDB13B" w14:textId="7FA3BC3B" w:rsidR="00E33392" w:rsidRDefault="002C160C" w:rsidP="00E33392">
      <w:pPr>
        <w:rPr>
          <w:rFonts w:ascii="Arial" w:hAnsi="Arial" w:cs="Arial"/>
        </w:rPr>
      </w:pPr>
      <w:r w:rsidRPr="002C160C">
        <w:rPr>
          <w:rFonts w:ascii="Arial" w:hAnsi="Arial" w:cs="Arial"/>
        </w:rPr>
        <w:t>We suggest to specify the term “timely manner” in no. 57 of guideline 8 to get a precise reporting time. In order to avoid unn</w:t>
      </w:r>
      <w:r>
        <w:rPr>
          <w:rFonts w:ascii="Arial" w:hAnsi="Arial" w:cs="Arial"/>
        </w:rPr>
        <w:t>ecessary notification of an out</w:t>
      </w:r>
      <w:r w:rsidRPr="002C160C">
        <w:rPr>
          <w:rFonts w:ascii="Arial" w:hAnsi="Arial" w:cs="Arial"/>
        </w:rPr>
        <w:t>sourced service, especially if contract negotiations between a firm and the service provider are terminated, the notification should only be submitted if the counterparties have already been entered obligations into and a contract is in place. Also we recommend to reduce the inf</w:t>
      </w:r>
      <w:r>
        <w:rPr>
          <w:rFonts w:ascii="Arial" w:hAnsi="Arial" w:cs="Arial"/>
        </w:rPr>
        <w:t>ormation which should be includ</w:t>
      </w:r>
      <w:r w:rsidRPr="002C160C">
        <w:rPr>
          <w:rFonts w:ascii="Arial" w:hAnsi="Arial" w:cs="Arial"/>
        </w:rPr>
        <w:t xml:space="preserve">ed in the written notification (no. 58), especially no. 58b, h, </w:t>
      </w:r>
      <w:proofErr w:type="spellStart"/>
      <w:r w:rsidRPr="002C160C">
        <w:rPr>
          <w:rFonts w:ascii="Arial" w:hAnsi="Arial" w:cs="Arial"/>
        </w:rPr>
        <w:t>i</w:t>
      </w:r>
      <w:proofErr w:type="spellEnd"/>
      <w:r w:rsidRPr="002C160C">
        <w:rPr>
          <w:rFonts w:ascii="Arial" w:hAnsi="Arial" w:cs="Arial"/>
        </w:rPr>
        <w:t xml:space="preserve"> and j, because this type of information goes beyond the usual </w:t>
      </w:r>
      <w:r>
        <w:rPr>
          <w:rFonts w:ascii="Arial" w:hAnsi="Arial" w:cs="Arial"/>
        </w:rPr>
        <w:t>reporting standard for outsourc</w:t>
      </w:r>
      <w:r w:rsidRPr="002C160C">
        <w:rPr>
          <w:rFonts w:ascii="Arial" w:hAnsi="Arial" w:cs="Arial"/>
        </w:rPr>
        <w:t xml:space="preserve">ing. Also the requested information may not be clearly identifiable at the time the notification should be delivered.   </w:t>
      </w:r>
      <w:permEnd w:id="943999632"/>
      <w:r w:rsidR="00E33392">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w:t>
      </w:r>
      <w:r>
        <w:lastRenderedPageBreak/>
        <w:t xml:space="preserve">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2"/>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FCA0" w14:textId="77777777" w:rsidR="003C0B45" w:rsidRDefault="003C0B45" w:rsidP="007E7997">
      <w:r>
        <w:separator/>
      </w:r>
    </w:p>
  </w:endnote>
  <w:endnote w:type="continuationSeparator" w:id="0">
    <w:p w14:paraId="687BF2C8" w14:textId="77777777" w:rsidR="003C0B45" w:rsidRDefault="003C0B45" w:rsidP="007E7997">
      <w:r>
        <w:continuationSeparator/>
      </w:r>
    </w:p>
  </w:endnote>
  <w:endnote w:type="continuationNotice" w:id="1">
    <w:p w14:paraId="73053585" w14:textId="77777777" w:rsidR="003C0B45" w:rsidRDefault="003C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2A4B306C" w14:textId="77777777"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9FFC" w14:textId="7301BD04"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031F2ED0" w14:textId="69BA36C9" w:rsidR="00E36813" w:rsidRDefault="00E36813">
        <w:pPr>
          <w:pStyle w:val="Fuzeile"/>
          <w:jc w:val="center"/>
        </w:pPr>
        <w:r>
          <w:fldChar w:fldCharType="begin"/>
        </w:r>
        <w:r>
          <w:instrText xml:space="preserve"> PAGE   \* MERGEFORMAT </w:instrText>
        </w:r>
        <w:r>
          <w:fldChar w:fldCharType="separate"/>
        </w:r>
        <w:r w:rsidR="002C160C">
          <w:rPr>
            <w:noProof/>
          </w:rPr>
          <w:t>1</w:t>
        </w:r>
        <w:r>
          <w:rPr>
            <w:noProof/>
          </w:rPr>
          <w:fldChar w:fldCharType="end"/>
        </w:r>
      </w:p>
    </w:sdtContent>
  </w:sdt>
  <w:p w14:paraId="5E539303" w14:textId="77777777"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9121" w14:textId="77777777" w:rsidR="003C0B45" w:rsidRDefault="003C0B45" w:rsidP="007E7997">
      <w:r>
        <w:separator/>
      </w:r>
    </w:p>
  </w:footnote>
  <w:footnote w:type="continuationSeparator" w:id="0">
    <w:p w14:paraId="63E2A7D9" w14:textId="77777777" w:rsidR="003C0B45" w:rsidRDefault="003C0B45" w:rsidP="007E7997">
      <w:r>
        <w:continuationSeparator/>
      </w:r>
    </w:p>
  </w:footnote>
  <w:footnote w:type="continuationNotice" w:id="1">
    <w:p w14:paraId="1487BE1F" w14:textId="77777777" w:rsidR="003C0B45" w:rsidRDefault="003C0B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A73A" w14:textId="77777777" w:rsidR="00E36813" w:rsidRDefault="00E36813">
    <w:pPr>
      <w:pStyle w:val="Kopfzeile"/>
    </w:pPr>
  </w:p>
  <w:p w14:paraId="4C660DBF"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5C28"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1CE8" w14:textId="77777777"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Kopfzeile"/>
      <w:jc w:val="right"/>
      <w:rPr>
        <w:color w:val="2F5496" w:themeColor="accent5" w:themeShade="BF"/>
        <w:sz w:val="20"/>
      </w:rPr>
    </w:pPr>
  </w:p>
  <w:p w14:paraId="7F71A825"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60C"/>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0B45"/>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7105"/>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2.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5.xml><?xml version="1.0" encoding="utf-8"?>
<ds:datastoreItem xmlns:ds="http://schemas.openxmlformats.org/officeDocument/2006/customXml" ds:itemID="{19C1CB4F-BFF8-49BA-A4AD-FA8EC9BA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7444</Characters>
  <Application>Microsoft Office Word</Application>
  <DocSecurity>8</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2020-09-01T06:57:00Z</dcterms:created>
  <dcterms:modified xsi:type="dcterms:W3CDTF">2020-09-01T06:57:00Z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