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241A411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2F8457CF" w:rsidR="00C85C8B" w:rsidRPr="00C85C8B" w:rsidRDefault="00372068" w:rsidP="00C85C8B">
                <w:pPr>
                  <w:rPr>
                    <w:rFonts w:ascii="Arial" w:hAnsi="Arial" w:cs="Arial"/>
                    <w:color w:val="808080"/>
                    <w:sz w:val="20"/>
                    <w:lang w:eastAsia="de-DE"/>
                  </w:rPr>
                </w:pPr>
                <w:r>
                  <w:rPr>
                    <w:rFonts w:ascii="Arial" w:hAnsi="Arial" w:cs="Arial"/>
                    <w:color w:val="808080"/>
                    <w:sz w:val="20"/>
                    <w:lang w:eastAsia="de-DE"/>
                  </w:rPr>
                  <w:t>McAfee</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665044ED" w:rsidR="00C85C8B" w:rsidRPr="00C85C8B" w:rsidRDefault="009D3BC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72068">
                  <w:rPr>
                    <w:rFonts w:ascii="Arial" w:hAnsi="Arial" w:cs="Arial"/>
                    <w:sz w:val="20"/>
                    <w:lang w:eastAsia="de-DE"/>
                  </w:rPr>
                  <w:t>Non-financial counterparty</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02111015" w:rsidR="00C85C8B" w:rsidRPr="00C85C8B" w:rsidRDefault="00372068" w:rsidP="00C85C8B">
                <w:pPr>
                  <w:rPr>
                    <w:rFonts w:ascii="Arial" w:hAnsi="Arial" w:cs="Arial"/>
                    <w:sz w:val="20"/>
                    <w:lang w:eastAsia="de-DE"/>
                  </w:rPr>
                </w:pPr>
                <w:r>
                  <w:rPr>
                    <w:rFonts w:ascii="Arial" w:hAnsi="Arial" w:cs="Arial"/>
                    <w:sz w:val="20"/>
                    <w:lang w:eastAsia="de-DE"/>
                  </w:rPr>
                  <w:t>International</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6D9C12C3" w14:textId="06BA927D" w:rsidR="00372068" w:rsidRPr="00372068" w:rsidRDefault="00372068" w:rsidP="00372068">
      <w:pPr>
        <w:spacing w:after="250" w:line="276" w:lineRule="auto"/>
        <w:jc w:val="both"/>
        <w:rPr>
          <w:rFonts w:ascii="Arial" w:eastAsiaTheme="minorEastAsia" w:hAnsi="Arial" w:cs="Arial"/>
          <w:sz w:val="22"/>
          <w:szCs w:val="20"/>
          <w:lang w:eastAsia="en-US"/>
        </w:rPr>
      </w:pPr>
      <w:permStart w:id="1853699001" w:edGrp="everyone"/>
      <w:r w:rsidRPr="00372068">
        <w:rPr>
          <w:rFonts w:ascii="Arial" w:eastAsiaTheme="minorEastAsia" w:hAnsi="Arial" w:cs="Arial"/>
          <w:sz w:val="22"/>
          <w:szCs w:val="20"/>
          <w:lang w:eastAsia="en-US"/>
        </w:rPr>
        <w:t>In the definitions on page 13, the definition for cloud computing includes “software and applications” (SaaS). However, many of the regulations appear to only consider infrastructure and platform (IaaS and PaaS) as a service and ignore software as a service.</w:t>
      </w:r>
    </w:p>
    <w:p w14:paraId="7184B336" w14:textId="531BBD36" w:rsidR="00372068" w:rsidRPr="00372068" w:rsidRDefault="00372068" w:rsidP="00372068">
      <w:pPr>
        <w:spacing w:after="250" w:line="276" w:lineRule="auto"/>
        <w:jc w:val="both"/>
        <w:rPr>
          <w:rFonts w:ascii="Arial" w:eastAsiaTheme="minorEastAsia" w:hAnsi="Arial" w:cs="Arial"/>
          <w:sz w:val="22"/>
          <w:szCs w:val="20"/>
          <w:lang w:eastAsia="en-US"/>
        </w:rPr>
      </w:pPr>
      <w:r w:rsidRPr="00372068">
        <w:rPr>
          <w:rFonts w:ascii="Arial" w:eastAsiaTheme="minorEastAsia" w:hAnsi="Arial" w:cs="Arial"/>
          <w:sz w:val="22"/>
          <w:szCs w:val="20"/>
          <w:lang w:eastAsia="en-US"/>
        </w:rPr>
        <w:t>However, major dangers are contained within outsourcing to SaaS cloud computing, especially around information security as the capabilities within SaaS services can include sharing and collaboration outside regulated organisations.</w:t>
      </w:r>
    </w:p>
    <w:p w14:paraId="3680B387" w14:textId="6A36AA57" w:rsidR="00372068" w:rsidRPr="00372068" w:rsidRDefault="00372068" w:rsidP="00372068">
      <w:pPr>
        <w:spacing w:after="250" w:line="276" w:lineRule="auto"/>
        <w:jc w:val="both"/>
        <w:rPr>
          <w:rFonts w:ascii="Arial" w:eastAsiaTheme="minorEastAsia" w:hAnsi="Arial" w:cs="Arial"/>
          <w:sz w:val="22"/>
          <w:szCs w:val="20"/>
          <w:lang w:eastAsia="en-US"/>
        </w:rPr>
      </w:pPr>
      <w:r w:rsidRPr="00372068">
        <w:rPr>
          <w:rFonts w:ascii="Arial" w:eastAsiaTheme="minorEastAsia" w:hAnsi="Arial" w:cs="Arial"/>
          <w:sz w:val="22"/>
          <w:szCs w:val="20"/>
          <w:lang w:eastAsia="en-US"/>
        </w:rPr>
        <w:t xml:space="preserve">In many cases we observe that cloud services are construed as a replacement for a bank’s data </w:t>
      </w:r>
      <w:proofErr w:type="spellStart"/>
      <w:r w:rsidRPr="00372068">
        <w:rPr>
          <w:rFonts w:ascii="Arial" w:eastAsiaTheme="minorEastAsia" w:hAnsi="Arial" w:cs="Arial"/>
          <w:sz w:val="22"/>
          <w:szCs w:val="20"/>
          <w:lang w:eastAsia="en-US"/>
        </w:rPr>
        <w:t>center’s</w:t>
      </w:r>
      <w:proofErr w:type="spellEnd"/>
      <w:r w:rsidRPr="00372068">
        <w:rPr>
          <w:rFonts w:ascii="Arial" w:eastAsiaTheme="minorEastAsia" w:hAnsi="Arial" w:cs="Arial"/>
          <w:sz w:val="22"/>
          <w:szCs w:val="20"/>
          <w:lang w:eastAsia="en-US"/>
        </w:rPr>
        <w:t>, which is an over-simplification.</w:t>
      </w:r>
      <w:r w:rsidRPr="00372068">
        <w:rPr>
          <w:rFonts w:ascii="Arial" w:eastAsiaTheme="minorEastAsia" w:hAnsi="Arial" w:cs="Arial"/>
          <w:sz w:val="22"/>
          <w:szCs w:val="20"/>
          <w:lang w:eastAsia="en-US"/>
        </w:rPr>
        <w:tab/>
        <w:t>In addition, there is an absence of guidelines setting our user and access control.</w:t>
      </w:r>
    </w:p>
    <w:p w14:paraId="07503BB5" w14:textId="027409D4" w:rsidR="00C85C8B" w:rsidRPr="00C85C8B" w:rsidRDefault="00372068" w:rsidP="00372068">
      <w:pPr>
        <w:spacing w:after="250" w:line="276" w:lineRule="auto"/>
        <w:jc w:val="both"/>
        <w:rPr>
          <w:rFonts w:ascii="Arial" w:eastAsiaTheme="minorEastAsia" w:hAnsi="Arial" w:cs="Arial"/>
          <w:sz w:val="22"/>
          <w:szCs w:val="20"/>
          <w:lang w:eastAsia="en-US"/>
        </w:rPr>
      </w:pPr>
      <w:r w:rsidRPr="00372068">
        <w:rPr>
          <w:rFonts w:ascii="Arial" w:eastAsiaTheme="minorEastAsia" w:hAnsi="Arial" w:cs="Arial"/>
          <w:sz w:val="22"/>
          <w:szCs w:val="20"/>
          <w:lang w:eastAsia="en-US"/>
        </w:rPr>
        <w:t xml:space="preserve">Our responses and recommendations contained in our response aim to ensure that SaaS is included as part of the guideline, and that the principle of a shared responsibility model between banks and </w:t>
      </w:r>
      <w:proofErr w:type="gramStart"/>
      <w:r w:rsidRPr="00372068">
        <w:rPr>
          <w:rFonts w:ascii="Arial" w:eastAsiaTheme="minorEastAsia" w:hAnsi="Arial" w:cs="Arial"/>
          <w:sz w:val="22"/>
          <w:szCs w:val="20"/>
          <w:lang w:eastAsia="en-US"/>
        </w:rPr>
        <w:t>their</w:t>
      </w:r>
      <w:proofErr w:type="gramEnd"/>
      <w:r w:rsidRPr="00372068">
        <w:rPr>
          <w:rFonts w:ascii="Arial" w:eastAsiaTheme="minorEastAsia" w:hAnsi="Arial" w:cs="Arial"/>
          <w:sz w:val="22"/>
          <w:szCs w:val="20"/>
          <w:lang w:eastAsia="en-US"/>
        </w:rPr>
        <w:t xml:space="preserve"> could service providers (CSPs) is the basis of any guidance.</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lastRenderedPageBreak/>
        <w:t>&lt;ESMA_QUESTION_COGL_1&gt;</w:t>
      </w:r>
    </w:p>
    <w:p w14:paraId="10307A0C" w14:textId="2545EDA5" w:rsidR="00372068" w:rsidRPr="00372068" w:rsidRDefault="00372068" w:rsidP="00372068">
      <w:pPr>
        <w:rPr>
          <w:rFonts w:ascii="Arial" w:hAnsi="Arial" w:cs="Arial"/>
        </w:rPr>
      </w:pPr>
      <w:permStart w:id="870130210" w:edGrp="everyone"/>
      <w:r w:rsidRPr="00372068">
        <w:rPr>
          <w:rFonts w:ascii="Arial" w:hAnsi="Arial" w:cs="Arial"/>
        </w:rPr>
        <w:t>Paragraph 28 add</w:t>
      </w:r>
    </w:p>
    <w:p w14:paraId="2EC6DDAD" w14:textId="77777777" w:rsidR="00372068" w:rsidRPr="00372068" w:rsidRDefault="00372068" w:rsidP="00372068">
      <w:pPr>
        <w:rPr>
          <w:rFonts w:ascii="Arial" w:hAnsi="Arial" w:cs="Arial"/>
        </w:rPr>
      </w:pPr>
    </w:p>
    <w:p w14:paraId="1E32FBFC" w14:textId="77777777" w:rsidR="00372068" w:rsidRPr="00372068" w:rsidRDefault="00372068" w:rsidP="00372068">
      <w:pPr>
        <w:rPr>
          <w:rFonts w:ascii="Arial" w:hAnsi="Arial" w:cs="Arial"/>
        </w:rPr>
      </w:pPr>
      <w:r w:rsidRPr="00372068">
        <w:rPr>
          <w:rFonts w:ascii="Arial" w:hAnsi="Arial" w:cs="Arial"/>
        </w:rPr>
        <w:t>‘The register should include all cloud arrangements, including those that are created by individual departments and individual employees.’</w:t>
      </w:r>
    </w:p>
    <w:p w14:paraId="24F9A6A0" w14:textId="77777777" w:rsidR="00372068" w:rsidRPr="00372068" w:rsidRDefault="00372068" w:rsidP="00372068">
      <w:pPr>
        <w:rPr>
          <w:rFonts w:ascii="Arial" w:hAnsi="Arial" w:cs="Arial"/>
        </w:rPr>
      </w:pPr>
    </w:p>
    <w:p w14:paraId="187A04D2" w14:textId="77777777" w:rsidR="00372068" w:rsidRPr="00372068" w:rsidRDefault="00372068" w:rsidP="00372068">
      <w:pPr>
        <w:rPr>
          <w:rFonts w:ascii="Arial" w:hAnsi="Arial" w:cs="Arial"/>
        </w:rPr>
      </w:pPr>
      <w:r w:rsidRPr="00372068">
        <w:rPr>
          <w:rFonts w:ascii="Arial" w:hAnsi="Arial" w:cs="Arial"/>
        </w:rPr>
        <w:t>Paragraph 29add to (g)</w:t>
      </w:r>
    </w:p>
    <w:p w14:paraId="1C17A4B6" w14:textId="77777777" w:rsidR="00372068" w:rsidRPr="00372068" w:rsidRDefault="00372068" w:rsidP="00372068">
      <w:pPr>
        <w:rPr>
          <w:rFonts w:ascii="Arial" w:hAnsi="Arial" w:cs="Arial"/>
        </w:rPr>
      </w:pPr>
    </w:p>
    <w:p w14:paraId="5216AB57" w14:textId="77777777" w:rsidR="00372068" w:rsidRPr="00372068" w:rsidRDefault="00372068" w:rsidP="00372068">
      <w:pPr>
        <w:rPr>
          <w:rFonts w:ascii="Arial" w:hAnsi="Arial" w:cs="Arial"/>
        </w:rPr>
      </w:pPr>
      <w:r w:rsidRPr="00372068">
        <w:rPr>
          <w:rFonts w:ascii="Arial" w:hAnsi="Arial" w:cs="Arial"/>
        </w:rPr>
        <w:t>‘And dispute resolution mechanism and any statute of limitations.’</w:t>
      </w:r>
    </w:p>
    <w:p w14:paraId="4AB7FE8C" w14:textId="77777777" w:rsidR="00372068" w:rsidRPr="00372068" w:rsidRDefault="00372068" w:rsidP="00372068">
      <w:pPr>
        <w:rPr>
          <w:rFonts w:ascii="Arial" w:hAnsi="Arial" w:cs="Arial"/>
        </w:rPr>
      </w:pPr>
    </w:p>
    <w:p w14:paraId="0FAD27D0" w14:textId="77777777" w:rsidR="00372068" w:rsidRPr="00372068" w:rsidRDefault="00372068" w:rsidP="00372068">
      <w:pPr>
        <w:rPr>
          <w:rFonts w:ascii="Arial" w:hAnsi="Arial" w:cs="Arial"/>
        </w:rPr>
      </w:pPr>
      <w:r w:rsidRPr="00372068">
        <w:rPr>
          <w:rFonts w:ascii="Arial" w:hAnsi="Arial" w:cs="Arial"/>
        </w:rPr>
        <w:t>Para graph 29 add to (o)</w:t>
      </w:r>
    </w:p>
    <w:p w14:paraId="00DD2012" w14:textId="77777777" w:rsidR="00372068" w:rsidRPr="00372068" w:rsidRDefault="00372068" w:rsidP="00372068">
      <w:pPr>
        <w:rPr>
          <w:rFonts w:ascii="Arial" w:hAnsi="Arial" w:cs="Arial"/>
        </w:rPr>
      </w:pPr>
    </w:p>
    <w:p w14:paraId="3E240D49" w14:textId="77777777" w:rsidR="00372068" w:rsidRPr="00372068" w:rsidRDefault="00372068" w:rsidP="00372068">
      <w:pPr>
        <w:rPr>
          <w:rFonts w:ascii="Arial" w:hAnsi="Arial" w:cs="Arial"/>
        </w:rPr>
      </w:pPr>
      <w:r w:rsidRPr="00372068">
        <w:rPr>
          <w:rFonts w:ascii="Arial" w:hAnsi="Arial" w:cs="Arial"/>
        </w:rPr>
        <w:t>‘Security functions provided by the CSP, such as encryption strength at rest, encryption strength in transit, most recent penetration testing date, application security vulnerability protection, CVE vulnerabilities.’</w:t>
      </w:r>
    </w:p>
    <w:p w14:paraId="081E6C96" w14:textId="77777777" w:rsidR="00372068" w:rsidRPr="00372068" w:rsidRDefault="00372068" w:rsidP="00372068">
      <w:pPr>
        <w:rPr>
          <w:rFonts w:ascii="Arial" w:hAnsi="Arial" w:cs="Arial"/>
        </w:rPr>
      </w:pPr>
    </w:p>
    <w:p w14:paraId="123864E0" w14:textId="77777777" w:rsidR="00372068" w:rsidRPr="00372068" w:rsidRDefault="00372068" w:rsidP="00372068">
      <w:pPr>
        <w:rPr>
          <w:rFonts w:ascii="Arial" w:hAnsi="Arial" w:cs="Arial"/>
        </w:rPr>
      </w:pPr>
      <w:r w:rsidRPr="00372068">
        <w:rPr>
          <w:rFonts w:ascii="Arial" w:hAnsi="Arial" w:cs="Arial"/>
        </w:rPr>
        <w:t>Paragraph 29add to (p)</w:t>
      </w:r>
    </w:p>
    <w:p w14:paraId="1882A990" w14:textId="77777777" w:rsidR="00372068" w:rsidRPr="00372068" w:rsidRDefault="00372068" w:rsidP="00372068">
      <w:pPr>
        <w:rPr>
          <w:rFonts w:ascii="Arial" w:hAnsi="Arial" w:cs="Arial"/>
        </w:rPr>
      </w:pPr>
    </w:p>
    <w:p w14:paraId="67AFB806" w14:textId="77777777" w:rsidR="00372068" w:rsidRPr="00372068" w:rsidRDefault="00372068" w:rsidP="00372068">
      <w:pPr>
        <w:rPr>
          <w:rFonts w:ascii="Arial" w:hAnsi="Arial" w:cs="Arial"/>
        </w:rPr>
      </w:pPr>
      <w:r w:rsidRPr="00372068">
        <w:rPr>
          <w:rFonts w:ascii="Arial" w:hAnsi="Arial" w:cs="Arial"/>
        </w:rPr>
        <w:t>‘Data retention policy upon account termination’.</w:t>
      </w:r>
    </w:p>
    <w:p w14:paraId="5B33BFA8" w14:textId="77777777" w:rsidR="00372068" w:rsidRPr="00372068" w:rsidRDefault="00372068" w:rsidP="00372068">
      <w:pPr>
        <w:rPr>
          <w:rFonts w:ascii="Arial" w:hAnsi="Arial" w:cs="Arial"/>
        </w:rPr>
      </w:pPr>
    </w:p>
    <w:p w14:paraId="6B4C6513" w14:textId="77777777" w:rsidR="00372068" w:rsidRPr="00372068" w:rsidRDefault="00372068" w:rsidP="00372068">
      <w:pPr>
        <w:rPr>
          <w:rFonts w:ascii="Arial" w:hAnsi="Arial" w:cs="Arial"/>
        </w:rPr>
      </w:pPr>
      <w:r w:rsidRPr="00372068">
        <w:rPr>
          <w:rFonts w:ascii="Arial" w:hAnsi="Arial" w:cs="Arial"/>
        </w:rPr>
        <w:t>Paragraph 29 add to (q)</w:t>
      </w:r>
    </w:p>
    <w:p w14:paraId="6CCE69F5" w14:textId="77777777" w:rsidR="00372068" w:rsidRPr="00372068" w:rsidRDefault="00372068" w:rsidP="00372068">
      <w:pPr>
        <w:rPr>
          <w:rFonts w:ascii="Arial" w:hAnsi="Arial" w:cs="Arial"/>
        </w:rPr>
      </w:pPr>
    </w:p>
    <w:p w14:paraId="45C3D71C" w14:textId="77777777" w:rsidR="00372068" w:rsidRPr="00372068" w:rsidRDefault="00372068" w:rsidP="00372068">
      <w:pPr>
        <w:rPr>
          <w:rFonts w:ascii="Arial" w:hAnsi="Arial" w:cs="Arial"/>
        </w:rPr>
      </w:pPr>
      <w:r w:rsidRPr="00372068">
        <w:rPr>
          <w:rFonts w:ascii="Arial" w:hAnsi="Arial" w:cs="Arial"/>
        </w:rPr>
        <w:t>‘Authentication capabilities. Anonymous use, support for multi-factor authentication, integration with enterprise identity and federation methodologies supported’.</w:t>
      </w:r>
    </w:p>
    <w:p w14:paraId="052037CC" w14:textId="77777777" w:rsidR="00372068" w:rsidRPr="00372068" w:rsidRDefault="00372068" w:rsidP="00372068">
      <w:pPr>
        <w:rPr>
          <w:rFonts w:ascii="Arial" w:hAnsi="Arial" w:cs="Arial"/>
        </w:rPr>
      </w:pPr>
    </w:p>
    <w:p w14:paraId="400952CB" w14:textId="77777777" w:rsidR="00372068" w:rsidRPr="00372068" w:rsidRDefault="00372068" w:rsidP="00372068">
      <w:pPr>
        <w:rPr>
          <w:rFonts w:ascii="Arial" w:hAnsi="Arial" w:cs="Arial"/>
        </w:rPr>
      </w:pPr>
      <w:r w:rsidRPr="00372068">
        <w:rPr>
          <w:rFonts w:ascii="Arial" w:hAnsi="Arial" w:cs="Arial"/>
        </w:rPr>
        <w:t>Paragraph 29 add to (r)</w:t>
      </w:r>
    </w:p>
    <w:p w14:paraId="40BA0CBD" w14:textId="77777777" w:rsidR="00372068" w:rsidRPr="00372068" w:rsidRDefault="00372068" w:rsidP="00372068">
      <w:pPr>
        <w:rPr>
          <w:rFonts w:ascii="Arial" w:hAnsi="Arial" w:cs="Arial"/>
        </w:rPr>
      </w:pPr>
    </w:p>
    <w:p w14:paraId="3C878414" w14:textId="77777777" w:rsidR="00372068" w:rsidRPr="00372068" w:rsidRDefault="00372068" w:rsidP="00372068">
      <w:pPr>
        <w:rPr>
          <w:rFonts w:ascii="Arial" w:hAnsi="Arial" w:cs="Arial"/>
        </w:rPr>
      </w:pPr>
      <w:r w:rsidRPr="00372068">
        <w:rPr>
          <w:rFonts w:ascii="Arial" w:hAnsi="Arial" w:cs="Arial"/>
        </w:rPr>
        <w:t>‘Support for logging of admin, user and data activity’</w:t>
      </w:r>
    </w:p>
    <w:p w14:paraId="35E2CFCE" w14:textId="77777777" w:rsidR="00372068" w:rsidRPr="00372068" w:rsidRDefault="00372068" w:rsidP="00372068">
      <w:pPr>
        <w:rPr>
          <w:rFonts w:ascii="Arial" w:hAnsi="Arial" w:cs="Arial"/>
        </w:rPr>
      </w:pPr>
    </w:p>
    <w:p w14:paraId="594AD1D3" w14:textId="77777777" w:rsidR="00372068" w:rsidRPr="00372068" w:rsidRDefault="00372068" w:rsidP="00372068">
      <w:pPr>
        <w:rPr>
          <w:rFonts w:ascii="Arial" w:hAnsi="Arial" w:cs="Arial"/>
        </w:rPr>
      </w:pPr>
      <w:r w:rsidRPr="00372068">
        <w:rPr>
          <w:rFonts w:ascii="Arial" w:hAnsi="Arial" w:cs="Arial"/>
        </w:rPr>
        <w:t>Explanation</w:t>
      </w:r>
    </w:p>
    <w:p w14:paraId="26606A24" w14:textId="77777777" w:rsidR="00372068" w:rsidRPr="00372068" w:rsidRDefault="00372068" w:rsidP="00372068">
      <w:pPr>
        <w:rPr>
          <w:rFonts w:ascii="Arial" w:hAnsi="Arial" w:cs="Arial"/>
        </w:rPr>
      </w:pPr>
    </w:p>
    <w:p w14:paraId="6C99B6BE" w14:textId="5BD49C6D" w:rsidR="00E33392" w:rsidRDefault="00372068" w:rsidP="00372068">
      <w:pPr>
        <w:rPr>
          <w:rFonts w:ascii="Arial" w:hAnsi="Arial" w:cs="Arial"/>
        </w:rPr>
      </w:pPr>
      <w:r w:rsidRPr="00372068">
        <w:rPr>
          <w:rFonts w:ascii="Arial" w:hAnsi="Arial" w:cs="Arial"/>
        </w:rPr>
        <w:t>The additions to paragraph 28 are to address instances in which companies can be at risk from an individual group or employee outsourcing that is not centralised and controlled. So called “shadow IT” can include software engineers starting their own IaaS efforts or LOB or individuals using commercial SaaS services without realising the dangers of unfettered access, sharing and collaboration.</w:t>
      </w:r>
      <w:r w:rsidRPr="00372068">
        <w:rPr>
          <w:rFonts w:ascii="Arial" w:hAnsi="Arial" w:cs="Arial"/>
        </w:rPr>
        <w:tab/>
        <w:t>Shadow IT usage can have major security risks for banking organisations.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0321083E" w:rsidR="00E33392" w:rsidRDefault="00372068" w:rsidP="00E33392">
      <w:pPr>
        <w:rPr>
          <w:rFonts w:ascii="Arial" w:hAnsi="Arial" w:cs="Arial"/>
        </w:rPr>
      </w:pPr>
      <w:permStart w:id="603860191" w:edGrp="everyone"/>
      <w:r w:rsidRPr="00372068">
        <w:rPr>
          <w:rFonts w:ascii="Arial" w:hAnsi="Arial" w:cs="Arial"/>
        </w:rPr>
        <w:t>We would recommend that the management of these registers is also in compliance with existing sectorial or horizontal legal requirements. CSPs and banking face different requirements under national and/ or EU legislation (i.e. data breach notification under GDPR, incident reporting obligation under the NIS Directive, and PSD2 requirements).</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7777777" w:rsidR="00E33392" w:rsidRDefault="00E33392" w:rsidP="00E33392">
      <w:pPr>
        <w:rPr>
          <w:rFonts w:ascii="Arial" w:hAnsi="Arial" w:cs="Arial"/>
        </w:rPr>
      </w:pPr>
      <w:permStart w:id="1685610127" w:edGrp="everyone"/>
      <w:r>
        <w:rPr>
          <w:rFonts w:ascii="Arial" w:hAnsi="Arial" w:cs="Arial"/>
        </w:rPr>
        <w:t>TYPE YOUR TEXT HERE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5FC0D4CB" w14:textId="5C960A96" w:rsidR="00372068" w:rsidRPr="00372068" w:rsidRDefault="00372068" w:rsidP="00372068">
      <w:pPr>
        <w:rPr>
          <w:rFonts w:ascii="Arial" w:hAnsi="Arial" w:cs="Arial"/>
        </w:rPr>
      </w:pPr>
      <w:permStart w:id="792990084" w:edGrp="everyone"/>
      <w:r w:rsidRPr="00372068">
        <w:rPr>
          <w:rFonts w:ascii="Arial" w:hAnsi="Arial" w:cs="Arial"/>
        </w:rPr>
        <w:t>Regarding paragraph 41 (j), CSPs should not be obligated to submit confidential internal audit reports to a client, the industry standard security reports should suffice.</w:t>
      </w:r>
    </w:p>
    <w:p w14:paraId="03B0610B" w14:textId="77777777" w:rsidR="00372068" w:rsidRPr="00372068" w:rsidRDefault="00372068" w:rsidP="00372068">
      <w:pPr>
        <w:rPr>
          <w:rFonts w:ascii="Arial" w:hAnsi="Arial" w:cs="Arial"/>
        </w:rPr>
      </w:pPr>
    </w:p>
    <w:p w14:paraId="2BAD102F" w14:textId="208788B0" w:rsidR="00E33392" w:rsidRDefault="00372068" w:rsidP="00372068">
      <w:pPr>
        <w:rPr>
          <w:rFonts w:ascii="Arial" w:hAnsi="Arial" w:cs="Arial"/>
        </w:rPr>
      </w:pPr>
      <w:r w:rsidRPr="00372068">
        <w:rPr>
          <w:rFonts w:ascii="Arial" w:hAnsi="Arial" w:cs="Arial"/>
        </w:rPr>
        <w:t>In paragraph 41 (n), contractual arrangements may, in some cases, not permit customers to audit the premises of the CSP. In general, customers should also rely on the results of independent third-party audits and regular compliance questionnaires provided by the customer to the CSP (see also our remarks on Q7 on audit rights).</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2E89CD04" w14:textId="77777777" w:rsidR="00372068" w:rsidRPr="00372068" w:rsidRDefault="00372068" w:rsidP="00372068">
      <w:pPr>
        <w:rPr>
          <w:rFonts w:ascii="Arial" w:hAnsi="Arial" w:cs="Arial"/>
        </w:rPr>
      </w:pPr>
      <w:permStart w:id="1518408103" w:edGrp="everyone"/>
      <w:r w:rsidRPr="00372068">
        <w:rPr>
          <w:rFonts w:ascii="Arial" w:hAnsi="Arial" w:cs="Arial"/>
        </w:rPr>
        <w:t>Paragraph 43 add</w:t>
      </w:r>
    </w:p>
    <w:p w14:paraId="778AD4B0" w14:textId="77777777" w:rsidR="00372068" w:rsidRPr="00372068" w:rsidRDefault="00372068" w:rsidP="00372068">
      <w:pPr>
        <w:rPr>
          <w:rFonts w:ascii="Arial" w:hAnsi="Arial" w:cs="Arial"/>
        </w:rPr>
      </w:pPr>
    </w:p>
    <w:p w14:paraId="240E53A8" w14:textId="77777777" w:rsidR="00372068" w:rsidRPr="00372068" w:rsidRDefault="00372068" w:rsidP="00372068">
      <w:pPr>
        <w:rPr>
          <w:rFonts w:ascii="Arial" w:hAnsi="Arial" w:cs="Arial"/>
        </w:rPr>
      </w:pPr>
      <w:r w:rsidRPr="00372068">
        <w:rPr>
          <w:rFonts w:ascii="Arial" w:hAnsi="Arial" w:cs="Arial"/>
        </w:rPr>
        <w:t>‘(</w:t>
      </w:r>
      <w:proofErr w:type="spellStart"/>
      <w:r w:rsidRPr="00372068">
        <w:rPr>
          <w:rFonts w:ascii="Arial" w:hAnsi="Arial" w:cs="Arial"/>
        </w:rPr>
        <w:t>i</w:t>
      </w:r>
      <w:proofErr w:type="spellEnd"/>
      <w:r w:rsidRPr="00372068">
        <w:rPr>
          <w:rFonts w:ascii="Arial" w:hAnsi="Arial" w:cs="Arial"/>
        </w:rPr>
        <w:t>) A firm should evaluate all of the cloud functionality and ensure implementation of strong information security functions to minimise possible data loss. Companies should implement data loss prevention (DLP) measures such as user access, device control, user identification, user logging, user behaviour anomaly detection, user controls for internal and external data sharing via cloud, all cloud functions, cloud to cloud traffic capabilities, data minimisation, user privilege controls, audit of cloud configurations and cloud configuration drift over time.’</w:t>
      </w:r>
    </w:p>
    <w:p w14:paraId="54AC2747" w14:textId="77777777" w:rsidR="00372068" w:rsidRPr="00372068" w:rsidRDefault="00372068" w:rsidP="00372068">
      <w:pPr>
        <w:rPr>
          <w:rFonts w:ascii="Arial" w:hAnsi="Arial" w:cs="Arial"/>
        </w:rPr>
      </w:pPr>
    </w:p>
    <w:p w14:paraId="6B6BA110" w14:textId="77777777" w:rsidR="00372068" w:rsidRPr="00372068" w:rsidRDefault="00372068" w:rsidP="00372068">
      <w:pPr>
        <w:rPr>
          <w:rFonts w:ascii="Arial" w:hAnsi="Arial" w:cs="Arial"/>
        </w:rPr>
      </w:pPr>
      <w:r w:rsidRPr="00372068">
        <w:rPr>
          <w:rFonts w:ascii="Arial" w:hAnsi="Arial" w:cs="Arial"/>
        </w:rPr>
        <w:t>Explanation:</w:t>
      </w:r>
    </w:p>
    <w:p w14:paraId="1B0ECD97" w14:textId="77777777" w:rsidR="00372068" w:rsidRPr="00372068" w:rsidRDefault="00372068" w:rsidP="00372068">
      <w:pPr>
        <w:rPr>
          <w:rFonts w:ascii="Arial" w:hAnsi="Arial" w:cs="Arial"/>
        </w:rPr>
      </w:pPr>
    </w:p>
    <w:p w14:paraId="6D0A3B30" w14:textId="4DF527D6" w:rsidR="00E33392" w:rsidRDefault="00372068" w:rsidP="00372068">
      <w:pPr>
        <w:rPr>
          <w:rFonts w:ascii="Arial" w:hAnsi="Arial" w:cs="Arial"/>
        </w:rPr>
      </w:pPr>
      <w:r w:rsidRPr="00372068">
        <w:rPr>
          <w:rFonts w:ascii="Arial" w:hAnsi="Arial" w:cs="Arial"/>
        </w:rPr>
        <w:t>While cloud service providers are responsible for security OF the cloud, it is the enterprises who are responsible for data IN the cloud. The regulated organisations need to understand and take responsibility for data transferred TO clouds, when data is INSIDE clouds, being transferred BETWEEN clouds and when downloaded FROM cloud computing to either their own employees or third-party collaborators</w:t>
      </w:r>
      <w:r>
        <w:rPr>
          <w:rFonts w:ascii="Arial" w:hAnsi="Arial" w:cs="Arial"/>
        </w:rPr>
        <w:t>.</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77777777" w:rsidR="00E33392" w:rsidRDefault="00E33392" w:rsidP="00E33392">
      <w:pPr>
        <w:rPr>
          <w:rFonts w:ascii="Arial" w:hAnsi="Arial" w:cs="Arial"/>
        </w:rPr>
      </w:pPr>
      <w:permStart w:id="1998543046" w:edGrp="everyone"/>
      <w:r>
        <w:rPr>
          <w:rFonts w:ascii="Arial" w:hAnsi="Arial" w:cs="Arial"/>
        </w:rPr>
        <w:t>TYPE YOUR TEXT HERE</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7F2737A6" w14:textId="77777777" w:rsidR="00372068" w:rsidRPr="00372068" w:rsidRDefault="00372068" w:rsidP="00372068">
      <w:pPr>
        <w:rPr>
          <w:rFonts w:ascii="Arial" w:hAnsi="Arial" w:cs="Arial"/>
        </w:rPr>
      </w:pPr>
      <w:permStart w:id="1893742938" w:edGrp="everyone"/>
      <w:r w:rsidRPr="00372068">
        <w:rPr>
          <w:rFonts w:ascii="Arial" w:hAnsi="Arial" w:cs="Arial"/>
        </w:rPr>
        <w:t>We recognize and support that financial firms would need to have more extensive audit rights., however we do not agree that a financial firm should have unlimited access/ audit rights.</w:t>
      </w:r>
    </w:p>
    <w:p w14:paraId="1E8EDB36" w14:textId="77777777" w:rsidR="00372068" w:rsidRPr="00372068" w:rsidRDefault="00372068" w:rsidP="00372068">
      <w:pPr>
        <w:rPr>
          <w:rFonts w:ascii="Arial" w:hAnsi="Arial" w:cs="Arial"/>
        </w:rPr>
      </w:pPr>
      <w:r w:rsidRPr="00372068">
        <w:rPr>
          <w:rFonts w:ascii="Arial" w:hAnsi="Arial" w:cs="Arial"/>
        </w:rPr>
        <w:t xml:space="preserve"> </w:t>
      </w:r>
    </w:p>
    <w:p w14:paraId="697C5C7D" w14:textId="77777777" w:rsidR="00372068" w:rsidRPr="00372068" w:rsidRDefault="00372068" w:rsidP="00372068">
      <w:pPr>
        <w:rPr>
          <w:rFonts w:ascii="Arial" w:hAnsi="Arial" w:cs="Arial"/>
        </w:rPr>
      </w:pPr>
      <w:r w:rsidRPr="00372068">
        <w:rPr>
          <w:rFonts w:ascii="Arial" w:hAnsi="Arial" w:cs="Arial"/>
        </w:rPr>
        <w:t>In addition, at paragraph 56 we would recommend adding</w:t>
      </w:r>
    </w:p>
    <w:p w14:paraId="62F51840" w14:textId="77777777" w:rsidR="00372068" w:rsidRPr="00372068" w:rsidRDefault="00372068" w:rsidP="00372068">
      <w:pPr>
        <w:rPr>
          <w:rFonts w:ascii="Arial" w:hAnsi="Arial" w:cs="Arial"/>
        </w:rPr>
      </w:pPr>
    </w:p>
    <w:p w14:paraId="4493AAD0" w14:textId="6FB03E37" w:rsidR="00E33392" w:rsidRDefault="00372068" w:rsidP="00E33392">
      <w:pPr>
        <w:rPr>
          <w:rFonts w:ascii="Arial" w:hAnsi="Arial" w:cs="Arial"/>
        </w:rPr>
      </w:pPr>
      <w:r w:rsidRPr="00372068">
        <w:rPr>
          <w:rFonts w:ascii="Arial" w:hAnsi="Arial" w:cs="Arial"/>
        </w:rPr>
        <w:t>‘Sub-outsourcing is in effect if a cloud service provider (CSP) uses the hosting services of another CSP. For example; if a SaaS provider hosts their service on AWS, that should be made clear to the customer organisation and any material change (such as moving from AWS to Azure) must be communicated to the customer.’</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w:t>
      </w:r>
      <w:r>
        <w:lastRenderedPageBreak/>
        <w:t xml:space="preserve">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DE77" w14:textId="77777777" w:rsidR="009D3BCF" w:rsidRDefault="009D3BCF" w:rsidP="007E7997">
      <w:r>
        <w:separator/>
      </w:r>
    </w:p>
  </w:endnote>
  <w:endnote w:type="continuationSeparator" w:id="0">
    <w:p w14:paraId="7AAB76FC" w14:textId="77777777" w:rsidR="009D3BCF" w:rsidRDefault="009D3BCF" w:rsidP="007E7997">
      <w:r>
        <w:continuationSeparator/>
      </w:r>
    </w:p>
  </w:endnote>
  <w:endnote w:type="continuationNotice" w:id="1">
    <w:p w14:paraId="74A3876E" w14:textId="77777777" w:rsidR="009D3BCF" w:rsidRDefault="009D3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FC22" w14:textId="77777777" w:rsidR="009D3BCF" w:rsidRDefault="009D3BCF" w:rsidP="007E7997">
      <w:r>
        <w:separator/>
      </w:r>
    </w:p>
  </w:footnote>
  <w:footnote w:type="continuationSeparator" w:id="0">
    <w:p w14:paraId="693E0B76" w14:textId="77777777" w:rsidR="009D3BCF" w:rsidRDefault="009D3BCF" w:rsidP="007E7997">
      <w:r>
        <w:continuationSeparator/>
      </w:r>
    </w:p>
  </w:footnote>
  <w:footnote w:type="continuationNotice" w:id="1">
    <w:p w14:paraId="260DB0D8" w14:textId="77777777" w:rsidR="009D3BCF" w:rsidRDefault="009D3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grG5i9wIjyLJxnLANc4gispH3hL8sclsM1gtHWzqgJv+YI/0cuDn1B2lWNXyk5HrWHd3KbgZ8ITR3k3k7d99wA==" w:salt="/Me0qWApr/YomVOvNRZa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555"/>
    <w:rsid w:val="00113D82"/>
    <w:rsid w:val="00120F0D"/>
    <w:rsid w:val="001214DA"/>
    <w:rsid w:val="0012722A"/>
    <w:rsid w:val="00130EF9"/>
    <w:rsid w:val="001319C7"/>
    <w:rsid w:val="001355E6"/>
    <w:rsid w:val="0013644A"/>
    <w:rsid w:val="00140BA6"/>
    <w:rsid w:val="00140D92"/>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068"/>
    <w:rsid w:val="00372615"/>
    <w:rsid w:val="00372EA3"/>
    <w:rsid w:val="00373A3C"/>
    <w:rsid w:val="00376233"/>
    <w:rsid w:val="00380B30"/>
    <w:rsid w:val="00381784"/>
    <w:rsid w:val="00381EB0"/>
    <w:rsid w:val="00382A72"/>
    <w:rsid w:val="00382EBA"/>
    <w:rsid w:val="0038331A"/>
    <w:rsid w:val="0039135B"/>
    <w:rsid w:val="003A34E7"/>
    <w:rsid w:val="003A35E3"/>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50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1CEB"/>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BCF"/>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038F69E9-40C4-4D79-A264-8F7AE452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9300</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2020-09-03T08:34:00Z</dcterms:created>
  <dcterms:modified xsi:type="dcterms:W3CDTF">2020-09-03T08:34:00Z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