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973058580"/>
        <w:docPartObj>
          <w:docPartGallery w:val="Cover Pages"/>
          <w:docPartUnique/>
        </w:docPartObj>
      </w:sdtPr>
      <w:sdtEndPr>
        <w:rPr>
          <w:highlight w:val="yellow"/>
        </w:rPr>
      </w:sdtEndPr>
      <w:sdtContent>
        <w:p w14:paraId="213BFFD2" w14:textId="77777777" w:rsidR="00AF2EF7" w:rsidRPr="00B8572C" w:rsidRDefault="00AF2EF7" w:rsidP="00AF2EF7">
          <w:pPr>
            <w:spacing w:line="276" w:lineRule="auto"/>
            <w:rPr>
              <w:rFonts w:asciiTheme="minorHAnsi" w:hAnsiTheme="minorHAnsi" w:cstheme="minorHAnsi"/>
              <w:color w:val="FF0000"/>
            </w:rPr>
          </w:pPr>
        </w:p>
        <w:p w14:paraId="15D1E8B1" w14:textId="77777777" w:rsidR="00AF2EF7" w:rsidRPr="00B8572C" w:rsidRDefault="00AF2EF7" w:rsidP="00AF2EF7">
          <w:pPr>
            <w:spacing w:after="120" w:line="276" w:lineRule="auto"/>
            <w:rPr>
              <w:rFonts w:asciiTheme="minorHAnsi" w:hAnsiTheme="minorHAnsi" w:cstheme="minorHAnsi"/>
            </w:rPr>
          </w:pPr>
        </w:p>
        <w:p w14:paraId="30D89A21" w14:textId="77777777" w:rsidR="00AF2EF7" w:rsidRPr="00B8572C" w:rsidRDefault="00AF2EF7" w:rsidP="00AF2EF7">
          <w:pPr>
            <w:spacing w:line="276" w:lineRule="auto"/>
            <w:rPr>
              <w:rFonts w:asciiTheme="minorHAnsi" w:hAnsiTheme="minorHAnsi" w:cstheme="minorHAnsi"/>
            </w:rPr>
          </w:pPr>
        </w:p>
        <w:p w14:paraId="009DB6F0" w14:textId="77777777" w:rsidR="00AF2EF7" w:rsidRPr="00B8572C" w:rsidRDefault="00AF2EF7" w:rsidP="00AF2EF7">
          <w:pPr>
            <w:spacing w:line="276" w:lineRule="auto"/>
            <w:rPr>
              <w:rFonts w:asciiTheme="minorHAnsi" w:hAnsiTheme="minorHAnsi" w:cstheme="minorHAnsi"/>
            </w:rPr>
          </w:pPr>
        </w:p>
        <w:p w14:paraId="3D7FCB96"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4BDEC98D" w14:textId="77777777" w:rsidTr="00D13661">
            <w:trPr>
              <w:trHeight w:hRule="exact" w:val="1492"/>
            </w:trPr>
            <w:tc>
              <w:tcPr>
                <w:tcW w:w="10490" w:type="dxa"/>
                <w:vAlign w:val="bottom"/>
              </w:tcPr>
              <w:p w14:paraId="6AB20E63" w14:textId="7777777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0439A027" w14:textId="77777777" w:rsidTr="00D13661">
            <w:trPr>
              <w:trHeight w:hRule="exact" w:val="747"/>
            </w:trPr>
            <w:tc>
              <w:tcPr>
                <w:tcW w:w="10490" w:type="dxa"/>
                <w:tcMar>
                  <w:top w:w="142" w:type="dxa"/>
                </w:tcMar>
              </w:tcPr>
              <w:p w14:paraId="3CE6FB0B" w14:textId="36434DF9" w:rsidR="00AB6157" w:rsidRPr="00B8572C" w:rsidRDefault="001F23C9" w:rsidP="001F23C9">
                <w:pPr>
                  <w:pStyle w:val="Heading2"/>
                  <w:numPr>
                    <w:ilvl w:val="0"/>
                    <w:numId w:val="0"/>
                  </w:numPr>
                  <w:spacing w:before="0"/>
                </w:pPr>
                <w:r w:rsidRPr="00FC3F6B">
                  <w:rPr>
                    <w:rFonts w:cs="Arial"/>
                  </w:rPr>
                  <w:t xml:space="preserve">Guidelines on </w:t>
                </w:r>
                <w:r w:rsidR="0034659B">
                  <w:rPr>
                    <w:rFonts w:cs="Arial"/>
                  </w:rPr>
                  <w:t xml:space="preserve">Outsourcing to Cloud Service Providers </w:t>
                </w:r>
              </w:p>
            </w:tc>
          </w:tr>
        </w:tbl>
        <w:p w14:paraId="31C1B2C3" w14:textId="77777777" w:rsidR="00AF2EF7" w:rsidRPr="00B8572C" w:rsidRDefault="00AF2EF7" w:rsidP="00AF2EF7">
          <w:pPr>
            <w:spacing w:line="276" w:lineRule="auto"/>
            <w:rPr>
              <w:rFonts w:asciiTheme="minorHAnsi" w:hAnsiTheme="minorHAnsi" w:cstheme="minorHAnsi"/>
            </w:rPr>
          </w:pPr>
        </w:p>
        <w:p w14:paraId="6EF3BE53"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17D96E0A"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0B5F411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6050BF75" w14:textId="354425A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paper</w:t>
          </w:r>
          <w:r w:rsidR="00D00263">
            <w:rPr>
              <w:rFonts w:asciiTheme="minorHAnsi" w:eastAsiaTheme="minorEastAsia" w:hAnsiTheme="minorHAnsi" w:cstheme="minorBidi"/>
              <w:sz w:val="22"/>
              <w:szCs w:val="20"/>
              <w:lang w:eastAsia="en-US"/>
            </w:rPr>
            <w:t xml:space="preserve"> on guidelines on outsourcing to cloud service providers</w:t>
          </w:r>
          <w:r w:rsidRPr="00AB6157">
            <w:rPr>
              <w:rFonts w:asciiTheme="minorHAnsi" w:eastAsiaTheme="minorEastAsia" w:hAnsiTheme="minorHAnsi" w:cstheme="minorBidi"/>
              <w:sz w:val="22"/>
              <w:szCs w:val="20"/>
              <w:lang w:eastAsia="en-US"/>
            </w:rPr>
            <w:t xml:space="preserve">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w:t>
          </w:r>
          <w:r w:rsidR="00D00263">
            <w:rPr>
              <w:rFonts w:asciiTheme="minorHAnsi" w:eastAsiaTheme="minorEastAsia" w:hAnsiTheme="minorHAnsi" w:cstheme="minorBidi"/>
              <w:sz w:val="22"/>
              <w:szCs w:val="20"/>
              <w:lang w:eastAsia="en-US"/>
            </w:rPr>
            <w:t>ppendix</w:t>
          </w:r>
          <w:r w:rsidRPr="00AB6157">
            <w:rPr>
              <w:rFonts w:asciiTheme="minorHAnsi" w:eastAsiaTheme="minorEastAsia" w:hAnsiTheme="minorHAnsi" w:cstheme="minorBidi"/>
              <w:sz w:val="22"/>
              <w:szCs w:val="20"/>
              <w:lang w:eastAsia="en-US"/>
            </w:rPr>
            <w:t xml:space="preserve">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14CDDCE0"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389F2A0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4D1C58A3"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38135FD"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1F00FD69" w14:textId="478345BE"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5A5590">
            <w:rPr>
              <w:rFonts w:asciiTheme="minorHAnsi" w:eastAsiaTheme="minorEastAsia" w:hAnsiTheme="minorHAnsi" w:cstheme="minorBidi"/>
              <w:b/>
              <w:sz w:val="22"/>
              <w:szCs w:val="20"/>
              <w:lang w:eastAsia="en-US"/>
            </w:rPr>
            <w:t>0</w:t>
          </w:r>
          <w:r w:rsidR="00904B25">
            <w:rPr>
              <w:rFonts w:asciiTheme="minorHAnsi" w:eastAsiaTheme="minorEastAsia" w:hAnsiTheme="minorHAnsi" w:cstheme="minorBidi"/>
              <w:b/>
              <w:sz w:val="22"/>
              <w:szCs w:val="20"/>
              <w:lang w:eastAsia="en-US"/>
            </w:rPr>
            <w:t>1</w:t>
          </w:r>
          <w:r w:rsidR="00D00263">
            <w:rPr>
              <w:rFonts w:asciiTheme="minorHAnsi" w:eastAsiaTheme="minorEastAsia" w:hAnsiTheme="minorHAnsi" w:cstheme="minorBidi"/>
              <w:b/>
              <w:sz w:val="22"/>
              <w:szCs w:val="20"/>
              <w:lang w:eastAsia="en-US"/>
            </w:rPr>
            <w:t xml:space="preserve"> September </w:t>
          </w:r>
          <w:r w:rsidR="001F23C9" w:rsidRPr="007D19EC">
            <w:rPr>
              <w:rFonts w:asciiTheme="minorHAnsi" w:eastAsiaTheme="minorEastAsia" w:hAnsiTheme="minorHAnsi" w:cstheme="minorBidi"/>
              <w:b/>
              <w:sz w:val="22"/>
              <w:szCs w:val="20"/>
              <w:lang w:eastAsia="en-US"/>
            </w:rPr>
            <w:t>20</w:t>
          </w:r>
          <w:r w:rsidR="007D19EC" w:rsidRPr="007D19EC">
            <w:rPr>
              <w:rFonts w:asciiTheme="minorHAnsi" w:eastAsiaTheme="minorEastAsia" w:hAnsiTheme="minorHAnsi" w:cstheme="minorBidi"/>
              <w:b/>
              <w:sz w:val="22"/>
              <w:szCs w:val="20"/>
              <w:lang w:eastAsia="en-US"/>
            </w:rPr>
            <w:t>20</w:t>
          </w:r>
          <w:r w:rsidRPr="007D19EC">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0406581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026E7E58"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63F19F7A"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477FFD4A" w14:textId="77777777"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1424D4EE" w14:textId="6C9E578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5A5590">
            <w:rPr>
              <w:rFonts w:eastAsiaTheme="minorEastAsia" w:cstheme="minorBidi"/>
              <w:szCs w:val="20"/>
              <w:lang w:eastAsia="en-US"/>
            </w:rPr>
            <w:t>COGL</w:t>
          </w:r>
          <w:r w:rsidRPr="00C85C8B">
            <w:rPr>
              <w:rFonts w:eastAsiaTheme="minorEastAsia" w:cstheme="minorBidi"/>
              <w:szCs w:val="20"/>
              <w:lang w:eastAsia="en-US"/>
            </w:rPr>
            <w:t>_1&gt;. Your response to each question has to be framed by the two tags corresponding to the question.</w:t>
          </w:r>
        </w:p>
        <w:p w14:paraId="64096827"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57ED9B20" w14:textId="1A3F8E50"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5A5590">
            <w:rPr>
              <w:rFonts w:eastAsiaTheme="minorEastAsia" w:cstheme="minorBidi"/>
              <w:szCs w:val="20"/>
              <w:lang w:eastAsia="en-US"/>
            </w:rPr>
            <w:t>COGL</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5A5590">
            <w:rPr>
              <w:rFonts w:eastAsiaTheme="minorEastAsia" w:cstheme="minorBidi"/>
              <w:szCs w:val="20"/>
              <w:lang w:eastAsia="en-US"/>
            </w:rPr>
            <w:t>COGL</w:t>
          </w:r>
          <w:r w:rsidRPr="00C85C8B">
            <w:rPr>
              <w:rFonts w:eastAsiaTheme="minorEastAsia" w:cstheme="minorBidi"/>
              <w:szCs w:val="20"/>
              <w:lang w:eastAsia="en-US"/>
            </w:rPr>
            <w:t>_ABCD_RESPONSEFORM.</w:t>
          </w:r>
        </w:p>
        <w:p w14:paraId="5164F73C" w14:textId="27F53CC1"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5A5590">
            <w:rPr>
              <w:rFonts w:eastAsiaTheme="minorEastAsia" w:cstheme="minorBidi"/>
              <w:szCs w:val="20"/>
              <w:lang w:eastAsia="en-US"/>
            </w:rPr>
            <w:t>Outsourcing to Cloud Service Providers</w:t>
          </w:r>
          <w:r w:rsidRPr="00C85C8B">
            <w:rPr>
              <w:rFonts w:eastAsiaTheme="minorEastAsia" w:cstheme="minorBidi"/>
              <w:szCs w:val="20"/>
              <w:lang w:eastAsia="en-US"/>
            </w:rPr>
            <w:t>”).</w:t>
          </w:r>
        </w:p>
        <w:p w14:paraId="296DA61E" w14:textId="77777777"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6E8AA742" w14:textId="77777777"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583F916D"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19BAE595"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32063695" w14:textId="5AD4BFE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368C779"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55B94286"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3F39F927"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2E182B48" w14:textId="1E3F907B" w:rsidR="00AF2EF7" w:rsidRPr="00B8572C" w:rsidRDefault="005A5590" w:rsidP="001F23C9">
          <w:pPr>
            <w:spacing w:after="250" w:line="276" w:lineRule="auto"/>
            <w:jc w:val="both"/>
            <w:rPr>
              <w:rFonts w:asciiTheme="minorHAnsi" w:hAnsiTheme="minorHAnsi" w:cstheme="minorHAnsi"/>
            </w:rPr>
          </w:pPr>
          <w:r w:rsidRPr="005A5590">
            <w:rPr>
              <w:rFonts w:asciiTheme="minorHAnsi" w:hAnsiTheme="minorHAnsi" w:cstheme="minorHAnsi"/>
              <w:sz w:val="22"/>
              <w:szCs w:val="22"/>
            </w:rPr>
            <w:t xml:space="preserve">This paper is primarily of interest to national competent authorities and financial market participants. In particular, this paper is of interest to </w:t>
          </w:r>
          <w:bookmarkStart w:id="0" w:name="_Hlk35260102"/>
          <w:r w:rsidRPr="005A5590">
            <w:rPr>
              <w:rFonts w:asciiTheme="minorHAnsi" w:hAnsiTheme="minorHAnsi" w:cstheme="minorHAnsi"/>
              <w:sz w:val="22"/>
              <w:szCs w:val="22"/>
            </w:rPr>
            <w:t>alternative investment fund managers, depositaries of alternative investment funds, undertakings for collective investment in transferable securities (UCITS) management companies, depositaries of UCITS, central counterparties, trade repositories, investment firms and credit institutions which carry out investment services and activities, data reporting services providers, market operators of  trading venues, central securities depositories, credit rating agencies, securitisation repositories and administrators of benchmarks</w:t>
          </w:r>
          <w:bookmarkEnd w:id="0"/>
          <w:r w:rsidRPr="005A5590">
            <w:rPr>
              <w:rFonts w:asciiTheme="minorHAnsi" w:hAnsiTheme="minorHAnsi" w:cstheme="minorHAnsi"/>
              <w:sz w:val="22"/>
              <w:szCs w:val="22"/>
            </w:rPr>
            <w:t xml:space="preserve"> (“firms”), which use cloud services provided by third parties. This paper is also important for cloud service providers, because the draft guidelines seek to ensure that the risks that may arise for firms from the use of cloud services are properly addressed</w:t>
          </w:r>
          <w:r w:rsidR="001F23C9" w:rsidRPr="001F23C9">
            <w:rPr>
              <w:rFonts w:ascii="Arial" w:hAnsi="Arial" w:cs="Arial"/>
              <w:sz w:val="22"/>
              <w:szCs w:val="22"/>
              <w:lang w:eastAsia="it-IT"/>
            </w:rPr>
            <w:t>.</w:t>
          </w:r>
        </w:p>
      </w:sdtContent>
    </w:sdt>
    <w:p w14:paraId="70412206" w14:textId="77777777" w:rsidR="00AF2EF7" w:rsidRPr="00B8572C" w:rsidRDefault="00AF2EF7" w:rsidP="00AF2EF7">
      <w:pPr>
        <w:spacing w:after="120" w:line="276" w:lineRule="auto"/>
        <w:rPr>
          <w:rFonts w:asciiTheme="minorHAnsi" w:hAnsiTheme="minorHAnsi" w:cstheme="minorHAnsi"/>
        </w:rPr>
      </w:pPr>
    </w:p>
    <w:p w14:paraId="0DC33B37" w14:textId="77777777" w:rsidR="00AF2EF7" w:rsidRPr="00B8572C" w:rsidRDefault="00AF2EF7" w:rsidP="00AF2EF7">
      <w:pPr>
        <w:spacing w:after="120" w:line="276" w:lineRule="auto"/>
        <w:rPr>
          <w:rFonts w:asciiTheme="minorHAnsi" w:hAnsiTheme="minorHAnsi" w:cstheme="minorHAnsi"/>
        </w:rPr>
      </w:pPr>
    </w:p>
    <w:p w14:paraId="15C36A5A" w14:textId="77777777"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04D3A91C" w14:textId="77777777" w:rsidR="00C85C8B" w:rsidRDefault="00C85C8B" w:rsidP="00C1698A">
      <w:pPr>
        <w:spacing w:line="276" w:lineRule="auto"/>
        <w:rPr>
          <w:rFonts w:asciiTheme="minorHAnsi" w:hAnsiTheme="minorHAnsi" w:cstheme="minorHAnsi"/>
          <w:b/>
          <w:sz w:val="28"/>
          <w:szCs w:val="28"/>
        </w:rPr>
      </w:pPr>
      <w:bookmarkStart w:id="1" w:name="_Toc515564428"/>
    </w:p>
    <w:p w14:paraId="470B434E" w14:textId="77777777" w:rsidR="00C85C8B" w:rsidRDefault="00C85C8B" w:rsidP="00C1698A">
      <w:pPr>
        <w:spacing w:line="276" w:lineRule="auto"/>
        <w:rPr>
          <w:rFonts w:asciiTheme="minorHAnsi" w:hAnsiTheme="minorHAnsi" w:cstheme="minorHAnsi"/>
          <w:b/>
          <w:sz w:val="28"/>
          <w:szCs w:val="28"/>
        </w:rPr>
      </w:pPr>
    </w:p>
    <w:p w14:paraId="1621E0A7" w14:textId="77777777" w:rsidR="00C85C8B" w:rsidRDefault="00C85C8B" w:rsidP="00C1698A">
      <w:pPr>
        <w:spacing w:line="276" w:lineRule="auto"/>
        <w:rPr>
          <w:rFonts w:asciiTheme="minorHAnsi" w:hAnsiTheme="minorHAnsi" w:cstheme="minorHAnsi"/>
          <w:b/>
          <w:sz w:val="28"/>
          <w:szCs w:val="28"/>
        </w:rPr>
      </w:pPr>
    </w:p>
    <w:p w14:paraId="2CB42DED"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19505BDB" w14:textId="77777777" w:rsidTr="00B76FB7">
        <w:tc>
          <w:tcPr>
            <w:tcW w:w="3929" w:type="dxa"/>
            <w:shd w:val="clear" w:color="auto" w:fill="auto"/>
          </w:tcPr>
          <w:p w14:paraId="1752ACF9" w14:textId="77777777" w:rsidR="00C85C8B" w:rsidRPr="00C85C8B" w:rsidRDefault="00C85C8B" w:rsidP="00C85C8B">
            <w:pPr>
              <w:rPr>
                <w:rFonts w:ascii="Arial" w:hAnsi="Arial" w:cs="Arial"/>
                <w:sz w:val="22"/>
                <w:lang w:eastAsia="de-DE"/>
              </w:rPr>
            </w:pPr>
            <w:r w:rsidRPr="00C85C8B">
              <w:rPr>
                <w:rFonts w:ascii="Arial" w:hAnsi="Arial" w:cs="Arial"/>
                <w:sz w:val="22"/>
                <w:lang w:eastAsia="de-DE"/>
              </w:rPr>
              <w:t>Name of the company / organisation</w:t>
            </w:r>
            <w:permStart w:id="1113090576" w:edGrp="everyone"/>
          </w:p>
        </w:tc>
        <w:sdt>
          <w:sdtPr>
            <w:rPr>
              <w:rFonts w:ascii="Arial" w:hAnsi="Arial" w:cs="Arial"/>
              <w:color w:val="808080"/>
              <w:sz w:val="20"/>
              <w:lang w:eastAsia="de-DE"/>
            </w:rPr>
            <w:id w:val="-1905066999"/>
            <w:text/>
          </w:sdtPr>
          <w:sdtEndPr/>
          <w:sdtContent>
            <w:tc>
              <w:tcPr>
                <w:tcW w:w="5595" w:type="dxa"/>
                <w:shd w:val="clear" w:color="auto" w:fill="auto"/>
              </w:tcPr>
              <w:p w14:paraId="59C2980F" w14:textId="1E6D675D" w:rsidR="00C85C8B" w:rsidRPr="00C85C8B" w:rsidRDefault="00144990" w:rsidP="00C85C8B">
                <w:pPr>
                  <w:rPr>
                    <w:rFonts w:ascii="Arial" w:hAnsi="Arial" w:cs="Arial"/>
                    <w:color w:val="808080"/>
                    <w:sz w:val="20"/>
                    <w:lang w:eastAsia="de-DE"/>
                  </w:rPr>
                </w:pPr>
                <w:r>
                  <w:rPr>
                    <w:rFonts w:ascii="Arial" w:hAnsi="Arial" w:cs="Arial"/>
                    <w:color w:val="808080"/>
                    <w:sz w:val="20"/>
                    <w:lang w:eastAsia="de-DE"/>
                  </w:rPr>
                  <w:t>Kroll Bond Rating Agency Europe Limited</w:t>
                </w:r>
              </w:p>
            </w:tc>
          </w:sdtContent>
        </w:sdt>
      </w:tr>
      <w:permEnd w:id="1113090576"/>
      <w:tr w:rsidR="00C85C8B" w:rsidRPr="00C85C8B" w14:paraId="5D46CEA2" w14:textId="77777777" w:rsidTr="00B76FB7">
        <w:tc>
          <w:tcPr>
            <w:tcW w:w="3929" w:type="dxa"/>
            <w:shd w:val="clear" w:color="auto" w:fill="auto"/>
          </w:tcPr>
          <w:p w14:paraId="3AE0A352" w14:textId="77777777" w:rsidR="00C85C8B" w:rsidRPr="00C85C8B" w:rsidRDefault="00C85C8B" w:rsidP="00C85C8B">
            <w:pPr>
              <w:rPr>
                <w:rFonts w:ascii="Arial" w:hAnsi="Arial" w:cs="Arial"/>
                <w:sz w:val="22"/>
                <w:lang w:eastAsia="de-DE"/>
              </w:rPr>
            </w:pPr>
            <w:r w:rsidRPr="00C85C8B">
              <w:rPr>
                <w:rFonts w:ascii="Arial" w:hAnsi="Arial" w:cs="Arial"/>
                <w:sz w:val="22"/>
                <w:lang w:eastAsia="de-DE"/>
              </w:rPr>
              <w:t>Activity</w:t>
            </w:r>
            <w:permStart w:id="1499889354" w:edGrp="everyone"/>
          </w:p>
        </w:tc>
        <w:tc>
          <w:tcPr>
            <w:tcW w:w="5595" w:type="dxa"/>
            <w:shd w:val="clear" w:color="auto" w:fill="auto"/>
          </w:tcPr>
          <w:p w14:paraId="56E6548F" w14:textId="6A400E00" w:rsidR="00C85C8B" w:rsidRPr="00C85C8B" w:rsidRDefault="00933EE8"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44990">
                  <w:rPr>
                    <w:rFonts w:ascii="Arial" w:hAnsi="Arial" w:cs="Arial"/>
                    <w:sz w:val="20"/>
                    <w:lang w:eastAsia="de-DE"/>
                  </w:rPr>
                  <w:t>Other Financial service providers</w:t>
                </w:r>
              </w:sdtContent>
            </w:sdt>
          </w:p>
        </w:tc>
      </w:tr>
      <w:permEnd w:id="1499889354"/>
      <w:tr w:rsidR="00C85C8B" w:rsidRPr="00C85C8B" w14:paraId="6496EE40" w14:textId="77777777" w:rsidTr="00B76FB7">
        <w:tc>
          <w:tcPr>
            <w:tcW w:w="3929" w:type="dxa"/>
            <w:shd w:val="clear" w:color="auto" w:fill="auto"/>
          </w:tcPr>
          <w:p w14:paraId="00721125" w14:textId="77777777" w:rsidR="00C85C8B" w:rsidRPr="00C85C8B" w:rsidRDefault="00C85C8B" w:rsidP="00C85C8B">
            <w:pPr>
              <w:rPr>
                <w:rFonts w:ascii="Arial" w:hAnsi="Arial" w:cs="Arial"/>
                <w:sz w:val="22"/>
                <w:lang w:eastAsia="de-DE"/>
              </w:rPr>
            </w:pPr>
            <w:r w:rsidRPr="00C85C8B">
              <w:rPr>
                <w:rFonts w:ascii="Arial" w:hAnsi="Arial" w:cs="Arial"/>
                <w:sz w:val="22"/>
                <w:lang w:eastAsia="de-DE"/>
              </w:rPr>
              <w:t>Are you representing an association?</w:t>
            </w:r>
            <w:permStart w:id="678441167" w:edGrp="everyone"/>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33086852" w14:textId="1C91C7A5" w:rsidR="00C85C8B" w:rsidRPr="00C85C8B" w:rsidRDefault="00144990" w:rsidP="00C85C8B">
                <w:pPr>
                  <w:rPr>
                    <w:rFonts w:ascii="Arial" w:hAnsi="Arial" w:cs="Arial"/>
                    <w:sz w:val="20"/>
                    <w:lang w:eastAsia="de-DE"/>
                  </w:rPr>
                </w:pPr>
                <w:r>
                  <w:rPr>
                    <w:rFonts w:ascii="MS Gothic" w:eastAsia="MS Gothic" w:hAnsi="MS Gothic" w:cs="Arial" w:hint="eastAsia"/>
                    <w:sz w:val="20"/>
                    <w:lang w:eastAsia="de-DE"/>
                  </w:rPr>
                  <w:t>☐</w:t>
                </w:r>
              </w:p>
            </w:tc>
          </w:sdtContent>
        </w:sdt>
      </w:tr>
      <w:permEnd w:id="678441167"/>
      <w:tr w:rsidR="00C85C8B" w:rsidRPr="00C85C8B" w14:paraId="099182FF" w14:textId="77777777" w:rsidTr="00B76FB7">
        <w:tc>
          <w:tcPr>
            <w:tcW w:w="3929" w:type="dxa"/>
            <w:shd w:val="clear" w:color="auto" w:fill="auto"/>
          </w:tcPr>
          <w:p w14:paraId="0D3EF823" w14:textId="77777777" w:rsidR="00C85C8B" w:rsidRPr="00C85C8B" w:rsidRDefault="00C85C8B" w:rsidP="00C85C8B">
            <w:pPr>
              <w:rPr>
                <w:rFonts w:ascii="Arial" w:hAnsi="Arial" w:cs="Arial"/>
                <w:sz w:val="22"/>
                <w:lang w:eastAsia="de-DE"/>
              </w:rPr>
            </w:pPr>
            <w:r w:rsidRPr="00C85C8B">
              <w:rPr>
                <w:rFonts w:ascii="Arial" w:hAnsi="Arial" w:cs="Arial"/>
                <w:sz w:val="22"/>
                <w:lang w:eastAsia="de-DE"/>
              </w:rPr>
              <w:t>Country/Region</w:t>
            </w:r>
            <w:permStart w:id="467238700" w:edGrp="everyone"/>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43C221A5" w14:textId="34DE99A1" w:rsidR="00C85C8B" w:rsidRPr="00C85C8B" w:rsidRDefault="00342CA1" w:rsidP="00C85C8B">
                <w:pPr>
                  <w:rPr>
                    <w:rFonts w:ascii="Arial" w:hAnsi="Arial" w:cs="Arial"/>
                    <w:sz w:val="20"/>
                    <w:lang w:eastAsia="de-DE"/>
                  </w:rPr>
                </w:pPr>
                <w:r>
                  <w:rPr>
                    <w:rFonts w:ascii="Arial" w:hAnsi="Arial" w:cs="Arial"/>
                    <w:sz w:val="20"/>
                    <w:lang w:eastAsia="de-DE"/>
                  </w:rPr>
                  <w:t>Europe</w:t>
                </w:r>
              </w:p>
            </w:tc>
          </w:sdtContent>
        </w:sdt>
      </w:tr>
      <w:permEnd w:id="467238700"/>
    </w:tbl>
    <w:p w14:paraId="2E5B3220"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7B9EC605"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151FAA33"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7AD12E15"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45E1C760"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1AA8F83" w14:textId="3A9646E5"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5A5590">
        <w:rPr>
          <w:rFonts w:asciiTheme="minorHAnsi" w:eastAsiaTheme="minorEastAsia" w:hAnsiTheme="minorHAnsi" w:cstheme="minorBidi"/>
          <w:sz w:val="22"/>
          <w:szCs w:val="20"/>
          <w:lang w:eastAsia="en-US"/>
        </w:rPr>
        <w:t>COGL_1</w:t>
      </w:r>
      <w:r w:rsidRPr="00C85C8B">
        <w:rPr>
          <w:rFonts w:asciiTheme="minorHAnsi" w:eastAsiaTheme="minorEastAsia" w:hAnsiTheme="minorHAnsi" w:cstheme="minorBidi"/>
          <w:sz w:val="22"/>
          <w:szCs w:val="20"/>
          <w:lang w:eastAsia="en-US"/>
        </w:rPr>
        <w:t>&gt;</w:t>
      </w:r>
    </w:p>
    <w:p w14:paraId="07503BB5"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1853699001" w:edGrp="everyone"/>
      <w:r w:rsidRPr="00C85C8B">
        <w:rPr>
          <w:rFonts w:ascii="Arial" w:eastAsiaTheme="minorEastAsia" w:hAnsi="Arial" w:cs="Arial"/>
          <w:sz w:val="22"/>
          <w:szCs w:val="20"/>
          <w:lang w:eastAsia="en-US"/>
        </w:rPr>
        <w:t>TYPE YOUR TEXT HERE</w:t>
      </w:r>
    </w:p>
    <w:permEnd w:id="1853699001"/>
    <w:p w14:paraId="35D0D096" w14:textId="7F9BEACC" w:rsidR="00D00263"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5A5590">
        <w:rPr>
          <w:rFonts w:asciiTheme="minorHAnsi" w:eastAsiaTheme="minorEastAsia" w:hAnsiTheme="minorHAnsi" w:cstheme="minorBidi"/>
          <w:sz w:val="22"/>
          <w:szCs w:val="20"/>
          <w:lang w:eastAsia="en-US"/>
        </w:rPr>
        <w:t>COGL_1</w:t>
      </w:r>
      <w:r w:rsidRPr="00C85C8B">
        <w:rPr>
          <w:rFonts w:asciiTheme="minorHAnsi" w:eastAsiaTheme="minorEastAsia" w:hAnsiTheme="minorHAnsi" w:cstheme="minorBidi"/>
          <w:sz w:val="22"/>
          <w:szCs w:val="20"/>
          <w:lang w:eastAsia="en-US"/>
        </w:rPr>
        <w:t>&gt;</w:t>
      </w:r>
    </w:p>
    <w:p w14:paraId="134F9727" w14:textId="77777777" w:rsidR="006D50BA" w:rsidRDefault="006D50BA" w:rsidP="00C85C8B">
      <w:pPr>
        <w:spacing w:after="250" w:line="276" w:lineRule="auto"/>
        <w:jc w:val="both"/>
        <w:rPr>
          <w:rFonts w:asciiTheme="majorHAnsi" w:eastAsiaTheme="minorEastAsia" w:hAnsiTheme="majorHAnsi" w:cstheme="majorHAnsi"/>
          <w:b/>
          <w:bCs/>
          <w:sz w:val="32"/>
          <w:szCs w:val="32"/>
          <w:lang w:eastAsia="en-US"/>
        </w:rPr>
      </w:pPr>
    </w:p>
    <w:p w14:paraId="50B0B9A0" w14:textId="32EB98BF" w:rsidR="00D00263" w:rsidRPr="00D00263" w:rsidRDefault="00D00263" w:rsidP="00C85C8B">
      <w:pPr>
        <w:spacing w:after="250" w:line="276" w:lineRule="auto"/>
        <w:jc w:val="both"/>
        <w:rPr>
          <w:rFonts w:asciiTheme="majorHAnsi" w:eastAsiaTheme="minorEastAsia" w:hAnsiTheme="majorHAnsi" w:cstheme="majorHAnsi"/>
          <w:b/>
          <w:bCs/>
          <w:sz w:val="32"/>
          <w:szCs w:val="32"/>
          <w:lang w:eastAsia="en-US"/>
        </w:rPr>
      </w:pPr>
      <w:r w:rsidRPr="00D00263">
        <w:rPr>
          <w:rFonts w:asciiTheme="majorHAnsi" w:eastAsiaTheme="minorEastAsia" w:hAnsiTheme="majorHAnsi" w:cstheme="majorHAnsi"/>
          <w:b/>
          <w:bCs/>
          <w:sz w:val="32"/>
          <w:szCs w:val="32"/>
          <w:lang w:eastAsia="en-US"/>
        </w:rPr>
        <w:t>Q</w:t>
      </w:r>
      <w:r w:rsidR="003F09BC">
        <w:rPr>
          <w:rFonts w:asciiTheme="majorHAnsi" w:eastAsiaTheme="minorEastAsia" w:hAnsiTheme="majorHAnsi" w:cstheme="majorHAnsi"/>
          <w:b/>
          <w:bCs/>
          <w:sz w:val="32"/>
          <w:szCs w:val="32"/>
          <w:lang w:eastAsia="en-US"/>
        </w:rPr>
        <w:t>uestions</w:t>
      </w:r>
    </w:p>
    <w:p w14:paraId="5F5E8641" w14:textId="77777777" w:rsidR="00C85C8B" w:rsidRDefault="00C85C8B" w:rsidP="00C1698A">
      <w:pPr>
        <w:spacing w:line="276" w:lineRule="auto"/>
        <w:rPr>
          <w:rFonts w:asciiTheme="minorHAnsi" w:hAnsiTheme="minorHAnsi" w:cstheme="minorHAnsi"/>
          <w:b/>
          <w:sz w:val="28"/>
          <w:szCs w:val="28"/>
        </w:rPr>
      </w:pPr>
    </w:p>
    <w:p w14:paraId="5CFE5D80" w14:textId="77777777" w:rsidR="00E33392" w:rsidRDefault="00E33392" w:rsidP="00E33392">
      <w:pPr>
        <w:pStyle w:val="Questionstyle"/>
        <w:numPr>
          <w:ilvl w:val="0"/>
          <w:numId w:val="17"/>
        </w:numPr>
        <w:spacing w:after="250" w:line="276" w:lineRule="auto"/>
      </w:pPr>
      <w:r>
        <w:t xml:space="preserve">: Do you agree with the suggested approach regarding a firm’s governance and oversight in relation to its cloud outsourcing arrangements? Please explain. </w:t>
      </w:r>
    </w:p>
    <w:p w14:paraId="2555EE0A" w14:textId="77777777" w:rsidR="00E33392" w:rsidRDefault="00E33392" w:rsidP="00E33392">
      <w:pPr>
        <w:rPr>
          <w:rFonts w:ascii="Arial" w:hAnsi="Arial" w:cs="Arial"/>
        </w:rPr>
      </w:pPr>
      <w:r>
        <w:rPr>
          <w:rFonts w:ascii="Arial" w:hAnsi="Arial" w:cs="Arial"/>
        </w:rPr>
        <w:t>&lt;ESMA_QUESTION_COGL_1&gt;</w:t>
      </w:r>
    </w:p>
    <w:p w14:paraId="674075A2" w14:textId="77777777" w:rsidR="00144990" w:rsidRPr="00144990" w:rsidRDefault="00144990" w:rsidP="00144990">
      <w:pPr>
        <w:rPr>
          <w:rFonts w:ascii="Calibri" w:hAnsi="Calibri" w:cs="Calibri"/>
        </w:rPr>
      </w:pPr>
      <w:permStart w:id="870130210" w:edGrp="everyone"/>
      <w:r w:rsidRPr="00144990">
        <w:rPr>
          <w:rFonts w:ascii="Calibri" w:hAnsi="Calibri" w:cs="Calibri"/>
        </w:rPr>
        <w:t>Kroll Bond Rating Agency Europe Limited (“KBRA Europe”) believes that firms should have strong governance and oversight in relation to cloud outsourcing arrangements, and ESMA’s suggested approach to a firm’s governance and oversight of its cloud outsourcing arrangements offers one approach; however, the implementation of ESMA’s suggested measures will add significant additional costs and will require additional resources for many firms. These costs impose an especially high burden on smaller firms. Further information on the specific areas where additional resources will be required are provided in the relevant section of this response and the extent of the potential increase in costs is in the response to Question 12.</w:t>
      </w:r>
    </w:p>
    <w:p w14:paraId="53DDC59C" w14:textId="77777777" w:rsidR="00144990" w:rsidRPr="00144990" w:rsidRDefault="00144990" w:rsidP="00144990">
      <w:pPr>
        <w:rPr>
          <w:rFonts w:ascii="Calibri" w:hAnsi="Calibri" w:cs="Calibri"/>
        </w:rPr>
      </w:pPr>
    </w:p>
    <w:p w14:paraId="2EEDB4E0" w14:textId="4456E00A" w:rsidR="00144990" w:rsidRPr="00144990" w:rsidRDefault="00144990" w:rsidP="00144990">
      <w:pPr>
        <w:rPr>
          <w:rFonts w:ascii="Calibri" w:hAnsi="Calibri" w:cs="Calibri"/>
        </w:rPr>
      </w:pPr>
      <w:r w:rsidRPr="00144990">
        <w:rPr>
          <w:rFonts w:ascii="Calibri" w:hAnsi="Calibri" w:cs="Calibri"/>
        </w:rPr>
        <w:lastRenderedPageBreak/>
        <w:t>KBRA Europe endorses ESMA’s opinion that firms should monitor the activities of cloud service providers (“CSPs”) using a risk-based approach, with a focus on the outsourcing of critical or important functions.</w:t>
      </w:r>
    </w:p>
    <w:permEnd w:id="870130210"/>
    <w:p w14:paraId="6004914E" w14:textId="77777777" w:rsidR="00E33392" w:rsidRDefault="00E33392" w:rsidP="00E33392">
      <w:pPr>
        <w:rPr>
          <w:rFonts w:ascii="Arial" w:hAnsi="Arial" w:cs="Arial"/>
        </w:rPr>
      </w:pPr>
      <w:r>
        <w:rPr>
          <w:rFonts w:ascii="Arial" w:hAnsi="Arial" w:cs="Arial"/>
        </w:rPr>
        <w:t>&lt;ESMA_QUESTION_COGL_1&gt;</w:t>
      </w:r>
    </w:p>
    <w:p w14:paraId="2A4747F6" w14:textId="77777777" w:rsidR="00E33392" w:rsidRDefault="00E33392" w:rsidP="00E33392">
      <w:pPr>
        <w:rPr>
          <w:rFonts w:ascii="Arial" w:hAnsi="Arial" w:cs="Arial"/>
        </w:rPr>
      </w:pPr>
    </w:p>
    <w:p w14:paraId="0BA06E0E"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documentation requirements? Please explain. </w:t>
      </w:r>
    </w:p>
    <w:p w14:paraId="24AABFB7" w14:textId="77777777" w:rsidR="00E33392" w:rsidRDefault="00E33392" w:rsidP="00E33392">
      <w:pPr>
        <w:rPr>
          <w:rFonts w:ascii="Arial" w:hAnsi="Arial" w:cs="Arial"/>
        </w:rPr>
      </w:pPr>
      <w:r>
        <w:rPr>
          <w:rFonts w:ascii="Arial" w:hAnsi="Arial" w:cs="Arial"/>
        </w:rPr>
        <w:t>&lt;ESMA_QUESTION_COGL_2&gt;</w:t>
      </w:r>
    </w:p>
    <w:p w14:paraId="1CDFCEB8" w14:textId="4C5DB156" w:rsidR="00144990" w:rsidRPr="00144990" w:rsidRDefault="00144990" w:rsidP="00144990">
      <w:pPr>
        <w:rPr>
          <w:rFonts w:ascii="Calibri" w:hAnsi="Calibri" w:cs="Calibri"/>
        </w:rPr>
      </w:pPr>
      <w:permStart w:id="603860191" w:edGrp="everyone"/>
      <w:r w:rsidRPr="00144990">
        <w:rPr>
          <w:rFonts w:ascii="Calibri" w:hAnsi="Calibri" w:cs="Calibri"/>
        </w:rPr>
        <w:t>KBRA Europe agrees that a risk-based approach to documentation, with a focus on critical or important functions, is appropriate.</w:t>
      </w:r>
    </w:p>
    <w:p w14:paraId="4168FB9F" w14:textId="77777777" w:rsidR="00144990" w:rsidRPr="00144990" w:rsidRDefault="00144990" w:rsidP="00144990">
      <w:pPr>
        <w:rPr>
          <w:rFonts w:ascii="Calibri" w:hAnsi="Calibri" w:cs="Calibri"/>
        </w:rPr>
      </w:pPr>
    </w:p>
    <w:p w14:paraId="510A2529" w14:textId="292F45A8" w:rsidR="00144990" w:rsidRPr="00144990" w:rsidRDefault="00144990" w:rsidP="00144990">
      <w:pPr>
        <w:rPr>
          <w:rFonts w:ascii="Calibri" w:hAnsi="Calibri" w:cs="Calibri"/>
        </w:rPr>
      </w:pPr>
      <w:r w:rsidRPr="00144990">
        <w:rPr>
          <w:rFonts w:ascii="Calibri" w:hAnsi="Calibri" w:cs="Calibri"/>
        </w:rPr>
        <w:t>For critical or important outsourcing arrangements, KBRA Europe welcomes ESMA’s approach to providing a list of information that should be maintained on an internal register. However, firms should be permitted to document exceptions in cases where certain pieces of information may not be available or applicable, such as a corporate registration number in certain jurisdictions.</w:t>
      </w:r>
    </w:p>
    <w:p w14:paraId="158FF63B" w14:textId="77777777" w:rsidR="00144990" w:rsidRPr="00144990" w:rsidRDefault="00144990" w:rsidP="00144990">
      <w:pPr>
        <w:rPr>
          <w:rFonts w:ascii="Calibri" w:hAnsi="Calibri" w:cs="Calibri"/>
        </w:rPr>
      </w:pPr>
    </w:p>
    <w:p w14:paraId="0D407834" w14:textId="77777777" w:rsidR="00144990" w:rsidRPr="00144990" w:rsidRDefault="00144990" w:rsidP="00144990">
      <w:pPr>
        <w:rPr>
          <w:rFonts w:ascii="Calibri" w:hAnsi="Calibri" w:cs="Calibri"/>
        </w:rPr>
      </w:pPr>
      <w:r w:rsidRPr="00144990">
        <w:rPr>
          <w:rFonts w:ascii="Calibri" w:hAnsi="Calibri" w:cs="Calibri"/>
        </w:rPr>
        <w:t xml:space="preserve">For non-critical or non-important functions, KBRA Europe agrees that firms are best placed to define the information to be included on the register based on the nature, </w:t>
      </w:r>
      <w:proofErr w:type="gramStart"/>
      <w:r w:rsidRPr="00144990">
        <w:rPr>
          <w:rFonts w:ascii="Calibri" w:hAnsi="Calibri" w:cs="Calibri"/>
        </w:rPr>
        <w:t>scale</w:t>
      </w:r>
      <w:proofErr w:type="gramEnd"/>
      <w:r w:rsidRPr="00144990">
        <w:rPr>
          <w:rFonts w:ascii="Calibri" w:hAnsi="Calibri" w:cs="Calibri"/>
        </w:rPr>
        <w:t xml:space="preserve"> and complexity of the risks inherent to the outsourced function. </w:t>
      </w:r>
    </w:p>
    <w:permEnd w:id="603860191"/>
    <w:p w14:paraId="4C87E817" w14:textId="77777777" w:rsidR="00E33392" w:rsidRDefault="00E33392" w:rsidP="00E33392">
      <w:pPr>
        <w:rPr>
          <w:rFonts w:ascii="Arial" w:hAnsi="Arial" w:cs="Arial"/>
        </w:rPr>
      </w:pPr>
      <w:r>
        <w:rPr>
          <w:rFonts w:ascii="Arial" w:hAnsi="Arial" w:cs="Arial"/>
        </w:rPr>
        <w:t>&lt;ESMA_QUESTION_COGL_2&gt;</w:t>
      </w:r>
    </w:p>
    <w:p w14:paraId="14DFA0B6" w14:textId="77777777" w:rsidR="00E33392" w:rsidRDefault="00E33392" w:rsidP="00E33392">
      <w:pPr>
        <w:rPr>
          <w:rFonts w:ascii="Arial" w:hAnsi="Arial" w:cs="Arial"/>
        </w:rPr>
      </w:pPr>
    </w:p>
    <w:p w14:paraId="62251E3D"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the pre-outsourcing analysis and due diligence to be undertaken by a firm on its CSP? Please explain.  </w:t>
      </w:r>
    </w:p>
    <w:p w14:paraId="4505E5DF" w14:textId="77777777" w:rsidR="00E33392" w:rsidRDefault="00E33392" w:rsidP="00E33392">
      <w:pPr>
        <w:rPr>
          <w:rFonts w:ascii="Arial" w:hAnsi="Arial" w:cs="Arial"/>
        </w:rPr>
      </w:pPr>
      <w:r>
        <w:rPr>
          <w:rFonts w:ascii="Arial" w:hAnsi="Arial" w:cs="Arial"/>
        </w:rPr>
        <w:t>&lt;ESMA_QUESTION_COGL_3&gt;</w:t>
      </w:r>
    </w:p>
    <w:p w14:paraId="7B65A83B" w14:textId="21FA6AF1" w:rsidR="00144990" w:rsidRDefault="00144990" w:rsidP="00144990">
      <w:pPr>
        <w:rPr>
          <w:rFonts w:ascii="Calibri" w:hAnsi="Calibri" w:cs="Calibri"/>
        </w:rPr>
      </w:pPr>
      <w:permStart w:id="1685610127" w:edGrp="everyone"/>
      <w:r w:rsidRPr="00144990">
        <w:rPr>
          <w:rFonts w:ascii="Calibri" w:hAnsi="Calibri" w:cs="Calibri"/>
        </w:rPr>
        <w:t xml:space="preserve">KBRA Europe agrees that pre-outsourcing analysis and due diligence should be proportionate to the nature, </w:t>
      </w:r>
      <w:proofErr w:type="gramStart"/>
      <w:r w:rsidRPr="00144990">
        <w:rPr>
          <w:rFonts w:ascii="Calibri" w:hAnsi="Calibri" w:cs="Calibri"/>
        </w:rPr>
        <w:t>scale</w:t>
      </w:r>
      <w:proofErr w:type="gramEnd"/>
      <w:r w:rsidRPr="00144990">
        <w:rPr>
          <w:rFonts w:ascii="Calibri" w:hAnsi="Calibri" w:cs="Calibri"/>
        </w:rPr>
        <w:t xml:space="preserve"> and complexity of the function to be outsourced and the risks inherent to this function. KBRA also generally agrees with ESMA’s suggested approach regarding the pre-outsourcing analysis and due diligence to be undertaken by a firm on its CSP.</w:t>
      </w:r>
    </w:p>
    <w:p w14:paraId="1EE557D3" w14:textId="77777777" w:rsidR="002F4814" w:rsidRPr="00144990" w:rsidRDefault="002F4814" w:rsidP="00144990">
      <w:pPr>
        <w:rPr>
          <w:rFonts w:ascii="Calibri" w:hAnsi="Calibri" w:cs="Calibri"/>
        </w:rPr>
      </w:pPr>
    </w:p>
    <w:p w14:paraId="05F3CAF6" w14:textId="77777777" w:rsidR="00144990" w:rsidRPr="00144990" w:rsidRDefault="00144990" w:rsidP="00144990">
      <w:pPr>
        <w:rPr>
          <w:rFonts w:ascii="Calibri" w:hAnsi="Calibri" w:cs="Calibri"/>
        </w:rPr>
      </w:pPr>
      <w:r w:rsidRPr="00144990">
        <w:rPr>
          <w:rFonts w:ascii="Calibri" w:hAnsi="Calibri" w:cs="Calibri"/>
        </w:rPr>
        <w:t xml:space="preserve">For critical or important functions, KBRA Europe welcomes ESMA’s list of areas that should be considered when completing the initial risk-assessment process. However, paragraph 33 says that firms should also </w:t>
      </w:r>
    </w:p>
    <w:p w14:paraId="74BDE5A7" w14:textId="77777777" w:rsidR="00144990" w:rsidRPr="00144990" w:rsidRDefault="00144990" w:rsidP="00144990">
      <w:pPr>
        <w:pStyle w:val="ListParagraph"/>
        <w:numPr>
          <w:ilvl w:val="0"/>
          <w:numId w:val="18"/>
        </w:numPr>
        <w:tabs>
          <w:tab w:val="clear" w:pos="0"/>
          <w:tab w:val="clear" w:pos="142"/>
          <w:tab w:val="clear" w:pos="284"/>
          <w:tab w:val="clear" w:pos="567"/>
        </w:tabs>
        <w:autoSpaceDE/>
        <w:autoSpaceDN/>
        <w:adjustRightInd/>
        <w:spacing w:after="160" w:line="259" w:lineRule="auto"/>
        <w:contextualSpacing/>
        <w:jc w:val="left"/>
        <w:rPr>
          <w:rFonts w:ascii="Calibri" w:hAnsi="Calibri" w:cs="Calibri"/>
          <w:sz w:val="24"/>
          <w:szCs w:val="24"/>
        </w:rPr>
      </w:pPr>
      <w:r w:rsidRPr="00144990">
        <w:rPr>
          <w:rFonts w:ascii="Calibri" w:hAnsi="Calibri" w:cs="Calibri"/>
          <w:sz w:val="24"/>
          <w:szCs w:val="24"/>
        </w:rPr>
        <w:t xml:space="preserve">assess all relevant risks that may arise as a result of the cloud outsourcing arrangement, including risks in relation to information and communication technology, information security, business continuity, legal and compliance, reputational risks, operational risks, and possible oversight limitations for the firm, arising from: </w:t>
      </w:r>
    </w:p>
    <w:p w14:paraId="342030E7" w14:textId="77777777" w:rsidR="00144990" w:rsidRPr="00144990" w:rsidRDefault="00144990" w:rsidP="00144990">
      <w:pPr>
        <w:ind w:left="720"/>
        <w:rPr>
          <w:rFonts w:ascii="Calibri" w:hAnsi="Calibri" w:cs="Calibri"/>
        </w:rPr>
      </w:pPr>
      <w:r w:rsidRPr="00144990">
        <w:rPr>
          <w:rFonts w:ascii="Calibri" w:hAnsi="Calibri" w:cs="Calibri"/>
        </w:rPr>
        <w:t>…</w:t>
      </w:r>
    </w:p>
    <w:p w14:paraId="5200E3DC" w14:textId="77777777" w:rsidR="00144990" w:rsidRPr="00144990" w:rsidRDefault="00144990" w:rsidP="00144990">
      <w:pPr>
        <w:ind w:left="1440"/>
        <w:rPr>
          <w:rFonts w:ascii="Calibri" w:hAnsi="Calibri" w:cs="Calibri"/>
        </w:rPr>
      </w:pPr>
      <w:r w:rsidRPr="00144990">
        <w:rPr>
          <w:rFonts w:ascii="Calibri" w:hAnsi="Calibri" w:cs="Calibri"/>
        </w:rPr>
        <w:t xml:space="preserve">(vii) possible concentration within the firm (including, where applicable, at the level of its group,) caused by multiple cloud outsourcing arrangements with the same CSP </w:t>
      </w:r>
      <w:r w:rsidRPr="00144990">
        <w:rPr>
          <w:rFonts w:ascii="Calibri" w:hAnsi="Calibri" w:cs="Calibri"/>
          <w:b/>
          <w:bCs/>
          <w:i/>
          <w:iCs/>
        </w:rPr>
        <w:t xml:space="preserve">as well as possible concentration within the sector, caused by multiple firms making use of the same CSP or a small group of CSPs. </w:t>
      </w:r>
      <w:r w:rsidRPr="00144990">
        <w:rPr>
          <w:rFonts w:ascii="Calibri" w:hAnsi="Calibri" w:cs="Calibri"/>
        </w:rPr>
        <w:t>[Emphasis added.]</w:t>
      </w:r>
    </w:p>
    <w:p w14:paraId="073255E1" w14:textId="77777777" w:rsidR="00144990" w:rsidRPr="00144990" w:rsidRDefault="00144990" w:rsidP="00144990">
      <w:pPr>
        <w:pStyle w:val="Default"/>
        <w:numPr>
          <w:ilvl w:val="1"/>
          <w:numId w:val="19"/>
        </w:numPr>
        <w:rPr>
          <w:rFonts w:ascii="Calibri" w:hAnsi="Calibri" w:cs="Calibri"/>
        </w:rPr>
      </w:pPr>
      <w:r w:rsidRPr="00144990">
        <w:rPr>
          <w:rFonts w:ascii="Calibri" w:hAnsi="Calibri" w:cs="Calibri"/>
        </w:rPr>
        <w:lastRenderedPageBreak/>
        <w:t>KBRA Europe disagrees that it is a firm’s responsibility to examine sector concentrations caused by multiple firms making use of the same CSP or a small group of CSPs. This requirement is not realistic as firms generally do not have knowledge of the outsourcing arrangements and CSPs of other firms within its sector. Sector concentration risk falls within the remit of regulatory authorities.</w:t>
      </w:r>
    </w:p>
    <w:permEnd w:id="1685610127"/>
    <w:p w14:paraId="41A8E824" w14:textId="77777777" w:rsidR="00E33392" w:rsidRDefault="00E33392" w:rsidP="00E33392">
      <w:pPr>
        <w:rPr>
          <w:rFonts w:ascii="Arial" w:hAnsi="Arial" w:cs="Arial"/>
        </w:rPr>
      </w:pPr>
      <w:r>
        <w:rPr>
          <w:rFonts w:ascii="Arial" w:hAnsi="Arial" w:cs="Arial"/>
        </w:rPr>
        <w:t>&lt;ESMA_QUESTION_COGL_3&gt;</w:t>
      </w:r>
    </w:p>
    <w:p w14:paraId="07DE84AC" w14:textId="77777777" w:rsidR="00E33392" w:rsidRDefault="00E33392" w:rsidP="00E33392">
      <w:pPr>
        <w:rPr>
          <w:rFonts w:ascii="Arial" w:hAnsi="Arial" w:cs="Arial"/>
        </w:rPr>
      </w:pPr>
    </w:p>
    <w:p w14:paraId="7E947AEB"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proposed contractual requirements? Please explain. </w:t>
      </w:r>
    </w:p>
    <w:p w14:paraId="213C91AB" w14:textId="77777777" w:rsidR="00E33392" w:rsidRDefault="00E33392" w:rsidP="00E33392">
      <w:pPr>
        <w:rPr>
          <w:rFonts w:ascii="Arial" w:hAnsi="Arial" w:cs="Arial"/>
        </w:rPr>
      </w:pPr>
      <w:r>
        <w:rPr>
          <w:rFonts w:ascii="Arial" w:hAnsi="Arial" w:cs="Arial"/>
        </w:rPr>
        <w:t>&lt;ESMA_QUESTION_COGL_4&gt;</w:t>
      </w:r>
    </w:p>
    <w:p w14:paraId="4A286786" w14:textId="78CE7617" w:rsidR="00144990" w:rsidRDefault="00144990" w:rsidP="00144990">
      <w:pPr>
        <w:rPr>
          <w:rFonts w:ascii="Calibri" w:hAnsi="Calibri" w:cs="Calibri"/>
        </w:rPr>
      </w:pPr>
      <w:permStart w:id="792990084" w:edGrp="everyone"/>
      <w:r w:rsidRPr="00144990">
        <w:rPr>
          <w:rFonts w:ascii="Calibri" w:hAnsi="Calibri" w:cs="Calibri"/>
        </w:rPr>
        <w:t>There are some elements of the proposed contractual requirements that exceed existing contractual standards and would be difficult to implement.</w:t>
      </w:r>
    </w:p>
    <w:p w14:paraId="23954E16" w14:textId="77777777" w:rsidR="00144990" w:rsidRPr="00144990" w:rsidRDefault="00144990" w:rsidP="00144990">
      <w:pPr>
        <w:rPr>
          <w:rFonts w:ascii="Calibri" w:hAnsi="Calibri" w:cs="Calibri"/>
        </w:rPr>
      </w:pPr>
    </w:p>
    <w:p w14:paraId="0B1860F1" w14:textId="2DE179AD" w:rsidR="00144990" w:rsidRDefault="00144990" w:rsidP="00144990">
      <w:pPr>
        <w:rPr>
          <w:rFonts w:ascii="Calibri" w:hAnsi="Calibri" w:cs="Calibri"/>
        </w:rPr>
      </w:pPr>
      <w:r w:rsidRPr="00144990">
        <w:rPr>
          <w:rFonts w:ascii="Calibri" w:hAnsi="Calibri" w:cs="Calibri"/>
        </w:rPr>
        <w:t>Currently, most agreements have a set contract term and termination would only be allowed because of a breach. The requirement for termination with a notice period would be limited to an agreement where there was no fixed end date.</w:t>
      </w:r>
    </w:p>
    <w:p w14:paraId="3E059C38" w14:textId="77777777" w:rsidR="00144990" w:rsidRPr="00144990" w:rsidRDefault="00144990" w:rsidP="00144990">
      <w:pPr>
        <w:rPr>
          <w:rFonts w:ascii="Calibri" w:hAnsi="Calibri" w:cs="Calibri"/>
        </w:rPr>
      </w:pPr>
    </w:p>
    <w:p w14:paraId="414BA82F" w14:textId="7846D6EC" w:rsidR="00144990" w:rsidRDefault="00144990" w:rsidP="00144990">
      <w:pPr>
        <w:rPr>
          <w:rFonts w:ascii="Calibri" w:hAnsi="Calibri" w:cs="Calibri"/>
        </w:rPr>
      </w:pPr>
      <w:r w:rsidRPr="00144990">
        <w:rPr>
          <w:rFonts w:ascii="Calibri" w:hAnsi="Calibri" w:cs="Calibri"/>
        </w:rPr>
        <w:t>Asking a CSP to meet certain regular reporting obligations, carry set insurance coverage, regularly test business continuity and disaster recovery plans, allow access and audit rights by the firm and competent authorities,  are requests that are typically outside the scope of existing agreements. Given the difference in bargaining power between some smaller firms and larger CSPs that provide cloud services, whilst firms may request these measures, CSPs have no obligation to include them in contracts. Many CSPs do not negotiate or modify their standard contractual terms; expecting CSPs to incorporate all these provisions in contracts is unrealistic.</w:t>
      </w:r>
    </w:p>
    <w:p w14:paraId="50B01FFB" w14:textId="77777777" w:rsidR="00144990" w:rsidRPr="00144990" w:rsidRDefault="00144990" w:rsidP="00144990">
      <w:pPr>
        <w:rPr>
          <w:rFonts w:ascii="Calibri" w:hAnsi="Calibri" w:cs="Calibri"/>
        </w:rPr>
      </w:pPr>
    </w:p>
    <w:p w14:paraId="0E7FFA7B" w14:textId="0FC7D0F4" w:rsidR="00144990" w:rsidRDefault="00144990" w:rsidP="00144990">
      <w:pPr>
        <w:rPr>
          <w:rFonts w:ascii="Calibri" w:hAnsi="Calibri" w:cs="Calibri"/>
        </w:rPr>
      </w:pPr>
      <w:r w:rsidRPr="00144990">
        <w:rPr>
          <w:rFonts w:ascii="Calibri" w:hAnsi="Calibri" w:cs="Calibri"/>
        </w:rPr>
        <w:t xml:space="preserve">To the extent that ESMA expects CSPs to provide such contractual terms, KBRA Europe believes that regulatory and supervisory bodies are best placed to require CSP to alter their contractual terms to meet such supervisory requirements. </w:t>
      </w:r>
    </w:p>
    <w:p w14:paraId="7FA7E246" w14:textId="77777777" w:rsidR="00144990" w:rsidRPr="00144990" w:rsidRDefault="00144990" w:rsidP="00144990">
      <w:pPr>
        <w:rPr>
          <w:rFonts w:ascii="Calibri" w:hAnsi="Calibri" w:cs="Calibri"/>
        </w:rPr>
      </w:pPr>
    </w:p>
    <w:p w14:paraId="5EB8E745" w14:textId="77777777" w:rsidR="00144990" w:rsidRPr="00144990" w:rsidRDefault="00144990" w:rsidP="00144990">
      <w:pPr>
        <w:rPr>
          <w:rFonts w:ascii="Calibri" w:hAnsi="Calibri" w:cs="Calibri"/>
        </w:rPr>
      </w:pPr>
      <w:r w:rsidRPr="00144990">
        <w:rPr>
          <w:rFonts w:ascii="Calibri" w:hAnsi="Calibri" w:cs="Calibri"/>
        </w:rPr>
        <w:t>Contractual provisions should be determined by firms on a risk-based approach that depends on the function being outsourced, using the enumerated provisions as suggestions, not requirements, about what to include in agreements.</w:t>
      </w:r>
    </w:p>
    <w:permEnd w:id="792990084"/>
    <w:p w14:paraId="2952A45B" w14:textId="77777777" w:rsidR="00E33392" w:rsidRDefault="00E33392" w:rsidP="00E33392">
      <w:pPr>
        <w:rPr>
          <w:rFonts w:ascii="Arial" w:hAnsi="Arial" w:cs="Arial"/>
        </w:rPr>
      </w:pPr>
      <w:r>
        <w:rPr>
          <w:rFonts w:ascii="Arial" w:hAnsi="Arial" w:cs="Arial"/>
        </w:rPr>
        <w:t>&lt;ESMA_QUESTION_COGL_4&gt;</w:t>
      </w:r>
    </w:p>
    <w:p w14:paraId="62780342" w14:textId="77777777" w:rsidR="00E33392" w:rsidRDefault="00E33392" w:rsidP="00E33392">
      <w:pPr>
        <w:rPr>
          <w:rFonts w:ascii="Arial" w:hAnsi="Arial" w:cs="Arial"/>
        </w:rPr>
      </w:pPr>
    </w:p>
    <w:p w14:paraId="3121F0C4"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information security? Please explain. </w:t>
      </w:r>
    </w:p>
    <w:p w14:paraId="7E1E575B" w14:textId="77777777" w:rsidR="00E33392" w:rsidRDefault="00E33392" w:rsidP="00E33392">
      <w:pPr>
        <w:rPr>
          <w:rFonts w:ascii="Arial" w:hAnsi="Arial" w:cs="Arial"/>
        </w:rPr>
      </w:pPr>
      <w:r>
        <w:rPr>
          <w:rFonts w:ascii="Arial" w:hAnsi="Arial" w:cs="Arial"/>
        </w:rPr>
        <w:t>&lt;ESMA_QUESTION_COGL_5&gt;</w:t>
      </w:r>
    </w:p>
    <w:p w14:paraId="5E06DC89" w14:textId="28974A08" w:rsidR="00782B40" w:rsidRPr="00782B40" w:rsidRDefault="00782B40" w:rsidP="00782B40">
      <w:pPr>
        <w:rPr>
          <w:rFonts w:ascii="Calibri" w:hAnsi="Calibri" w:cs="Calibri"/>
        </w:rPr>
      </w:pPr>
      <w:permStart w:id="1518408103" w:edGrp="everyone"/>
      <w:r w:rsidRPr="00782B40">
        <w:rPr>
          <w:rFonts w:ascii="Calibri" w:hAnsi="Calibri" w:cs="Calibri"/>
        </w:rPr>
        <w:t>KBRA Europe agrees that it is the responsibility of a firm to check that the CSP has appropriate information security controls but believes that this should be completed on a risk-based approach between the firm and the CSP.</w:t>
      </w:r>
    </w:p>
    <w:p w14:paraId="4EFFDDF6" w14:textId="77777777" w:rsidR="00782B40" w:rsidRPr="00782B40" w:rsidRDefault="00782B40" w:rsidP="00782B40">
      <w:pPr>
        <w:rPr>
          <w:rFonts w:ascii="Calibri" w:hAnsi="Calibri" w:cs="Calibri"/>
        </w:rPr>
      </w:pPr>
    </w:p>
    <w:p w14:paraId="48475BD8" w14:textId="77777777" w:rsidR="00782B40" w:rsidRPr="00782B40" w:rsidRDefault="00782B40" w:rsidP="00782B40">
      <w:pPr>
        <w:rPr>
          <w:rFonts w:ascii="Calibri" w:hAnsi="Calibri" w:cs="Calibri"/>
        </w:rPr>
      </w:pPr>
      <w:r w:rsidRPr="00782B40">
        <w:rPr>
          <w:rFonts w:ascii="Calibri" w:hAnsi="Calibri" w:cs="Calibri"/>
        </w:rPr>
        <w:t>The first part of Paragraph 42 says</w:t>
      </w:r>
    </w:p>
    <w:p w14:paraId="749B52C5" w14:textId="6AF89EF9" w:rsidR="00782B40" w:rsidRPr="00782B40" w:rsidRDefault="00782B40" w:rsidP="00782B40">
      <w:pPr>
        <w:rPr>
          <w:rFonts w:ascii="Calibri" w:hAnsi="Calibri" w:cs="Calibri"/>
        </w:rPr>
      </w:pPr>
      <w:r w:rsidRPr="00782B40">
        <w:rPr>
          <w:rFonts w:ascii="Calibri" w:hAnsi="Calibri" w:cs="Calibri"/>
        </w:rPr>
        <w:t xml:space="preserve">‘A firm should set information security requirements in its internal policies and procedures and within the cloud outsourcing written agreement’. KBRA Europe recommends that this </w:t>
      </w:r>
      <w:r w:rsidRPr="00782B40">
        <w:rPr>
          <w:rFonts w:ascii="Calibri" w:hAnsi="Calibri" w:cs="Calibri"/>
        </w:rPr>
        <w:lastRenderedPageBreak/>
        <w:t>section of the proposed guidance be removed as CSPs generally do not allow firms to set information security requirements within the cloud outsourcing written agreement.</w:t>
      </w:r>
    </w:p>
    <w:p w14:paraId="5EF7B4C9" w14:textId="77777777" w:rsidR="00782B40" w:rsidRPr="00782B40" w:rsidRDefault="00782B40" w:rsidP="00782B40">
      <w:pPr>
        <w:rPr>
          <w:rFonts w:ascii="Calibri" w:hAnsi="Calibri" w:cs="Calibri"/>
        </w:rPr>
      </w:pPr>
    </w:p>
    <w:p w14:paraId="05C33F97" w14:textId="5FDF6673" w:rsidR="00782B40" w:rsidRPr="00782B40" w:rsidRDefault="00782B40" w:rsidP="00782B40">
      <w:pPr>
        <w:rPr>
          <w:rFonts w:ascii="Calibri" w:hAnsi="Calibri" w:cs="Calibri"/>
        </w:rPr>
      </w:pPr>
      <w:r w:rsidRPr="00782B40">
        <w:rPr>
          <w:rFonts w:ascii="Calibri" w:hAnsi="Calibri" w:cs="Calibri"/>
        </w:rPr>
        <w:t>The second part of paragraph 42 says ‘and monitor compliance with these requirements on an ongoing basis, including to protect confidential, personal or otherwise sensitive data.’ KBRA Europe recommends that this section be removed or modified as for smaller financial firms, the extent of oversight to manage monitor compliance with these requirements on an ongoing basis would require additional resources that could prove to be prohibitively expensive for smaller financial firms.</w:t>
      </w:r>
    </w:p>
    <w:p w14:paraId="186A250B" w14:textId="53FFF0B3" w:rsidR="00782B40" w:rsidRPr="00782B40" w:rsidRDefault="00782B40" w:rsidP="00782B40">
      <w:pPr>
        <w:rPr>
          <w:rFonts w:ascii="Calibri" w:hAnsi="Calibri" w:cs="Calibri"/>
        </w:rPr>
      </w:pPr>
    </w:p>
    <w:p w14:paraId="7F80DDD0" w14:textId="77777777" w:rsidR="002F4814" w:rsidRDefault="00782B40" w:rsidP="00782B40">
      <w:pPr>
        <w:rPr>
          <w:rFonts w:ascii="Calibri" w:hAnsi="Calibri" w:cs="Calibri"/>
        </w:rPr>
      </w:pPr>
      <w:bookmarkStart w:id="2" w:name="_Hlk49510986"/>
      <w:r w:rsidRPr="00782B40">
        <w:rPr>
          <w:rFonts w:ascii="Calibri" w:hAnsi="Calibri" w:cs="Calibri"/>
        </w:rPr>
        <w:t>The first part of Part (a) of paragraph 43 says ‘a firm, applying a risk-based approach, should at least: ensure that there is a clear allocation of information security roles and responsibilities between the firm and the CSP, including in relation to threat detection, incident management and patch management”.</w:t>
      </w:r>
    </w:p>
    <w:p w14:paraId="64968A9C" w14:textId="2FF5B080" w:rsidR="00782B40" w:rsidRPr="00782B40" w:rsidRDefault="00782B40" w:rsidP="00782B40">
      <w:pPr>
        <w:rPr>
          <w:rFonts w:ascii="Calibri" w:hAnsi="Calibri" w:cs="Calibri"/>
        </w:rPr>
      </w:pPr>
      <w:r w:rsidRPr="00782B40">
        <w:rPr>
          <w:rFonts w:ascii="Calibri" w:hAnsi="Calibri" w:cs="Calibri"/>
        </w:rPr>
        <w:t xml:space="preserve"> </w:t>
      </w:r>
      <w:bookmarkEnd w:id="2"/>
    </w:p>
    <w:p w14:paraId="7E506367" w14:textId="77777777" w:rsidR="00782B40" w:rsidRPr="00782B40" w:rsidRDefault="00782B40" w:rsidP="00782B40">
      <w:pPr>
        <w:rPr>
          <w:rFonts w:ascii="Calibri" w:hAnsi="Calibri" w:cs="Calibri"/>
        </w:rPr>
      </w:pPr>
      <w:r w:rsidRPr="00782B40">
        <w:rPr>
          <w:rFonts w:ascii="Calibri" w:hAnsi="Calibri" w:cs="Calibri"/>
        </w:rPr>
        <w:t xml:space="preserve">KBRA Europe recommends this section be removed as smaller financial firms are not well-positioned to direct CSPs on the allocation of their information security roles and responsibilities. Given the difference in bargaining power between most smaller firms and larger CSPs, whilst firms may request certain allocations of roles and responsibilities, CSPs have no obligation to include them in contracts. To the extent that ESMA expects CSPs to provide such contractual terms, KBRA Europe believes that regulatory and supervisory bodies are best placed to require CSP to alter their contractual terms to meet such supervisory requirements. </w:t>
      </w:r>
    </w:p>
    <w:p w14:paraId="1CC1ED81" w14:textId="227D2ABD" w:rsidR="00782B40" w:rsidRPr="00782B40" w:rsidRDefault="00782B40" w:rsidP="00782B40">
      <w:pPr>
        <w:rPr>
          <w:rFonts w:ascii="Calibri" w:hAnsi="Calibri" w:cs="Calibri"/>
        </w:rPr>
      </w:pPr>
    </w:p>
    <w:p w14:paraId="22F7762D" w14:textId="5C8B9B73" w:rsidR="00782B40" w:rsidRDefault="00782B40" w:rsidP="00782B40">
      <w:pPr>
        <w:rPr>
          <w:rFonts w:ascii="Calibri" w:hAnsi="Calibri" w:cs="Calibri"/>
        </w:rPr>
      </w:pPr>
      <w:r w:rsidRPr="00782B40">
        <w:rPr>
          <w:rFonts w:ascii="Calibri" w:hAnsi="Calibri" w:cs="Calibri"/>
        </w:rPr>
        <w:t xml:space="preserve">The first part of Part (h) of paragraph 43 says ‘a firm, applying a risk-based approach, should at least: ensure that the CSP complies with internationally recognised information security </w:t>
      </w:r>
      <w:proofErr w:type="gramStart"/>
      <w:r w:rsidRPr="00782B40">
        <w:rPr>
          <w:rFonts w:ascii="Calibri" w:hAnsi="Calibri" w:cs="Calibri"/>
        </w:rPr>
        <w:t>standards’</w:t>
      </w:r>
      <w:proofErr w:type="gramEnd"/>
      <w:r w:rsidRPr="00782B40">
        <w:rPr>
          <w:rFonts w:ascii="Calibri" w:hAnsi="Calibri" w:cs="Calibri"/>
        </w:rPr>
        <w:t>.</w:t>
      </w:r>
    </w:p>
    <w:p w14:paraId="72D76E48" w14:textId="77777777" w:rsidR="00782B40" w:rsidRPr="00782B40" w:rsidRDefault="00782B40" w:rsidP="00782B40">
      <w:pPr>
        <w:rPr>
          <w:rFonts w:ascii="Calibri" w:hAnsi="Calibri" w:cs="Calibri"/>
        </w:rPr>
      </w:pPr>
    </w:p>
    <w:p w14:paraId="0A7D5825" w14:textId="40DD3A2A" w:rsidR="00782B40" w:rsidRPr="00782B40" w:rsidRDefault="00782B40" w:rsidP="00782B40">
      <w:pPr>
        <w:rPr>
          <w:rFonts w:ascii="Calibri" w:hAnsi="Calibri" w:cs="Calibri"/>
        </w:rPr>
      </w:pPr>
      <w:r w:rsidRPr="00782B40">
        <w:rPr>
          <w:rFonts w:ascii="Calibri" w:hAnsi="Calibri" w:cs="Calibri"/>
        </w:rPr>
        <w:t>KBRA Europe recommends this section be removed as smaller financial firms are not well-positioned to direct CSPs on compliance with internationally recognised information security standards</w:t>
      </w:r>
      <w:r>
        <w:rPr>
          <w:rFonts w:ascii="Calibri" w:hAnsi="Calibri" w:cs="Calibri"/>
        </w:rPr>
        <w:t xml:space="preserve">. </w:t>
      </w:r>
      <w:r w:rsidRPr="00782B40">
        <w:rPr>
          <w:rFonts w:ascii="Calibri" w:hAnsi="Calibri" w:cs="Calibri"/>
        </w:rPr>
        <w:t xml:space="preserve">Given the difference in bargaining power between most smaller firms and larger CSPs, whilst firms may request compliance with internationally recognized information security standards, CSPs have no obligation to include them in contracts. To the extent that ESMA expects CSPs to provide such contractual terms, KBRA Europe believes that regulatory and supervisory bodies are best placed to require CSPs to alter their contractual terms to meet such supervisory requirements. </w:t>
      </w:r>
    </w:p>
    <w:p w14:paraId="36DD65F5" w14:textId="4DAEA263" w:rsidR="00782B40" w:rsidRDefault="00782B40" w:rsidP="00782B40"/>
    <w:p w14:paraId="2695DD9A" w14:textId="40F92AEB" w:rsidR="00782B40" w:rsidRDefault="00782B40" w:rsidP="00782B40">
      <w:pPr>
        <w:rPr>
          <w:rFonts w:ascii="Calibri" w:hAnsi="Calibri" w:cs="Calibri"/>
        </w:rPr>
      </w:pPr>
      <w:r w:rsidRPr="00782B40">
        <w:rPr>
          <w:rFonts w:ascii="Calibri" w:hAnsi="Calibri" w:cs="Calibri"/>
        </w:rPr>
        <w:t xml:space="preserve">The second part of Part (h) of paragraph 43 says ‘a firm, applying a risk-based approach, has implemented appropriate information security controls (for example by requesting the CSP to provide evidence that it conducts relevant information security reviews and by performing regular assessments and tests on the CSPs information security arrangements’. CSPs generally do not allow firms to perform regular tests on their information security arrangements as these would likely violate their own confidentiality and internal security policies. Given the difference in bargaining power between some smaller firms and larger CSPs, whilst firms may request the right to conduct regular tests on CSP’s information security arrangements, CSPs have no obligation to include them in contracts. Many CSPs do </w:t>
      </w:r>
      <w:r w:rsidRPr="00782B40">
        <w:rPr>
          <w:rFonts w:ascii="Calibri" w:hAnsi="Calibri" w:cs="Calibri"/>
        </w:rPr>
        <w:lastRenderedPageBreak/>
        <w:t>not negotiate or modify their standard contractual terms; expecting CSPs to incorporate such a provision in contracts is unrealistic.  To the extent that ESMA expects firms to conduct testing on CSPs information security arrangements, KBRA Europe believes that regulatory and supervisory bodies are best placed to require CSPs to alter their contractual terms to meet such supervisory requirements</w:t>
      </w:r>
      <w:r>
        <w:rPr>
          <w:rFonts w:ascii="Calibri" w:hAnsi="Calibri" w:cs="Calibri"/>
        </w:rPr>
        <w:t>.</w:t>
      </w:r>
    </w:p>
    <w:p w14:paraId="31F047AC" w14:textId="77777777" w:rsidR="00782B40" w:rsidRPr="00782B40" w:rsidRDefault="00782B40" w:rsidP="00782B40">
      <w:pPr>
        <w:rPr>
          <w:rFonts w:ascii="Calibri" w:hAnsi="Calibri" w:cs="Calibri"/>
        </w:rPr>
      </w:pPr>
    </w:p>
    <w:p w14:paraId="3F988EE6" w14:textId="69FA6434" w:rsidR="00782B40" w:rsidRPr="00C67A48" w:rsidRDefault="00782B40" w:rsidP="00782B40">
      <w:r w:rsidRPr="00782B40">
        <w:rPr>
          <w:rFonts w:ascii="Calibri" w:hAnsi="Calibri" w:cs="Calibri"/>
        </w:rPr>
        <w:t>For these reasons, KBRA Europe recommends that part (h) or paragraph 43 be replaced with a requirement that a firm should apply a risk-based approach to determine that the CSP applies adequate information security standards on an ongoing basis.</w:t>
      </w:r>
    </w:p>
    <w:permEnd w:id="1518408103"/>
    <w:p w14:paraId="3C8D8777" w14:textId="77777777" w:rsidR="00E33392" w:rsidRDefault="00E33392" w:rsidP="00E33392">
      <w:pPr>
        <w:rPr>
          <w:rFonts w:ascii="Arial" w:hAnsi="Arial" w:cs="Arial"/>
        </w:rPr>
      </w:pPr>
      <w:r>
        <w:rPr>
          <w:rFonts w:ascii="Arial" w:hAnsi="Arial" w:cs="Arial"/>
        </w:rPr>
        <w:t>&lt;ESMA_QUESTION_COGL_5&gt;</w:t>
      </w:r>
    </w:p>
    <w:p w14:paraId="1C92B0C8" w14:textId="77777777" w:rsidR="00E33392" w:rsidRDefault="00E33392" w:rsidP="00E33392">
      <w:pPr>
        <w:rPr>
          <w:rFonts w:ascii="Arial" w:hAnsi="Arial" w:cs="Arial"/>
        </w:rPr>
      </w:pPr>
    </w:p>
    <w:p w14:paraId="4294A63F"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exit strategies? Please explain. </w:t>
      </w:r>
    </w:p>
    <w:p w14:paraId="5BBAA490" w14:textId="77777777" w:rsidR="00E33392" w:rsidRDefault="00E33392" w:rsidP="00E33392">
      <w:pPr>
        <w:rPr>
          <w:rFonts w:ascii="Arial" w:hAnsi="Arial" w:cs="Arial"/>
        </w:rPr>
      </w:pPr>
      <w:r>
        <w:rPr>
          <w:rFonts w:ascii="Arial" w:hAnsi="Arial" w:cs="Arial"/>
        </w:rPr>
        <w:t>&lt;ESMA_QUESTION_COGL_6&gt;</w:t>
      </w:r>
    </w:p>
    <w:p w14:paraId="087970BC" w14:textId="645E230A" w:rsidR="00782B40" w:rsidRPr="00782B40" w:rsidRDefault="00782B40" w:rsidP="00782B40">
      <w:pPr>
        <w:rPr>
          <w:rFonts w:ascii="Calibri" w:hAnsi="Calibri" w:cs="Calibri"/>
        </w:rPr>
      </w:pPr>
      <w:permStart w:id="1998543046" w:edGrp="everyone"/>
      <w:r w:rsidRPr="00782B40">
        <w:rPr>
          <w:rFonts w:ascii="Calibri" w:hAnsi="Calibri" w:cs="Calibri"/>
        </w:rPr>
        <w:t xml:space="preserve">KBRA Europe agrees that consideration should be given to exit plans for outsourced critical and important function </w:t>
      </w:r>
      <w:proofErr w:type="gramStart"/>
      <w:r w:rsidRPr="00782B40">
        <w:rPr>
          <w:rFonts w:ascii="Calibri" w:hAnsi="Calibri" w:cs="Calibri"/>
        </w:rPr>
        <w:t>in order to</w:t>
      </w:r>
      <w:proofErr w:type="gramEnd"/>
      <w:r w:rsidRPr="00782B40">
        <w:rPr>
          <w:rFonts w:ascii="Calibri" w:hAnsi="Calibri" w:cs="Calibri"/>
        </w:rPr>
        <w:t xml:space="preserve"> avoid business disruption, but that firms should consider exit plans on a risk-based approach. Additionally, full testing of exit plans may not represent the best use of limited IT and operational resources, particularly for smaller firms that generally do not have the resources to fully test exit plans. ESMA should consider that exit strategies can be managed effectively by the firm based the size of the CSP and the service that the CSP provides to the firm.</w:t>
      </w:r>
    </w:p>
    <w:p w14:paraId="0A73114D" w14:textId="77777777" w:rsidR="00782B40" w:rsidRPr="00782B40" w:rsidRDefault="00782B40" w:rsidP="00782B40">
      <w:pPr>
        <w:rPr>
          <w:rFonts w:ascii="Calibri" w:hAnsi="Calibri" w:cs="Calibri"/>
        </w:rPr>
      </w:pPr>
    </w:p>
    <w:p w14:paraId="35E6A4AE" w14:textId="77777777" w:rsidR="00782B40" w:rsidRPr="00782B40" w:rsidRDefault="00782B40" w:rsidP="00782B40">
      <w:pPr>
        <w:rPr>
          <w:rFonts w:ascii="Calibri" w:hAnsi="Calibri" w:cs="Calibri"/>
        </w:rPr>
      </w:pPr>
      <w:r w:rsidRPr="00782B40">
        <w:rPr>
          <w:rFonts w:ascii="Calibri" w:hAnsi="Calibri" w:cs="Calibri"/>
        </w:rPr>
        <w:t>Whilst in most cases it is reasonable to expect that a CSP will orderly transfer the outsourced function and related data, and delete a firm’s data from the CSPs systems once the agreement has concluded, this may not be applicable or permitted in all circumstances; for example transferring a function or data may not be relevant for some CSPs, and a CSP may retain certain data for regulatory, legal, or other reasons. Thus, a contractual requirement that a CSP transfer the outsourced function and related data, and a requirement to ensure that the CSP delete a firm’s data from the CSP’s systems once a firm exits the relationship may be inapplicable or impermissible in some situations. Also, given the difference in bargaining power between some smaller financial firms and larger CSPs that provide essential services, whilst firms may request these measures, CSPs have no obligation to include them in contracts. Many CSPs do not negotiate or modify their standard contractual terms; expecting CSPs to incorporate these provisions in all contracts is unrealistic.</w:t>
      </w:r>
    </w:p>
    <w:permEnd w:id="1998543046"/>
    <w:p w14:paraId="425323A3" w14:textId="77777777" w:rsidR="00E33392" w:rsidRDefault="00E33392" w:rsidP="00E33392">
      <w:pPr>
        <w:rPr>
          <w:rFonts w:ascii="Arial" w:hAnsi="Arial" w:cs="Arial"/>
        </w:rPr>
      </w:pPr>
      <w:r>
        <w:rPr>
          <w:rFonts w:ascii="Arial" w:hAnsi="Arial" w:cs="Arial"/>
        </w:rPr>
        <w:t>&lt;ESMA_QUESTION_COGL_6&gt;</w:t>
      </w:r>
    </w:p>
    <w:p w14:paraId="0A8B0746" w14:textId="77777777" w:rsidR="00E33392" w:rsidRDefault="00E33392" w:rsidP="00E33392">
      <w:pPr>
        <w:rPr>
          <w:rFonts w:ascii="Arial" w:hAnsi="Arial" w:cs="Arial"/>
        </w:rPr>
      </w:pPr>
    </w:p>
    <w:p w14:paraId="12A2C0DB"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access and audit rights? Please explain. </w:t>
      </w:r>
    </w:p>
    <w:p w14:paraId="08CD3C6C" w14:textId="77777777" w:rsidR="00E33392" w:rsidRDefault="00E33392" w:rsidP="00E33392">
      <w:pPr>
        <w:rPr>
          <w:rFonts w:ascii="Arial" w:hAnsi="Arial" w:cs="Arial"/>
        </w:rPr>
      </w:pPr>
      <w:r>
        <w:rPr>
          <w:rFonts w:ascii="Arial" w:hAnsi="Arial" w:cs="Arial"/>
        </w:rPr>
        <w:t>&lt;ESMA_QUESTION_COGL_7&gt;</w:t>
      </w:r>
    </w:p>
    <w:p w14:paraId="5F482A84" w14:textId="62490FF0" w:rsidR="00782B40" w:rsidRDefault="00782B40" w:rsidP="00782B40">
      <w:pPr>
        <w:rPr>
          <w:rFonts w:ascii="Calibri" w:hAnsi="Calibri" w:cs="Calibri"/>
        </w:rPr>
      </w:pPr>
      <w:permStart w:id="1893742938" w:edGrp="everyone"/>
      <w:r w:rsidRPr="00782B40">
        <w:rPr>
          <w:rFonts w:ascii="Calibri" w:hAnsi="Calibri" w:cs="Calibri"/>
        </w:rPr>
        <w:t xml:space="preserve">ESMA’s suggestion is not industry standard, and it is expected that CSPs will generally be unwilling to agree to access and audit rights, particularly on-site access and audit rights, or access and audit rights of certain documents and systems due to confidentiality and security concerns. Given the difference in bargaining power between some smaller financial firms and larger CSPs that provide essential services, whilst firms may request these measures, CSPs have no obligation to include them in contracts. Many CSPs do not negotiate or modify </w:t>
      </w:r>
      <w:r w:rsidRPr="00782B40">
        <w:rPr>
          <w:rFonts w:ascii="Calibri" w:hAnsi="Calibri" w:cs="Calibri"/>
        </w:rPr>
        <w:lastRenderedPageBreak/>
        <w:t>their standard contractual terms; expecting CSPs to incorporate these provisions in all contracts is unrealistic.</w:t>
      </w:r>
    </w:p>
    <w:p w14:paraId="27F54E98" w14:textId="77777777" w:rsidR="00782B40" w:rsidRPr="00782B40" w:rsidRDefault="00782B40" w:rsidP="00782B40">
      <w:pPr>
        <w:rPr>
          <w:rFonts w:ascii="Calibri" w:hAnsi="Calibri" w:cs="Calibri"/>
        </w:rPr>
      </w:pPr>
    </w:p>
    <w:p w14:paraId="6E940309" w14:textId="40E64871" w:rsidR="00782B40" w:rsidRDefault="00782B40" w:rsidP="00782B40">
      <w:pPr>
        <w:rPr>
          <w:rFonts w:ascii="Calibri" w:hAnsi="Calibri" w:cs="Calibri"/>
        </w:rPr>
      </w:pPr>
      <w:r w:rsidRPr="00782B40">
        <w:rPr>
          <w:rFonts w:ascii="Calibri" w:hAnsi="Calibri" w:cs="Calibri"/>
        </w:rPr>
        <w:t>For smaller financial firms, the extent of oversight to manage third-party certifications required by parts (a) to (e) of paragraph 51 would require additional resources.</w:t>
      </w:r>
    </w:p>
    <w:p w14:paraId="5D75ED4B" w14:textId="77777777" w:rsidR="00782B40" w:rsidRPr="00782B40" w:rsidRDefault="00782B40" w:rsidP="00782B40">
      <w:pPr>
        <w:rPr>
          <w:rFonts w:ascii="Calibri" w:hAnsi="Calibri" w:cs="Calibri"/>
        </w:rPr>
      </w:pPr>
    </w:p>
    <w:p w14:paraId="3F455E7D" w14:textId="77777777" w:rsidR="00782B40" w:rsidRPr="00782B40" w:rsidRDefault="00782B40" w:rsidP="00782B40">
      <w:pPr>
        <w:rPr>
          <w:rFonts w:ascii="Calibri" w:hAnsi="Calibri" w:cs="Calibri"/>
        </w:rPr>
      </w:pPr>
      <w:r w:rsidRPr="00782B40">
        <w:rPr>
          <w:rFonts w:ascii="Calibri" w:hAnsi="Calibri" w:cs="Calibri"/>
        </w:rPr>
        <w:t>Part (f) of paragraph 51 says that for firms to make use of third-party certifications and external or internal audit reports then the firm needs to have the contractual right to request the expansion of the scope of the certifications or audit reports to other relevant systems and controls of the CSP. It is not industry standard that CSPs will make this contractual right available to firms. As with access and audit rights, many CSPs do not negotiate or modify their standard contractual terms, so expecting CSPs to incorporate provisions that would require them to expand the scope of their certifications at the request of a firm is unrealistic.</w:t>
      </w:r>
    </w:p>
    <w:permEnd w:id="1893742938"/>
    <w:p w14:paraId="4493AAD0" w14:textId="40A39998" w:rsidR="00E33392" w:rsidRDefault="00E33392" w:rsidP="00E33392">
      <w:pPr>
        <w:rPr>
          <w:rFonts w:ascii="Arial" w:hAnsi="Arial" w:cs="Arial"/>
        </w:rPr>
      </w:pPr>
    </w:p>
    <w:p w14:paraId="700CD483" w14:textId="77777777" w:rsidR="00E33392" w:rsidRDefault="00E33392" w:rsidP="00E33392">
      <w:pPr>
        <w:rPr>
          <w:rFonts w:ascii="Arial" w:hAnsi="Arial" w:cs="Arial"/>
        </w:rPr>
      </w:pPr>
      <w:r>
        <w:rPr>
          <w:rFonts w:ascii="Arial" w:hAnsi="Arial" w:cs="Arial"/>
        </w:rPr>
        <w:t>&lt;ESMA_QUESTION_COGL_7&gt;</w:t>
      </w:r>
    </w:p>
    <w:p w14:paraId="37419575" w14:textId="77777777" w:rsidR="00E33392" w:rsidRDefault="00E33392" w:rsidP="00E33392">
      <w:pPr>
        <w:rPr>
          <w:rFonts w:ascii="Arial" w:hAnsi="Arial" w:cs="Arial"/>
        </w:rPr>
      </w:pPr>
    </w:p>
    <w:p w14:paraId="6A0F8AAF"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sub-outsourcing? Please explain. </w:t>
      </w:r>
    </w:p>
    <w:p w14:paraId="71484BF7" w14:textId="77777777" w:rsidR="00E33392" w:rsidRDefault="00E33392" w:rsidP="00E33392">
      <w:pPr>
        <w:rPr>
          <w:rFonts w:ascii="Arial" w:hAnsi="Arial" w:cs="Arial"/>
        </w:rPr>
      </w:pPr>
      <w:r>
        <w:rPr>
          <w:rFonts w:ascii="Arial" w:hAnsi="Arial" w:cs="Arial"/>
        </w:rPr>
        <w:t>&lt;ESMA_QUESTION_COGL_8&gt;</w:t>
      </w:r>
    </w:p>
    <w:p w14:paraId="6B4A0651" w14:textId="059CDDBA" w:rsidR="00782B40" w:rsidRPr="00782B40" w:rsidRDefault="00782B40" w:rsidP="00782B40">
      <w:pPr>
        <w:rPr>
          <w:rFonts w:ascii="Calibri" w:hAnsi="Calibri" w:cs="Calibri"/>
        </w:rPr>
      </w:pPr>
      <w:permStart w:id="311951876" w:edGrp="everyone"/>
      <w:r w:rsidRPr="00782B40">
        <w:rPr>
          <w:rFonts w:ascii="Calibri" w:hAnsi="Calibri" w:cs="Calibri"/>
        </w:rPr>
        <w:t>Given the difference in bargaining power between some smaller financial firms and larger CSPs that provide essential services, whilst firms may request certain measures regarding sub-outsourcing arrangements, CSPs have no obligation to include them in contracts. Many CSPs do not negotiate or modify their standard contractual terms; expecting CSPs to incorporate these provisions in all contracts is unrealistic.</w:t>
      </w:r>
    </w:p>
    <w:p w14:paraId="6DF2D48D" w14:textId="77777777" w:rsidR="00782B40" w:rsidRPr="00782B40" w:rsidRDefault="00782B40" w:rsidP="00782B40">
      <w:pPr>
        <w:rPr>
          <w:rFonts w:ascii="Calibri" w:hAnsi="Calibri" w:cs="Calibri"/>
        </w:rPr>
      </w:pPr>
    </w:p>
    <w:p w14:paraId="11E15321" w14:textId="77777777" w:rsidR="00782B40" w:rsidRDefault="00782B40" w:rsidP="00782B40">
      <w:r w:rsidRPr="00782B40">
        <w:rPr>
          <w:rFonts w:ascii="Calibri" w:hAnsi="Calibri" w:cs="Calibri"/>
        </w:rPr>
        <w:t>It is also unrealistic to expect that a firm ensures that a CSP appropriately oversees its sub-outsourcers, as a firm generally does not have that level of access or oversight of a CSP’s operations, and it would be overly burdensome especially as some CSPs use multiple sub-outsourcers</w:t>
      </w:r>
      <w:r>
        <w:t>.</w:t>
      </w:r>
    </w:p>
    <w:permEnd w:id="311951876"/>
    <w:p w14:paraId="2BD64044" w14:textId="77777777" w:rsidR="00E33392" w:rsidRDefault="00E33392" w:rsidP="00E33392">
      <w:pPr>
        <w:rPr>
          <w:rFonts w:ascii="Arial" w:hAnsi="Arial" w:cs="Arial"/>
        </w:rPr>
      </w:pPr>
      <w:r>
        <w:rPr>
          <w:rFonts w:ascii="Arial" w:hAnsi="Arial" w:cs="Arial"/>
        </w:rPr>
        <w:t>&lt;ESMA_QUESTION_COGL_8&gt;</w:t>
      </w:r>
    </w:p>
    <w:p w14:paraId="556C43A6" w14:textId="77777777" w:rsidR="00E33392" w:rsidRDefault="00E33392" w:rsidP="00E33392">
      <w:pPr>
        <w:rPr>
          <w:rFonts w:ascii="Arial" w:hAnsi="Arial" w:cs="Arial"/>
        </w:rPr>
      </w:pPr>
    </w:p>
    <w:p w14:paraId="356C1411"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notification requirements to competent authorities? Please explain. </w:t>
      </w:r>
    </w:p>
    <w:p w14:paraId="0E4AA513" w14:textId="77777777" w:rsidR="00E33392" w:rsidRDefault="00E33392" w:rsidP="00E33392">
      <w:pPr>
        <w:rPr>
          <w:rFonts w:ascii="Arial" w:hAnsi="Arial" w:cs="Arial"/>
        </w:rPr>
      </w:pPr>
      <w:r>
        <w:rPr>
          <w:rFonts w:ascii="Arial" w:hAnsi="Arial" w:cs="Arial"/>
        </w:rPr>
        <w:t>&lt;ESMA_QUESTION_COGL_9&gt;</w:t>
      </w:r>
    </w:p>
    <w:p w14:paraId="42FDE7E2" w14:textId="77777777" w:rsidR="00CF466B" w:rsidRDefault="00CF466B" w:rsidP="00CF466B">
      <w:permStart w:id="943999632" w:edGrp="everyone"/>
      <w:r w:rsidRPr="00CF466B">
        <w:rPr>
          <w:rFonts w:ascii="Calibri" w:hAnsi="Calibri" w:cs="Calibri"/>
        </w:rPr>
        <w:t>KBRA Europe believes the level of detail to be notified to competent authorities in a timely manner at the planning phase is unduly burdensome for smaller financial firms and will require additional resources for firms to manage the initial notification, any subsequent revisions to the initial notification, and follow-up inquiries from the competent authorities. KBRA Europe would also have concerns that ongoing correspondence with competent authorities could delay the outsourcing of a function and potentially have a negative effect on a firm</w:t>
      </w:r>
      <w:r>
        <w:t>.</w:t>
      </w:r>
    </w:p>
    <w:permEnd w:id="943999632"/>
    <w:p w14:paraId="2CCDB13B" w14:textId="77777777" w:rsidR="00E33392" w:rsidRDefault="00E33392" w:rsidP="00E33392">
      <w:pPr>
        <w:rPr>
          <w:rFonts w:ascii="Arial" w:hAnsi="Arial" w:cs="Arial"/>
        </w:rPr>
      </w:pPr>
      <w:r>
        <w:rPr>
          <w:rFonts w:ascii="Arial" w:hAnsi="Arial" w:cs="Arial"/>
        </w:rPr>
        <w:t>&lt;ESMA_QUESTION_COGL_9&gt;</w:t>
      </w:r>
    </w:p>
    <w:p w14:paraId="6A15004B" w14:textId="77777777" w:rsidR="00E33392" w:rsidRDefault="00E33392" w:rsidP="00E33392">
      <w:pPr>
        <w:rPr>
          <w:rFonts w:ascii="Arial" w:hAnsi="Arial" w:cs="Arial"/>
        </w:rPr>
      </w:pPr>
    </w:p>
    <w:p w14:paraId="42B9319C" w14:textId="77777777" w:rsidR="00E33392" w:rsidRDefault="00E33392" w:rsidP="00E33392">
      <w:pPr>
        <w:pStyle w:val="Questionstyle"/>
        <w:numPr>
          <w:ilvl w:val="0"/>
          <w:numId w:val="17"/>
        </w:numPr>
        <w:spacing w:after="250" w:line="276" w:lineRule="auto"/>
        <w:rPr>
          <w:rFonts w:ascii="Arial" w:hAnsi="Arial" w:cs="Arial"/>
        </w:rPr>
      </w:pPr>
      <w:r>
        <w:lastRenderedPageBreak/>
        <w:t xml:space="preserve">: Do you agree with the suggested approach regarding the supervision of cloud outsourcing arrangements by competent authorities? Please explain. </w:t>
      </w:r>
    </w:p>
    <w:p w14:paraId="55B10AE2" w14:textId="77777777" w:rsidR="00E33392" w:rsidRDefault="00E33392" w:rsidP="00E33392">
      <w:pPr>
        <w:rPr>
          <w:rFonts w:ascii="Arial" w:hAnsi="Arial" w:cs="Arial"/>
        </w:rPr>
      </w:pPr>
      <w:r>
        <w:rPr>
          <w:rFonts w:ascii="Arial" w:hAnsi="Arial" w:cs="Arial"/>
        </w:rPr>
        <w:t>&lt;ESMA_QUESTION_COGL_10&gt;</w:t>
      </w:r>
    </w:p>
    <w:p w14:paraId="03FB5872" w14:textId="77777777" w:rsidR="00E33392" w:rsidRDefault="00E33392" w:rsidP="00E33392">
      <w:pPr>
        <w:rPr>
          <w:rFonts w:ascii="Arial" w:hAnsi="Arial" w:cs="Arial"/>
        </w:rPr>
      </w:pPr>
      <w:permStart w:id="1987337014" w:edGrp="everyone"/>
      <w:r>
        <w:rPr>
          <w:rFonts w:ascii="Arial" w:hAnsi="Arial" w:cs="Arial"/>
        </w:rPr>
        <w:t>TYPE YOUR TEXT HERE</w:t>
      </w:r>
    </w:p>
    <w:permEnd w:id="1987337014"/>
    <w:p w14:paraId="5C7CC6CF" w14:textId="77777777" w:rsidR="00E33392" w:rsidRDefault="00E33392" w:rsidP="00E33392">
      <w:pPr>
        <w:rPr>
          <w:rFonts w:ascii="Arial" w:hAnsi="Arial" w:cs="Arial"/>
        </w:rPr>
      </w:pPr>
      <w:r>
        <w:rPr>
          <w:rFonts w:ascii="Arial" w:hAnsi="Arial" w:cs="Arial"/>
        </w:rPr>
        <w:t>&lt;ESMA_QUESTION_COGL_10&gt;</w:t>
      </w:r>
    </w:p>
    <w:p w14:paraId="39E3D249" w14:textId="77777777" w:rsidR="00E33392" w:rsidRDefault="00E33392" w:rsidP="00E33392">
      <w:pPr>
        <w:rPr>
          <w:rFonts w:ascii="Arial" w:hAnsi="Arial" w:cs="Arial"/>
        </w:rPr>
      </w:pPr>
    </w:p>
    <w:p w14:paraId="74070140" w14:textId="77777777" w:rsidR="00E33392" w:rsidRDefault="00E33392" w:rsidP="00E33392">
      <w:pPr>
        <w:pStyle w:val="Questionstyle"/>
        <w:numPr>
          <w:ilvl w:val="0"/>
          <w:numId w:val="17"/>
        </w:numPr>
        <w:spacing w:after="250" w:line="276" w:lineRule="auto"/>
        <w:rPr>
          <w:rFonts w:ascii="Arial" w:hAnsi="Arial" w:cs="Arial"/>
        </w:rPr>
      </w:pPr>
      <w:r>
        <w:t xml:space="preserve">: Do you have any further comment or suggestion on the draft guidelines? Please explain. </w:t>
      </w:r>
    </w:p>
    <w:p w14:paraId="4BC7E012" w14:textId="77777777" w:rsidR="00E33392" w:rsidRDefault="00E33392" w:rsidP="00E33392">
      <w:pPr>
        <w:rPr>
          <w:rFonts w:ascii="Arial" w:hAnsi="Arial" w:cs="Arial"/>
        </w:rPr>
      </w:pPr>
      <w:r>
        <w:rPr>
          <w:rFonts w:ascii="Arial" w:hAnsi="Arial" w:cs="Arial"/>
        </w:rPr>
        <w:t>&lt;ESMA_QUESTION_COGL_11&gt;</w:t>
      </w:r>
    </w:p>
    <w:p w14:paraId="0EF021D4" w14:textId="77777777" w:rsidR="00933EE8" w:rsidRPr="00933EE8" w:rsidRDefault="00933EE8" w:rsidP="00933EE8">
      <w:pPr>
        <w:rPr>
          <w:rFonts w:ascii="Calibri" w:hAnsi="Calibri" w:cs="Calibri"/>
        </w:rPr>
      </w:pPr>
      <w:bookmarkStart w:id="3" w:name="_Hlk49868814"/>
      <w:bookmarkStart w:id="4" w:name="_Hlk49868945"/>
      <w:permStart w:id="2023358740" w:edGrp="everyone"/>
      <w:r w:rsidRPr="00933EE8">
        <w:rPr>
          <w:rFonts w:ascii="Calibri" w:hAnsi="Calibri" w:cs="Calibri"/>
        </w:rPr>
        <w:t xml:space="preserve">Many of the prescriptive requirements contained in the draft guidelines </w:t>
      </w:r>
      <w:bookmarkEnd w:id="4"/>
      <w:r w:rsidRPr="00933EE8">
        <w:rPr>
          <w:rFonts w:ascii="Calibri" w:hAnsi="Calibri" w:cs="Calibri"/>
        </w:rPr>
        <w:t xml:space="preserve">like audit and access rights </w:t>
      </w:r>
      <w:bookmarkStart w:id="5" w:name="_Hlk49868856"/>
      <w:r w:rsidRPr="00933EE8">
        <w:rPr>
          <w:rFonts w:ascii="Calibri" w:hAnsi="Calibri" w:cs="Calibri"/>
        </w:rPr>
        <w:t>may be appropriate for certain specialised financial service providers like settlement firms, who execute a core part of a broker dealer’s services. These outsourcing relationships are very different to those between a small financial firm and a large CSP (</w:t>
      </w:r>
      <w:proofErr w:type="spellStart"/>
      <w:r w:rsidRPr="00933EE8">
        <w:rPr>
          <w:rFonts w:ascii="Calibri" w:hAnsi="Calibri" w:cs="Calibri"/>
        </w:rPr>
        <w:t>ie</w:t>
      </w:r>
      <w:proofErr w:type="spellEnd"/>
      <w:r w:rsidRPr="00933EE8">
        <w:rPr>
          <w:rFonts w:ascii="Calibri" w:hAnsi="Calibri" w:cs="Calibri"/>
        </w:rPr>
        <w:t xml:space="preserve">. Azure, Amazon), where the CSP may simply host data for firms to perform their own work. We believe that this distinction should be </w:t>
      </w:r>
      <w:proofErr w:type="gramStart"/>
      <w:r w:rsidRPr="00933EE8">
        <w:rPr>
          <w:rFonts w:ascii="Calibri" w:hAnsi="Calibri" w:cs="Calibri"/>
        </w:rPr>
        <w:t>recognised</w:t>
      </w:r>
      <w:proofErr w:type="gramEnd"/>
      <w:r w:rsidRPr="00933EE8">
        <w:rPr>
          <w:rFonts w:ascii="Calibri" w:hAnsi="Calibri" w:cs="Calibri"/>
        </w:rPr>
        <w:t xml:space="preserve"> and the expectation of competent authorities can be adjusted in line with the nature of the outsourcing relationship. </w:t>
      </w:r>
      <w:bookmarkEnd w:id="5"/>
    </w:p>
    <w:bookmarkEnd w:id="3"/>
    <w:p w14:paraId="33AD3E05" w14:textId="5F596156" w:rsidR="00933EE8" w:rsidRDefault="00933EE8" w:rsidP="00CF466B">
      <w:pPr>
        <w:rPr>
          <w:rFonts w:ascii="Calibri" w:hAnsi="Calibri" w:cs="Calibri"/>
        </w:rPr>
      </w:pPr>
    </w:p>
    <w:p w14:paraId="2E03850C" w14:textId="2460B4C9" w:rsidR="00933EE8" w:rsidRDefault="00933EE8" w:rsidP="00933EE8">
      <w:pPr>
        <w:rPr>
          <w:rFonts w:ascii="Calibri" w:hAnsi="Calibri" w:cs="Calibri"/>
        </w:rPr>
      </w:pPr>
      <w:r w:rsidRPr="00CF466B">
        <w:rPr>
          <w:rFonts w:ascii="Calibri" w:hAnsi="Calibri" w:cs="Calibri"/>
        </w:rPr>
        <w:t>KBRA would</w:t>
      </w:r>
      <w:r>
        <w:rPr>
          <w:rFonts w:ascii="Calibri" w:hAnsi="Calibri" w:cs="Calibri"/>
        </w:rPr>
        <w:t xml:space="preserve"> also</w:t>
      </w:r>
      <w:r w:rsidRPr="00CF466B">
        <w:rPr>
          <w:rFonts w:ascii="Calibri" w:hAnsi="Calibri" w:cs="Calibri"/>
        </w:rPr>
        <w:t xml:space="preserve"> suggest including the scope of the guidelines for global organisations.</w:t>
      </w:r>
    </w:p>
    <w:p w14:paraId="1A3A89E3" w14:textId="77777777" w:rsidR="00933EE8" w:rsidRPr="00CF466B" w:rsidRDefault="00933EE8" w:rsidP="00CF466B">
      <w:pPr>
        <w:rPr>
          <w:rFonts w:ascii="Calibri" w:hAnsi="Calibri" w:cs="Calibri"/>
        </w:rPr>
      </w:pPr>
    </w:p>
    <w:permEnd w:id="2023358740"/>
    <w:p w14:paraId="710B7D8F" w14:textId="77777777" w:rsidR="00E33392" w:rsidRDefault="00E33392" w:rsidP="00E33392">
      <w:pPr>
        <w:rPr>
          <w:rFonts w:ascii="Arial" w:hAnsi="Arial" w:cs="Arial"/>
        </w:rPr>
      </w:pPr>
      <w:r>
        <w:rPr>
          <w:rFonts w:ascii="Arial" w:hAnsi="Arial" w:cs="Arial"/>
        </w:rPr>
        <w:t>&lt;ESMA_QUESTION_COGL_11&gt;</w:t>
      </w:r>
    </w:p>
    <w:p w14:paraId="60DCD49A" w14:textId="77777777" w:rsidR="00E33392" w:rsidRDefault="00E33392" w:rsidP="00E33392">
      <w:pPr>
        <w:rPr>
          <w:rFonts w:ascii="Arial" w:hAnsi="Arial" w:cs="Arial"/>
        </w:rPr>
      </w:pPr>
    </w:p>
    <w:p w14:paraId="12D50951" w14:textId="77777777" w:rsidR="00E33392" w:rsidRDefault="00E33392" w:rsidP="00E33392">
      <w:pPr>
        <w:pStyle w:val="Questionstyle"/>
        <w:numPr>
          <w:ilvl w:val="0"/>
          <w:numId w:val="17"/>
        </w:numPr>
        <w:spacing w:after="250" w:line="276" w:lineRule="auto"/>
        <w:rPr>
          <w:rFonts w:ascii="Arial" w:hAnsi="Arial" w:cs="Arial"/>
        </w:rPr>
      </w:pPr>
      <w:r>
        <w:t xml:space="preserve">: What level of resources (financial and other) would be required to implement and comply with the guidelines and for which related cost (please distinguish between one off and ongoing costs)? When responding to this question, please provide information on the size, internal set-up and the nature, scale and complexity of the activities of your organization, where relevant. </w:t>
      </w:r>
    </w:p>
    <w:p w14:paraId="11D31516" w14:textId="77777777" w:rsidR="00E33392" w:rsidRDefault="00E33392" w:rsidP="00E33392">
      <w:pPr>
        <w:rPr>
          <w:rFonts w:ascii="Arial" w:hAnsi="Arial" w:cs="Arial"/>
        </w:rPr>
      </w:pPr>
      <w:r>
        <w:rPr>
          <w:rFonts w:ascii="Arial" w:hAnsi="Arial" w:cs="Arial"/>
        </w:rPr>
        <w:t>&lt;ESMA_QUESTION_COGL_12&gt;</w:t>
      </w:r>
    </w:p>
    <w:p w14:paraId="69904752" w14:textId="45D8D881" w:rsidR="00CF466B" w:rsidRPr="00CF466B" w:rsidRDefault="00CF466B" w:rsidP="00CF466B">
      <w:pPr>
        <w:rPr>
          <w:rFonts w:ascii="Calibri" w:hAnsi="Calibri" w:cs="Calibri"/>
        </w:rPr>
      </w:pPr>
      <w:permStart w:id="752842500" w:edGrp="everyone"/>
      <w:r w:rsidRPr="00CF466B">
        <w:rPr>
          <w:rFonts w:ascii="Calibri" w:hAnsi="Calibri" w:cs="Calibri"/>
        </w:rPr>
        <w:t>KBRA Europe has 16 employees and is part of the KBRA group of companies that has over 400 employees in the US and Europe. Cloud outsourcing for KBRA Europe is currently co-ordinated and executed in the US.</w:t>
      </w:r>
    </w:p>
    <w:p w14:paraId="2AF6B28B" w14:textId="77777777" w:rsidR="00CF466B" w:rsidRPr="00CF466B" w:rsidRDefault="00CF466B" w:rsidP="00CF466B">
      <w:pPr>
        <w:rPr>
          <w:rFonts w:ascii="Calibri" w:hAnsi="Calibri" w:cs="Calibri"/>
        </w:rPr>
      </w:pPr>
    </w:p>
    <w:p w14:paraId="5F0CF2F9" w14:textId="77777777" w:rsidR="00CF466B" w:rsidRPr="00CF466B" w:rsidRDefault="00CF466B" w:rsidP="00CF466B">
      <w:pPr>
        <w:rPr>
          <w:rFonts w:ascii="Calibri" w:hAnsi="Calibri" w:cs="Calibri"/>
        </w:rPr>
      </w:pPr>
      <w:r w:rsidRPr="00CF466B">
        <w:rPr>
          <w:rFonts w:ascii="Calibri" w:hAnsi="Calibri" w:cs="Calibri"/>
        </w:rPr>
        <w:t xml:space="preserve">It is estimated that it would require two additional employees to establish and maintain the register, co-ordinate an outsourcing oversight committee, liaise with relevant internal departments, conduct ongoing outsourcing </w:t>
      </w:r>
      <w:proofErr w:type="gramStart"/>
      <w:r w:rsidRPr="00CF466B">
        <w:rPr>
          <w:rFonts w:ascii="Calibri" w:hAnsi="Calibri" w:cs="Calibri"/>
        </w:rPr>
        <w:t>reviews</w:t>
      </w:r>
      <w:proofErr w:type="gramEnd"/>
      <w:r w:rsidRPr="00CF466B">
        <w:rPr>
          <w:rFonts w:ascii="Calibri" w:hAnsi="Calibri" w:cs="Calibri"/>
        </w:rPr>
        <w:t xml:space="preserve"> and oversee the regulatory reporting requirements.</w:t>
      </w:r>
    </w:p>
    <w:permEnd w:id="752842500"/>
    <w:p w14:paraId="51805C32" w14:textId="77777777" w:rsidR="00E33392" w:rsidRDefault="00E33392" w:rsidP="00E33392">
      <w:pPr>
        <w:rPr>
          <w:rFonts w:ascii="Arial" w:hAnsi="Arial" w:cs="Arial"/>
        </w:rPr>
      </w:pPr>
      <w:r>
        <w:rPr>
          <w:rFonts w:ascii="Arial" w:hAnsi="Arial" w:cs="Arial"/>
        </w:rPr>
        <w:t>&lt;ESMA_QUESTION_COGL_12&gt;</w:t>
      </w:r>
    </w:p>
    <w:p w14:paraId="445DBCA9" w14:textId="77777777" w:rsidR="00E33392" w:rsidRDefault="00E33392" w:rsidP="00E33392">
      <w:pPr>
        <w:rPr>
          <w:rFonts w:ascii="Arial" w:hAnsi="Arial" w:cs="Arial"/>
        </w:rPr>
      </w:pPr>
    </w:p>
    <w:p w14:paraId="485156CC" w14:textId="77777777" w:rsidR="00C85C8B" w:rsidRDefault="00C85C8B" w:rsidP="00C1698A">
      <w:pPr>
        <w:spacing w:line="276" w:lineRule="auto"/>
        <w:rPr>
          <w:rFonts w:asciiTheme="minorHAnsi" w:hAnsiTheme="minorHAnsi" w:cstheme="minorHAnsi"/>
          <w:b/>
          <w:sz w:val="28"/>
          <w:szCs w:val="28"/>
        </w:rPr>
      </w:pPr>
    </w:p>
    <w:p w14:paraId="737BB6E8" w14:textId="77777777" w:rsidR="00C85C8B" w:rsidRDefault="00C85C8B" w:rsidP="00C1698A">
      <w:pPr>
        <w:spacing w:line="276" w:lineRule="auto"/>
        <w:rPr>
          <w:rFonts w:asciiTheme="minorHAnsi" w:hAnsiTheme="minorHAnsi" w:cstheme="minorHAnsi"/>
          <w:b/>
          <w:sz w:val="28"/>
          <w:szCs w:val="28"/>
        </w:rPr>
      </w:pPr>
    </w:p>
    <w:p w14:paraId="6C24EA93" w14:textId="77777777" w:rsidR="00C85C8B" w:rsidRDefault="00C85C8B" w:rsidP="00C1698A">
      <w:pPr>
        <w:spacing w:line="276" w:lineRule="auto"/>
        <w:rPr>
          <w:rFonts w:asciiTheme="minorHAnsi" w:hAnsiTheme="minorHAnsi" w:cstheme="minorHAnsi"/>
          <w:b/>
          <w:sz w:val="28"/>
          <w:szCs w:val="28"/>
        </w:rPr>
      </w:pPr>
    </w:p>
    <w:p w14:paraId="5F47F2D3" w14:textId="77777777" w:rsidR="00C85C8B" w:rsidRDefault="00C85C8B" w:rsidP="00C1698A">
      <w:pPr>
        <w:spacing w:line="276" w:lineRule="auto"/>
        <w:rPr>
          <w:rFonts w:asciiTheme="minorHAnsi" w:hAnsiTheme="minorHAnsi" w:cstheme="minorHAnsi"/>
          <w:b/>
          <w:sz w:val="28"/>
          <w:szCs w:val="28"/>
        </w:rPr>
      </w:pPr>
    </w:p>
    <w:bookmarkEnd w:id="1"/>
    <w:p w14:paraId="141C1406" w14:textId="2DCBE16C" w:rsidR="002156A3" w:rsidRDefault="002156A3" w:rsidP="00804656">
      <w:pPr>
        <w:spacing w:after="120" w:line="264" w:lineRule="auto"/>
        <w:rPr>
          <w:rFonts w:asciiTheme="minorHAnsi" w:hAnsiTheme="minorHAnsi" w:cstheme="minorHAnsi"/>
          <w:b/>
          <w:sz w:val="28"/>
          <w:szCs w:val="28"/>
        </w:rPr>
      </w:pPr>
    </w:p>
    <w:sectPr w:rsidR="002156A3"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94DD4" w14:textId="77777777" w:rsidR="006E7184" w:rsidRDefault="006E7184" w:rsidP="007E7997">
      <w:r>
        <w:separator/>
      </w:r>
    </w:p>
  </w:endnote>
  <w:endnote w:type="continuationSeparator" w:id="0">
    <w:p w14:paraId="1065DD88" w14:textId="77777777" w:rsidR="006E7184" w:rsidRDefault="006E7184" w:rsidP="007E7997">
      <w:r>
        <w:continuationSeparator/>
      </w:r>
    </w:p>
  </w:endnote>
  <w:endnote w:type="continuationNotice" w:id="1">
    <w:p w14:paraId="563779CF" w14:textId="77777777" w:rsidR="006E7184" w:rsidRDefault="006E7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2A4B306C" w14:textId="77777777"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218D6479"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79FFC" w14:textId="7301BD04"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904B25">
      <w:rPr>
        <w:rFonts w:asciiTheme="majorHAnsi" w:hAnsiTheme="majorHAnsi"/>
        <w:color w:val="FFFFFF" w:themeColor="background1"/>
      </w:rPr>
      <w:t>03</w:t>
    </w:r>
    <w:r w:rsidR="00AB6157">
      <w:rPr>
        <w:rFonts w:asciiTheme="majorHAnsi" w:hAnsiTheme="majorHAnsi"/>
        <w:color w:val="FFFFFF" w:themeColor="background1"/>
      </w:rPr>
      <w:t xml:space="preserve"> </w:t>
    </w:r>
    <w:r w:rsidR="00904B25">
      <w:rPr>
        <w:rFonts w:asciiTheme="majorHAnsi" w:hAnsiTheme="majorHAnsi"/>
        <w:color w:val="FFFFFF" w:themeColor="background1"/>
      </w:rPr>
      <w:t>June</w:t>
    </w:r>
    <w:r w:rsidR="00AB6157">
      <w:rPr>
        <w:rFonts w:asciiTheme="majorHAnsi" w:hAnsiTheme="majorHAnsi"/>
        <w:color w:val="FFFFFF" w:themeColor="background1"/>
      </w:rPr>
      <w:t xml:space="preserve"> 20</w:t>
    </w:r>
    <w:r w:rsidR="004132A8">
      <w:rPr>
        <w:rFonts w:asciiTheme="majorHAnsi" w:hAnsiTheme="majorHAnsi"/>
        <w:color w:val="FFFFFF" w:themeColor="background1"/>
      </w:rPr>
      <w:t>20</w:t>
    </w:r>
    <w:r w:rsidR="00FF6930">
      <w:rPr>
        <w:rFonts w:asciiTheme="majorHAnsi" w:hAnsiTheme="majorHAnsi"/>
        <w:color w:val="FFFFFF" w:themeColor="background1"/>
      </w:rPr>
      <w:t xml:space="preserve"> </w:t>
    </w:r>
    <w:r w:rsidR="00FF6930" w:rsidRPr="005B467C">
      <w:rPr>
        <w:rFonts w:asciiTheme="majorHAnsi" w:hAnsiTheme="majorHAnsi"/>
        <w:color w:val="FFFFFF" w:themeColor="background1"/>
      </w:rPr>
      <w:t>ESMA</w:t>
    </w:r>
    <w:r w:rsidR="00904B25">
      <w:rPr>
        <w:rFonts w:asciiTheme="majorHAnsi" w:hAnsiTheme="majorHAnsi"/>
        <w:color w:val="FFFFFF" w:themeColor="background1"/>
      </w:rPr>
      <w:t>-XX</w:t>
    </w:r>
    <w:r w:rsidR="00236822">
      <w:rPr>
        <w:rFonts w:asciiTheme="majorHAnsi" w:hAnsiTheme="majorHAnsi"/>
        <w:color w:val="FFFFFF" w:themeColor="background1"/>
      </w:rPr>
      <w:t>-</w:t>
    </w:r>
    <w:r w:rsidR="00904B25">
      <w:rPr>
        <w:rFonts w:asciiTheme="majorHAnsi" w:hAnsiTheme="majorHAnsi"/>
        <w:color w:val="FFFFFF" w:themeColor="background1"/>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031F2ED0" w14:textId="77777777"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539303" w14:textId="77777777"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68C0E" w14:textId="77777777" w:rsidR="006E7184" w:rsidRDefault="006E7184" w:rsidP="007E7997">
      <w:r>
        <w:separator/>
      </w:r>
    </w:p>
  </w:footnote>
  <w:footnote w:type="continuationSeparator" w:id="0">
    <w:p w14:paraId="5A4467C7" w14:textId="77777777" w:rsidR="006E7184" w:rsidRDefault="006E7184" w:rsidP="007E7997">
      <w:r>
        <w:continuationSeparator/>
      </w:r>
    </w:p>
  </w:footnote>
  <w:footnote w:type="continuationNotice" w:id="1">
    <w:p w14:paraId="06E31026" w14:textId="77777777" w:rsidR="006E7184" w:rsidRDefault="006E7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A73A" w14:textId="77777777" w:rsidR="00E36813" w:rsidRDefault="00E36813">
    <w:pPr>
      <w:pStyle w:val="Header"/>
    </w:pPr>
  </w:p>
  <w:p w14:paraId="4C660DBF"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75C28" w14:textId="77777777" w:rsidR="00E36813" w:rsidRDefault="00E36813">
    <w:pPr>
      <w:pStyle w:val="Header"/>
    </w:pPr>
    <w:r>
      <w:rPr>
        <w:noProof/>
      </w:rPr>
      <w:drawing>
        <wp:anchor distT="0" distB="0" distL="114300" distR="114300" simplePos="0" relativeHeight="251658752" behindDoc="0" locked="0" layoutInCell="1" allowOverlap="1" wp14:anchorId="73E2F79D" wp14:editId="65424755">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AB7671D" wp14:editId="28FB9835">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A1CE8" w14:textId="77777777"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70AE678" wp14:editId="583872CB">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E6BE9"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4F73A687" w14:textId="77777777"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0898B07D" wp14:editId="64B75D9C">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2C8765E" w14:textId="77777777" w:rsidR="00E36813" w:rsidRPr="00C3170E" w:rsidRDefault="00E36813" w:rsidP="00B50534">
    <w:pPr>
      <w:pStyle w:val="Header"/>
      <w:jc w:val="right"/>
      <w:rPr>
        <w:color w:val="2F5496" w:themeColor="accent5" w:themeShade="BF"/>
        <w:sz w:val="20"/>
      </w:rPr>
    </w:pPr>
  </w:p>
  <w:p w14:paraId="7F71A825"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528F6"/>
    <w:multiLevelType w:val="hybridMultilevel"/>
    <w:tmpl w:val="F29C0446"/>
    <w:lvl w:ilvl="0" w:tplc="DC869A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A27DFBE"/>
    <w:multiLevelType w:val="hybridMultilevel"/>
    <w:tmpl w:val="F4539F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1"/>
  </w:num>
  <w:num w:numId="4">
    <w:abstractNumId w:val="2"/>
  </w:num>
  <w:num w:numId="5">
    <w:abstractNumId w:val="8"/>
  </w:num>
  <w:num w:numId="6">
    <w:abstractNumId w:val="13"/>
  </w:num>
  <w:num w:numId="7">
    <w:abstractNumId w:val="7"/>
  </w:num>
  <w:num w:numId="8">
    <w:abstractNumId w:val="3"/>
  </w:num>
  <w:num w:numId="9">
    <w:abstractNumId w:val="6"/>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documentProtection w:edit="readOnly" w:enforcement="1" w:cryptProviderType="rsaAES" w:cryptAlgorithmClass="hash" w:cryptAlgorithmType="typeAny" w:cryptAlgorithmSid="14" w:cryptSpinCount="100000" w:hash="+XAgd11iZRHotn1lq6k0czGKbP7UjSZGc3qO5PW9YgqveF5WLhwuC9kWhrRSNh/x3g0wET2HrpyHtUkBvyFJ+Q==" w:salt="/iWRCmYLf1jZlddrEC3FTQ=="/>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2195"/>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974EF"/>
    <w:rsid w:val="000A03C9"/>
    <w:rsid w:val="000A12CC"/>
    <w:rsid w:val="000A2738"/>
    <w:rsid w:val="000A2DF1"/>
    <w:rsid w:val="000A3D10"/>
    <w:rsid w:val="000A409B"/>
    <w:rsid w:val="000A66FC"/>
    <w:rsid w:val="000A741E"/>
    <w:rsid w:val="000B1615"/>
    <w:rsid w:val="000B29A1"/>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E3DD2"/>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990"/>
    <w:rsid w:val="00144AAD"/>
    <w:rsid w:val="001455E7"/>
    <w:rsid w:val="00145BE2"/>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2BCB"/>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2A84"/>
    <w:rsid w:val="001E3E0D"/>
    <w:rsid w:val="001E4A45"/>
    <w:rsid w:val="001E5E30"/>
    <w:rsid w:val="001F0479"/>
    <w:rsid w:val="001F1F10"/>
    <w:rsid w:val="001F23C9"/>
    <w:rsid w:val="001F275F"/>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36822"/>
    <w:rsid w:val="0024299F"/>
    <w:rsid w:val="002449D8"/>
    <w:rsid w:val="00244B86"/>
    <w:rsid w:val="00244C97"/>
    <w:rsid w:val="0024512F"/>
    <w:rsid w:val="00245406"/>
    <w:rsid w:val="002455D7"/>
    <w:rsid w:val="00245D2E"/>
    <w:rsid w:val="00246E1D"/>
    <w:rsid w:val="002472F6"/>
    <w:rsid w:val="0025020D"/>
    <w:rsid w:val="00254CC2"/>
    <w:rsid w:val="002562DC"/>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99D"/>
    <w:rsid w:val="002E3D0B"/>
    <w:rsid w:val="002E3E7D"/>
    <w:rsid w:val="002E6909"/>
    <w:rsid w:val="002F3640"/>
    <w:rsid w:val="002F4814"/>
    <w:rsid w:val="002F6279"/>
    <w:rsid w:val="003013B7"/>
    <w:rsid w:val="00301993"/>
    <w:rsid w:val="00301E55"/>
    <w:rsid w:val="00307397"/>
    <w:rsid w:val="003101EF"/>
    <w:rsid w:val="00312BDD"/>
    <w:rsid w:val="00314117"/>
    <w:rsid w:val="00317EDF"/>
    <w:rsid w:val="003279E7"/>
    <w:rsid w:val="00327B62"/>
    <w:rsid w:val="00331FE9"/>
    <w:rsid w:val="0033324D"/>
    <w:rsid w:val="00334B85"/>
    <w:rsid w:val="0033587C"/>
    <w:rsid w:val="00336BF9"/>
    <w:rsid w:val="003371E8"/>
    <w:rsid w:val="00337471"/>
    <w:rsid w:val="0034151D"/>
    <w:rsid w:val="00342B5B"/>
    <w:rsid w:val="00342CA1"/>
    <w:rsid w:val="00343532"/>
    <w:rsid w:val="00345469"/>
    <w:rsid w:val="003454ED"/>
    <w:rsid w:val="00345EB9"/>
    <w:rsid w:val="0034659B"/>
    <w:rsid w:val="0035030F"/>
    <w:rsid w:val="003519DD"/>
    <w:rsid w:val="00353C4B"/>
    <w:rsid w:val="003545A6"/>
    <w:rsid w:val="00356C60"/>
    <w:rsid w:val="003578D1"/>
    <w:rsid w:val="00363639"/>
    <w:rsid w:val="00366D42"/>
    <w:rsid w:val="0036748C"/>
    <w:rsid w:val="00372615"/>
    <w:rsid w:val="00372EA3"/>
    <w:rsid w:val="00373A3C"/>
    <w:rsid w:val="00376233"/>
    <w:rsid w:val="00380B30"/>
    <w:rsid w:val="00381784"/>
    <w:rsid w:val="00381EB0"/>
    <w:rsid w:val="00382A72"/>
    <w:rsid w:val="00382EBA"/>
    <w:rsid w:val="0038331A"/>
    <w:rsid w:val="0039135B"/>
    <w:rsid w:val="00392F3A"/>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9BC"/>
    <w:rsid w:val="003F0EDF"/>
    <w:rsid w:val="003F20C7"/>
    <w:rsid w:val="003F39B1"/>
    <w:rsid w:val="003F66B7"/>
    <w:rsid w:val="00400D9C"/>
    <w:rsid w:val="00400FBE"/>
    <w:rsid w:val="004022CF"/>
    <w:rsid w:val="004029B1"/>
    <w:rsid w:val="004038F1"/>
    <w:rsid w:val="00404282"/>
    <w:rsid w:val="0040743A"/>
    <w:rsid w:val="00407623"/>
    <w:rsid w:val="00407A74"/>
    <w:rsid w:val="004114D5"/>
    <w:rsid w:val="004132A8"/>
    <w:rsid w:val="00414210"/>
    <w:rsid w:val="004159DB"/>
    <w:rsid w:val="00420A23"/>
    <w:rsid w:val="00420FD4"/>
    <w:rsid w:val="004242B3"/>
    <w:rsid w:val="00426D62"/>
    <w:rsid w:val="00427A89"/>
    <w:rsid w:val="00430C5B"/>
    <w:rsid w:val="00431968"/>
    <w:rsid w:val="00433936"/>
    <w:rsid w:val="004346B0"/>
    <w:rsid w:val="0043475E"/>
    <w:rsid w:val="00435FE9"/>
    <w:rsid w:val="00436279"/>
    <w:rsid w:val="0044199E"/>
    <w:rsid w:val="0044206D"/>
    <w:rsid w:val="00444803"/>
    <w:rsid w:val="00445696"/>
    <w:rsid w:val="00446E5F"/>
    <w:rsid w:val="004479DE"/>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2128"/>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A5590"/>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4295"/>
    <w:rsid w:val="006255EC"/>
    <w:rsid w:val="00625A25"/>
    <w:rsid w:val="0062736A"/>
    <w:rsid w:val="0063565E"/>
    <w:rsid w:val="00636E02"/>
    <w:rsid w:val="00641DB1"/>
    <w:rsid w:val="00642297"/>
    <w:rsid w:val="0064354D"/>
    <w:rsid w:val="00644A34"/>
    <w:rsid w:val="0065440E"/>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4804"/>
    <w:rsid w:val="006C5BF8"/>
    <w:rsid w:val="006C7CCB"/>
    <w:rsid w:val="006D50BA"/>
    <w:rsid w:val="006D6009"/>
    <w:rsid w:val="006D7D41"/>
    <w:rsid w:val="006E2F4D"/>
    <w:rsid w:val="006E3FDD"/>
    <w:rsid w:val="006E58FB"/>
    <w:rsid w:val="006E5D82"/>
    <w:rsid w:val="006E66B2"/>
    <w:rsid w:val="006E6C50"/>
    <w:rsid w:val="006E7184"/>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F57"/>
    <w:rsid w:val="0073173E"/>
    <w:rsid w:val="007319C3"/>
    <w:rsid w:val="0073454F"/>
    <w:rsid w:val="00735C00"/>
    <w:rsid w:val="007364C6"/>
    <w:rsid w:val="00740BF3"/>
    <w:rsid w:val="00741D5C"/>
    <w:rsid w:val="0074352F"/>
    <w:rsid w:val="00745C42"/>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2B40"/>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19EC"/>
    <w:rsid w:val="007D7A59"/>
    <w:rsid w:val="007E0E75"/>
    <w:rsid w:val="007E390E"/>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4656"/>
    <w:rsid w:val="0081028F"/>
    <w:rsid w:val="008107D9"/>
    <w:rsid w:val="0081093B"/>
    <w:rsid w:val="00810EA3"/>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4FD5"/>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1993"/>
    <w:rsid w:val="008F3386"/>
    <w:rsid w:val="008F3AD9"/>
    <w:rsid w:val="008F4642"/>
    <w:rsid w:val="008F4E00"/>
    <w:rsid w:val="008F761D"/>
    <w:rsid w:val="00900D44"/>
    <w:rsid w:val="00902520"/>
    <w:rsid w:val="00904B25"/>
    <w:rsid w:val="00906DC4"/>
    <w:rsid w:val="0091457F"/>
    <w:rsid w:val="0091729E"/>
    <w:rsid w:val="0093261E"/>
    <w:rsid w:val="00933EE8"/>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0B24"/>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061D"/>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082E"/>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56A5"/>
    <w:rsid w:val="00CE66B5"/>
    <w:rsid w:val="00CF466B"/>
    <w:rsid w:val="00CF52DF"/>
    <w:rsid w:val="00CF5832"/>
    <w:rsid w:val="00CF5911"/>
    <w:rsid w:val="00CF7221"/>
    <w:rsid w:val="00CF724E"/>
    <w:rsid w:val="00D00263"/>
    <w:rsid w:val="00D059F5"/>
    <w:rsid w:val="00D05FC4"/>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92"/>
    <w:rsid w:val="00E333AC"/>
    <w:rsid w:val="00E3456B"/>
    <w:rsid w:val="00E35C16"/>
    <w:rsid w:val="00E36085"/>
    <w:rsid w:val="00E36813"/>
    <w:rsid w:val="00E42382"/>
    <w:rsid w:val="00E5117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48A4"/>
    <w:rsid w:val="00E95FD8"/>
    <w:rsid w:val="00EA0283"/>
    <w:rsid w:val="00EA5941"/>
    <w:rsid w:val="00EA5DE1"/>
    <w:rsid w:val="00EB0C86"/>
    <w:rsid w:val="00EB0E16"/>
    <w:rsid w:val="00EB1A57"/>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8B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4990"/>
    <w:pPr>
      <w:autoSpaceDE w:val="0"/>
      <w:autoSpaceDN w:val="0"/>
      <w:adjustRightInd w:val="0"/>
      <w:spacing w:after="0" w:line="240" w:lineRule="auto"/>
    </w:pPr>
    <w:rPr>
      <w:rFonts w:ascii="Arial" w:eastAsiaTheme="minorHAns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698583694">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090d947-cb5a-4e71-a094-4f979ca4aec0">ESMA33-5-790</_dlc_DocId>
    <_dlc_DocIdUrl xmlns="a090d947-cb5a-4e71-a094-4f979ca4aec0">
      <Url>https://sherpa.esma.europa.eu/sites/INICRA/_layouts/15/DocIdRedir.aspx?ID=ESMA33-5-790</Url>
      <Description>ESMA33-5-790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B6560E9A24C3B4882DC62FF61E31B11" ma:contentTypeVersion="3" ma:contentTypeDescription="Create a new document." ma:contentTypeScope="" ma:versionID="353d26400937ca566966251df31cd836">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6DDCF-67A8-4146-BE6F-A11A0B2EA36E}">
  <ds:schemaRefs>
    <ds:schemaRef ds:uri="http://schemas.microsoft.com/sharepoint/events"/>
  </ds:schemaRefs>
</ds:datastoreItem>
</file>

<file path=customXml/itemProps2.xml><?xml version="1.0" encoding="utf-8"?>
<ds:datastoreItem xmlns:ds="http://schemas.openxmlformats.org/officeDocument/2006/customXml" ds:itemID="{8F7F3439-3E9D-49C4-9C3C-12CD53E9FA53}">
  <ds:schemaRefs>
    <ds:schemaRef ds:uri="http://schemas.microsoft.com/sharepoint/v3/contenttype/forms"/>
  </ds:schemaRefs>
</ds:datastoreItem>
</file>

<file path=customXml/itemProps3.xml><?xml version="1.0" encoding="utf-8"?>
<ds:datastoreItem xmlns:ds="http://schemas.openxmlformats.org/officeDocument/2006/customXml" ds:itemID="{F50BB32D-1D6C-4FEC-883B-66709530BE9F}">
  <ds:schemaRefs>
    <ds:schemaRef ds:uri="http://schemas.microsoft.com/office/2006/metadata/properties"/>
    <ds:schemaRef ds:uri="http://schemas.microsoft.com/office/infopath/2007/PartnerControls"/>
    <ds:schemaRef ds:uri="a090d947-cb5a-4e71-a094-4f979ca4aec0"/>
  </ds:schemaRefs>
</ds:datastoreItem>
</file>

<file path=customXml/itemProps4.xml><?xml version="1.0" encoding="utf-8"?>
<ds:datastoreItem xmlns:ds="http://schemas.openxmlformats.org/officeDocument/2006/customXml" ds:itemID="{0C4709F1-D735-476B-8E7D-9D79551CFC13}">
  <ds:schemaRefs>
    <ds:schemaRef ds:uri="http://schemas.openxmlformats.org/officeDocument/2006/bibliography"/>
  </ds:schemaRefs>
</ds:datastoreItem>
</file>

<file path=customXml/itemProps5.xml><?xml version="1.0" encoding="utf-8"?>
<ds:datastoreItem xmlns:ds="http://schemas.openxmlformats.org/officeDocument/2006/customXml" ds:itemID="{970698CD-90C4-493F-84B6-44A99DC9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3108</Words>
  <Characters>17721</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2020-09-01T10:36:00Z</dcterms:created>
  <dcterms:modified xsi:type="dcterms:W3CDTF">2020-09-01T15:56:00Z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ebe96076533d4a3ebf64abfb595c8cab">
    <vt:lpwstr/>
  </property>
  <property fmtid="{D5CDD505-2E9C-101B-9397-08002B2CF9AE}" pid="4" name="Topic">
    <vt:lpwstr/>
  </property>
  <property fmtid="{D5CDD505-2E9C-101B-9397-08002B2CF9AE}" pid="5" name="TeamName">
    <vt:lpwstr>70;#Investment Management|9630b78b-e81c-4ffd-baef-5f8b4aeb7ac5</vt:lpwstr>
  </property>
  <property fmtid="{D5CDD505-2E9C-101B-9397-08002B2CF9AE}" pid="6" name="Document Language">
    <vt:lpwstr/>
  </property>
  <property fmtid="{D5CDD505-2E9C-101B-9397-08002B2CF9AE}" pid="7" name="LegalInstrument">
    <vt:lpwstr>27;#Guidelines|5e144655-8ff3-49e5-b82a-b036da8a9173</vt:lpwstr>
  </property>
  <property fmtid="{D5CDD505-2E9C-101B-9397-08002B2CF9AE}" pid="8" name="MemberState">
    <vt:lpwstr/>
  </property>
  <property fmtid="{D5CDD505-2E9C-101B-9397-08002B2CF9AE}" pid="9" name="ConfidentialityLevel">
    <vt:lpwstr>2;#Regular|07f1e362-856b-423d-bea6-a14079762141</vt:lpwstr>
  </property>
  <property fmtid="{D5CDD505-2E9C-101B-9397-08002B2CF9AE}" pid="10" name="ContentTypeId">
    <vt:lpwstr>0x0101008B6560E9A24C3B4882DC62FF61E31B11</vt:lpwstr>
  </property>
  <property fmtid="{D5CDD505-2E9C-101B-9397-08002B2CF9AE}" pid="11" name="k2a4e0e239ca426ba867042d07636a92">
    <vt:lpwstr>Report|78753201-1e9e-4a21-a088-6ff602b5c999</vt:lpwstr>
  </property>
  <property fmtid="{D5CDD505-2E9C-101B-9397-08002B2CF9AE}" pid="12" name="TaxCatchAll">
    <vt:lpwstr>117;#Other Work|f1a52b52-917d-42ef-9667-945839604bb2;#32;#Report|78753201-1e9e-4a21-a088-6ff602b5c999;#2;#Regular|07f1e362-856b-423d-bea6-a14079762141;#70;#Investment Management|9630b78b-e81c-4ffd-baef-5f8b4aeb7ac5</vt:lpwstr>
  </property>
  <property fmtid="{D5CDD505-2E9C-101B-9397-08002B2CF9AE}" pid="13" name="_docset_NoMedatataSyncRequired">
    <vt:lpwstr>False</vt:lpwstr>
  </property>
  <property fmtid="{D5CDD505-2E9C-101B-9397-08002B2CF9AE}" pid="14" name="Stakeholder">
    <vt:lpwstr/>
  </property>
  <property fmtid="{D5CDD505-2E9C-101B-9397-08002B2CF9AE}" pid="15" name="ec60598a2cb14c5fbb15899e6f9fdcae">
    <vt:lpwstr/>
  </property>
  <property fmtid="{D5CDD505-2E9C-101B-9397-08002B2CF9AE}" pid="16" name="f73b170dc53b40b9aa315b795e235780">
    <vt:lpwstr>Investment Management|9630b78b-e81c-4ffd-baef-5f8b4aeb7ac5</vt:lpwstr>
  </property>
  <property fmtid="{D5CDD505-2E9C-101B-9397-08002B2CF9AE}" pid="17" name="LegalAct">
    <vt:lpwstr>30;#ESMA Regulation|1f6010a2-1a2c-44cf-adf8-f8fd9b166bb1</vt:lpwstr>
  </property>
  <property fmtid="{D5CDD505-2E9C-101B-9397-08002B2CF9AE}" pid="18" name="_dlc_DocIdItemGuid">
    <vt:lpwstr>61cf4b8f-7f41-468e-a0cd-282adafdf398</vt:lpwstr>
  </property>
  <property fmtid="{D5CDD505-2E9C-101B-9397-08002B2CF9AE}" pid="19" name="Related Legal Acts">
    <vt:lpwstr/>
  </property>
  <property fmtid="{D5CDD505-2E9C-101B-9397-08002B2CF9AE}" pid="20" name="SubTopic">
    <vt:lpwstr>83;#CSDR Guidelines|3766e6b8-c718-4d18-ace1-7788cb47febc</vt:lpwstr>
  </property>
  <property fmtid="{D5CDD505-2E9C-101B-9397-08002B2CF9AE}" pid="21" name="l41428f617fd44458265420e00c85298">
    <vt:lpwstr>Regular|07f1e362-856b-423d-bea6-a14079762141</vt:lpwstr>
  </property>
  <property fmtid="{D5CDD505-2E9C-101B-9397-08002B2CF9AE}" pid="22" name="DocumentType">
    <vt:lpwstr>32;#Report|78753201-1e9e-4a21-a088-6ff602b5c999</vt:lpwstr>
  </property>
  <property fmtid="{D5CDD505-2E9C-101B-9397-08002B2CF9AE}" pid="23" name="i256cac3f7524ea2b856c0098c0c8641">
    <vt:lpwstr>Other Work|f1a52b52-917d-42ef-9667-945839604bb2</vt:lpwstr>
  </property>
  <property fmtid="{D5CDD505-2E9C-101B-9397-08002B2CF9AE}" pid="24" name="TeamTopic">
    <vt:lpwstr>117;#Other Work|f1a52b52-917d-42ef-9667-945839604bb2</vt:lpwstr>
  </property>
</Properties>
</file>