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59A6E814" w:rsidR="00C85C8B" w:rsidRPr="00C85C8B" w:rsidRDefault="00141720" w:rsidP="00C85C8B">
                <w:pPr>
                  <w:rPr>
                    <w:rFonts w:ascii="Arial" w:hAnsi="Arial" w:cs="Arial"/>
                    <w:color w:val="808080"/>
                    <w:sz w:val="20"/>
                    <w:lang w:eastAsia="de-DE"/>
                  </w:rPr>
                </w:pPr>
                <w:r>
                  <w:rPr>
                    <w:rFonts w:ascii="Arial" w:hAnsi="Arial" w:cs="Arial"/>
                    <w:color w:val="808080"/>
                    <w:sz w:val="20"/>
                    <w:lang w:eastAsia="de-DE"/>
                  </w:rPr>
                  <w:t>Euronext</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7F121DD7" w:rsidR="00C85C8B" w:rsidRPr="00C85C8B" w:rsidRDefault="00A57D5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41720">
                  <w:rPr>
                    <w:rFonts w:ascii="Arial" w:hAnsi="Arial" w:cs="Arial"/>
                    <w:sz w:val="20"/>
                    <w:lang w:eastAsia="de-DE"/>
                  </w:rPr>
                  <w:t>Regulated markets/Exchanges/Trading Systems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7735D3ED" w:rsidR="00C85C8B" w:rsidRPr="00C85C8B" w:rsidRDefault="00141720" w:rsidP="00C85C8B">
                <w:pPr>
                  <w:rPr>
                    <w:rFonts w:ascii="Arial" w:hAnsi="Arial" w:cs="Arial"/>
                    <w:sz w:val="20"/>
                    <w:lang w:eastAsia="de-DE"/>
                  </w:rPr>
                </w:pPr>
                <w:r>
                  <w:rPr>
                    <w:rFonts w:ascii="Arial" w:hAnsi="Arial" w:cs="Arial"/>
                    <w:sz w:val="20"/>
                    <w:lang w:eastAsia="de-DE"/>
                  </w:rPr>
                  <w:t>Netherlands</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7503BB5" w14:textId="2225E3AA" w:rsidR="00C85C8B" w:rsidRPr="00C85C8B" w:rsidRDefault="00141720" w:rsidP="00141720">
      <w:pPr>
        <w:spacing w:after="250" w:line="276" w:lineRule="auto"/>
        <w:jc w:val="both"/>
        <w:rPr>
          <w:rFonts w:ascii="Arial" w:eastAsiaTheme="minorEastAsia" w:hAnsi="Arial" w:cs="Arial"/>
          <w:sz w:val="22"/>
          <w:szCs w:val="20"/>
          <w:lang w:eastAsia="en-US"/>
        </w:rPr>
      </w:pPr>
      <w:permStart w:id="1853699001" w:edGrp="everyone"/>
      <w:r w:rsidRPr="00141720">
        <w:rPr>
          <w:rFonts w:ascii="Arial" w:eastAsiaTheme="minorEastAsia" w:hAnsi="Arial" w:cs="Arial"/>
          <w:sz w:val="22"/>
          <w:szCs w:val="20"/>
          <w:lang w:eastAsia="en-US"/>
        </w:rPr>
        <w:t xml:space="preserve">Euronext is an operator of Regulated Markets, Multilateral Trading Facilities, Central Security Depositories and a Registered Benchmark Administrator located in 8 EEA countries. As a group of regulated entities in multiple countries we consider the ESMA Draft guidelines a welcome step towards a supervisory convergent approach. Outsourcing is often a group wide coordinated activity and Euronext will address the consultation from a cross border group perspective. </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39322393" w14:textId="75A8BB08" w:rsidR="00141720" w:rsidRPr="00141720" w:rsidRDefault="00141720" w:rsidP="00141720">
      <w:pPr>
        <w:jc w:val="both"/>
        <w:rPr>
          <w:rFonts w:ascii="Arial" w:hAnsi="Arial" w:cs="Arial"/>
        </w:rPr>
      </w:pPr>
      <w:permStart w:id="870130210" w:edGrp="everyone"/>
      <w:r w:rsidRPr="00141720">
        <w:rPr>
          <w:rFonts w:ascii="Arial" w:hAnsi="Arial" w:cs="Arial"/>
        </w:rPr>
        <w:t xml:space="preserve">Euronext operates multiple regulated entities in scope of these Draft Guidelines. </w:t>
      </w:r>
      <w:r w:rsidR="00AA164C" w:rsidRPr="00141720">
        <w:rPr>
          <w:rFonts w:ascii="Arial" w:hAnsi="Arial" w:cs="Arial"/>
        </w:rPr>
        <w:t>Typically,</w:t>
      </w:r>
      <w:r w:rsidRPr="00141720">
        <w:rPr>
          <w:rFonts w:ascii="Arial" w:hAnsi="Arial" w:cs="Arial"/>
        </w:rPr>
        <w:t xml:space="preserve"> the work involved is performed at group level. Could ESMA clarify in Paragraph 25 </w:t>
      </w:r>
      <w:r w:rsidRPr="00141720">
        <w:rPr>
          <w:rFonts w:ascii="Arial" w:hAnsi="Arial" w:cs="Arial"/>
          <w:b/>
          <w:bCs/>
        </w:rPr>
        <w:t>that a cloud outsourcing strategy can be set at group level regardless of the type of regulated entities involved</w:t>
      </w:r>
      <w:r w:rsidRPr="00141720">
        <w:rPr>
          <w:rFonts w:ascii="Arial" w:hAnsi="Arial" w:cs="Arial"/>
        </w:rPr>
        <w:t>?</w:t>
      </w:r>
    </w:p>
    <w:p w14:paraId="538B9EAF" w14:textId="77777777" w:rsidR="00141720" w:rsidRPr="00141720" w:rsidRDefault="00141720" w:rsidP="00141720">
      <w:pPr>
        <w:jc w:val="both"/>
        <w:rPr>
          <w:rFonts w:ascii="Arial" w:hAnsi="Arial" w:cs="Arial"/>
        </w:rPr>
      </w:pPr>
    </w:p>
    <w:p w14:paraId="6C99B6BE" w14:textId="320FB7F4" w:rsidR="00E33392" w:rsidRDefault="00141720" w:rsidP="00141720">
      <w:pPr>
        <w:jc w:val="both"/>
        <w:rPr>
          <w:rFonts w:ascii="Arial" w:hAnsi="Arial" w:cs="Arial"/>
        </w:rPr>
      </w:pPr>
      <w:r w:rsidRPr="00141720">
        <w:rPr>
          <w:rFonts w:ascii="Arial" w:hAnsi="Arial" w:cs="Arial"/>
        </w:rPr>
        <w:t xml:space="preserve">Paragraph 26 requires separate decisions with respect to responsibilities, resources and oversight allocations. We believe this work to be part of the day to day internal </w:t>
      </w:r>
      <w:r w:rsidRPr="00141720">
        <w:rPr>
          <w:rFonts w:ascii="Arial" w:hAnsi="Arial" w:cs="Arial"/>
        </w:rPr>
        <w:lastRenderedPageBreak/>
        <w:t>management of processes. Separating this out would lead to an artificial documentation process. CEO and Board members of each market operator and CSD have a responsibility to ensure that adequate risk management structures are in place for the effective day to day oversight and management of the outsourcing arrangements. They are generally supported by a contract manager, a person or a department responsible to define, control and enforce critical and important operational functions. This dynamic is part of the day to day internal management of processes</w:t>
      </w:r>
      <w:r w:rsidR="007C7690">
        <w:rPr>
          <w:rFonts w:ascii="Arial" w:hAnsi="Arial" w:cs="Arial"/>
        </w:rPr>
        <w:t>.</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24449365" w14:textId="77777777" w:rsidR="007C7690" w:rsidRDefault="007C7690" w:rsidP="007C7690">
      <w:pPr>
        <w:jc w:val="both"/>
        <w:rPr>
          <w:rFonts w:ascii="Arial" w:hAnsi="Arial" w:cs="Arial"/>
        </w:rPr>
      </w:pPr>
      <w:permStart w:id="603860191" w:edGrp="everyone"/>
      <w:r w:rsidRPr="007C7690">
        <w:rPr>
          <w:rFonts w:ascii="Arial" w:hAnsi="Arial" w:cs="Arial"/>
        </w:rPr>
        <w:t xml:space="preserve">Paragraph 29 of the Draft Guidelines lists the information to be included in a register. We believe some </w:t>
      </w:r>
      <w:r w:rsidRPr="007C7690">
        <w:rPr>
          <w:rFonts w:ascii="Arial" w:hAnsi="Arial" w:cs="Arial"/>
          <w:b/>
          <w:bCs/>
        </w:rPr>
        <w:t>flexibility with respect to the format</w:t>
      </w:r>
      <w:r w:rsidRPr="007C7690">
        <w:rPr>
          <w:rFonts w:ascii="Arial" w:hAnsi="Arial" w:cs="Arial"/>
        </w:rPr>
        <w:t xml:space="preserve"> would be preferable. Euronext has a record keeping policy in place that – in terms of content – meet</w:t>
      </w:r>
      <w:r>
        <w:rPr>
          <w:rFonts w:ascii="Arial" w:hAnsi="Arial" w:cs="Arial"/>
        </w:rPr>
        <w:t>s</w:t>
      </w:r>
      <w:r w:rsidRPr="007C7690">
        <w:rPr>
          <w:rFonts w:ascii="Arial" w:hAnsi="Arial" w:cs="Arial"/>
        </w:rPr>
        <w:t xml:space="preserve"> these requirements already.  Having to set up new records, templates and registers for information that is already properly recorded would in our view be disproportionate.</w:t>
      </w:r>
    </w:p>
    <w:p w14:paraId="59737976" w14:textId="189EEF07" w:rsidR="007C7690" w:rsidRPr="007C7690" w:rsidRDefault="007C7690" w:rsidP="007C7690">
      <w:pPr>
        <w:jc w:val="both"/>
        <w:rPr>
          <w:rFonts w:ascii="Arial" w:hAnsi="Arial" w:cs="Arial"/>
        </w:rPr>
      </w:pPr>
      <w:r w:rsidRPr="007C7690">
        <w:rPr>
          <w:rFonts w:ascii="Arial" w:hAnsi="Arial" w:cs="Arial"/>
        </w:rPr>
        <w:t xml:space="preserve">  </w:t>
      </w:r>
    </w:p>
    <w:p w14:paraId="3E077FE1" w14:textId="381B125C" w:rsidR="007C7690" w:rsidRPr="007C7690" w:rsidRDefault="007C7690" w:rsidP="007C7690">
      <w:pPr>
        <w:jc w:val="both"/>
        <w:rPr>
          <w:rFonts w:ascii="Arial" w:hAnsi="Arial" w:cs="Arial"/>
        </w:rPr>
      </w:pPr>
      <w:r w:rsidRPr="007C7690">
        <w:rPr>
          <w:rFonts w:ascii="Arial" w:hAnsi="Arial" w:cs="Arial"/>
        </w:rPr>
        <w:t xml:space="preserve">With respect to the information required to be included: the MiFID II framework (Directive 2014/65/EU of the European Parliament and of the Council of 15 May 2014) already subjects outsourcing of operational functions to strict requirements (Articles 47.º and 48.º, further developed in Commission Delegated Regulation (EU) 2017/584 of 14 July 2016). With respect to CSDs, the CSDR framework requires that the outsourcing by CDSs of Services or Activities to a third party must also comply with specific requirements. Notwithstanding the abovementioned we believe that the </w:t>
      </w:r>
      <w:r w:rsidRPr="007C7690">
        <w:rPr>
          <w:rFonts w:ascii="Arial" w:hAnsi="Arial" w:cs="Arial"/>
          <w:b/>
          <w:bCs/>
        </w:rPr>
        <w:t>commercial aspect</w:t>
      </w:r>
      <w:r w:rsidR="00A57D50">
        <w:rPr>
          <w:rFonts w:ascii="Arial" w:hAnsi="Arial" w:cs="Arial"/>
          <w:b/>
          <w:bCs/>
        </w:rPr>
        <w:t>s</w:t>
      </w:r>
      <w:r w:rsidRPr="007C7690">
        <w:rPr>
          <w:rFonts w:ascii="Arial" w:hAnsi="Arial" w:cs="Arial"/>
          <w:b/>
          <w:bCs/>
        </w:rPr>
        <w:t xml:space="preserve"> of the outsourcing agreement, i.e. the costs</w:t>
      </w:r>
      <w:r w:rsidRPr="007C7690">
        <w:rPr>
          <w:rFonts w:ascii="Arial" w:hAnsi="Arial" w:cs="Arial"/>
        </w:rPr>
        <w:t xml:space="preserve"> as described under Paragraph 29 (m) </w:t>
      </w:r>
      <w:r w:rsidRPr="007C7690">
        <w:rPr>
          <w:rFonts w:ascii="Arial" w:hAnsi="Arial" w:cs="Arial"/>
          <w:b/>
          <w:bCs/>
        </w:rPr>
        <w:t>do not need to be included</w:t>
      </w:r>
      <w:r w:rsidRPr="007C7690">
        <w:rPr>
          <w:rFonts w:ascii="Arial" w:hAnsi="Arial" w:cs="Arial"/>
        </w:rPr>
        <w:t xml:space="preserve"> as they would not impact the regulatory goal of this register.</w:t>
      </w:r>
    </w:p>
    <w:p w14:paraId="40C1B6AD" w14:textId="77777777" w:rsidR="007C7690" w:rsidRPr="007C7690" w:rsidRDefault="007C7690" w:rsidP="007C7690">
      <w:pPr>
        <w:jc w:val="both"/>
        <w:rPr>
          <w:rFonts w:ascii="Arial" w:hAnsi="Arial" w:cs="Arial"/>
        </w:rPr>
      </w:pPr>
    </w:p>
    <w:p w14:paraId="4589A4E6" w14:textId="0399FECF" w:rsidR="00E33392" w:rsidRDefault="007C7690" w:rsidP="007C7690">
      <w:pPr>
        <w:jc w:val="both"/>
        <w:rPr>
          <w:rFonts w:ascii="Arial" w:hAnsi="Arial" w:cs="Arial"/>
        </w:rPr>
      </w:pPr>
      <w:r w:rsidRPr="007C7690">
        <w:rPr>
          <w:rFonts w:ascii="Arial" w:hAnsi="Arial" w:cs="Arial"/>
        </w:rPr>
        <w:t xml:space="preserve">It is not clear how Paragraph 30 relates to the requirement in Paragraph 28/29 to only include further detailed information on outsourcing with respect to critical or important functions. We would suggest </w:t>
      </w:r>
      <w:r w:rsidR="00AA164C" w:rsidRPr="007C7690">
        <w:rPr>
          <w:rFonts w:ascii="Arial" w:hAnsi="Arial" w:cs="Arial"/>
        </w:rPr>
        <w:t>leaving</w:t>
      </w:r>
      <w:r w:rsidRPr="007C7690">
        <w:rPr>
          <w:rFonts w:ascii="Arial" w:hAnsi="Arial" w:cs="Arial"/>
        </w:rPr>
        <w:t xml:space="preserve"> out any requirement to include non-critical functions as that would lead to diverging interpretations and unclarity as to what further information to include, ultimately leading to a disproportionate workload. The register</w:t>
      </w:r>
      <w:r>
        <w:rPr>
          <w:rFonts w:ascii="Arial" w:hAnsi="Arial" w:cs="Arial"/>
        </w:rPr>
        <w:t xml:space="preserve"> (or records)</w:t>
      </w:r>
      <w:r w:rsidRPr="007C7690">
        <w:rPr>
          <w:rFonts w:ascii="Arial" w:hAnsi="Arial" w:cs="Arial"/>
        </w:rPr>
        <w:t xml:space="preserve"> </w:t>
      </w:r>
      <w:r w:rsidRPr="007C7690">
        <w:rPr>
          <w:rFonts w:ascii="Arial" w:hAnsi="Arial" w:cs="Arial"/>
          <w:b/>
          <w:bCs/>
        </w:rPr>
        <w:t>should be limited to critical/important functions only</w:t>
      </w:r>
      <w:r w:rsidRPr="007C7690">
        <w:rPr>
          <w:rFonts w:ascii="Arial" w:hAnsi="Arial" w:cs="Arial"/>
        </w:rPr>
        <w:t>.</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3FD5339E" w:rsidR="00E33392" w:rsidRDefault="00C87D17" w:rsidP="00C87D17">
      <w:pPr>
        <w:jc w:val="both"/>
        <w:rPr>
          <w:rFonts w:ascii="Arial" w:hAnsi="Arial" w:cs="Arial"/>
        </w:rPr>
      </w:pPr>
      <w:permStart w:id="1685610127" w:edGrp="everyone"/>
      <w:r w:rsidRPr="00C87D17">
        <w:rPr>
          <w:rFonts w:ascii="Arial" w:hAnsi="Arial" w:cs="Arial"/>
        </w:rPr>
        <w:t xml:space="preserve">Euronext agrees that the pre-outsourcing analysis and due diligence should be proportionate to the nature, scale and complexity of the function that the firm intends to outsource and the risks inherent to the function. </w:t>
      </w:r>
      <w:r w:rsidR="00AA164C" w:rsidRPr="00C87D17">
        <w:rPr>
          <w:rFonts w:ascii="Arial" w:hAnsi="Arial" w:cs="Arial"/>
        </w:rPr>
        <w:t>However,</w:t>
      </w:r>
      <w:r w:rsidRPr="00C87D17">
        <w:rPr>
          <w:rFonts w:ascii="Arial" w:hAnsi="Arial" w:cs="Arial"/>
        </w:rPr>
        <w:t xml:space="preserve"> the current draft guidelines seem to be formulated broadly. We believe that the focus should be placed on the need to have an internal policy that defines a clear due diligence process carried out in the outsourcing of operational functions, including critical operational functions.</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19EDA1B3" w14:textId="77A4727B" w:rsidR="00C87D17" w:rsidRPr="00C87D17" w:rsidRDefault="00C87D17" w:rsidP="00C87D17">
      <w:pPr>
        <w:jc w:val="both"/>
        <w:rPr>
          <w:rFonts w:ascii="Arial" w:hAnsi="Arial" w:cs="Arial"/>
        </w:rPr>
      </w:pPr>
      <w:permStart w:id="792990084" w:edGrp="everyone"/>
      <w:r>
        <w:rPr>
          <w:rFonts w:ascii="Arial" w:hAnsi="Arial" w:cs="Arial"/>
        </w:rPr>
        <w:t xml:space="preserve">Euronext </w:t>
      </w:r>
      <w:r w:rsidRPr="00C87D17">
        <w:rPr>
          <w:rFonts w:ascii="Arial" w:hAnsi="Arial" w:cs="Arial"/>
        </w:rPr>
        <w:t>agree</w:t>
      </w:r>
      <w:r>
        <w:rPr>
          <w:rFonts w:ascii="Arial" w:hAnsi="Arial" w:cs="Arial"/>
        </w:rPr>
        <w:t>s</w:t>
      </w:r>
      <w:r w:rsidRPr="00C87D17">
        <w:rPr>
          <w:rFonts w:ascii="Arial" w:hAnsi="Arial" w:cs="Arial"/>
        </w:rPr>
        <w:t xml:space="preserve"> that the proposals meet current practices. However, some clarification from ESMA on the level of engagement on this would be helpful. In case of outsourcing by EU regulated entities to non-EU or non-regulated entities, these requirements </w:t>
      </w:r>
      <w:r>
        <w:rPr>
          <w:rFonts w:ascii="Arial" w:hAnsi="Arial" w:cs="Arial"/>
        </w:rPr>
        <w:t xml:space="preserve">might only </w:t>
      </w:r>
      <w:r w:rsidRPr="00C87D17">
        <w:rPr>
          <w:rFonts w:ascii="Arial" w:hAnsi="Arial" w:cs="Arial"/>
        </w:rPr>
        <w:t xml:space="preserve">apply only to one contracting party. Engaging the non-EU contracting party will purely be based on commercial terms and may vary – depending on the size and level of services offered. It should be clear that these requirements are to be complied with on a best effort basis </w:t>
      </w:r>
      <w:r w:rsidR="00AA164C" w:rsidRPr="00C87D17">
        <w:rPr>
          <w:rFonts w:ascii="Arial" w:hAnsi="Arial" w:cs="Arial"/>
        </w:rPr>
        <w:t>considering</w:t>
      </w:r>
      <w:r w:rsidRPr="00C87D17">
        <w:rPr>
          <w:rFonts w:ascii="Arial" w:hAnsi="Arial" w:cs="Arial"/>
        </w:rPr>
        <w:t xml:space="preserve"> different circumstances.</w:t>
      </w:r>
    </w:p>
    <w:p w14:paraId="4C6103CD" w14:textId="77777777" w:rsidR="00C87D17" w:rsidRPr="00C87D17" w:rsidRDefault="00C87D17" w:rsidP="00C87D17">
      <w:pPr>
        <w:jc w:val="both"/>
        <w:rPr>
          <w:rFonts w:ascii="Arial" w:hAnsi="Arial" w:cs="Arial"/>
        </w:rPr>
      </w:pPr>
    </w:p>
    <w:p w14:paraId="2BAD102F" w14:textId="40DBBD05" w:rsidR="00E33392" w:rsidRDefault="00C87D17" w:rsidP="00C87D17">
      <w:pPr>
        <w:jc w:val="both"/>
        <w:rPr>
          <w:rFonts w:ascii="Arial" w:hAnsi="Arial" w:cs="Arial"/>
        </w:rPr>
      </w:pPr>
      <w:r w:rsidRPr="00C87D17">
        <w:rPr>
          <w:rFonts w:ascii="Arial" w:hAnsi="Arial" w:cs="Arial"/>
        </w:rPr>
        <w:t>These concerns also exist with regard to the NCA’s supervision. Should a contracting party not meet its contractual requirements, the EU regulated entity should not face any punitive actions for a commercial contracting dispute attributable to the non-EU or non-regulated entity for which remedy is being sought at a commercial level.</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4D881CCB" w:rsidR="00E33392" w:rsidRDefault="00A63994" w:rsidP="00E33392">
      <w:pPr>
        <w:rPr>
          <w:rFonts w:ascii="Arial" w:hAnsi="Arial" w:cs="Arial"/>
        </w:rPr>
      </w:pPr>
      <w:permStart w:id="1518408103" w:edGrp="everyone"/>
      <w:r>
        <w:rPr>
          <w:rFonts w:ascii="Arial" w:hAnsi="Arial" w:cs="Arial"/>
        </w:rPr>
        <w:t>Euronext agrees with the suggested approach</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6F95AEF4" w14:textId="1163134F" w:rsidR="00A63994" w:rsidRPr="00A63994" w:rsidRDefault="00A63994" w:rsidP="00A63994">
      <w:pPr>
        <w:jc w:val="both"/>
        <w:rPr>
          <w:rFonts w:ascii="Arial" w:hAnsi="Arial" w:cs="Arial"/>
        </w:rPr>
      </w:pPr>
      <w:permStart w:id="1998543046" w:edGrp="everyone"/>
      <w:r w:rsidRPr="00A63994">
        <w:rPr>
          <w:rFonts w:ascii="Arial" w:hAnsi="Arial" w:cs="Arial"/>
        </w:rPr>
        <w:t xml:space="preserve">Exit strategies need to be maintained. We do suggest however to align the approach of Paragraph 44 with Paragraph 45, </w:t>
      </w:r>
      <w:r w:rsidRPr="00A63994">
        <w:rPr>
          <w:rFonts w:ascii="Arial" w:hAnsi="Arial" w:cs="Arial"/>
          <w:b/>
          <w:bCs/>
        </w:rPr>
        <w:t>implementing a risk based approach</w:t>
      </w:r>
      <w:r w:rsidRPr="00A63994">
        <w:rPr>
          <w:rFonts w:ascii="Arial" w:hAnsi="Arial" w:cs="Arial"/>
        </w:rPr>
        <w:t xml:space="preserve">. </w:t>
      </w:r>
      <w:r w:rsidR="00AA164C" w:rsidRPr="00A63994">
        <w:rPr>
          <w:rFonts w:ascii="Arial" w:hAnsi="Arial" w:cs="Arial"/>
        </w:rPr>
        <w:t>Having theoretical</w:t>
      </w:r>
      <w:r w:rsidRPr="00A63994">
        <w:rPr>
          <w:rFonts w:ascii="Arial" w:hAnsi="Arial" w:cs="Arial"/>
        </w:rPr>
        <w:t xml:space="preserve"> exit strategies in place should be dependent on </w:t>
      </w:r>
      <w:r w:rsidR="00AA164C" w:rsidRPr="00A63994">
        <w:rPr>
          <w:rFonts w:ascii="Arial" w:hAnsi="Arial" w:cs="Arial"/>
        </w:rPr>
        <w:t>scope following</w:t>
      </w:r>
      <w:r w:rsidRPr="00A63994">
        <w:rPr>
          <w:rFonts w:ascii="Arial" w:hAnsi="Arial" w:cs="Arial"/>
        </w:rPr>
        <w:t xml:space="preserve"> an internal risk assessment which can be documented accordingly. </w:t>
      </w:r>
    </w:p>
    <w:p w14:paraId="5C65A8DF" w14:textId="77777777" w:rsidR="00A63994" w:rsidRPr="00A63994" w:rsidRDefault="00A63994" w:rsidP="00A63994">
      <w:pPr>
        <w:jc w:val="both"/>
        <w:rPr>
          <w:rFonts w:ascii="Arial" w:hAnsi="Arial" w:cs="Arial"/>
        </w:rPr>
      </w:pPr>
    </w:p>
    <w:p w14:paraId="224814D0" w14:textId="7E071D00" w:rsidR="00E33392" w:rsidRDefault="00A63994" w:rsidP="00A63994">
      <w:pPr>
        <w:jc w:val="both"/>
        <w:rPr>
          <w:rFonts w:ascii="Arial" w:hAnsi="Arial" w:cs="Arial"/>
        </w:rPr>
      </w:pPr>
      <w:r w:rsidRPr="00A63994">
        <w:rPr>
          <w:rFonts w:ascii="Arial" w:hAnsi="Arial" w:cs="Arial"/>
        </w:rPr>
        <w:t>With respect to testing exit strategies</w:t>
      </w:r>
      <w:r w:rsidR="00504BCD">
        <w:rPr>
          <w:rFonts w:ascii="Arial" w:hAnsi="Arial" w:cs="Arial"/>
        </w:rPr>
        <w:t>,</w:t>
      </w:r>
      <w:r w:rsidRPr="00A63994">
        <w:rPr>
          <w:rFonts w:ascii="Arial" w:hAnsi="Arial" w:cs="Arial"/>
        </w:rPr>
        <w:t xml:space="preserve"> </w:t>
      </w:r>
      <w:r w:rsidR="00504BCD">
        <w:rPr>
          <w:rFonts w:ascii="Arial" w:hAnsi="Arial" w:cs="Arial"/>
        </w:rPr>
        <w:t>requiring full scale testing would be</w:t>
      </w:r>
      <w:r w:rsidRPr="00A63994">
        <w:rPr>
          <w:rFonts w:ascii="Arial" w:hAnsi="Arial" w:cs="Arial"/>
        </w:rPr>
        <w:t xml:space="preserve"> disproportionate. Testing in a real environment will be challenging as not all elements of an exit strategy (the circumstances of the specific case or reason for the exit) will be known beforehand, this will depend on specific circumstances of the contract parties involved and could be subject to new technology available by the time the exit is needed. An exit strategy can be tested beforehand but only at a high and theoretic level.</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14381C8F" w14:textId="32D5FA15" w:rsidR="00504BCD" w:rsidRPr="00504BCD" w:rsidRDefault="00504BCD" w:rsidP="00504BCD">
      <w:pPr>
        <w:jc w:val="both"/>
        <w:rPr>
          <w:rFonts w:ascii="Arial" w:hAnsi="Arial" w:cs="Arial"/>
        </w:rPr>
      </w:pPr>
      <w:permStart w:id="1893742938" w:edGrp="everyone"/>
      <w:r>
        <w:rPr>
          <w:rFonts w:ascii="Arial" w:hAnsi="Arial" w:cs="Arial"/>
        </w:rPr>
        <w:t xml:space="preserve">Euronext </w:t>
      </w:r>
      <w:r w:rsidRPr="00504BCD">
        <w:rPr>
          <w:rFonts w:ascii="Arial" w:hAnsi="Arial" w:cs="Arial"/>
        </w:rPr>
        <w:t>agree</w:t>
      </w:r>
      <w:r>
        <w:rPr>
          <w:rFonts w:ascii="Arial" w:hAnsi="Arial" w:cs="Arial"/>
        </w:rPr>
        <w:t>s</w:t>
      </w:r>
      <w:r w:rsidRPr="00504BCD">
        <w:rPr>
          <w:rFonts w:ascii="Arial" w:hAnsi="Arial" w:cs="Arial"/>
        </w:rPr>
        <w:t xml:space="preserve"> with the proposed approach which appears balanced. We do note however that:</w:t>
      </w:r>
    </w:p>
    <w:p w14:paraId="47AC64E1" w14:textId="1307FD78" w:rsidR="00504BCD" w:rsidRPr="00504BCD" w:rsidRDefault="00504BCD" w:rsidP="00504BCD">
      <w:pPr>
        <w:jc w:val="both"/>
        <w:rPr>
          <w:rFonts w:ascii="Arial" w:hAnsi="Arial" w:cs="Arial"/>
        </w:rPr>
      </w:pPr>
      <w:r w:rsidRPr="00504BCD">
        <w:rPr>
          <w:rFonts w:ascii="Arial" w:hAnsi="Arial" w:cs="Arial"/>
        </w:rPr>
        <w:lastRenderedPageBreak/>
        <w:t>There is no mention o</w:t>
      </w:r>
      <w:r>
        <w:rPr>
          <w:rFonts w:ascii="Arial" w:hAnsi="Arial" w:cs="Arial"/>
        </w:rPr>
        <w:t>f</w:t>
      </w:r>
      <w:r w:rsidRPr="00504BCD">
        <w:rPr>
          <w:rFonts w:ascii="Arial" w:hAnsi="Arial" w:cs="Arial"/>
        </w:rPr>
        <w:t xml:space="preserve"> the supervision of the potential necessary remediation action(s). In the case of outsourcing providers not under any form of ESMA supervision, we believe it is important to strike the </w:t>
      </w:r>
      <w:r w:rsidR="00AA164C" w:rsidRPr="00504BCD">
        <w:rPr>
          <w:rFonts w:ascii="Arial" w:hAnsi="Arial" w:cs="Arial"/>
        </w:rPr>
        <w:t>right balance</w:t>
      </w:r>
      <w:r w:rsidRPr="00504BCD">
        <w:rPr>
          <w:rFonts w:ascii="Arial" w:hAnsi="Arial" w:cs="Arial"/>
        </w:rPr>
        <w:t xml:space="preserve"> between:</w:t>
      </w:r>
    </w:p>
    <w:p w14:paraId="3BA6D7CB" w14:textId="67E4B259" w:rsidR="00504BCD" w:rsidRPr="00504BCD" w:rsidRDefault="00504BCD" w:rsidP="00504BCD">
      <w:pPr>
        <w:jc w:val="both"/>
        <w:rPr>
          <w:rFonts w:ascii="Arial" w:hAnsi="Arial" w:cs="Arial"/>
        </w:rPr>
      </w:pPr>
      <w:r w:rsidRPr="00504BCD">
        <w:rPr>
          <w:rFonts w:ascii="Arial" w:hAnsi="Arial" w:cs="Arial"/>
        </w:rPr>
        <w:t xml:space="preserve">- the need to ensure remedies – following the audit recommendations of the outsourcing entity - are being followed by the </w:t>
      </w:r>
      <w:proofErr w:type="spellStart"/>
      <w:r w:rsidRPr="00504BCD">
        <w:rPr>
          <w:rFonts w:ascii="Arial" w:hAnsi="Arial" w:cs="Arial"/>
        </w:rPr>
        <w:t>outsourcee</w:t>
      </w:r>
      <w:proofErr w:type="spellEnd"/>
      <w:r w:rsidR="00A57D50">
        <w:rPr>
          <w:rFonts w:ascii="Arial" w:hAnsi="Arial" w:cs="Arial"/>
        </w:rPr>
        <w:t>; and</w:t>
      </w:r>
    </w:p>
    <w:p w14:paraId="60FE6ADE" w14:textId="06968BD9" w:rsidR="00AA164C" w:rsidRDefault="00504BCD" w:rsidP="00AA164C">
      <w:pPr>
        <w:jc w:val="both"/>
        <w:rPr>
          <w:rFonts w:ascii="Arial" w:hAnsi="Arial" w:cs="Arial"/>
        </w:rPr>
      </w:pPr>
      <w:r w:rsidRPr="00504BCD">
        <w:rPr>
          <w:rFonts w:ascii="Arial" w:hAnsi="Arial" w:cs="Arial"/>
        </w:rPr>
        <w:t>- the acknowledgement of these provisions being agreed on in a commercial contract</w:t>
      </w:r>
      <w:r>
        <w:rPr>
          <w:rFonts w:ascii="Arial" w:hAnsi="Arial" w:cs="Arial"/>
        </w:rPr>
        <w:t xml:space="preserve">. </w:t>
      </w:r>
    </w:p>
    <w:p w14:paraId="732295CC" w14:textId="4FE8D5E8" w:rsidR="00504BCD" w:rsidRDefault="00A57D50" w:rsidP="00AA164C">
      <w:pPr>
        <w:jc w:val="both"/>
        <w:rPr>
          <w:rFonts w:ascii="Arial" w:hAnsi="Arial" w:cs="Arial"/>
        </w:rPr>
      </w:pPr>
      <w:r>
        <w:rPr>
          <w:rFonts w:ascii="Arial" w:hAnsi="Arial" w:cs="Arial"/>
        </w:rPr>
        <w:t>Furthermore, w</w:t>
      </w:r>
      <w:r w:rsidR="00AA164C" w:rsidRPr="00AA164C">
        <w:rPr>
          <w:rFonts w:ascii="Arial" w:hAnsi="Arial" w:cs="Arial"/>
        </w:rPr>
        <w:t>hen performing an audit, costs are involved on both sides of the contract. The requirements should not lead to disproportionate costs on either side</w:t>
      </w:r>
      <w:r>
        <w:rPr>
          <w:rFonts w:ascii="Arial" w:hAnsi="Arial" w:cs="Arial"/>
        </w:rPr>
        <w:t>.</w:t>
      </w:r>
      <w:bookmarkStart w:id="2" w:name="_GoBack"/>
      <w:bookmarkEnd w:id="2"/>
    </w:p>
    <w:permEnd w:id="1893742938"/>
    <w:p w14:paraId="4493AAD0" w14:textId="39CA744C"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67EFAF35" w:rsidR="00E33392" w:rsidRDefault="00504BCD" w:rsidP="00504BCD">
      <w:pPr>
        <w:jc w:val="both"/>
        <w:rPr>
          <w:rFonts w:ascii="Arial" w:hAnsi="Arial" w:cs="Arial"/>
        </w:rPr>
      </w:pPr>
      <w:permStart w:id="311951876" w:edGrp="everyone"/>
      <w:r w:rsidRPr="00504BCD">
        <w:rPr>
          <w:rFonts w:ascii="Arial" w:hAnsi="Arial" w:cs="Arial"/>
        </w:rPr>
        <w:t xml:space="preserve">We understand ESMA requires the regulated entity to ensure that </w:t>
      </w:r>
      <w:r w:rsidR="00AA164C">
        <w:rPr>
          <w:rFonts w:ascii="Arial" w:hAnsi="Arial" w:cs="Arial"/>
        </w:rPr>
        <w:t>the CSP</w:t>
      </w:r>
      <w:r w:rsidRPr="00504BCD">
        <w:rPr>
          <w:rFonts w:ascii="Arial" w:hAnsi="Arial" w:cs="Arial"/>
        </w:rPr>
        <w:t xml:space="preserve"> oversees the sub outsourcer</w:t>
      </w:r>
      <w:r w:rsidR="00AA164C">
        <w:rPr>
          <w:rFonts w:ascii="Arial" w:hAnsi="Arial" w:cs="Arial"/>
        </w:rPr>
        <w:t xml:space="preserve"> (Paragraph 55(c))</w:t>
      </w:r>
      <w:r w:rsidRPr="00504BCD">
        <w:rPr>
          <w:rFonts w:ascii="Arial" w:hAnsi="Arial" w:cs="Arial"/>
        </w:rPr>
        <w:t>. While we understand this can be part of the contracting arrangements, we would suggest this to be further detailed with respect to the responsibilities involved and the obligations towards the regulator. As stated before, the (sub)contracting party may not be an EU and/or regulated entity. A best effort basis with respect to setting up the relationship may not prevent a commercial party defaulting. This should not lead to disproportionate regulatory consequences for the EU regulated entity.</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490F1579" w:rsidR="00E33392" w:rsidRDefault="00AA164C" w:rsidP="00AA164C">
      <w:pPr>
        <w:jc w:val="both"/>
        <w:rPr>
          <w:rFonts w:ascii="Arial" w:hAnsi="Arial" w:cs="Arial"/>
        </w:rPr>
      </w:pPr>
      <w:permStart w:id="943999632" w:edGrp="everyone"/>
      <w:r w:rsidRPr="00AA164C">
        <w:rPr>
          <w:rFonts w:ascii="Arial" w:hAnsi="Arial" w:cs="Arial"/>
        </w:rPr>
        <w:t>Euronext agrees with the notification principle of the outsourcing of critical or important functions in a timely manner. The ESMA Draft guidelines should have a supervisory convergent approach since outsourcing is often a group wide coordinated activity.</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4746D3DF" w:rsidR="00E33392" w:rsidRDefault="00AA164C" w:rsidP="00AA164C">
      <w:pPr>
        <w:jc w:val="both"/>
        <w:rPr>
          <w:rFonts w:ascii="Arial" w:hAnsi="Arial" w:cs="Arial"/>
        </w:rPr>
      </w:pPr>
      <w:permStart w:id="1987337014" w:edGrp="everyone"/>
      <w:r>
        <w:rPr>
          <w:rFonts w:ascii="Arial" w:hAnsi="Arial" w:cs="Arial"/>
        </w:rPr>
        <w:t xml:space="preserve">Euronext </w:t>
      </w:r>
      <w:r w:rsidRPr="00AA164C">
        <w:rPr>
          <w:rFonts w:ascii="Arial" w:hAnsi="Arial" w:cs="Arial"/>
        </w:rPr>
        <w:t>agree</w:t>
      </w:r>
      <w:r>
        <w:rPr>
          <w:rFonts w:ascii="Arial" w:hAnsi="Arial" w:cs="Arial"/>
        </w:rPr>
        <w:t>s</w:t>
      </w:r>
      <w:r w:rsidRPr="00AA164C">
        <w:rPr>
          <w:rFonts w:ascii="Arial" w:hAnsi="Arial" w:cs="Arial"/>
        </w:rPr>
        <w:t xml:space="preserve"> with the suggested approach but note</w:t>
      </w:r>
      <w:r>
        <w:rPr>
          <w:rFonts w:ascii="Arial" w:hAnsi="Arial" w:cs="Arial"/>
        </w:rPr>
        <w:t>s the need for</w:t>
      </w:r>
      <w:r w:rsidRPr="00AA164C">
        <w:rPr>
          <w:rFonts w:ascii="Arial" w:hAnsi="Arial" w:cs="Arial"/>
        </w:rPr>
        <w:t xml:space="preserve"> further guidance with respect to </w:t>
      </w:r>
      <w:r w:rsidRPr="00AA164C">
        <w:rPr>
          <w:rFonts w:ascii="Arial" w:hAnsi="Arial" w:cs="Arial"/>
          <w:b/>
          <w:bCs/>
        </w:rPr>
        <w:t>cross border groups operating multiple regulated entities</w:t>
      </w:r>
      <w:r w:rsidRPr="00AA164C">
        <w:rPr>
          <w:rFonts w:ascii="Arial" w:hAnsi="Arial" w:cs="Arial"/>
        </w:rPr>
        <w:t>. Of course, NCAs should be able to execute effective oversight. With respect to cloud outsourcing however, this is often done at group level. We would wish to avoid duplicative efforts by NCAs when the guidelines underpinning this are ESMA based. NCAs involved in group oversight could coordinate supervisory efforts with the aim to avoid multiple audits in a relative brief period.</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lastRenderedPageBreak/>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720"/>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4BCD"/>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C7690"/>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57D50"/>
    <w:rsid w:val="00A61561"/>
    <w:rsid w:val="00A63249"/>
    <w:rsid w:val="00A63994"/>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164C"/>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6D3D"/>
    <w:rsid w:val="00BE0B46"/>
    <w:rsid w:val="00BE225E"/>
    <w:rsid w:val="00BE237E"/>
    <w:rsid w:val="00BE3703"/>
    <w:rsid w:val="00BE567F"/>
    <w:rsid w:val="00BF06F0"/>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D17"/>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BB32D-1D6C-4FEC-883B-66709530BE9F}">
  <ds:schemaRefs>
    <ds:schemaRef ds:uri="a090d947-cb5a-4e71-a094-4f979ca4ae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5.xml><?xml version="1.0" encoding="utf-8"?>
<ds:datastoreItem xmlns:ds="http://schemas.openxmlformats.org/officeDocument/2006/customXml" ds:itemID="{06F1033E-6E16-4D3E-94C6-7FB19E67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2033</Words>
  <Characters>11593</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2020-08-31T10:33:00Z</dcterms:created>
  <dcterms:modified xsi:type="dcterms:W3CDTF">2020-09-01T15:22:00Z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y fmtid="{D5CDD505-2E9C-101B-9397-08002B2CF9AE}" pid="25" name="docIndexRef">
    <vt:lpwstr>a45440ee-3afe-42dc-b781-1ededac860a3</vt:lpwstr>
  </property>
  <property fmtid="{D5CDD505-2E9C-101B-9397-08002B2CF9AE}" pid="26" name="bjSaver">
    <vt:lpwstr>3hHCoqCSu+KKq+zglLyu0MCdW08PuLr6</vt:lpwstr>
  </property>
  <property fmtid="{D5CDD505-2E9C-101B-9397-08002B2CF9AE}" pid="27" name="bjDocumentSecurityLabel">
    <vt:lpwstr>This item has no classification</vt:lpwstr>
  </property>
</Properties>
</file>