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Heading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5AD4BFE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0"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0"/>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1"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3E5264A2" w:rsidR="00C85C8B" w:rsidRPr="00C85C8B" w:rsidRDefault="00F77594" w:rsidP="00C85C8B">
                <w:pPr>
                  <w:rPr>
                    <w:rFonts w:ascii="Arial" w:hAnsi="Arial" w:cs="Arial"/>
                    <w:color w:val="808080"/>
                    <w:sz w:val="20"/>
                    <w:lang w:eastAsia="de-DE"/>
                  </w:rPr>
                </w:pPr>
                <w:r>
                  <w:rPr>
                    <w:rFonts w:ascii="Arial" w:hAnsi="Arial" w:cs="Arial"/>
                    <w:color w:val="808080"/>
                    <w:sz w:val="20"/>
                    <w:lang w:eastAsia="de-DE"/>
                  </w:rPr>
                  <w:t>Blackrock</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5AEDE4B1" w:rsidR="00C85C8B" w:rsidRPr="00C85C8B" w:rsidRDefault="00094623"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77594">
                  <w:rPr>
                    <w:rFonts w:ascii="Arial" w:hAnsi="Arial" w:cs="Arial"/>
                    <w:sz w:val="20"/>
                    <w:lang w:eastAsia="de-DE"/>
                  </w:rPr>
                  <w:t>Investment Services</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33086852" w14:textId="77777777" w:rsidR="00C85C8B" w:rsidRPr="00C85C8B" w:rsidRDefault="000B29A1"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7681EF4B" w:rsidR="00C85C8B" w:rsidRPr="00C85C8B" w:rsidRDefault="00F77594" w:rsidP="00C85C8B">
                <w:pPr>
                  <w:rPr>
                    <w:rFonts w:ascii="Arial" w:hAnsi="Arial" w:cs="Arial"/>
                    <w:sz w:val="20"/>
                    <w:lang w:eastAsia="de-DE"/>
                  </w:rPr>
                </w:pPr>
                <w:r>
                  <w:rPr>
                    <w:rFonts w:ascii="Arial" w:hAnsi="Arial" w:cs="Arial"/>
                    <w:sz w:val="20"/>
                    <w:lang w:eastAsia="de-DE"/>
                  </w:rPr>
                  <w:t>Europe</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21DFA969" w14:textId="77777777" w:rsidR="00F77594" w:rsidRDefault="00F77594" w:rsidP="00F77594">
      <w:pPr>
        <w:numPr>
          <w:ilvl w:val="0"/>
          <w:numId w:val="18"/>
        </w:numPr>
        <w:spacing w:after="10" w:line="249" w:lineRule="auto"/>
        <w:ind w:hanging="360"/>
        <w:jc w:val="both"/>
      </w:pPr>
      <w:permStart w:id="1853699001" w:edGrp="everyone"/>
      <w:r>
        <w:t>BlackRock welcomes the Consultation Paper.  We restrict our comments (</w:t>
      </w:r>
      <w:proofErr w:type="spellStart"/>
      <w:r>
        <w:t>i</w:t>
      </w:r>
      <w:proofErr w:type="spellEnd"/>
      <w:r>
        <w:t xml:space="preserve">) to support certain of the core elements of the Consultation Paper and (ii) suggestions for adjustment of certain discrete details. </w:t>
      </w:r>
    </w:p>
    <w:p w14:paraId="1C72F285" w14:textId="77777777" w:rsidR="00F77594" w:rsidRDefault="00F77594" w:rsidP="00F77594">
      <w:pPr>
        <w:spacing w:line="259" w:lineRule="auto"/>
        <w:ind w:left="1147"/>
      </w:pPr>
      <w:r>
        <w:t xml:space="preserve"> </w:t>
      </w:r>
    </w:p>
    <w:p w14:paraId="00CE95D6" w14:textId="77777777" w:rsidR="00F77594" w:rsidRDefault="00F77594" w:rsidP="00F77594">
      <w:pPr>
        <w:numPr>
          <w:ilvl w:val="0"/>
          <w:numId w:val="18"/>
        </w:numPr>
        <w:spacing w:after="10" w:line="249" w:lineRule="auto"/>
        <w:ind w:hanging="360"/>
        <w:jc w:val="both"/>
      </w:pPr>
      <w:r>
        <w:t xml:space="preserve">The Consultation Paper’s draft guidelines (the “Guidelines”) are, in principle, consistent with guidance issued by the EBA and EIOPA.  This is positive and provides the industry with certainty. </w:t>
      </w:r>
    </w:p>
    <w:p w14:paraId="1056EB17" w14:textId="77777777" w:rsidR="00F77594" w:rsidRDefault="00F77594" w:rsidP="00F77594">
      <w:pPr>
        <w:spacing w:line="259" w:lineRule="auto"/>
        <w:ind w:left="1147"/>
      </w:pPr>
      <w:r>
        <w:t xml:space="preserve"> </w:t>
      </w:r>
    </w:p>
    <w:p w14:paraId="71859B9C" w14:textId="77777777" w:rsidR="00F77594" w:rsidRDefault="00F77594" w:rsidP="00F77594">
      <w:pPr>
        <w:numPr>
          <w:ilvl w:val="0"/>
          <w:numId w:val="18"/>
        </w:numPr>
        <w:spacing w:after="10" w:line="249" w:lineRule="auto"/>
        <w:ind w:hanging="360"/>
        <w:jc w:val="both"/>
      </w:pPr>
      <w:r>
        <w:t>We believe that ESMA should continue to focus its efforts on promoting pragmatic, commercial best practices of (</w:t>
      </w:r>
      <w:proofErr w:type="spellStart"/>
      <w:r>
        <w:t>i</w:t>
      </w:r>
      <w:proofErr w:type="spellEnd"/>
      <w:r>
        <w:t xml:space="preserve">) diligence, (ii) governance and (iii) corporate systems and controls.  We support a ‘principles-based’ approach to the risk management of CSPs with risk-based governance and proportionality.  The draft Guidelines, broadly, embody this spirit.   </w:t>
      </w:r>
    </w:p>
    <w:p w14:paraId="2DAF953D" w14:textId="77777777" w:rsidR="00F77594" w:rsidRDefault="00F77594" w:rsidP="00F77594">
      <w:pPr>
        <w:spacing w:line="259" w:lineRule="auto"/>
        <w:ind w:left="1147"/>
      </w:pPr>
      <w:r>
        <w:t xml:space="preserve"> </w:t>
      </w:r>
    </w:p>
    <w:p w14:paraId="43FD140F" w14:textId="77777777" w:rsidR="00F77594" w:rsidRDefault="00F77594" w:rsidP="00F77594">
      <w:pPr>
        <w:numPr>
          <w:ilvl w:val="0"/>
          <w:numId w:val="18"/>
        </w:numPr>
        <w:spacing w:after="10" w:line="249" w:lineRule="auto"/>
        <w:ind w:hanging="360"/>
        <w:jc w:val="both"/>
      </w:pPr>
      <w:r>
        <w:t xml:space="preserve">BlackRock supports dedicated outsourcing oversight functions as set out in our </w:t>
      </w:r>
      <w:proofErr w:type="spellStart"/>
      <w:r>
        <w:t>ViewPoint</w:t>
      </w:r>
      <w:proofErr w:type="spellEnd"/>
      <w:r>
        <w:t xml:space="preserve"> entitled “The role of third party vendor management” </w:t>
      </w:r>
      <w:proofErr w:type="gramStart"/>
      <w:r>
        <w:t>at  https://www.blackrock.com/corporate/literature/whitepaper/viewpoint-role-ofthird-party-vendors-asset-management-september-2016.pdf</w:t>
      </w:r>
      <w:proofErr w:type="gramEnd"/>
      <w:r>
        <w:t xml:space="preserve">.  There are numerous vendors providing a wide range of services to asset managers.  We support the principle that firms need a vendor management program - and a business continuity management program - that factors in services provided by third parties. </w:t>
      </w:r>
    </w:p>
    <w:p w14:paraId="5EF7678D" w14:textId="77777777" w:rsidR="00F77594" w:rsidRDefault="00F77594" w:rsidP="00F77594">
      <w:pPr>
        <w:spacing w:after="4" w:line="259" w:lineRule="auto"/>
        <w:ind w:left="1354"/>
      </w:pPr>
      <w:r>
        <w:t xml:space="preserve"> </w:t>
      </w:r>
    </w:p>
    <w:p w14:paraId="544C7FD6" w14:textId="77777777" w:rsidR="00F77594" w:rsidRDefault="00F77594" w:rsidP="00F77594">
      <w:pPr>
        <w:numPr>
          <w:ilvl w:val="0"/>
          <w:numId w:val="18"/>
        </w:numPr>
        <w:spacing w:after="10" w:line="249" w:lineRule="auto"/>
        <w:ind w:hanging="360"/>
        <w:jc w:val="both"/>
      </w:pPr>
      <w:r>
        <w:t xml:space="preserve">Any analysis of CSPs in asset management – by the respective National Competent Authority (“NCA”) supervisors – needs to start with an understanding of the </w:t>
      </w:r>
      <w:r>
        <w:lastRenderedPageBreak/>
        <w:t xml:space="preserve">different business models of various firms.  Each firm has a different philosophy on which operational functions it wants to control directly versus which functions it wants to outsource. This leads to a very diverse set of operating models across the industry. </w:t>
      </w:r>
    </w:p>
    <w:p w14:paraId="15D11900" w14:textId="77777777" w:rsidR="00F77594" w:rsidRDefault="00F77594" w:rsidP="00F77594">
      <w:pPr>
        <w:spacing w:after="2" w:line="259" w:lineRule="auto"/>
        <w:ind w:left="1354"/>
      </w:pPr>
      <w:r>
        <w:t xml:space="preserve"> </w:t>
      </w:r>
    </w:p>
    <w:p w14:paraId="11B8C9D4" w14:textId="77777777" w:rsidR="00F77594" w:rsidRDefault="00F77594" w:rsidP="00F77594">
      <w:pPr>
        <w:numPr>
          <w:ilvl w:val="0"/>
          <w:numId w:val="18"/>
        </w:numPr>
        <w:spacing w:after="10" w:line="249" w:lineRule="auto"/>
        <w:ind w:hanging="360"/>
        <w:jc w:val="both"/>
      </w:pPr>
      <w:r>
        <w:t xml:space="preserve">NCA supervisors should apply the Guidelines based on a detailed understanding of each firm’s bespoke operating model, reflecting the precise role that CSPs provide for each respective firm.  This means there will be a spectrum – or degrees – of reliance on CSPs be firms dependent on business model.  The application of the Guidelines should take account of this spectrum.  Accordingly, we support ESMA’s approach to providing the industry with risk-based </w:t>
      </w:r>
      <w:proofErr w:type="gramStart"/>
      <w:r>
        <w:t>and  proportionate</w:t>
      </w:r>
      <w:proofErr w:type="gramEnd"/>
      <w:r>
        <w:t xml:space="preserve"> principles when looking to the application of the Guidelines. </w:t>
      </w:r>
    </w:p>
    <w:p w14:paraId="79237FA9" w14:textId="77777777" w:rsidR="00F77594" w:rsidRDefault="00F77594" w:rsidP="00F77594">
      <w:pPr>
        <w:spacing w:after="4" w:line="259" w:lineRule="auto"/>
        <w:ind w:left="1354"/>
      </w:pPr>
      <w:r>
        <w:t xml:space="preserve"> </w:t>
      </w:r>
    </w:p>
    <w:p w14:paraId="61E578B1" w14:textId="77777777" w:rsidR="00F77594" w:rsidRDefault="00F77594" w:rsidP="00F77594">
      <w:pPr>
        <w:numPr>
          <w:ilvl w:val="0"/>
          <w:numId w:val="18"/>
        </w:numPr>
        <w:spacing w:after="10" w:line="249" w:lineRule="auto"/>
        <w:ind w:hanging="360"/>
        <w:jc w:val="both"/>
      </w:pPr>
      <w:r>
        <w:t xml:space="preserve">While operational functions may be performed by a third party, we support the principle that firms must ensure that CSPs, like the asset manager itself, have sufficient controls to mitigate the risk of operational errors - and to ensure adequate business continuity and disaster recovery plans are in place. </w:t>
      </w:r>
    </w:p>
    <w:p w14:paraId="3B5419B5" w14:textId="77777777" w:rsidR="00F77594" w:rsidRDefault="00F77594" w:rsidP="00F77594">
      <w:pPr>
        <w:spacing w:after="2" w:line="259" w:lineRule="auto"/>
        <w:ind w:left="1354"/>
      </w:pPr>
      <w:r>
        <w:t xml:space="preserve"> </w:t>
      </w:r>
    </w:p>
    <w:p w14:paraId="246B14D0" w14:textId="77777777" w:rsidR="00F77594" w:rsidRDefault="00F77594" w:rsidP="00F77594">
      <w:pPr>
        <w:numPr>
          <w:ilvl w:val="0"/>
          <w:numId w:val="18"/>
        </w:numPr>
        <w:spacing w:after="10" w:line="249" w:lineRule="auto"/>
        <w:ind w:hanging="360"/>
        <w:jc w:val="both"/>
      </w:pPr>
      <w:r>
        <w:t xml:space="preserve">We agree with ESMA, in so far as, where a firm has a choice of CSP, conducting due diligence in the selection of CSPs, followed by ongoing monitoring - is key to ensuring that CSPs are adequately managing operational risk and can continue operations, even during times of market stress or business disruptions.  </w:t>
      </w:r>
    </w:p>
    <w:p w14:paraId="3B0A4428" w14:textId="77777777" w:rsidR="00F77594" w:rsidRDefault="00F77594" w:rsidP="00F77594">
      <w:pPr>
        <w:spacing w:after="4" w:line="259" w:lineRule="auto"/>
        <w:ind w:left="1354"/>
      </w:pPr>
      <w:r>
        <w:t xml:space="preserve"> </w:t>
      </w:r>
    </w:p>
    <w:p w14:paraId="13E58F25" w14:textId="77777777" w:rsidR="00F77594" w:rsidRDefault="00F77594" w:rsidP="00F77594">
      <w:pPr>
        <w:numPr>
          <w:ilvl w:val="0"/>
          <w:numId w:val="18"/>
        </w:numPr>
        <w:spacing w:after="10" w:line="249" w:lineRule="auto"/>
        <w:ind w:hanging="360"/>
        <w:jc w:val="both"/>
      </w:pPr>
      <w:r>
        <w:t xml:space="preserve">BlackRock maintains a selection program with a comprehensive set of guidelines and criteria to ensure that critical providers meet certain requirements without limitations, such as business concentration, financial stability, proper legal documentation, operational efficiencies, and adequate risk mitigation and controls including business continuity plans (“BCP”). </w:t>
      </w:r>
    </w:p>
    <w:p w14:paraId="68B14565" w14:textId="77777777" w:rsidR="00F77594" w:rsidRDefault="00F77594" w:rsidP="00F77594">
      <w:pPr>
        <w:spacing w:line="259" w:lineRule="auto"/>
        <w:ind w:left="1147"/>
      </w:pPr>
      <w:r>
        <w:t xml:space="preserve"> </w:t>
      </w:r>
    </w:p>
    <w:p w14:paraId="73C0346A" w14:textId="77777777" w:rsidR="00F77594" w:rsidRDefault="00F77594" w:rsidP="00F77594">
      <w:pPr>
        <w:numPr>
          <w:ilvl w:val="0"/>
          <w:numId w:val="18"/>
        </w:numPr>
        <w:spacing w:after="10" w:line="249" w:lineRule="auto"/>
        <w:ind w:hanging="360"/>
        <w:jc w:val="both"/>
      </w:pPr>
      <w:r>
        <w:t xml:space="preserve">It is important to recognize that while firms can perform rigorous due diligence on CSPs and engage in a high level of ongoing communication and oversight, firms cannot - and do not - control every aspect of a CSP’s functioning.  Nor do firms </w:t>
      </w:r>
      <w:proofErr w:type="gramStart"/>
      <w:r>
        <w:t>have the ability to</w:t>
      </w:r>
      <w:proofErr w:type="gramEnd"/>
      <w:r>
        <w:t xml:space="preserve"> guarantee that a CSP will never make a mistake or face an operational or business continuity challenge of its own.  </w:t>
      </w:r>
    </w:p>
    <w:p w14:paraId="2FA7C8F6" w14:textId="77777777" w:rsidR="00F77594" w:rsidRDefault="00F77594" w:rsidP="00F77594">
      <w:pPr>
        <w:spacing w:after="2" w:line="259" w:lineRule="auto"/>
        <w:ind w:left="1354"/>
      </w:pPr>
      <w:r>
        <w:t xml:space="preserve"> </w:t>
      </w:r>
    </w:p>
    <w:p w14:paraId="07503BB5" w14:textId="5F45CA1F" w:rsidR="00C85C8B" w:rsidRPr="00F77594" w:rsidRDefault="00F77594" w:rsidP="00F77594">
      <w:pPr>
        <w:numPr>
          <w:ilvl w:val="0"/>
          <w:numId w:val="18"/>
        </w:numPr>
        <w:spacing w:after="10" w:line="249" w:lineRule="auto"/>
        <w:ind w:hanging="360"/>
        <w:jc w:val="both"/>
      </w:pPr>
      <w:r>
        <w:t xml:space="preserve">Accordingly, we support ESMA’s principle that firms should take all reasonable measures – proportionate to the firm’s complexity, size and cloud use case – to risk manage firms’ relationships with CSPs. </w:t>
      </w:r>
    </w:p>
    <w:permEnd w:id="1853699001"/>
    <w:p w14:paraId="35D0D096" w14:textId="7F9BEACC"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lastRenderedPageBreak/>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3AE1F97A" w14:textId="77777777" w:rsidR="006F793F" w:rsidRDefault="006F793F" w:rsidP="006F793F">
      <w:pPr>
        <w:numPr>
          <w:ilvl w:val="0"/>
          <w:numId w:val="19"/>
        </w:numPr>
        <w:spacing w:after="10" w:line="249" w:lineRule="auto"/>
        <w:ind w:right="427" w:hanging="360"/>
        <w:jc w:val="both"/>
      </w:pPr>
      <w:permStart w:id="870130210" w:edGrp="everyone"/>
      <w:r>
        <w:rPr>
          <w:u w:val="single" w:color="000000"/>
        </w:rPr>
        <w:t>Guideline 1</w:t>
      </w:r>
      <w:r>
        <w:t xml:space="preserve"> states that firms should:  </w:t>
      </w:r>
    </w:p>
    <w:p w14:paraId="0A2C913E" w14:textId="77777777" w:rsidR="006F793F" w:rsidRDefault="006F793F" w:rsidP="006F793F">
      <w:pPr>
        <w:spacing w:after="4" w:line="259" w:lineRule="auto"/>
        <w:ind w:left="1354"/>
      </w:pPr>
      <w:r>
        <w:t xml:space="preserve"> </w:t>
      </w:r>
    </w:p>
    <w:p w14:paraId="6ACCBBC8" w14:textId="77777777" w:rsidR="006F793F" w:rsidRDefault="006F793F" w:rsidP="006F793F">
      <w:pPr>
        <w:spacing w:line="262" w:lineRule="auto"/>
        <w:ind w:left="1274" w:right="839"/>
      </w:pPr>
      <w:r>
        <w:t xml:space="preserve">“establish an outsourcing oversight function or designate a senior staff member who is directly accountable to the management body and responsible for managing and overseeing the risks of cloud outsourcing arrangements.”  </w:t>
      </w:r>
    </w:p>
    <w:p w14:paraId="4B4CD3B4" w14:textId="77777777" w:rsidR="006F793F" w:rsidRDefault="006F793F" w:rsidP="006F793F">
      <w:pPr>
        <w:spacing w:line="259" w:lineRule="auto"/>
        <w:ind w:left="427"/>
      </w:pPr>
      <w:r>
        <w:t xml:space="preserve"> </w:t>
      </w:r>
    </w:p>
    <w:p w14:paraId="6C99B6BE" w14:textId="531AEE97" w:rsidR="00E33392" w:rsidRPr="006F793F" w:rsidRDefault="006F793F" w:rsidP="00E33392">
      <w:pPr>
        <w:numPr>
          <w:ilvl w:val="1"/>
          <w:numId w:val="19"/>
        </w:numPr>
        <w:spacing w:after="10" w:line="249" w:lineRule="auto"/>
        <w:ind w:right="852" w:hanging="359"/>
        <w:jc w:val="both"/>
      </w:pPr>
      <w:r>
        <w:t xml:space="preserve">The final version of the Guidelines should permit the use of firms’ existing governance bodies to satisfy this requirement.  Cloud provision is one type of outsourcing arrangement.  Its risk management can be administered via firms’ existing, mature governance and oversight frameworks.     </w:t>
      </w:r>
    </w:p>
    <w:permEnd w:id="870130210"/>
    <w:p w14:paraId="6004914E" w14:textId="77777777"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4589A4E6" w14:textId="288C802C" w:rsidR="00E33392" w:rsidRDefault="006F793F" w:rsidP="00E33392">
      <w:pPr>
        <w:rPr>
          <w:rFonts w:ascii="Arial" w:hAnsi="Arial" w:cs="Arial"/>
        </w:rPr>
      </w:pPr>
      <w:permStart w:id="603860191" w:edGrp="everyone"/>
      <w:r>
        <w:rPr>
          <w:rFonts w:ascii="Arial" w:hAnsi="Arial" w:cs="Arial"/>
        </w:rPr>
        <w:t>No comment</w:t>
      </w: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23ABFFC6" w14:textId="77777777" w:rsidR="006F793F" w:rsidRDefault="006F793F" w:rsidP="006F793F">
      <w:pPr>
        <w:numPr>
          <w:ilvl w:val="0"/>
          <w:numId w:val="20"/>
        </w:numPr>
        <w:spacing w:after="10" w:line="249" w:lineRule="auto"/>
        <w:ind w:right="427" w:hanging="360"/>
        <w:jc w:val="both"/>
      </w:pPr>
      <w:permStart w:id="1685610127" w:edGrp="everyone"/>
      <w:r>
        <w:rPr>
          <w:u w:val="single" w:color="000000"/>
        </w:rPr>
        <w:t>Guideline 2</w:t>
      </w:r>
      <w:r>
        <w:t xml:space="preserve"> details (and this repeats across other relevant sections of the Guidelines): </w:t>
      </w:r>
    </w:p>
    <w:p w14:paraId="18800C13" w14:textId="77777777" w:rsidR="006F793F" w:rsidRDefault="006F793F" w:rsidP="006F793F">
      <w:pPr>
        <w:spacing w:after="4" w:line="259" w:lineRule="auto"/>
        <w:ind w:left="1354"/>
      </w:pPr>
      <w:r>
        <w:t xml:space="preserve"> </w:t>
      </w:r>
    </w:p>
    <w:p w14:paraId="035BF0C6" w14:textId="77777777" w:rsidR="006F793F" w:rsidRDefault="006F793F" w:rsidP="006F793F">
      <w:pPr>
        <w:spacing w:line="262" w:lineRule="auto"/>
        <w:ind w:left="1274" w:right="839"/>
      </w:pPr>
      <w:r>
        <w:t xml:space="preserve">“Where appropriate and in order to support the due diligence performed, a firm may also use certifications </w:t>
      </w:r>
      <w:r>
        <w:rPr>
          <w:u w:val="single" w:color="000000"/>
        </w:rPr>
        <w:t>based on international</w:t>
      </w:r>
      <w:r>
        <w:t xml:space="preserve"> </w:t>
      </w:r>
      <w:r>
        <w:rPr>
          <w:u w:val="single" w:color="000000"/>
        </w:rPr>
        <w:t>standards and external</w:t>
      </w:r>
      <w:r>
        <w:t xml:space="preserve"> [emphasis added] or internal audit reports.”  </w:t>
      </w:r>
    </w:p>
    <w:p w14:paraId="7930946C" w14:textId="77777777" w:rsidR="006F793F" w:rsidRDefault="006F793F" w:rsidP="006F793F">
      <w:pPr>
        <w:spacing w:line="259" w:lineRule="auto"/>
        <w:ind w:left="427"/>
      </w:pPr>
      <w:r>
        <w:t xml:space="preserve"> </w:t>
      </w:r>
    </w:p>
    <w:p w14:paraId="57BAF1CA" w14:textId="77777777" w:rsidR="006F793F" w:rsidRDefault="006F793F" w:rsidP="006F793F">
      <w:pPr>
        <w:numPr>
          <w:ilvl w:val="1"/>
          <w:numId w:val="20"/>
        </w:numPr>
        <w:spacing w:after="10" w:line="249" w:lineRule="auto"/>
        <w:ind w:right="852" w:hanging="359"/>
        <w:jc w:val="both"/>
      </w:pPr>
      <w:r>
        <w:t xml:space="preserve">We welcome the pragmatic recognition that the industry will continue to leverage auditing standards - administered by external trades bodies and professional bodies (of chartered accountants, lawyers etc). For example see the SOC 1 and 2 reports, Statements on Standards for Attestation Engagements, produced by the American Institute of Certified Public Accountants Auditing Standards Board and </w:t>
      </w:r>
      <w:proofErr w:type="gramStart"/>
      <w:r>
        <w:t>similarly  ISAE</w:t>
      </w:r>
      <w:proofErr w:type="gramEnd"/>
      <w:r>
        <w:t xml:space="preserve"> 3402 – developed by the IAASB.    </w:t>
      </w:r>
    </w:p>
    <w:p w14:paraId="39DAA448" w14:textId="77777777" w:rsidR="006F793F" w:rsidRDefault="006F793F" w:rsidP="006F793F">
      <w:pPr>
        <w:spacing w:after="5" w:line="259" w:lineRule="auto"/>
        <w:ind w:left="1867"/>
      </w:pPr>
      <w:r>
        <w:t xml:space="preserve"> </w:t>
      </w:r>
    </w:p>
    <w:p w14:paraId="13DD2617" w14:textId="77777777" w:rsidR="006F793F" w:rsidRDefault="006F793F" w:rsidP="006F793F">
      <w:pPr>
        <w:numPr>
          <w:ilvl w:val="0"/>
          <w:numId w:val="20"/>
        </w:numPr>
        <w:spacing w:after="10" w:line="249" w:lineRule="auto"/>
        <w:ind w:right="427" w:hanging="360"/>
        <w:jc w:val="both"/>
      </w:pPr>
      <w:r>
        <w:t xml:space="preserve">We agree with ESMA that asset managers should take a risk-based approach to ensure that CSP oversight and controls are commensurate with the materiality of the risks posed by the specific cloud provider.  We support the </w:t>
      </w:r>
      <w:r>
        <w:lastRenderedPageBreak/>
        <w:t>Guidelines taking a risk-based approach, for example, in relation to information security measures.</w:t>
      </w:r>
      <w:r>
        <w:rPr>
          <w:sz w:val="20"/>
        </w:rPr>
        <w:t xml:space="preserve"> </w:t>
      </w:r>
    </w:p>
    <w:p w14:paraId="0E508271" w14:textId="5539C0F3" w:rsidR="00E33392" w:rsidRDefault="00E33392" w:rsidP="00E33392">
      <w:pPr>
        <w:rPr>
          <w:rFonts w:ascii="Arial" w:hAnsi="Arial" w:cs="Arial"/>
        </w:rPr>
      </w:pPr>
    </w:p>
    <w:permEnd w:id="1685610127"/>
    <w:p w14:paraId="41A8E824" w14:textId="77777777"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2BAD102F" w14:textId="229E4627" w:rsidR="00E33392" w:rsidRDefault="006F793F" w:rsidP="00E33392">
      <w:pPr>
        <w:rPr>
          <w:rFonts w:ascii="Arial" w:hAnsi="Arial" w:cs="Arial"/>
        </w:rPr>
      </w:pPr>
      <w:permStart w:id="792990084" w:edGrp="everyone"/>
      <w:r>
        <w:rPr>
          <w:rFonts w:ascii="Arial" w:hAnsi="Arial" w:cs="Arial"/>
        </w:rPr>
        <w:t>No additional comment</w:t>
      </w:r>
    </w:p>
    <w:permEnd w:id="792990084"/>
    <w:p w14:paraId="2952A45B" w14:textId="77777777"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697B1136" w14:textId="77777777" w:rsidR="006F793F" w:rsidRDefault="006F793F" w:rsidP="006F793F">
      <w:pPr>
        <w:numPr>
          <w:ilvl w:val="0"/>
          <w:numId w:val="21"/>
        </w:numPr>
        <w:spacing w:after="10" w:line="249" w:lineRule="auto"/>
        <w:ind w:right="427" w:hanging="360"/>
        <w:jc w:val="both"/>
      </w:pPr>
      <w:permStart w:id="1518408103" w:edGrp="everyone"/>
      <w:r>
        <w:t xml:space="preserve">We agree with ESMA that asset managers should take a risk-based approach to ensure that CSP oversight and controls are commensurate with the materiality of the risks posed by the specific cloud provider.  We support the Guidelines taking a risk-based approach, for example, in relation to information security measures as set out below. </w:t>
      </w:r>
    </w:p>
    <w:p w14:paraId="31503A8E" w14:textId="77777777" w:rsidR="006F793F" w:rsidRDefault="006F793F" w:rsidP="006F793F">
      <w:pPr>
        <w:spacing w:after="2" w:line="259" w:lineRule="auto"/>
        <w:ind w:left="1354"/>
      </w:pPr>
      <w:r>
        <w:t xml:space="preserve"> </w:t>
      </w:r>
    </w:p>
    <w:p w14:paraId="6DE32FAD" w14:textId="77777777" w:rsidR="006F793F" w:rsidRDefault="006F793F" w:rsidP="006F793F">
      <w:pPr>
        <w:ind w:left="1877" w:right="851"/>
      </w:pPr>
      <w:r>
        <w:rPr>
          <w:u w:val="single" w:color="000000"/>
        </w:rPr>
        <w:t>Guideline 4</w:t>
      </w:r>
      <w:r>
        <w:t xml:space="preserve"> details information security requirements.  We note the similarities between Guideline 4 and equivalent EBA guidance.  We suggest that ESMA considers – for the finalized version of Guideline 4 – that items detailed in paragraphs 43(a)(h) of the Consultation Paper could be better enacted with a principles-based approach.  Rather than being overly prescriptive. ESMA could consider the approach of one of the key principles of the GDPR – that data is to be risk managed securely by means of “appropriate technical and organizational measures”. For an example of how this is applied in practice see the ICO Guide </w:t>
      </w:r>
      <w:proofErr w:type="gramStart"/>
      <w:r>
        <w:t>at  https://ico.org.uk/for-organisations/guide-todata-protection/guide-to-the-general-data-protection-regulationgdpr/security/#:~:text=At%20a%20glance,and%20physical%20</w:t>
      </w:r>
      <w:proofErr w:type="gramEnd"/>
      <w:r>
        <w:t xml:space="preserve"> and%20technical%20measures.  A principles-based approach can be more effective because information security measures may change over time and would be assessed on the specific use of cloud (including with reference to the sensitivity of the data being processed by a CSP). </w:t>
      </w:r>
    </w:p>
    <w:p w14:paraId="6D0A3B30" w14:textId="281284BD" w:rsidR="00E33392" w:rsidRDefault="00E33392" w:rsidP="00E33392">
      <w:pPr>
        <w:rPr>
          <w:rFonts w:ascii="Arial" w:hAnsi="Arial" w:cs="Arial"/>
        </w:rPr>
      </w:pPr>
    </w:p>
    <w:permEnd w:id="1518408103"/>
    <w:p w14:paraId="3C8D8777" w14:textId="77777777"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224814D0" w14:textId="18399911" w:rsidR="00E33392" w:rsidRDefault="006F793F" w:rsidP="00E33392">
      <w:pPr>
        <w:rPr>
          <w:rFonts w:ascii="Arial" w:hAnsi="Arial" w:cs="Arial"/>
        </w:rPr>
      </w:pPr>
      <w:permStart w:id="1998543046" w:edGrp="everyone"/>
      <w:r>
        <w:rPr>
          <w:rFonts w:ascii="Arial" w:hAnsi="Arial" w:cs="Arial"/>
        </w:rPr>
        <w:t>No additional comment</w:t>
      </w:r>
    </w:p>
    <w:permEnd w:id="1998543046"/>
    <w:p w14:paraId="425323A3" w14:textId="77777777"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lastRenderedPageBreak/>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t>&lt;ESMA_QUESTION_COGL_7&gt;</w:t>
      </w:r>
    </w:p>
    <w:p w14:paraId="4493AAD0" w14:textId="0CC452CC" w:rsidR="00E33392" w:rsidRDefault="006F793F" w:rsidP="00E33392">
      <w:pPr>
        <w:rPr>
          <w:rFonts w:ascii="Arial" w:hAnsi="Arial" w:cs="Arial"/>
        </w:rPr>
      </w:pPr>
      <w:permStart w:id="1893742938" w:edGrp="everyone"/>
      <w:r>
        <w:rPr>
          <w:rFonts w:ascii="Arial" w:hAnsi="Arial" w:cs="Arial"/>
        </w:rPr>
        <w:t>No additional comment</w:t>
      </w:r>
      <w:permEnd w:id="1893742938"/>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7D972E40" w14:textId="0CC5B014" w:rsidR="00E33392" w:rsidRDefault="006F793F" w:rsidP="00E33392">
      <w:pPr>
        <w:rPr>
          <w:rFonts w:ascii="Arial" w:hAnsi="Arial" w:cs="Arial"/>
        </w:rPr>
      </w:pPr>
      <w:permStart w:id="311951876" w:edGrp="everyone"/>
      <w:r>
        <w:rPr>
          <w:rFonts w:ascii="Arial" w:hAnsi="Arial" w:cs="Arial"/>
        </w:rPr>
        <w:t>No additional comment</w:t>
      </w:r>
    </w:p>
    <w:permEnd w:id="311951876"/>
    <w:p w14:paraId="2BD64044" w14:textId="77777777"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60AB75A9" w14:textId="30F98526" w:rsidR="00E33392" w:rsidRDefault="006F793F" w:rsidP="00E33392">
      <w:pPr>
        <w:rPr>
          <w:rFonts w:ascii="Arial" w:hAnsi="Arial" w:cs="Arial"/>
        </w:rPr>
      </w:pPr>
      <w:permStart w:id="943999632" w:edGrp="everyone"/>
      <w:r>
        <w:rPr>
          <w:rFonts w:ascii="Arial" w:hAnsi="Arial" w:cs="Arial"/>
        </w:rPr>
        <w:t>No additional comment</w:t>
      </w:r>
    </w:p>
    <w:permEnd w:id="943999632"/>
    <w:p w14:paraId="2CCDB13B" w14:textId="77777777"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03FB5872" w14:textId="48778B7D" w:rsidR="00E33392" w:rsidRDefault="006F793F" w:rsidP="00E33392">
      <w:pPr>
        <w:rPr>
          <w:rFonts w:ascii="Arial" w:hAnsi="Arial" w:cs="Arial"/>
        </w:rPr>
      </w:pPr>
      <w:permStart w:id="1987337014" w:edGrp="everyone"/>
      <w:r>
        <w:rPr>
          <w:rFonts w:ascii="Arial" w:hAnsi="Arial" w:cs="Arial"/>
        </w:rPr>
        <w:t>No additional comment</w:t>
      </w:r>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4DEBFB10" w14:textId="6520F77C" w:rsidR="00E33392" w:rsidRDefault="006F793F" w:rsidP="00E33392">
      <w:pPr>
        <w:rPr>
          <w:rFonts w:ascii="Arial" w:hAnsi="Arial" w:cs="Arial"/>
        </w:rPr>
      </w:pPr>
      <w:permStart w:id="2023358740" w:edGrp="everyone"/>
      <w:r>
        <w:rPr>
          <w:rFonts w:ascii="Arial" w:hAnsi="Arial" w:cs="Arial"/>
        </w:rPr>
        <w:t>No additional comment</w:t>
      </w:r>
    </w:p>
    <w:permEnd w:id="2023358740"/>
    <w:p w14:paraId="710B7D8F" w14:textId="77777777"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69DCAA5B" w14:textId="711C3BA1" w:rsidR="00E33392" w:rsidRDefault="006F793F" w:rsidP="00E33392">
      <w:pPr>
        <w:rPr>
          <w:rFonts w:ascii="Arial" w:hAnsi="Arial" w:cs="Arial"/>
        </w:rPr>
      </w:pPr>
      <w:permStart w:id="752842500" w:edGrp="everyone"/>
      <w:r>
        <w:rPr>
          <w:rFonts w:ascii="Arial" w:hAnsi="Arial" w:cs="Arial"/>
        </w:rPr>
        <w:t>No additional comment</w:t>
      </w:r>
      <w:bookmarkStart w:id="2" w:name="_GoBack"/>
      <w:bookmarkEnd w:id="2"/>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1"/>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EFBF0" w14:textId="77777777" w:rsidR="00094623" w:rsidRDefault="00094623" w:rsidP="007E7997">
      <w:r>
        <w:separator/>
      </w:r>
    </w:p>
  </w:endnote>
  <w:endnote w:type="continuationSeparator" w:id="0">
    <w:p w14:paraId="0A17EA94" w14:textId="77777777" w:rsidR="00094623" w:rsidRDefault="00094623" w:rsidP="007E7997">
      <w:r>
        <w:continuationSeparator/>
      </w:r>
    </w:p>
  </w:endnote>
  <w:endnote w:type="continuationNotice" w:id="1">
    <w:p w14:paraId="4DBC3E30" w14:textId="77777777" w:rsidR="00094623" w:rsidRDefault="00094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2A4B306C" w14:textId="77777777"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9FFC" w14:textId="7301BD04"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031F2ED0" w14:textId="77777777"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539303" w14:textId="77777777"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568E3" w14:textId="77777777" w:rsidR="00094623" w:rsidRDefault="00094623" w:rsidP="007E7997">
      <w:r>
        <w:separator/>
      </w:r>
    </w:p>
  </w:footnote>
  <w:footnote w:type="continuationSeparator" w:id="0">
    <w:p w14:paraId="5E826F9E" w14:textId="77777777" w:rsidR="00094623" w:rsidRDefault="00094623" w:rsidP="007E7997">
      <w:r>
        <w:continuationSeparator/>
      </w:r>
    </w:p>
  </w:footnote>
  <w:footnote w:type="continuationNotice" w:id="1">
    <w:p w14:paraId="38955BBC" w14:textId="77777777" w:rsidR="00094623" w:rsidRDefault="00094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A73A" w14:textId="77777777" w:rsidR="00E36813" w:rsidRDefault="00E36813">
    <w:pPr>
      <w:pStyle w:val="Header"/>
    </w:pPr>
  </w:p>
  <w:p w14:paraId="4C660DBF"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5C28" w14:textId="77777777" w:rsidR="00E36813" w:rsidRDefault="00E36813">
    <w:pPr>
      <w:pStyle w:val="Header"/>
    </w:pPr>
    <w:r>
      <w:rPr>
        <w:noProof/>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1CE8" w14:textId="77777777"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E6BE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Header"/>
      <w:jc w:val="right"/>
      <w:rPr>
        <w:color w:val="2F5496" w:themeColor="accent5" w:themeShade="BF"/>
        <w:sz w:val="20"/>
      </w:rPr>
    </w:pPr>
  </w:p>
  <w:p w14:paraId="7F71A825"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227C1"/>
    <w:multiLevelType w:val="hybridMultilevel"/>
    <w:tmpl w:val="BED8F064"/>
    <w:lvl w:ilvl="0" w:tplc="CFC8C8E2">
      <w:start w:val="1"/>
      <w:numFmt w:val="decimal"/>
      <w:lvlText w:val="%1."/>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7CA2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1298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C3AB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A0739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46B4E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EF0C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2CDC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C8439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2C10AD"/>
    <w:multiLevelType w:val="hybridMultilevel"/>
    <w:tmpl w:val="F0A203B4"/>
    <w:lvl w:ilvl="0" w:tplc="8424C0F6">
      <w:start w:val="12"/>
      <w:numFmt w:val="decimal"/>
      <w:lvlText w:val="%1."/>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1EFBC2">
      <w:start w:val="1"/>
      <w:numFmt w:val="lowerLetter"/>
      <w:lvlText w:val="%2."/>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22E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C008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2E1D8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6AE7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3C01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66A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0A02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5B95137"/>
    <w:multiLevelType w:val="hybridMultilevel"/>
    <w:tmpl w:val="F0A203B4"/>
    <w:lvl w:ilvl="0" w:tplc="8424C0F6">
      <w:start w:val="12"/>
      <w:numFmt w:val="decimal"/>
      <w:lvlText w:val="%1."/>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1EFBC2">
      <w:start w:val="1"/>
      <w:numFmt w:val="lowerLetter"/>
      <w:lvlText w:val="%2."/>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22E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C008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2E1D8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6AE7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3C01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66A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0A02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630B2D"/>
    <w:multiLevelType w:val="hybridMultilevel"/>
    <w:tmpl w:val="F0A203B4"/>
    <w:lvl w:ilvl="0" w:tplc="8424C0F6">
      <w:start w:val="12"/>
      <w:numFmt w:val="decimal"/>
      <w:lvlText w:val="%1."/>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1EFBC2">
      <w:start w:val="1"/>
      <w:numFmt w:val="lowerLetter"/>
      <w:lvlText w:val="%2."/>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22E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C008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2E1D8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6AE7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3C01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66A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0A02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12"/>
  </w:num>
  <w:num w:numId="4">
    <w:abstractNumId w:val="3"/>
  </w:num>
  <w:num w:numId="5">
    <w:abstractNumId w:val="9"/>
  </w:num>
  <w:num w:numId="6">
    <w:abstractNumId w:val="15"/>
  </w:num>
  <w:num w:numId="7">
    <w:abstractNumId w:val="8"/>
  </w:num>
  <w:num w:numId="8">
    <w:abstractNumId w:val="4"/>
  </w:num>
  <w:num w:numId="9">
    <w:abstractNumId w:val="7"/>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1"/>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4"/>
  </w:num>
  <w:num w:numId="20">
    <w:abstractNumId w:val="1"/>
  </w:num>
  <w:num w:numId="2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documentProtection w:edit="readOnly" w:enforcement="1" w:cryptProviderType="rsaAES" w:cryptAlgorithmClass="hash" w:cryptAlgorithmType="typeAny" w:cryptAlgorithmSid="14" w:cryptSpinCount="100000" w:hash="+XAgd11iZRHotn1lq6k0czGKbP7UjSZGc3qO5PW9YgqveF5WLhwuC9kWhrRSNh/x3g0wET2HrpyHtUkBvyFJ+Q==" w:salt="/iWRCmYLf1jZlddrEC3FT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4623"/>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101EF"/>
    <w:rsid w:val="00312BDD"/>
    <w:rsid w:val="00314117"/>
    <w:rsid w:val="00317EDF"/>
    <w:rsid w:val="003279E7"/>
    <w:rsid w:val="00327B62"/>
    <w:rsid w:val="00331FE9"/>
    <w:rsid w:val="0033324D"/>
    <w:rsid w:val="00334B85"/>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92F3A"/>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4804"/>
    <w:rsid w:val="006C5BF8"/>
    <w:rsid w:val="006C7CCB"/>
    <w:rsid w:val="006D50BA"/>
    <w:rsid w:val="006D6009"/>
    <w:rsid w:val="006D7D41"/>
    <w:rsid w:val="006E2F4D"/>
    <w:rsid w:val="006E3FDD"/>
    <w:rsid w:val="006E58FB"/>
    <w:rsid w:val="006E5D82"/>
    <w:rsid w:val="006E66B2"/>
    <w:rsid w:val="006E6C50"/>
    <w:rsid w:val="006E7184"/>
    <w:rsid w:val="006E7A69"/>
    <w:rsid w:val="006E7DE4"/>
    <w:rsid w:val="006F53E8"/>
    <w:rsid w:val="006F5FB8"/>
    <w:rsid w:val="006F793F"/>
    <w:rsid w:val="0070017B"/>
    <w:rsid w:val="0070427E"/>
    <w:rsid w:val="00704D53"/>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E75"/>
    <w:rsid w:val="007E390E"/>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0EA3"/>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4B25"/>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5117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59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2.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3.xml><?xml version="1.0" encoding="utf-8"?>
<ds:datastoreItem xmlns:ds="http://schemas.openxmlformats.org/officeDocument/2006/customXml" ds:itemID="{F50BB32D-1D6C-4FEC-883B-66709530BE9F}">
  <ds:schemaRefs>
    <ds:schemaRef ds:uri="http://schemas.microsoft.com/office/2006/metadata/properties"/>
    <ds:schemaRef ds:uri="http://schemas.microsoft.com/office/infopath/2007/PartnerControls"/>
    <ds:schemaRef ds:uri="a090d947-cb5a-4e71-a094-4f979ca4aec0"/>
  </ds:schemaRefs>
</ds:datastoreItem>
</file>

<file path=customXml/itemProps4.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D5795F-0178-4779-B623-560B7B5D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1944</Words>
  <Characters>11085</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2020-09-03T14:57:00Z</dcterms:created>
  <dcterms:modified xsi:type="dcterms:W3CDTF">2020-09-03T14:57:00Z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ies>
</file>