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34DB4BBC" w:rsidR="00C85C8B" w:rsidRPr="00C85C8B" w:rsidRDefault="00091843" w:rsidP="00C85C8B">
                <w:pPr>
                  <w:rPr>
                    <w:rFonts w:ascii="Arial" w:hAnsi="Arial" w:cs="Arial"/>
                    <w:color w:val="808080"/>
                    <w:sz w:val="20"/>
                    <w:lang w:eastAsia="de-DE"/>
                  </w:rPr>
                </w:pPr>
                <w:r>
                  <w:rPr>
                    <w:rFonts w:ascii="Arial" w:hAnsi="Arial" w:cs="Arial"/>
                    <w:color w:val="808080"/>
                    <w:sz w:val="20"/>
                    <w:lang w:eastAsia="de-DE"/>
                  </w:rPr>
                  <w:t>Austrian Federal Economic Chamber</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6A4AB9D2" w:rsidR="00C85C8B" w:rsidRPr="00C85C8B" w:rsidRDefault="00631063"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91843">
                  <w:rPr>
                    <w:rFonts w:ascii="Arial" w:hAnsi="Arial" w:cs="Arial"/>
                    <w:sz w:val="20"/>
                    <w:lang w:eastAsia="de-DE"/>
                  </w:rPr>
                  <w:t>Banking sector</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3086852" w14:textId="77777777" w:rsidR="00C85C8B" w:rsidRPr="00C85C8B" w:rsidRDefault="000B29A1"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77777777" w:rsidR="00C85C8B" w:rsidRPr="00C85C8B" w:rsidRDefault="00C85C8B" w:rsidP="00C85C8B">
                <w:pPr>
                  <w:rPr>
                    <w:rFonts w:ascii="Arial" w:hAnsi="Arial" w:cs="Arial"/>
                    <w:sz w:val="20"/>
                    <w:lang w:eastAsia="de-DE"/>
                  </w:rPr>
                </w:pPr>
                <w:r w:rsidRPr="00C85C8B">
                  <w:rPr>
                    <w:rFonts w:ascii="Arial" w:hAnsi="Arial" w:cs="Arial"/>
                    <w:color w:val="808080"/>
                    <w:sz w:val="20"/>
                    <w:lang w:eastAsia="de-DE"/>
                  </w:rPr>
                  <w:t>Choose an item.</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07503BB5"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1853699001" w:edGrp="everyone"/>
      <w:r w:rsidRPr="00C85C8B">
        <w:rPr>
          <w:rFonts w:ascii="Arial" w:eastAsiaTheme="minorEastAsia" w:hAnsi="Arial" w:cs="Arial"/>
          <w:sz w:val="22"/>
          <w:szCs w:val="20"/>
          <w:lang w:eastAsia="en-US"/>
        </w:rPr>
        <w:t>TYPE YOUR TEXT HERE</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16E54EC3" w14:textId="77777777" w:rsidR="00091843" w:rsidRPr="004A4384" w:rsidRDefault="00091843" w:rsidP="00091843">
      <w:pPr>
        <w:rPr>
          <w:rFonts w:cs="Calibri"/>
          <w:lang w:val="en-US"/>
        </w:rPr>
      </w:pPr>
      <w:permStart w:id="870130210" w:edGrp="everyone"/>
      <w:r w:rsidRPr="004A4384">
        <w:rPr>
          <w:rFonts w:cs="Calibri"/>
          <w:lang w:val="en-US"/>
        </w:rPr>
        <w:t>Yes. However, in 27) a risk-based approach for monitoring is mentioned, but not further specified. If the primary focus should be on the outsourcing of critical and important functions, which risk-based approach would be expected for the rest?</w:t>
      </w:r>
    </w:p>
    <w:p w14:paraId="6C99B6BE" w14:textId="760B459C" w:rsidR="00E33392" w:rsidRDefault="00091843" w:rsidP="00091843">
      <w:pPr>
        <w:rPr>
          <w:rFonts w:ascii="Arial" w:hAnsi="Arial" w:cs="Arial"/>
        </w:rPr>
      </w:pPr>
      <w:r w:rsidRPr="004A4384">
        <w:rPr>
          <w:rFonts w:cs="Calibri"/>
          <w:lang w:val="en-US"/>
        </w:rPr>
        <w:t>Additionally, the wording of the following sentence in point 27) is somewhat misleading: “The primary focus should be on the outsourcing of critical or important functions.” This could be understood in a way that critical or important functions should be generally focused on when engaging in outsourcing activities.  However, we believe it addresses the monitoring activities for outsourced functions, whereby the primary focus should be on the monitoring of critical or important functions that were outsourced. A clearer wording would be appreciated</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lastRenderedPageBreak/>
        <w:t>&lt;ESMA_QUESTION_COGL_2&gt;</w:t>
      </w:r>
    </w:p>
    <w:p w14:paraId="4589A4E6" w14:textId="7F8E9CF1" w:rsidR="00E33392" w:rsidRPr="00091843" w:rsidRDefault="00091843" w:rsidP="00E33392">
      <w:pPr>
        <w:rPr>
          <w:rFonts w:cs="Calibri"/>
          <w:lang w:val="en-US"/>
        </w:rPr>
      </w:pPr>
      <w:permStart w:id="603860191" w:edGrp="everyone"/>
      <w:r w:rsidRPr="004A4384">
        <w:rPr>
          <w:rFonts w:cs="Calibri"/>
          <w:lang w:val="en-US"/>
        </w:rPr>
        <w:t xml:space="preserve">Ad 28 &amp; 29) the register should contain the same information as for Outsourcing for credit institutions </w:t>
      </w:r>
      <w:r>
        <w:rPr>
          <w:rFonts w:cs="Calibri"/>
          <w:lang w:val="en-US"/>
        </w:rPr>
        <w:t>according to</w:t>
      </w:r>
      <w:r w:rsidRPr="004A4384">
        <w:rPr>
          <w:rFonts w:cs="Calibri"/>
          <w:lang w:val="en-US"/>
        </w:rPr>
        <w:t xml:space="preserve"> the EBA Outsourcing Guidelines. Firms / banking groups have invested and migrated heavily in the past months and re-using it for security subsidiaries / customers would be beneficial. A simple reference to the EBA Outsourcing Guidelines for credit institutions would suffice. </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0E508271" w14:textId="424FE763" w:rsidR="00E33392" w:rsidRPr="00091843" w:rsidRDefault="00091843" w:rsidP="00E33392">
      <w:pPr>
        <w:rPr>
          <w:rFonts w:cs="Calibri"/>
          <w:lang w:val="en-US"/>
        </w:rPr>
      </w:pPr>
      <w:permStart w:id="1685610127" w:edGrp="everyone"/>
      <w:r w:rsidRPr="004A4384">
        <w:rPr>
          <w:rFonts w:cs="Calibri"/>
          <w:lang w:val="en-US"/>
        </w:rPr>
        <w:t>Yes. However, 35) needs to be specified in terms of which certifications would be deemed appropriate.</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2AA9007F" w14:textId="77777777" w:rsidR="00091843" w:rsidRPr="004A4384" w:rsidRDefault="00091843" w:rsidP="00091843">
      <w:pPr>
        <w:rPr>
          <w:rFonts w:cs="Calibri"/>
          <w:lang w:val="en-US"/>
        </w:rPr>
      </w:pPr>
      <w:permStart w:id="792990084" w:edGrp="everyone"/>
      <w:r w:rsidRPr="004A4384">
        <w:rPr>
          <w:rFonts w:cs="Calibri"/>
          <w:lang w:val="en-US"/>
        </w:rPr>
        <w:t>Generally, we believe that instead of providing a prescriptive set of what needs to be included in a contract, SCCs would have been a better approach for CSPs and firms.</w:t>
      </w:r>
    </w:p>
    <w:p w14:paraId="3084D697" w14:textId="77777777" w:rsidR="00091843" w:rsidRPr="004A4384" w:rsidRDefault="00091843" w:rsidP="00091843">
      <w:pPr>
        <w:rPr>
          <w:rFonts w:cs="Calibri"/>
          <w:lang w:val="en-US"/>
        </w:rPr>
      </w:pPr>
      <w:r w:rsidRPr="004A4384">
        <w:rPr>
          <w:rFonts w:cs="Calibri"/>
          <w:lang w:val="en-US"/>
        </w:rPr>
        <w:t xml:space="preserve">Concerning point 41.f) we would like to point out that listing the countries where the CPSs’ data </w:t>
      </w:r>
      <w:proofErr w:type="spellStart"/>
      <w:r w:rsidRPr="004A4384">
        <w:rPr>
          <w:rFonts w:cs="Calibri"/>
          <w:lang w:val="en-US"/>
        </w:rPr>
        <w:t>centres</w:t>
      </w:r>
      <w:proofErr w:type="spellEnd"/>
      <w:r w:rsidRPr="004A4384">
        <w:rPr>
          <w:rFonts w:cs="Calibri"/>
          <w:lang w:val="en-US"/>
        </w:rPr>
        <w:t xml:space="preserve"> reside will not be sufficient to cover ‘storing and processing’ of data.</w:t>
      </w:r>
    </w:p>
    <w:p w14:paraId="2BAD102F" w14:textId="707F6195" w:rsidR="00E33392" w:rsidRPr="00091843" w:rsidRDefault="00091843" w:rsidP="00E33392">
      <w:pPr>
        <w:rPr>
          <w:rFonts w:cs="Calibri"/>
          <w:lang w:val="en-US"/>
        </w:rPr>
      </w:pPr>
      <w:r w:rsidRPr="004A4384">
        <w:rPr>
          <w:rFonts w:cs="Calibri"/>
          <w:lang w:val="en-US"/>
        </w:rPr>
        <w:t xml:space="preserve">On a more general note, the requirements of Guideline 3 might be quite hard to implement for certain outsourcing activities. Especially when engaging with large CSP like AWS and Azure, they offer standard services and might not always </w:t>
      </w:r>
      <w:proofErr w:type="gramStart"/>
      <w:r w:rsidRPr="004A4384">
        <w:rPr>
          <w:rFonts w:cs="Calibri"/>
          <w:lang w:val="en-US"/>
        </w:rPr>
        <w:t>enter into</w:t>
      </w:r>
      <w:proofErr w:type="gramEnd"/>
      <w:r w:rsidRPr="004A4384">
        <w:rPr>
          <w:rFonts w:cs="Calibri"/>
          <w:lang w:val="en-US"/>
        </w:rPr>
        <w:t xml:space="preserve"> details and negotiate every aspect of the service. Even though the standard service covers most of the aspects expected by the Guideline 3, they are not tailored to the needs of the firm outsourcing the service.</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5C271128" w14:textId="77777777" w:rsidR="00091843" w:rsidRPr="004A4384" w:rsidRDefault="00091843" w:rsidP="00091843">
      <w:pPr>
        <w:rPr>
          <w:rFonts w:cs="Calibri"/>
          <w:lang w:val="en-US"/>
        </w:rPr>
      </w:pPr>
      <w:permStart w:id="1518408103" w:edGrp="everyone"/>
      <w:r w:rsidRPr="004A4384">
        <w:rPr>
          <w:rFonts w:cs="Calibri"/>
          <w:lang w:val="en-US"/>
        </w:rPr>
        <w:t xml:space="preserve">Generally, yes. </w:t>
      </w:r>
    </w:p>
    <w:p w14:paraId="6D0A3B30" w14:textId="1A9B6FC0" w:rsidR="00E33392" w:rsidRPr="00091843" w:rsidRDefault="00091843" w:rsidP="00E33392">
      <w:pPr>
        <w:rPr>
          <w:rFonts w:cs="Calibri"/>
          <w:lang w:val="en-US"/>
        </w:rPr>
      </w:pPr>
      <w:r w:rsidRPr="004A4384">
        <w:rPr>
          <w:rFonts w:cs="Calibri"/>
          <w:lang w:val="en-US"/>
        </w:rPr>
        <w:t>Ad 43.c) Please provide more examples for appropriate key management solutions. Preventing the CSP from storing and managing encryption keys is not covering all types of cloud solutions nor is it probable that big CSPs would accept additional contractual conditions for separation of duties between key management and operations, if these aren’t already covered by their standard contractual templates for standardized cloud solutions (e.g. within public clouds).</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70F697C9" w14:textId="77777777" w:rsidR="00091843" w:rsidRPr="004A4384" w:rsidRDefault="00091843" w:rsidP="00091843">
      <w:pPr>
        <w:rPr>
          <w:rFonts w:cs="Calibri"/>
          <w:lang w:val="en-US"/>
        </w:rPr>
      </w:pPr>
      <w:permStart w:id="1998543046" w:edGrp="everyone"/>
      <w:r w:rsidRPr="004A4384">
        <w:rPr>
          <w:rFonts w:cs="Calibri"/>
          <w:lang w:val="en-US"/>
        </w:rPr>
        <w:t xml:space="preserve">Generally, yes. </w:t>
      </w:r>
    </w:p>
    <w:p w14:paraId="3F2A0084" w14:textId="77777777" w:rsidR="00091843" w:rsidRPr="004A4384" w:rsidRDefault="00091843" w:rsidP="00091843">
      <w:pPr>
        <w:rPr>
          <w:rFonts w:cs="Calibri"/>
          <w:lang w:val="en-US"/>
        </w:rPr>
      </w:pPr>
      <w:r w:rsidRPr="004A4384">
        <w:rPr>
          <w:rFonts w:cs="Calibri"/>
          <w:lang w:val="en-US"/>
        </w:rPr>
        <w:t xml:space="preserve">Ad 44.a) “Testing” the Exit Plan will not work in many cases. This would be too expensive, risky and time-consuming. </w:t>
      </w:r>
    </w:p>
    <w:p w14:paraId="224814D0" w14:textId="00F98170" w:rsidR="00E33392" w:rsidRPr="00091843" w:rsidRDefault="00091843" w:rsidP="00E33392">
      <w:pPr>
        <w:rPr>
          <w:rFonts w:cs="Calibri"/>
          <w:lang w:val="en-US"/>
        </w:rPr>
      </w:pPr>
      <w:r w:rsidRPr="004A4384">
        <w:rPr>
          <w:rFonts w:cs="Calibri"/>
          <w:lang w:val="en-US"/>
        </w:rPr>
        <w:lastRenderedPageBreak/>
        <w:t xml:space="preserve">Ad 44.c) This is generally not part of the standard service of AWS and Azure and might be hard to impose. </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1CB850A0" w14:textId="77777777" w:rsidR="00091843" w:rsidRPr="004A4384" w:rsidRDefault="00091843" w:rsidP="00091843">
      <w:pPr>
        <w:rPr>
          <w:rFonts w:cs="Calibri"/>
          <w:lang w:val="en-US"/>
        </w:rPr>
      </w:pPr>
      <w:permStart w:id="1893742938" w:edGrp="everyone"/>
      <w:r w:rsidRPr="004A4384">
        <w:rPr>
          <w:rFonts w:cs="Calibri"/>
          <w:lang w:val="en-US"/>
        </w:rPr>
        <w:t xml:space="preserve">No. </w:t>
      </w:r>
    </w:p>
    <w:p w14:paraId="65F9BD73" w14:textId="77777777" w:rsidR="00091843" w:rsidRPr="004A4384" w:rsidRDefault="00091843" w:rsidP="00091843">
      <w:pPr>
        <w:rPr>
          <w:rFonts w:cs="Calibri"/>
          <w:lang w:val="en-US"/>
        </w:rPr>
      </w:pPr>
      <w:r w:rsidRPr="004A4384">
        <w:rPr>
          <w:rFonts w:cs="Calibri"/>
          <w:lang w:val="en-US"/>
        </w:rPr>
        <w:t xml:space="preserve">The differentiation between “access” and “audit” is unclear. Access without audit right makes no sense and vice versa. Instead </w:t>
      </w:r>
      <w:r>
        <w:rPr>
          <w:rFonts w:cs="Calibri"/>
          <w:lang w:val="en-US"/>
        </w:rPr>
        <w:t xml:space="preserve">please </w:t>
      </w:r>
      <w:r w:rsidRPr="004A4384">
        <w:rPr>
          <w:rFonts w:cs="Calibri"/>
          <w:lang w:val="en-US"/>
        </w:rPr>
        <w:t>state that any “audit right” includes “access right”.</w:t>
      </w:r>
    </w:p>
    <w:p w14:paraId="38E5CEE0" w14:textId="77777777" w:rsidR="00091843" w:rsidRDefault="00091843" w:rsidP="00091843">
      <w:pPr>
        <w:rPr>
          <w:rFonts w:cs="Calibri"/>
          <w:lang w:val="en-US"/>
        </w:rPr>
      </w:pPr>
    </w:p>
    <w:p w14:paraId="633E4901" w14:textId="77777777" w:rsidR="00091843" w:rsidRPr="004A4384" w:rsidRDefault="00091843" w:rsidP="00091843">
      <w:pPr>
        <w:rPr>
          <w:rFonts w:cs="Calibri"/>
          <w:lang w:val="en-US"/>
        </w:rPr>
      </w:pPr>
      <w:r w:rsidRPr="004A4384">
        <w:rPr>
          <w:rFonts w:cs="Calibri"/>
          <w:lang w:val="en-US"/>
        </w:rPr>
        <w:t xml:space="preserve">Points 50) ff are in principle imposing the whole responsibility to </w:t>
      </w:r>
      <w:proofErr w:type="gramStart"/>
      <w:r w:rsidRPr="004A4384">
        <w:rPr>
          <w:rFonts w:cs="Calibri"/>
          <w:lang w:val="en-US"/>
        </w:rPr>
        <w:t>each and every</w:t>
      </w:r>
      <w:proofErr w:type="gramEnd"/>
      <w:r w:rsidRPr="004A4384">
        <w:rPr>
          <w:rFonts w:cs="Calibri"/>
          <w:lang w:val="en-US"/>
        </w:rPr>
        <w:t xml:space="preserve"> company to assess if provided certifications, etc. are appropriate to ensure proper auditing. As outlined above and regarding point 35), the Guidelines should provide a list of international certificates that are deemed proper to cover processes, applications, infrastructure, data centers.</w:t>
      </w:r>
    </w:p>
    <w:p w14:paraId="67839F33" w14:textId="77777777" w:rsidR="00091843" w:rsidRPr="004A4384" w:rsidRDefault="00091843" w:rsidP="00091843">
      <w:pPr>
        <w:rPr>
          <w:rFonts w:cs="Calibri"/>
          <w:lang w:val="en-US"/>
        </w:rPr>
      </w:pPr>
      <w:r w:rsidRPr="004A4384">
        <w:rPr>
          <w:rFonts w:cs="Calibri"/>
          <w:lang w:val="en-US"/>
        </w:rPr>
        <w:t xml:space="preserve">In point 50a) the wording “may use” (certifications </w:t>
      </w:r>
      <w:proofErr w:type="spellStart"/>
      <w:r w:rsidRPr="004A4384">
        <w:rPr>
          <w:rFonts w:cs="Calibri"/>
          <w:lang w:val="en-US"/>
        </w:rPr>
        <w:t>etc</w:t>
      </w:r>
      <w:proofErr w:type="spellEnd"/>
      <w:r w:rsidRPr="004A4384">
        <w:rPr>
          <w:rFonts w:cs="Calibri"/>
          <w:lang w:val="en-US"/>
        </w:rPr>
        <w:t xml:space="preserve">) for non-critical outsourcings: does that mean certifications </w:t>
      </w:r>
      <w:proofErr w:type="spellStart"/>
      <w:r w:rsidRPr="004A4384">
        <w:rPr>
          <w:rFonts w:cs="Calibri"/>
          <w:lang w:val="en-US"/>
        </w:rPr>
        <w:t>etc</w:t>
      </w:r>
      <w:proofErr w:type="spellEnd"/>
      <w:r w:rsidRPr="004A4384">
        <w:rPr>
          <w:rFonts w:cs="Calibri"/>
          <w:lang w:val="en-US"/>
        </w:rPr>
        <w:t xml:space="preserve"> will replace further audit activities? </w:t>
      </w:r>
    </w:p>
    <w:p w14:paraId="3F7F60B0" w14:textId="77777777" w:rsidR="00091843" w:rsidRPr="004A4384" w:rsidRDefault="00091843" w:rsidP="00091843">
      <w:pPr>
        <w:rPr>
          <w:rFonts w:cs="Calibri"/>
          <w:lang w:val="en-US"/>
        </w:rPr>
      </w:pPr>
      <w:r w:rsidRPr="004A4384">
        <w:rPr>
          <w:rFonts w:cs="Calibri"/>
          <w:lang w:val="en-US"/>
        </w:rPr>
        <w:t>51f) seems not feasible to be handled with on the individual company level.</w:t>
      </w:r>
    </w:p>
    <w:permEnd w:id="1893742938"/>
    <w:p w14:paraId="4493AAD0" w14:textId="0EF3094C" w:rsidR="00E33392" w:rsidRDefault="00E33392" w:rsidP="00E33392">
      <w:pPr>
        <w:rPr>
          <w:rFonts w:ascii="Arial" w:hAnsi="Arial" w:cs="Arial"/>
        </w:rPr>
      </w:pPr>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7D972E40" w14:textId="3117B876" w:rsidR="00E33392" w:rsidRPr="00091843" w:rsidRDefault="00091843" w:rsidP="00E33392">
      <w:pPr>
        <w:rPr>
          <w:rFonts w:cs="Calibri"/>
          <w:lang w:val="en-US"/>
        </w:rPr>
      </w:pPr>
      <w:permStart w:id="311951876" w:edGrp="everyone"/>
      <w:r w:rsidRPr="004A4384">
        <w:rPr>
          <w:rFonts w:cs="Calibri"/>
          <w:lang w:val="en-US"/>
        </w:rPr>
        <w:t>As regards point 55.3, having the right to object a material subcontractor does not reflect ‘real life’ (although it is a long-term supervisory requirement). None of the CSPs could grant this right without jeopardizing their business. Instead of objecting, the firm should be informed in time and have the right to terminate the contract.</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60AB75A9" w14:textId="63CD3515" w:rsidR="00E33392" w:rsidRPr="00091843" w:rsidRDefault="00091843" w:rsidP="00E33392">
      <w:pPr>
        <w:rPr>
          <w:rFonts w:cs="Calibri"/>
          <w:lang w:val="en-US"/>
        </w:rPr>
      </w:pPr>
      <w:permStart w:id="943999632" w:edGrp="everyone"/>
      <w:r w:rsidRPr="004A4384">
        <w:rPr>
          <w:rFonts w:cs="Calibri"/>
          <w:lang w:val="en-US"/>
        </w:rPr>
        <w:t>Generally, yes. However, we believe that Guideline 8 should also be addressed to competent authorities as the CA should set the provisions for notifications, provide the templates etc.</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3278CD8E" w:rsidR="00E33392" w:rsidRDefault="00091843" w:rsidP="00E33392">
      <w:pPr>
        <w:rPr>
          <w:rFonts w:ascii="Arial" w:hAnsi="Arial" w:cs="Arial"/>
        </w:rPr>
      </w:pPr>
      <w:permStart w:id="1987337014" w:edGrp="everyone"/>
      <w:r>
        <w:rPr>
          <w:rFonts w:ascii="Arial" w:hAnsi="Arial" w:cs="Arial"/>
        </w:rPr>
        <w:t>Yes</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lastRenderedPageBreak/>
        <w:t>&lt;ESMA_QUESTION_COGL_11&gt;</w:t>
      </w:r>
    </w:p>
    <w:p w14:paraId="01FFC8FD" w14:textId="77777777" w:rsidR="00091843" w:rsidRPr="004A4384" w:rsidRDefault="00091843" w:rsidP="00091843">
      <w:pPr>
        <w:rPr>
          <w:rFonts w:cs="Calibri"/>
          <w:lang w:val="en-US"/>
        </w:rPr>
      </w:pPr>
      <w:permStart w:id="2023358740" w:edGrp="everyone"/>
      <w:r w:rsidRPr="004A4384">
        <w:rPr>
          <w:rFonts w:cs="Calibri"/>
          <w:lang w:val="en-US"/>
        </w:rPr>
        <w:t xml:space="preserve">Yes, we do have general concerns about the approach. First, it is unclear why the guidelines are narrowed down to Cloud Outsourcing and not Outsourcing as such. For credit institutions, Outsourcing and Cloud was combined already (since the EBA Outsourcing Guidelines explicitly include cloud outsourcing activities). </w:t>
      </w:r>
    </w:p>
    <w:p w14:paraId="4CCE3D98" w14:textId="77777777" w:rsidR="00091843" w:rsidRPr="004A4384" w:rsidRDefault="00091843" w:rsidP="00091843">
      <w:pPr>
        <w:rPr>
          <w:rFonts w:cs="Calibri"/>
          <w:lang w:val="en-US"/>
        </w:rPr>
      </w:pPr>
      <w:r w:rsidRPr="004A4384">
        <w:rPr>
          <w:rFonts w:cs="Calibri"/>
          <w:lang w:val="en-US"/>
        </w:rPr>
        <w:t>Second, it seems that Outsourcing raises the same risks for credit institutions as for investment firms or any other financial institutions. If so, there should be the same rules for all of them (e.g. by a Joint Guideline on Outsourcing from ESMA &amp; EBA). The current approach (Outsourcing Guidelines incl Cloud for credit institutions, slightly different Cloud Outsourcing Guidelines for securities firms) will lead to complexity and additional bureaucracy.</w:t>
      </w:r>
    </w:p>
    <w:p w14:paraId="1F1DC617" w14:textId="77777777" w:rsidR="00091843" w:rsidRDefault="00091843" w:rsidP="00091843">
      <w:pPr>
        <w:rPr>
          <w:rFonts w:cs="Calibri"/>
          <w:lang w:val="en-US"/>
        </w:rPr>
      </w:pPr>
    </w:p>
    <w:p w14:paraId="4DEBFB10" w14:textId="4A89E5C9" w:rsidR="00E33392" w:rsidRPr="00091843" w:rsidRDefault="00091843" w:rsidP="00E33392">
      <w:pPr>
        <w:rPr>
          <w:rFonts w:cs="Calibri"/>
          <w:lang w:val="en-US"/>
        </w:rPr>
      </w:pPr>
      <w:r w:rsidRPr="004A4384">
        <w:rPr>
          <w:rFonts w:cs="Calibri"/>
          <w:lang w:val="en-US"/>
        </w:rPr>
        <w:t>Additionally, we observed that even the definitions used in the ESMA draft Guidelines seem to deviate (slightly) compared to the recent EBA Guidelines (</w:t>
      </w:r>
      <w:r>
        <w:rPr>
          <w:rFonts w:cs="Calibri"/>
          <w:lang w:val="en-US"/>
        </w:rPr>
        <w:t xml:space="preserve">as regards </w:t>
      </w:r>
      <w:r w:rsidRPr="004A4384">
        <w:rPr>
          <w:rFonts w:cs="Calibri"/>
          <w:lang w:val="en-US"/>
        </w:rPr>
        <w:t>critical / important function</w:t>
      </w:r>
      <w:r>
        <w:rPr>
          <w:rFonts w:cs="Calibri"/>
          <w:lang w:val="en-US"/>
        </w:rPr>
        <w:t>s and cloud</w:t>
      </w:r>
      <w:r w:rsidRPr="004A4384">
        <w:rPr>
          <w:rFonts w:cs="Calibri"/>
          <w:lang w:val="en-US"/>
        </w:rPr>
        <w:t xml:space="preserve">), which does not provide for a consistent approach. </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26183550" w:rsidR="00E33392" w:rsidRPr="00091843" w:rsidRDefault="00091843" w:rsidP="00E33392">
      <w:pPr>
        <w:rPr>
          <w:rFonts w:cs="Calibri"/>
          <w:lang w:val="en-US"/>
        </w:rPr>
      </w:pPr>
      <w:permStart w:id="752842500" w:edGrp="everyone"/>
      <w:r w:rsidRPr="004A4384">
        <w:rPr>
          <w:rFonts w:cs="Calibri"/>
          <w:lang w:val="en-US"/>
        </w:rPr>
        <w:t>The answer depends on the specification of above outlined unclear topics (e.g. risk-based approach, contractual requirements, audit, etc.). Depending on specification, additional resources in overall governance as well as in the specific functions (IT, Security, Procurement / Outsourcing, Legal, etc.) may be needed to comply with the Guidelines.</w:t>
      </w:r>
      <w:bookmarkStart w:id="2" w:name="_GoBack"/>
      <w:bookmarkEnd w:id="2"/>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497EC" w14:textId="77777777" w:rsidR="00631063" w:rsidRDefault="00631063" w:rsidP="007E7997">
      <w:r>
        <w:separator/>
      </w:r>
    </w:p>
  </w:endnote>
  <w:endnote w:type="continuationSeparator" w:id="0">
    <w:p w14:paraId="091875B3" w14:textId="77777777" w:rsidR="00631063" w:rsidRDefault="00631063" w:rsidP="007E7997">
      <w:r>
        <w:continuationSeparator/>
      </w:r>
    </w:p>
  </w:endnote>
  <w:endnote w:type="continuationNotice" w:id="1">
    <w:p w14:paraId="569B1303" w14:textId="77777777" w:rsidR="00631063" w:rsidRDefault="00631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77777777"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1EA5" w14:textId="77777777" w:rsidR="00631063" w:rsidRDefault="00631063" w:rsidP="007E7997">
      <w:r>
        <w:separator/>
      </w:r>
    </w:p>
  </w:footnote>
  <w:footnote w:type="continuationSeparator" w:id="0">
    <w:p w14:paraId="78EB5283" w14:textId="77777777" w:rsidR="00631063" w:rsidRDefault="00631063" w:rsidP="007E7997">
      <w:r>
        <w:continuationSeparator/>
      </w:r>
    </w:p>
  </w:footnote>
  <w:footnote w:type="continuationNotice" w:id="1">
    <w:p w14:paraId="28335CC1" w14:textId="77777777" w:rsidR="00631063" w:rsidRDefault="00631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Header"/>
    </w:pPr>
  </w:p>
  <w:p w14:paraId="4C660DBF"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1843"/>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1063"/>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3.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4.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 ds:uri="a090d947-cb5a-4e71-a094-4f979ca4aec0"/>
  </ds:schemaRefs>
</ds:datastoreItem>
</file>

<file path=customXml/itemProps5.xml><?xml version="1.0" encoding="utf-8"?>
<ds:datastoreItem xmlns:ds="http://schemas.openxmlformats.org/officeDocument/2006/customXml" ds:itemID="{7ACBE4FD-4A73-491C-BE66-FF334D71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1724</Words>
  <Characters>9831</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2020-09-03T16:17:00Z</dcterms:created>
  <dcterms:modified xsi:type="dcterms:W3CDTF">2020-09-03T16:17:00Z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