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252C0A">
        <w:tc>
          <w:tcPr>
            <w:tcW w:w="3929" w:type="dxa"/>
            <w:shd w:val="clear" w:color="auto" w:fill="auto"/>
          </w:tcPr>
          <w:p w14:paraId="6A3CB050" w14:textId="77777777" w:rsidR="00B327E9" w:rsidRPr="00E40A5C" w:rsidRDefault="00B327E9" w:rsidP="00252C0A">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E8E2D7B" w:rsidR="00B327E9" w:rsidRPr="00AB6D88" w:rsidRDefault="00714DDC" w:rsidP="00252C0A">
                <w:pPr>
                  <w:rPr>
                    <w:rStyle w:val="PlaceholderText"/>
                    <w:rFonts w:cs="Arial"/>
                  </w:rPr>
                </w:pPr>
                <w:r>
                  <w:rPr>
                    <w:rStyle w:val="PlaceholderText"/>
                    <w:rFonts w:cs="Arial"/>
                  </w:rPr>
                  <w:t xml:space="preserve">Partnership </w:t>
                </w:r>
                <w:r w:rsidR="00252C0A">
                  <w:rPr>
                    <w:rStyle w:val="PlaceholderText"/>
                    <w:rFonts w:cs="Arial"/>
                  </w:rPr>
                  <w:t>for</w:t>
                </w:r>
                <w:r>
                  <w:rPr>
                    <w:rStyle w:val="PlaceholderText"/>
                    <w:rFonts w:cs="Arial"/>
                  </w:rPr>
                  <w:t xml:space="preserve"> </w:t>
                </w:r>
                <w:r w:rsidR="004D2865">
                  <w:rPr>
                    <w:rStyle w:val="PlaceholderText"/>
                    <w:rFonts w:cs="Arial"/>
                  </w:rPr>
                  <w:t>C</w:t>
                </w:r>
                <w:r>
                  <w:rPr>
                    <w:rStyle w:val="PlaceholderText"/>
                    <w:rFonts w:cs="Arial"/>
                  </w:rPr>
                  <w:t>arbon Accounting Financials</w:t>
                </w:r>
              </w:p>
            </w:tc>
          </w:sdtContent>
        </w:sdt>
      </w:tr>
      <w:tr w:rsidR="00B327E9" w:rsidRPr="00AB6D88" w14:paraId="6A3CB055" w14:textId="77777777" w:rsidTr="00252C0A">
        <w:tc>
          <w:tcPr>
            <w:tcW w:w="3929" w:type="dxa"/>
            <w:shd w:val="clear" w:color="auto" w:fill="auto"/>
          </w:tcPr>
          <w:p w14:paraId="6A3CB053" w14:textId="77777777" w:rsidR="00B327E9" w:rsidRPr="00E40A5C" w:rsidRDefault="00B327E9" w:rsidP="00252C0A">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9D15D3F" w:rsidR="00B327E9" w:rsidRPr="00AB6D88" w:rsidRDefault="00B50791" w:rsidP="00252C0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14DDC">
                  <w:rPr>
                    <w:rFonts w:cs="Arial"/>
                  </w:rPr>
                  <w:t>Other Financial service providers</w:t>
                </w:r>
              </w:sdtContent>
            </w:sdt>
          </w:p>
        </w:tc>
      </w:tr>
      <w:tr w:rsidR="00B327E9" w:rsidRPr="00AB6D88" w14:paraId="6A3CB058" w14:textId="77777777" w:rsidTr="00252C0A">
        <w:tc>
          <w:tcPr>
            <w:tcW w:w="3929" w:type="dxa"/>
            <w:shd w:val="clear" w:color="auto" w:fill="auto"/>
          </w:tcPr>
          <w:p w14:paraId="6A3CB056" w14:textId="77777777" w:rsidR="00B327E9" w:rsidRPr="00E40A5C" w:rsidRDefault="00B327E9" w:rsidP="00252C0A">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2813BC08" w:rsidR="00B327E9" w:rsidRPr="00AB6D88" w:rsidRDefault="00714DDC" w:rsidP="00252C0A">
                <w:pPr>
                  <w:rPr>
                    <w:rFonts w:cs="Arial"/>
                  </w:rPr>
                </w:pPr>
                <w:r>
                  <w:rPr>
                    <w:rFonts w:ascii="MS Gothic" w:eastAsia="MS Gothic" w:hAnsi="MS Gothic" w:cs="Arial" w:hint="eastAsia"/>
                  </w:rPr>
                  <w:t>☒</w:t>
                </w:r>
              </w:p>
            </w:tc>
          </w:sdtContent>
        </w:sdt>
      </w:tr>
      <w:tr w:rsidR="00B327E9" w:rsidRPr="00AB6D88" w14:paraId="6A3CB05B" w14:textId="77777777" w:rsidTr="00252C0A">
        <w:tc>
          <w:tcPr>
            <w:tcW w:w="3929" w:type="dxa"/>
            <w:shd w:val="clear" w:color="auto" w:fill="auto"/>
          </w:tcPr>
          <w:p w14:paraId="6A3CB059" w14:textId="77777777" w:rsidR="00B327E9" w:rsidRPr="00E40A5C" w:rsidRDefault="00B327E9" w:rsidP="00252C0A">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EE13F56" w:rsidR="00B327E9" w:rsidRPr="00AB6D88" w:rsidRDefault="00714DDC" w:rsidP="00252C0A">
                <w:pPr>
                  <w:rPr>
                    <w:rFonts w:cs="Arial"/>
                  </w:rPr>
                </w:pPr>
                <w:r>
                  <w:rPr>
                    <w:rFonts w:cs="Arial"/>
                  </w:rPr>
                  <w:t>Other</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500A7AF7" w14:textId="26D64AD9" w:rsidR="00714DDC" w:rsidRPr="00714DDC" w:rsidRDefault="00714DDC" w:rsidP="00714DDC">
      <w:pPr>
        <w:pStyle w:val="xmsonormal"/>
        <w:rPr>
          <w:rFonts w:ascii="Helvetica" w:hAnsi="Helvetica"/>
          <w:color w:val="000000"/>
          <w:sz w:val="21"/>
          <w:szCs w:val="21"/>
          <w:lang w:val="en-US"/>
        </w:rPr>
      </w:pPr>
      <w:permStart w:id="411981036" w:edGrp="everyone"/>
      <w:r>
        <w:rPr>
          <w:rFonts w:ascii="Helvetica" w:hAnsi="Helvetica"/>
          <w:i/>
          <w:iCs/>
          <w:color w:val="000000"/>
          <w:sz w:val="21"/>
          <w:szCs w:val="21"/>
          <w:lang w:val="en-US"/>
        </w:rPr>
        <w:t>The financial undertakings gathered in the Partnership f</w:t>
      </w:r>
      <w:r w:rsidR="00252C0A">
        <w:rPr>
          <w:rFonts w:ascii="Helvetica" w:hAnsi="Helvetica"/>
          <w:i/>
          <w:iCs/>
          <w:color w:val="000000"/>
          <w:sz w:val="21"/>
          <w:szCs w:val="21"/>
          <w:lang w:val="en-US"/>
        </w:rPr>
        <w:t>or</w:t>
      </w:r>
      <w:r>
        <w:rPr>
          <w:rFonts w:ascii="Helvetica" w:hAnsi="Helvetica"/>
          <w:i/>
          <w:iCs/>
          <w:color w:val="000000"/>
          <w:sz w:val="21"/>
          <w:szCs w:val="21"/>
          <w:lang w:val="en-US"/>
        </w:rPr>
        <w:t xml:space="preserve"> Carbon Accounting Financials (PCAF) welcome the application of indicators for the way in which climate impact will be reported by those who offer financial products as meant in the Sustainable Finance Disclosure Regulation. </w:t>
      </w:r>
    </w:p>
    <w:p w14:paraId="3D1C4453" w14:textId="68BCB9CB" w:rsidR="00714DDC" w:rsidRPr="00714DDC" w:rsidRDefault="00714DDC" w:rsidP="00714DDC">
      <w:pPr>
        <w:pStyle w:val="xmsonormal"/>
        <w:rPr>
          <w:rFonts w:ascii="Helvetica" w:hAnsi="Helvetica"/>
          <w:color w:val="000000"/>
          <w:sz w:val="21"/>
          <w:szCs w:val="21"/>
          <w:lang w:val="en-US"/>
        </w:rPr>
      </w:pPr>
      <w:r>
        <w:rPr>
          <w:rFonts w:ascii="Helvetica" w:hAnsi="Helvetica"/>
          <w:i/>
          <w:iCs/>
          <w:color w:val="000000"/>
          <w:sz w:val="21"/>
          <w:szCs w:val="21"/>
          <w:lang w:val="en-US"/>
        </w:rPr>
        <w:t xml:space="preserve">PCAF proposes using their carbon accounting </w:t>
      </w:r>
      <w:bookmarkStart w:id="1" w:name="_GoBack"/>
      <w:r>
        <w:rPr>
          <w:rFonts w:ascii="Helvetica" w:hAnsi="Helvetica"/>
          <w:i/>
          <w:iCs/>
          <w:color w:val="000000"/>
          <w:sz w:val="21"/>
          <w:szCs w:val="21"/>
          <w:lang w:val="en-US"/>
        </w:rPr>
        <w:t>standard</w:t>
      </w:r>
      <w:bookmarkEnd w:id="1"/>
      <w:r>
        <w:rPr>
          <w:rFonts w:ascii="Helvetica" w:hAnsi="Helvetica"/>
          <w:i/>
          <w:iCs/>
          <w:color w:val="000000"/>
          <w:sz w:val="21"/>
          <w:szCs w:val="21"/>
          <w:lang w:val="en-US"/>
        </w:rPr>
        <w:t xml:space="preserve"> for financial undertakings' reporting of financed emissions. The PCAF </w:t>
      </w:r>
      <w:r w:rsidR="00296B4D">
        <w:rPr>
          <w:rFonts w:ascii="Helvetica" w:hAnsi="Helvetica"/>
          <w:i/>
          <w:iCs/>
          <w:color w:val="000000"/>
          <w:sz w:val="21"/>
          <w:szCs w:val="21"/>
          <w:lang w:val="en-US"/>
        </w:rPr>
        <w:t>S</w:t>
      </w:r>
      <w:r>
        <w:rPr>
          <w:rFonts w:ascii="Helvetica" w:hAnsi="Helvetica"/>
          <w:i/>
          <w:iCs/>
          <w:color w:val="000000"/>
          <w:sz w:val="21"/>
          <w:szCs w:val="21"/>
          <w:lang w:val="en-US"/>
        </w:rPr>
        <w:t>tandard will simplify the comparison of information across financials,</w:t>
      </w:r>
      <w:r w:rsidR="00831379">
        <w:rPr>
          <w:rFonts w:ascii="Helvetica" w:hAnsi="Helvetica"/>
          <w:i/>
          <w:iCs/>
          <w:color w:val="000000"/>
          <w:sz w:val="21"/>
          <w:szCs w:val="21"/>
          <w:lang w:val="en-US"/>
        </w:rPr>
        <w:t xml:space="preserve"> </w:t>
      </w:r>
      <w:r>
        <w:rPr>
          <w:rFonts w:ascii="Helvetica" w:hAnsi="Helvetica"/>
          <w:i/>
          <w:iCs/>
          <w:color w:val="000000"/>
          <w:sz w:val="21"/>
          <w:szCs w:val="21"/>
          <w:lang w:val="en-US"/>
        </w:rPr>
        <w:t xml:space="preserve">lower the costs of emissions monitoring and </w:t>
      </w:r>
      <w:r w:rsidR="00A8426E">
        <w:rPr>
          <w:rFonts w:ascii="Helvetica" w:hAnsi="Helvetica"/>
          <w:i/>
          <w:iCs/>
          <w:color w:val="000000"/>
          <w:sz w:val="21"/>
          <w:szCs w:val="21"/>
          <w:lang w:val="en-US"/>
        </w:rPr>
        <w:t>help</w:t>
      </w:r>
      <w:r>
        <w:rPr>
          <w:rFonts w:ascii="Helvetica" w:hAnsi="Helvetica"/>
          <w:i/>
          <w:iCs/>
          <w:color w:val="000000"/>
          <w:sz w:val="21"/>
          <w:szCs w:val="21"/>
          <w:lang w:val="en-US"/>
        </w:rPr>
        <w:t xml:space="preserve"> financial institutions, their investors and their supervisors to</w:t>
      </w:r>
      <w:r w:rsidR="00A8426E">
        <w:rPr>
          <w:rFonts w:ascii="Helvetica" w:hAnsi="Helvetica"/>
          <w:i/>
          <w:iCs/>
          <w:color w:val="000000"/>
          <w:sz w:val="21"/>
          <w:szCs w:val="21"/>
          <w:lang w:val="en-US"/>
        </w:rPr>
        <w:t xml:space="preserve"> easily</w:t>
      </w:r>
      <w:r>
        <w:rPr>
          <w:rFonts w:ascii="Helvetica" w:hAnsi="Helvetica"/>
          <w:i/>
          <w:iCs/>
          <w:color w:val="000000"/>
          <w:sz w:val="21"/>
          <w:szCs w:val="21"/>
          <w:lang w:val="en-US"/>
        </w:rPr>
        <w:t xml:space="preserve"> monitor and manage progress towards zero harm as purported by the Paris Agreement. It enables, simplifies and lowers the costs of reporting by making use of many existing climate statistics and processing those in a manner that serves portfolio management for all financial undertakings.</w:t>
      </w:r>
      <w:r>
        <w:rPr>
          <w:rFonts w:ascii="Helvetica" w:hAnsi="Helvetica"/>
          <w:i/>
          <w:iCs/>
          <w:color w:val="000000"/>
          <w:sz w:val="21"/>
          <w:szCs w:val="21"/>
          <w:lang w:val="en-US"/>
        </w:rPr>
        <w:br/>
        <w:t>Addressing the urgent challenge of climate change is more pressing now than ever. To limit global warming to 1.5°C above pre-industrial levels, all sectors of society need to decarbonize and collectively reach to net zero emissions by 2050. The financial sector can facilitate the transition in line with the Paris Climate Agreement and as such, financial undertakings should be reporting the emissions of their financial exposures as much as non-financial undertakings will have to report theirs.  Measuring and disclosing the GHG emissions associated with the lending and investment activities of financial undertakings is the foundation to create transparency and accountability, and to enable aligning financial portfolios with the Paris Climate Agreement.</w:t>
      </w:r>
      <w:r>
        <w:rPr>
          <w:rFonts w:ascii="Helvetica" w:hAnsi="Helvetica"/>
          <w:i/>
          <w:iCs/>
          <w:color w:val="000000"/>
          <w:sz w:val="21"/>
          <w:szCs w:val="21"/>
          <w:lang w:val="en-US"/>
        </w:rPr>
        <w:br/>
        <w:t>PCAF</w:t>
      </w:r>
      <w:r w:rsidR="00A8426E">
        <w:rPr>
          <w:rFonts w:ascii="Helvetica" w:hAnsi="Helvetica"/>
          <w:i/>
          <w:iCs/>
          <w:color w:val="000000"/>
          <w:sz w:val="21"/>
          <w:szCs w:val="21"/>
          <w:lang w:val="en-US"/>
        </w:rPr>
        <w:t xml:space="preserve">’s </w:t>
      </w:r>
      <w:r>
        <w:rPr>
          <w:rFonts w:ascii="Helvetica" w:hAnsi="Helvetica"/>
          <w:i/>
          <w:iCs/>
          <w:color w:val="000000"/>
          <w:sz w:val="21"/>
          <w:szCs w:val="21"/>
          <w:lang w:val="en-US"/>
        </w:rPr>
        <w:t>partners are following their financed emissions in order to know the impact of what they finance, to achieve zero harm as soon as possible and to provide their investors with honest information about real impact. The harmonized accounting approach provides financial undertakings with the starting point required to set science-based targets and align their portfolio with the Paris Climate Agreement. PCAF enables transparency and accountability and provides an open-source global carbon accounting standard for financial undertakings. </w:t>
      </w:r>
    </w:p>
    <w:p w14:paraId="4A334438" w14:textId="3BD8458F" w:rsidR="00714DDC" w:rsidRPr="00714DDC" w:rsidRDefault="00714DDC" w:rsidP="00714DDC">
      <w:pPr>
        <w:pStyle w:val="xmsonormal"/>
        <w:rPr>
          <w:rFonts w:ascii="Helvetica" w:hAnsi="Helvetica"/>
          <w:color w:val="000000"/>
          <w:sz w:val="21"/>
          <w:szCs w:val="21"/>
          <w:lang w:val="en-US"/>
        </w:rPr>
      </w:pPr>
      <w:r>
        <w:rPr>
          <w:rFonts w:ascii="Helvetica" w:hAnsi="Helvetica"/>
          <w:i/>
          <w:iCs/>
          <w:color w:val="000000"/>
          <w:sz w:val="21"/>
          <w:szCs w:val="21"/>
          <w:lang w:val="en-US"/>
        </w:rPr>
        <w:t xml:space="preserve">As a partnership of over </w:t>
      </w:r>
      <w:r w:rsidR="00831379">
        <w:rPr>
          <w:rFonts w:ascii="Helvetica" w:hAnsi="Helvetica"/>
          <w:i/>
          <w:iCs/>
          <w:color w:val="000000"/>
          <w:sz w:val="21"/>
          <w:szCs w:val="21"/>
          <w:lang w:val="en-US"/>
        </w:rPr>
        <w:t>7</w:t>
      </w:r>
      <w:r>
        <w:rPr>
          <w:rFonts w:ascii="Helvetica" w:hAnsi="Helvetica"/>
          <w:i/>
          <w:iCs/>
          <w:color w:val="000000"/>
          <w:sz w:val="21"/>
          <w:szCs w:val="21"/>
          <w:lang w:val="en-US"/>
        </w:rPr>
        <w:t>0 financial undertakings across the globe, PCAF facilitates data collection, as it makes use of existing climate data registers as much as possible (notably where it regards smaller debtors such as SMEs and households), and identifies gaps where more effort is needed to produce relevant information. It lowers the cost of setting up internal accounting systems by sharing methodologies, data and estimates, and as such simplifies the challenges faced by financial undertakings in finding relevant information with respect to their climate impact. </w:t>
      </w:r>
    </w:p>
    <w:p w14:paraId="2BCD019F" w14:textId="0250CAD3" w:rsidR="00714DDC" w:rsidRPr="00714DDC" w:rsidRDefault="00714DDC" w:rsidP="00714DDC">
      <w:pPr>
        <w:pStyle w:val="xmsonormal"/>
        <w:rPr>
          <w:rFonts w:ascii="Helvetica" w:hAnsi="Helvetica"/>
          <w:color w:val="000000"/>
          <w:sz w:val="21"/>
          <w:szCs w:val="21"/>
          <w:lang w:val="en-US"/>
        </w:rPr>
      </w:pPr>
      <w:r>
        <w:rPr>
          <w:rFonts w:ascii="Helvetica" w:hAnsi="Helvetica"/>
          <w:i/>
          <w:iCs/>
          <w:color w:val="000000"/>
          <w:sz w:val="21"/>
          <w:szCs w:val="21"/>
          <w:lang w:val="en-US"/>
        </w:rPr>
        <w:t xml:space="preserve">PCAF welcomes the ESAs to investigate the relevance and added value of this open-source </w:t>
      </w:r>
      <w:r w:rsidR="00296B4D">
        <w:rPr>
          <w:rFonts w:ascii="Helvetica" w:hAnsi="Helvetica"/>
          <w:i/>
          <w:iCs/>
          <w:color w:val="000000"/>
          <w:sz w:val="21"/>
          <w:szCs w:val="21"/>
          <w:lang w:val="en-US"/>
        </w:rPr>
        <w:t>S</w:t>
      </w:r>
      <w:r>
        <w:rPr>
          <w:rFonts w:ascii="Helvetica" w:hAnsi="Helvetica"/>
          <w:i/>
          <w:iCs/>
          <w:color w:val="000000"/>
          <w:sz w:val="21"/>
          <w:szCs w:val="21"/>
          <w:lang w:val="en-US"/>
        </w:rPr>
        <w:t>tandard for the application of the Sustainable Finance Disclosure Regulation.</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44E51AEF" w:rsidR="003E573C" w:rsidRDefault="00714DDC" w:rsidP="003E573C">
      <w:pPr>
        <w:rPr>
          <w:rFonts w:cs="Arial"/>
        </w:rPr>
      </w:pPr>
      <w:permStart w:id="209390932" w:edGrp="everyone"/>
      <w:r>
        <w:rPr>
          <w:rFonts w:cs="Arial"/>
        </w:rPr>
        <w:t>PCAF agrees with the indicators meant to inform investors about financed emissions in letter (f)-(l) and (x) of Annex I. We would recommend using the PCA</w:t>
      </w:r>
      <w:r w:rsidR="00C04ED4">
        <w:rPr>
          <w:rFonts w:cs="Arial"/>
        </w:rPr>
        <w:t>F S</w:t>
      </w:r>
      <w:r>
        <w:rPr>
          <w:rFonts w:cs="Arial"/>
        </w:rPr>
        <w:t>tandard as the main comparable standard for reporting financed emissions.</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419E8CA3" w:rsidR="003E573C" w:rsidRDefault="00714DDC" w:rsidP="003E573C">
      <w:pPr>
        <w:rPr>
          <w:rFonts w:cs="Arial"/>
        </w:rPr>
      </w:pPr>
      <w:permStart w:id="418122716" w:edGrp="everyone"/>
      <w:r>
        <w:rPr>
          <w:rFonts w:cs="Arial"/>
        </w:rPr>
        <w:t>No</w:t>
      </w:r>
      <w:r w:rsidR="005B687D">
        <w:rPr>
          <w:rFonts w:cs="Arial"/>
        </w:rPr>
        <w:t>.</w:t>
      </w:r>
      <w:r>
        <w:rPr>
          <w:rFonts w:cs="Arial"/>
        </w:rPr>
        <w:t xml:space="preserve"> </w:t>
      </w:r>
      <w:r w:rsidR="005B687D">
        <w:rPr>
          <w:rFonts w:cs="Arial"/>
        </w:rPr>
        <w:t>W</w:t>
      </w:r>
      <w:r>
        <w:rPr>
          <w:rFonts w:cs="Arial"/>
        </w:rPr>
        <w:t>e don’t see merit in relative reportin</w:t>
      </w:r>
      <w:r w:rsidR="00C04ED4">
        <w:rPr>
          <w:rFonts w:cs="Arial"/>
        </w:rPr>
        <w:t>g</w:t>
      </w:r>
      <w:r>
        <w:rPr>
          <w:rFonts w:cs="Arial"/>
        </w:rPr>
        <w:t>, as in the end, all economic actors must decrease their emissions to zero as soon as possible. Information about actual financed emissions will steer investors towards those actors that perfo</w:t>
      </w:r>
      <w:r w:rsidR="00C04ED4">
        <w:rPr>
          <w:rFonts w:cs="Arial"/>
        </w:rPr>
        <w:t>r</w:t>
      </w:r>
      <w:r>
        <w:rPr>
          <w:rFonts w:cs="Arial"/>
        </w:rPr>
        <w:t>m better.</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3BD2ACFD" w:rsidR="003E573C" w:rsidRDefault="00102F7F" w:rsidP="003E573C">
      <w:pPr>
        <w:rPr>
          <w:rFonts w:cs="Arial"/>
        </w:rPr>
      </w:pPr>
      <w:permStart w:id="1713528049" w:edGrp="everyone"/>
      <w:r>
        <w:rPr>
          <w:rFonts w:cs="Arial"/>
        </w:rPr>
        <w:t xml:space="preserve">PCAF would recommend starting with the </w:t>
      </w:r>
      <w:proofErr w:type="gramStart"/>
      <w:r>
        <w:rPr>
          <w:rFonts w:cs="Arial"/>
        </w:rPr>
        <w:t>most simple</w:t>
      </w:r>
      <w:proofErr w:type="gramEnd"/>
      <w:r>
        <w:rPr>
          <w:rFonts w:cs="Arial"/>
        </w:rPr>
        <w:t xml:space="preserve"> monitoring of financed emissions by all financial undertakings and informing investors about actual financed emissions. We would not recommend making this more complicated than necessary.</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2"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2"/>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8364" w14:textId="77777777" w:rsidR="00B50791" w:rsidRDefault="00B50791">
      <w:r>
        <w:separator/>
      </w:r>
    </w:p>
    <w:p w14:paraId="0030574B" w14:textId="77777777" w:rsidR="00B50791" w:rsidRDefault="00B50791"/>
  </w:endnote>
  <w:endnote w:type="continuationSeparator" w:id="0">
    <w:p w14:paraId="3E373A90" w14:textId="77777777" w:rsidR="00B50791" w:rsidRDefault="00B50791">
      <w:r>
        <w:continuationSeparator/>
      </w:r>
    </w:p>
    <w:p w14:paraId="67CE889E" w14:textId="77777777" w:rsidR="00B50791" w:rsidRDefault="00B50791"/>
  </w:endnote>
  <w:endnote w:type="continuationNotice" w:id="1">
    <w:p w14:paraId="58C1B424" w14:textId="77777777" w:rsidR="00B50791" w:rsidRDefault="00B50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252C0A" w:rsidRDefault="0025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2C0A" w:rsidRPr="00616B9B" w14:paraId="6A3CB0EF" w14:textId="77777777" w:rsidTr="00315E96">
      <w:trPr>
        <w:trHeight w:val="284"/>
      </w:trPr>
      <w:tc>
        <w:tcPr>
          <w:tcW w:w="8460" w:type="dxa"/>
        </w:tcPr>
        <w:p w14:paraId="6A3CB0ED" w14:textId="77777777" w:rsidR="00252C0A" w:rsidRPr="00315E96" w:rsidRDefault="00252C0A" w:rsidP="00315E96">
          <w:pPr>
            <w:pStyle w:val="00Footer"/>
            <w:rPr>
              <w:lang w:val="fr-FR"/>
            </w:rPr>
          </w:pPr>
        </w:p>
      </w:tc>
      <w:tc>
        <w:tcPr>
          <w:tcW w:w="952" w:type="dxa"/>
        </w:tcPr>
        <w:p w14:paraId="6A3CB0EE" w14:textId="23180CB7" w:rsidR="00252C0A" w:rsidRPr="00616B9B" w:rsidRDefault="00252C0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252C0A" w:rsidRDefault="00252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252C0A" w:rsidRDefault="00252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252C0A" w:rsidRDefault="0025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F10C9" w14:textId="77777777" w:rsidR="00B50791" w:rsidRDefault="00B50791">
      <w:r>
        <w:separator/>
      </w:r>
    </w:p>
    <w:p w14:paraId="170394F0" w14:textId="77777777" w:rsidR="00B50791" w:rsidRDefault="00B50791"/>
  </w:footnote>
  <w:footnote w:type="continuationSeparator" w:id="0">
    <w:p w14:paraId="569F1E61" w14:textId="77777777" w:rsidR="00B50791" w:rsidRDefault="00B50791">
      <w:r>
        <w:continuationSeparator/>
      </w:r>
    </w:p>
    <w:p w14:paraId="315D63C1" w14:textId="77777777" w:rsidR="00B50791" w:rsidRDefault="00B50791"/>
  </w:footnote>
  <w:footnote w:type="continuationNotice" w:id="1">
    <w:p w14:paraId="3ADDF2A7" w14:textId="77777777" w:rsidR="00B50791" w:rsidRDefault="00B50791"/>
  </w:footnote>
  <w:footnote w:id="2">
    <w:p w14:paraId="52F26208" w14:textId="77777777" w:rsidR="00252C0A" w:rsidRDefault="00252C0A"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252C0A" w:rsidRDefault="0025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252C0A" w:rsidRDefault="00252C0A">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252C0A" w:rsidRDefault="00252C0A"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252C0A" w:rsidRDefault="00252C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52C0A" w:rsidRPr="002F4496" w14:paraId="6A3CB0F5" w14:textId="77777777" w:rsidTr="000C06C9">
      <w:trPr>
        <w:trHeight w:val="284"/>
      </w:trPr>
      <w:tc>
        <w:tcPr>
          <w:tcW w:w="8460" w:type="dxa"/>
        </w:tcPr>
        <w:p w14:paraId="6A3CB0F3" w14:textId="77777777" w:rsidR="00252C0A" w:rsidRPr="000C3B6D" w:rsidRDefault="00252C0A" w:rsidP="000C06C9">
          <w:pPr>
            <w:pStyle w:val="00Footer"/>
            <w:rPr>
              <w:lang w:val="fr-FR"/>
            </w:rPr>
          </w:pPr>
        </w:p>
      </w:tc>
      <w:tc>
        <w:tcPr>
          <w:tcW w:w="952" w:type="dxa"/>
        </w:tcPr>
        <w:p w14:paraId="6A3CB0F4" w14:textId="77777777" w:rsidR="00252C0A" w:rsidRPr="00146B34" w:rsidRDefault="00252C0A" w:rsidP="000C06C9">
          <w:pPr>
            <w:pStyle w:val="00aPagenumber"/>
            <w:rPr>
              <w:lang w:val="fr-FR"/>
            </w:rPr>
          </w:pPr>
        </w:p>
      </w:tc>
    </w:tr>
  </w:tbl>
  <w:p w14:paraId="6A3CB0F6" w14:textId="77777777" w:rsidR="00252C0A" w:rsidRPr="00DB46C3" w:rsidRDefault="00252C0A">
    <w:pPr>
      <w:rPr>
        <w:lang w:val="fr-FR"/>
      </w:rPr>
    </w:pPr>
  </w:p>
  <w:p w14:paraId="6A3CB0F7" w14:textId="77777777" w:rsidR="00252C0A" w:rsidRPr="002F4496" w:rsidRDefault="00252C0A">
    <w:pPr>
      <w:pStyle w:val="Header"/>
      <w:rPr>
        <w:lang w:val="fr-FR"/>
      </w:rPr>
    </w:pPr>
  </w:p>
  <w:p w14:paraId="6A3CB0F8" w14:textId="77777777" w:rsidR="00252C0A" w:rsidRPr="002F4496" w:rsidRDefault="00252C0A" w:rsidP="000C06C9">
    <w:pPr>
      <w:pStyle w:val="Header"/>
      <w:tabs>
        <w:tab w:val="clear" w:pos="4536"/>
        <w:tab w:val="clear" w:pos="9072"/>
        <w:tab w:val="left" w:pos="8227"/>
      </w:tabs>
      <w:rPr>
        <w:lang w:val="fr-FR"/>
      </w:rPr>
    </w:pPr>
  </w:p>
  <w:p w14:paraId="6A3CB0F9" w14:textId="77777777" w:rsidR="00252C0A" w:rsidRPr="002F4496" w:rsidRDefault="00252C0A" w:rsidP="000C06C9">
    <w:pPr>
      <w:pStyle w:val="Header"/>
      <w:tabs>
        <w:tab w:val="clear" w:pos="4536"/>
        <w:tab w:val="clear" w:pos="9072"/>
        <w:tab w:val="left" w:pos="8227"/>
      </w:tabs>
      <w:rPr>
        <w:lang w:val="fr-FR"/>
      </w:rPr>
    </w:pPr>
  </w:p>
  <w:p w14:paraId="6A3CB0FA" w14:textId="77777777" w:rsidR="00252C0A" w:rsidRPr="002F4496" w:rsidRDefault="00252C0A">
    <w:pPr>
      <w:pStyle w:val="Header"/>
      <w:rPr>
        <w:lang w:val="fr-FR"/>
      </w:rPr>
    </w:pPr>
  </w:p>
  <w:p w14:paraId="6A3CB0FB" w14:textId="77777777" w:rsidR="00252C0A" w:rsidRPr="002F4496" w:rsidRDefault="00252C0A">
    <w:pPr>
      <w:pStyle w:val="Header"/>
      <w:rPr>
        <w:lang w:val="fr-FR"/>
      </w:rPr>
    </w:pPr>
  </w:p>
  <w:p w14:paraId="6A3CB0FC" w14:textId="77777777" w:rsidR="00252C0A" w:rsidRPr="002F4496" w:rsidRDefault="00252C0A">
    <w:pPr>
      <w:pStyle w:val="Header"/>
      <w:rPr>
        <w:lang w:val="fr-FR"/>
      </w:rPr>
    </w:pPr>
  </w:p>
  <w:p w14:paraId="6A3CB0FD" w14:textId="77777777" w:rsidR="00252C0A" w:rsidRPr="002F4496" w:rsidRDefault="00252C0A">
    <w:pPr>
      <w:pStyle w:val="Header"/>
      <w:rPr>
        <w:lang w:val="fr-FR"/>
      </w:rPr>
    </w:pPr>
  </w:p>
  <w:p w14:paraId="6A3CB0FE" w14:textId="77777777" w:rsidR="00252C0A" w:rsidRPr="002F4496" w:rsidRDefault="00252C0A">
    <w:pPr>
      <w:pStyle w:val="Header"/>
      <w:rPr>
        <w:highlight w:val="yellow"/>
        <w:lang w:val="fr-FR"/>
      </w:rPr>
    </w:pPr>
  </w:p>
  <w:p w14:paraId="6A3CB0FF" w14:textId="05D5FF53" w:rsidR="00252C0A" w:rsidRDefault="00252C0A">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5E9"/>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2F7F"/>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3F02"/>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2C0A"/>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96B4D"/>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865"/>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87D"/>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4DDC"/>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6E6"/>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379"/>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2EE0"/>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26E"/>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0791"/>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4ED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1E3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25E8"/>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xmsonormal">
    <w:name w:val="x_msonormal"/>
    <w:basedOn w:val="Normal"/>
    <w:rsid w:val="00714DDC"/>
    <w:pPr>
      <w:spacing w:before="100" w:beforeAutospacing="1" w:after="100" w:afterAutospacing="1"/>
    </w:pPr>
    <w:rPr>
      <w:rFonts w:ascii="Times New Roman" w:hAnsi="Times New Roman"/>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92979450">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7483D16D17D246B4BF5A0BC6EAB59E" ma:contentTypeVersion="12" ma:contentTypeDescription="Create a new document." ma:contentTypeScope="" ma:versionID="b798a3b4ddedfca815eddb5f7497e3a9">
  <xsd:schema xmlns:xsd="http://www.w3.org/2001/XMLSchema" xmlns:xs="http://www.w3.org/2001/XMLSchema" xmlns:p="http://schemas.microsoft.com/office/2006/metadata/properties" xmlns:ns3="4b774920-38fa-4234-8028-e42a16c967ba" xmlns:ns4="e7945ff6-2248-4da3-ac36-8de0862907c5" targetNamespace="http://schemas.microsoft.com/office/2006/metadata/properties" ma:root="true" ma:fieldsID="77a7bf8d66a91d57e127f746a67ea283" ns3:_="" ns4:_="">
    <xsd:import namespace="4b774920-38fa-4234-8028-e42a16c967ba"/>
    <xsd:import namespace="e7945ff6-2248-4da3-ac36-8de0862907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74920-38fa-4234-8028-e42a16c96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945ff6-2248-4da3-ac36-8de0862907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DAA6ABEA-749C-4472-8E93-13A51C646870}">
  <ds:schemaRefs>
    <ds:schemaRef ds:uri="http://schemas.openxmlformats.org/officeDocument/2006/bibliography"/>
  </ds:schemaRefs>
</ds:datastoreItem>
</file>

<file path=customXml/itemProps3.xml><?xml version="1.0" encoding="utf-8"?>
<ds:datastoreItem xmlns:ds="http://schemas.openxmlformats.org/officeDocument/2006/customXml" ds:itemID="{93EAA9AB-528F-4C89-BD38-DBFDA3094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74920-38fa-4234-8028-e42a16c967ba"/>
    <ds:schemaRef ds:uri="e7945ff6-2248-4da3-ac36-8de08629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C690B9-33AA-4AD2-BD80-6885F0D8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2433</Words>
  <Characters>13871</Characters>
  <Application>Microsoft Office Word</Application>
  <DocSecurity>8</DocSecurity>
  <Lines>115</Lines>
  <Paragraphs>32</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16272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Jorge Martinez-Blat</cp:lastModifiedBy>
  <cp:revision>7</cp:revision>
  <cp:lastPrinted>2015-02-18T11:01:00Z</cp:lastPrinted>
  <dcterms:created xsi:type="dcterms:W3CDTF">2020-09-01T12:12:00Z</dcterms:created>
  <dcterms:modified xsi:type="dcterms:W3CDTF">2020-09-01T13:48:00Z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0x0101006B7483D16D17D246B4BF5A0BC6EAB59E</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