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Wyrnieniedelikatne"/>
          <w:b w:val="0"/>
          <w:bCs/>
          <w:sz w:val="22"/>
        </w:rPr>
      </w:pPr>
      <w:r w:rsidRPr="00754AC4">
        <w:rPr>
          <w:rStyle w:val="Wyrnieniedelikatne"/>
          <w:b w:val="0"/>
          <w:bCs/>
          <w:sz w:val="22"/>
        </w:rPr>
        <w:t>The European Supervisory Authorities (ESAs) invite comments on all matters in this consultation paper</w:t>
      </w:r>
      <w:r>
        <w:rPr>
          <w:rStyle w:val="Wyrnieniedelikatne"/>
          <w:b w:val="0"/>
          <w:bCs/>
          <w:sz w:val="22"/>
        </w:rPr>
        <w:t xml:space="preserve"> on ESG disclosures under Regulation (EU) 2019/2088</w:t>
      </w:r>
      <w:r w:rsidRPr="00754AC4">
        <w:rPr>
          <w:rStyle w:val="Wyrnieniedelikatne"/>
          <w:b w:val="0"/>
          <w:bCs/>
          <w:sz w:val="22"/>
        </w:rPr>
        <w:t xml:space="preserve"> </w:t>
      </w:r>
      <w:r>
        <w:rPr>
          <w:rStyle w:val="Wyrnieniedelikatne"/>
          <w:b w:val="0"/>
          <w:bCs/>
          <w:sz w:val="22"/>
        </w:rPr>
        <w:t xml:space="preserve">on sustainability-related </w:t>
      </w:r>
      <w:r w:rsidR="00BE7C87">
        <w:rPr>
          <w:rStyle w:val="Wyrnieniedelikatne"/>
          <w:b w:val="0"/>
          <w:bCs/>
          <w:sz w:val="22"/>
        </w:rPr>
        <w:t>disclosures</w:t>
      </w:r>
      <w:r>
        <w:rPr>
          <w:rStyle w:val="Wyrnieniedelikatne"/>
          <w:b w:val="0"/>
          <w:bCs/>
          <w:sz w:val="22"/>
        </w:rPr>
        <w:t xml:space="preserve"> in the financial sector (hereinafter “SFDR”) </w:t>
      </w:r>
      <w:r w:rsidRPr="00754AC4">
        <w:rPr>
          <w:rStyle w:val="Wyrnieniedelikatn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Wyrnieniedelikatne"/>
          <w:b w:val="0"/>
          <w:bCs/>
          <w:sz w:val="22"/>
        </w:rPr>
      </w:pPr>
      <w:r w:rsidRPr="00754AC4">
        <w:rPr>
          <w:rStyle w:val="Wyrnieniedelikatne"/>
          <w:b w:val="0"/>
          <w:bCs/>
          <w:sz w:val="22"/>
        </w:rPr>
        <w:t>Comments are most helpful if they:</w:t>
      </w:r>
    </w:p>
    <w:p w14:paraId="443F1C2C" w14:textId="77777777" w:rsidR="00754AC4" w:rsidRPr="00754AC4" w:rsidRDefault="00754AC4" w:rsidP="00754AC4">
      <w:pPr>
        <w:pStyle w:val="Akapitzlist"/>
        <w:numPr>
          <w:ilvl w:val="0"/>
          <w:numId w:val="41"/>
        </w:numPr>
        <w:spacing w:after="240"/>
        <w:jc w:val="both"/>
        <w:rPr>
          <w:rStyle w:val="Wyrnieniedelikatne"/>
          <w:b w:val="0"/>
          <w:bCs/>
          <w:sz w:val="22"/>
        </w:rPr>
      </w:pPr>
      <w:r w:rsidRPr="00754AC4">
        <w:rPr>
          <w:rStyle w:val="Wyrnieniedelikatne"/>
          <w:b w:val="0"/>
          <w:bCs/>
          <w:sz w:val="22"/>
        </w:rPr>
        <w:t>contain a clear rationale; and</w:t>
      </w:r>
    </w:p>
    <w:p w14:paraId="44288AF1" w14:textId="77777777" w:rsidR="00754AC4" w:rsidRPr="00754AC4" w:rsidRDefault="00754AC4" w:rsidP="00754AC4">
      <w:pPr>
        <w:pStyle w:val="Akapitzlist"/>
        <w:numPr>
          <w:ilvl w:val="0"/>
          <w:numId w:val="41"/>
        </w:numPr>
        <w:spacing w:after="240"/>
        <w:jc w:val="both"/>
        <w:rPr>
          <w:rStyle w:val="Wyrnieniedelikatne"/>
          <w:b w:val="0"/>
          <w:bCs/>
          <w:sz w:val="22"/>
        </w:rPr>
      </w:pPr>
      <w:r w:rsidRPr="00754AC4">
        <w:rPr>
          <w:rStyle w:val="Wyrnieniedelikatne"/>
          <w:b w:val="0"/>
          <w:bCs/>
          <w:sz w:val="22"/>
        </w:rPr>
        <w:t>describe any alternatives the ESAs should consider.</w:t>
      </w:r>
    </w:p>
    <w:p w14:paraId="122FDDB2" w14:textId="5647B0AF" w:rsidR="00C86E1C" w:rsidRDefault="00C86E1C" w:rsidP="00754AC4">
      <w:pPr>
        <w:spacing w:after="240"/>
        <w:jc w:val="both"/>
        <w:rPr>
          <w:rStyle w:val="Wyrnieniedelikatne"/>
          <w:b w:val="0"/>
          <w:bCs/>
          <w:sz w:val="22"/>
        </w:rPr>
      </w:pPr>
      <w:r>
        <w:rPr>
          <w:rStyle w:val="Wyrnieniedelikatn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Wyrnieniedelikatne"/>
          <w:b w:val="0"/>
          <w:sz w:val="22"/>
        </w:rPr>
      </w:pPr>
    </w:p>
    <w:p w14:paraId="6A3CB03F" w14:textId="77777777" w:rsidR="009A3017" w:rsidRPr="00E40A5C" w:rsidRDefault="009A3017" w:rsidP="009A3017">
      <w:pPr>
        <w:spacing w:after="120"/>
        <w:jc w:val="both"/>
        <w:rPr>
          <w:rStyle w:val="Wyrnieniedelikatne"/>
          <w:sz w:val="22"/>
        </w:rPr>
      </w:pPr>
      <w:r w:rsidRPr="00E40A5C">
        <w:rPr>
          <w:rStyle w:val="Wyrnieniedelikatne"/>
          <w:sz w:val="22"/>
        </w:rPr>
        <w:t>Instructions</w:t>
      </w:r>
    </w:p>
    <w:p w14:paraId="6A3CB040" w14:textId="77777777" w:rsidR="009A3017" w:rsidRPr="00E40A5C" w:rsidRDefault="009A3017" w:rsidP="009A3017">
      <w:pPr>
        <w:spacing w:after="240"/>
        <w:jc w:val="both"/>
        <w:rPr>
          <w:rStyle w:val="Wyrnieniedelikatne"/>
          <w:b w:val="0"/>
          <w:sz w:val="22"/>
        </w:rPr>
      </w:pPr>
      <w:r w:rsidRPr="00E40A5C">
        <w:rPr>
          <w:rStyle w:val="Wyrnieniedelikatn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Akapitzlist"/>
        <w:numPr>
          <w:ilvl w:val="0"/>
          <w:numId w:val="37"/>
        </w:numPr>
        <w:spacing w:after="240" w:line="276" w:lineRule="auto"/>
        <w:ind w:left="567" w:hanging="567"/>
        <w:contextualSpacing w:val="0"/>
        <w:jc w:val="both"/>
        <w:rPr>
          <w:rStyle w:val="Wyrnieniedelikatne"/>
          <w:b w:val="0"/>
          <w:sz w:val="22"/>
        </w:rPr>
      </w:pPr>
      <w:r w:rsidRPr="00E40A5C">
        <w:rPr>
          <w:rStyle w:val="Wyrnieniedelikatne"/>
          <w:b w:val="0"/>
          <w:sz w:val="22"/>
        </w:rPr>
        <w:t xml:space="preserve">Insert your responses to the questions in the Consultation Paper in </w:t>
      </w:r>
      <w:r w:rsidR="00963D60">
        <w:rPr>
          <w:rStyle w:val="Wyrnieniedelikatne"/>
          <w:b w:val="0"/>
          <w:sz w:val="22"/>
        </w:rPr>
        <w:t>the present</w:t>
      </w:r>
      <w:r w:rsidR="00963D60" w:rsidRPr="00E40A5C">
        <w:rPr>
          <w:rStyle w:val="Wyrnieniedelikatne"/>
          <w:b w:val="0"/>
          <w:sz w:val="22"/>
        </w:rPr>
        <w:t xml:space="preserve"> </w:t>
      </w:r>
      <w:r w:rsidR="00315895">
        <w:rPr>
          <w:rStyle w:val="Wyrnieniedelikatne"/>
          <w:b w:val="0"/>
          <w:sz w:val="22"/>
        </w:rPr>
        <w:t xml:space="preserve">response </w:t>
      </w:r>
      <w:r w:rsidRPr="00E40A5C">
        <w:rPr>
          <w:rStyle w:val="Wyrnieniedelikatne"/>
          <w:b w:val="0"/>
          <w:sz w:val="22"/>
        </w:rPr>
        <w:t>form</w:t>
      </w:r>
      <w:r w:rsidR="00963D60">
        <w:rPr>
          <w:rStyle w:val="Wyrnieniedelikatne"/>
          <w:b w:val="0"/>
          <w:sz w:val="22"/>
        </w:rPr>
        <w:t>.</w:t>
      </w:r>
      <w:r w:rsidRPr="00E40A5C">
        <w:rPr>
          <w:rStyle w:val="Wyrnieniedelikatne"/>
          <w:b w:val="0"/>
          <w:sz w:val="22"/>
        </w:rPr>
        <w:t xml:space="preserve"> </w:t>
      </w:r>
    </w:p>
    <w:p w14:paraId="6A3CB042" w14:textId="7681A708" w:rsidR="009A3017" w:rsidRPr="00E40A5C" w:rsidRDefault="009A3017" w:rsidP="00967674">
      <w:pPr>
        <w:pStyle w:val="Akapitzlist"/>
        <w:numPr>
          <w:ilvl w:val="0"/>
          <w:numId w:val="37"/>
        </w:numPr>
        <w:spacing w:after="240" w:line="276" w:lineRule="auto"/>
        <w:ind w:left="567" w:hanging="567"/>
        <w:contextualSpacing w:val="0"/>
        <w:jc w:val="both"/>
        <w:rPr>
          <w:rStyle w:val="Wyrnieniedelikatne"/>
          <w:b w:val="0"/>
          <w:sz w:val="22"/>
        </w:rPr>
      </w:pPr>
      <w:r w:rsidRPr="00E40A5C">
        <w:rPr>
          <w:rStyle w:val="Wyrnieniedelikatne"/>
          <w:b w:val="0"/>
          <w:sz w:val="22"/>
        </w:rPr>
        <w:t>Please do not remove tags of the type &lt;ESA_QUESTION_</w:t>
      </w:r>
      <w:r w:rsidR="00C86E1C">
        <w:rPr>
          <w:rStyle w:val="Wyrnieniedelikatne"/>
          <w:b w:val="0"/>
          <w:sz w:val="22"/>
        </w:rPr>
        <w:t>ESG</w:t>
      </w:r>
      <w:r w:rsidRPr="00E40A5C">
        <w:rPr>
          <w:rStyle w:val="Wyrnieniedelikatne"/>
          <w:b w:val="0"/>
          <w:sz w:val="22"/>
        </w:rPr>
        <w:t>_1&gt;. Your response to each question has to be framed by the two tags corresponding to the question.</w:t>
      </w:r>
    </w:p>
    <w:p w14:paraId="6A3CB043" w14:textId="77777777" w:rsidR="009A3017" w:rsidRPr="00E40A5C" w:rsidRDefault="009A3017" w:rsidP="00967674">
      <w:pPr>
        <w:pStyle w:val="Akapitzlist"/>
        <w:numPr>
          <w:ilvl w:val="0"/>
          <w:numId w:val="37"/>
        </w:numPr>
        <w:spacing w:after="240" w:line="276" w:lineRule="auto"/>
        <w:ind w:left="567" w:hanging="567"/>
        <w:contextualSpacing w:val="0"/>
        <w:jc w:val="both"/>
        <w:rPr>
          <w:rStyle w:val="Wyrnieniedelikatne"/>
          <w:b w:val="0"/>
          <w:sz w:val="22"/>
        </w:rPr>
      </w:pPr>
      <w:r w:rsidRPr="00E40A5C">
        <w:rPr>
          <w:rStyle w:val="Wyrnieniedelikatne"/>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Akapitzlist"/>
        <w:numPr>
          <w:ilvl w:val="0"/>
          <w:numId w:val="37"/>
        </w:numPr>
        <w:spacing w:after="240" w:line="276" w:lineRule="auto"/>
        <w:ind w:left="567" w:hanging="567"/>
        <w:contextualSpacing w:val="0"/>
        <w:jc w:val="both"/>
        <w:rPr>
          <w:rStyle w:val="Wyrnieniedelikatne"/>
          <w:b w:val="0"/>
          <w:sz w:val="22"/>
        </w:rPr>
      </w:pPr>
      <w:r w:rsidRPr="00E40A5C">
        <w:rPr>
          <w:rStyle w:val="Wyrnieniedelikatne"/>
          <w:b w:val="0"/>
          <w:sz w:val="22"/>
        </w:rPr>
        <w:t>When you have drafted your response, name your response form according to the following convention: ESA_</w:t>
      </w:r>
      <w:r w:rsidR="00C86E1C">
        <w:rPr>
          <w:rStyle w:val="Wyrnieniedelikatne"/>
          <w:b w:val="0"/>
          <w:sz w:val="22"/>
        </w:rPr>
        <w:t>ESG</w:t>
      </w:r>
      <w:r w:rsidRPr="00E40A5C">
        <w:rPr>
          <w:rStyle w:val="Wyrnieniedelikatne"/>
          <w:b w:val="0"/>
          <w:sz w:val="22"/>
        </w:rPr>
        <w:t>_nameofrespondent_RESPONSEFORM. For example, for a respondent named ABCD, the response form would be entitled ESA_</w:t>
      </w:r>
      <w:r w:rsidR="00C86E1C">
        <w:rPr>
          <w:rStyle w:val="Wyrnieniedelikatne"/>
          <w:b w:val="0"/>
          <w:sz w:val="22"/>
        </w:rPr>
        <w:t>ESG</w:t>
      </w:r>
      <w:r w:rsidRPr="00E40A5C">
        <w:rPr>
          <w:rStyle w:val="Wyrnieniedelikatne"/>
          <w:b w:val="0"/>
          <w:sz w:val="22"/>
        </w:rPr>
        <w:t>_ABCD_RESPONSEFORM.</w:t>
      </w:r>
    </w:p>
    <w:p w14:paraId="180C2205" w14:textId="19B88CA2" w:rsidR="00197794" w:rsidRPr="00197794" w:rsidRDefault="00197794" w:rsidP="00197794">
      <w:pPr>
        <w:pStyle w:val="Akapitzlist"/>
        <w:numPr>
          <w:ilvl w:val="0"/>
          <w:numId w:val="37"/>
        </w:numPr>
        <w:spacing w:after="240" w:line="276" w:lineRule="auto"/>
        <w:ind w:left="567" w:hanging="567"/>
        <w:contextualSpacing w:val="0"/>
        <w:jc w:val="both"/>
        <w:rPr>
          <w:rStyle w:val="Wyrnieniedelikatne"/>
          <w:b w:val="0"/>
          <w:sz w:val="22"/>
        </w:rPr>
      </w:pPr>
      <w:r w:rsidRPr="00197794">
        <w:rPr>
          <w:rStyle w:val="Wyrnieniedelikatne"/>
          <w:b w:val="0"/>
          <w:sz w:val="22"/>
        </w:rPr>
        <w:t>The consultation paper is available on the websites of the three ESAs</w:t>
      </w:r>
      <w:r w:rsidR="00764042">
        <w:rPr>
          <w:rStyle w:val="Wyrnieniedelikatne"/>
          <w:b w:val="0"/>
          <w:sz w:val="22"/>
        </w:rPr>
        <w:t xml:space="preserve"> and the Joint Committee</w:t>
      </w:r>
      <w:r w:rsidRPr="00197794">
        <w:rPr>
          <w:rStyle w:val="Wyrnieniedelikatne"/>
          <w:b w:val="0"/>
          <w:sz w:val="22"/>
        </w:rPr>
        <w:t xml:space="preserve">. Comments on this consultation paper can be sent using the response form, via the </w:t>
      </w:r>
      <w:hyperlink r:id="rId18" w:history="1">
        <w:r w:rsidRPr="00197794">
          <w:rPr>
            <w:rStyle w:val="Hipercze"/>
            <w:rFonts w:cs="Arial"/>
            <w:sz w:val="22"/>
          </w:rPr>
          <w:t>ESMA website</w:t>
        </w:r>
      </w:hyperlink>
      <w:r w:rsidRPr="00197794">
        <w:rPr>
          <w:rStyle w:val="Wyrnieniedelikatne"/>
          <w:b w:val="0"/>
          <w:sz w:val="24"/>
        </w:rPr>
        <w:t xml:space="preserve"> </w:t>
      </w:r>
      <w:r w:rsidRPr="00197794">
        <w:rPr>
          <w:rStyle w:val="Wyrnieniedelikatne"/>
          <w:b w:val="0"/>
          <w:sz w:val="22"/>
        </w:rPr>
        <w:t xml:space="preserve">under the heading ‘Your input - Consultations’ </w:t>
      </w:r>
      <w:r w:rsidRPr="001C240F">
        <w:rPr>
          <w:rStyle w:val="Wyrnieniedelikatne"/>
          <w:b w:val="0"/>
          <w:sz w:val="22"/>
        </w:rPr>
        <w:t xml:space="preserve">by </w:t>
      </w:r>
      <w:r w:rsidR="00D5594A" w:rsidRPr="001C240F">
        <w:rPr>
          <w:rStyle w:val="Wyrnieniedelikatne"/>
          <w:sz w:val="22"/>
        </w:rPr>
        <w:t>1 September</w:t>
      </w:r>
      <w:r w:rsidRPr="001C240F">
        <w:rPr>
          <w:rStyle w:val="Wyrnieniedelikatne"/>
          <w:sz w:val="22"/>
        </w:rPr>
        <w:t xml:space="preserve"> 2020</w:t>
      </w:r>
      <w:r w:rsidRPr="00197794">
        <w:rPr>
          <w:rStyle w:val="Wyrnieniedelikatne"/>
          <w:b w:val="0"/>
          <w:sz w:val="22"/>
        </w:rPr>
        <w:t>.</w:t>
      </w:r>
    </w:p>
    <w:p w14:paraId="2481E1E6" w14:textId="67CDDA3F" w:rsidR="00197794" w:rsidRDefault="00197794" w:rsidP="00197794">
      <w:pPr>
        <w:pStyle w:val="Akapitzlist"/>
        <w:numPr>
          <w:ilvl w:val="0"/>
          <w:numId w:val="37"/>
        </w:numPr>
        <w:spacing w:after="240" w:line="276" w:lineRule="auto"/>
        <w:ind w:left="567" w:hanging="567"/>
        <w:contextualSpacing w:val="0"/>
        <w:jc w:val="both"/>
        <w:rPr>
          <w:rStyle w:val="Wyrnieniedelikatne"/>
          <w:b w:val="0"/>
          <w:sz w:val="22"/>
        </w:rPr>
      </w:pPr>
      <w:r w:rsidRPr="00197794">
        <w:rPr>
          <w:rStyle w:val="Wyrnieniedelikatn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Wyrnieniedelikatne"/>
          <w:b w:val="0"/>
          <w:sz w:val="22"/>
        </w:rPr>
      </w:pPr>
    </w:p>
    <w:p w14:paraId="5E94D042" w14:textId="77777777" w:rsidR="00D5594A" w:rsidRPr="00197794" w:rsidRDefault="00D5594A" w:rsidP="00197794">
      <w:pPr>
        <w:spacing w:after="240" w:line="276" w:lineRule="auto"/>
        <w:jc w:val="both"/>
        <w:rPr>
          <w:rStyle w:val="Wyrnieniedelikatne"/>
          <w:b w:val="0"/>
          <w:sz w:val="22"/>
        </w:rPr>
      </w:pPr>
    </w:p>
    <w:p w14:paraId="6A3CB046" w14:textId="77777777" w:rsidR="00210E59" w:rsidRPr="00210E59" w:rsidRDefault="00210E59" w:rsidP="00210E59">
      <w:pPr>
        <w:spacing w:after="120"/>
        <w:jc w:val="both"/>
        <w:rPr>
          <w:rStyle w:val="Wyrnieniedelikatne"/>
          <w:sz w:val="22"/>
        </w:rPr>
      </w:pPr>
      <w:r w:rsidRPr="00210E59">
        <w:rPr>
          <w:rStyle w:val="Wyrnieniedelikatne"/>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Wyrnieniedelikatne"/>
          <w:sz w:val="22"/>
          <w:lang w:eastAsia="en-GB"/>
        </w:rPr>
      </w:pPr>
    </w:p>
    <w:p w14:paraId="3561D6A6" w14:textId="77777777" w:rsidR="00197794" w:rsidRDefault="00197794" w:rsidP="004E6AE4">
      <w:pPr>
        <w:rPr>
          <w:rStyle w:val="Wyrnieniedelikatne"/>
          <w:sz w:val="22"/>
          <w:lang w:eastAsia="en-GB"/>
        </w:rPr>
      </w:pPr>
    </w:p>
    <w:p w14:paraId="6A3CB048" w14:textId="1D432EA9" w:rsidR="009A3017" w:rsidRPr="00E40A5C" w:rsidRDefault="009A3017" w:rsidP="004E6AE4">
      <w:pPr>
        <w:rPr>
          <w:rStyle w:val="Wyrnieniedelikatne"/>
          <w:sz w:val="22"/>
          <w:lang w:eastAsia="en-GB"/>
        </w:rPr>
      </w:pPr>
      <w:r w:rsidRPr="00E40A5C">
        <w:rPr>
          <w:rStyle w:val="Wyrnieniedelikatn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Odwoanieprzypisudolnego"/>
          <w:rFonts w:cs="Arial"/>
          <w:sz w:val="22"/>
        </w:rPr>
        <w:footnoteReference w:id="2"/>
      </w:r>
      <w:r w:rsidRPr="00197794">
        <w:rPr>
          <w:rFonts w:cs="Arial"/>
          <w:sz w:val="22"/>
        </w:rPr>
        <w:t xml:space="preserve">. Further information on data protection can be found under the </w:t>
      </w:r>
      <w:hyperlink r:id="rId19" w:history="1">
        <w:r w:rsidRPr="00197794">
          <w:rPr>
            <w:rStyle w:val="Hipercze"/>
            <w:rFonts w:cs="Arial"/>
            <w:sz w:val="22"/>
          </w:rPr>
          <w:t>Legal notice</w:t>
        </w:r>
      </w:hyperlink>
      <w:r w:rsidRPr="00197794">
        <w:rPr>
          <w:rFonts w:cs="Arial"/>
          <w:sz w:val="22"/>
        </w:rPr>
        <w:t xml:space="preserve"> section of the EBA website and under the </w:t>
      </w:r>
      <w:hyperlink r:id="rId20" w:history="1">
        <w:r w:rsidRPr="00197794">
          <w:rPr>
            <w:rStyle w:val="Hipercze"/>
            <w:rFonts w:cs="Arial"/>
            <w:sz w:val="22"/>
          </w:rPr>
          <w:t>Legal notice</w:t>
        </w:r>
      </w:hyperlink>
      <w:r w:rsidRPr="00197794">
        <w:rPr>
          <w:rFonts w:cs="Arial"/>
          <w:sz w:val="22"/>
        </w:rPr>
        <w:t xml:space="preserve"> section of the EIOPA website and under the </w:t>
      </w:r>
      <w:hyperlink r:id="rId21" w:history="1">
        <w:r w:rsidRPr="00197794">
          <w:rPr>
            <w:rStyle w:val="Hipercz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Wyrnieniedelikatn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Nagwek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kstzastpczy"/>
              <w:rFonts w:cs="Arial"/>
            </w:rPr>
            <w:id w:val="-1905066999"/>
            <w:text/>
          </w:sdtPr>
          <w:sdtEndPr>
            <w:rPr>
              <w:rStyle w:val="Tekstzastpczy"/>
            </w:rPr>
          </w:sdtEndPr>
          <w:sdtContent>
            <w:tc>
              <w:tcPr>
                <w:tcW w:w="5595" w:type="dxa"/>
                <w:shd w:val="clear" w:color="auto" w:fill="auto"/>
              </w:tcPr>
              <w:p w14:paraId="6A3CB051" w14:textId="15F81A89" w:rsidR="00B327E9" w:rsidRPr="00AB6D88" w:rsidRDefault="00E063ED" w:rsidP="00F136AD">
                <w:pPr>
                  <w:rPr>
                    <w:rStyle w:val="Tekstzastpczy"/>
                    <w:rFonts w:cs="Arial"/>
                  </w:rPr>
                </w:pPr>
                <w:r>
                  <w:rPr>
                    <w:rStyle w:val="Tekstzastpczy"/>
                    <w:rFonts w:cs="Arial"/>
                  </w:rPr>
                  <w:t>Department of Social Insurance, Warsaw School of Economics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83B3637" w:rsidR="00B327E9" w:rsidRPr="00AB6D88" w:rsidRDefault="004D31E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Non-financial counterparty</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2150C753" w:rsidR="00B327E9" w:rsidRPr="00AB6D88" w:rsidRDefault="00E063ED"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803AE02" w:rsidR="00B327E9" w:rsidRPr="00AB6D88" w:rsidRDefault="00E063ED" w:rsidP="00F136AD">
                <w:pPr>
                  <w:rPr>
                    <w:rFonts w:cs="Arial"/>
                  </w:rPr>
                </w:pPr>
                <w:r>
                  <w:rPr>
                    <w:rFonts w:cs="Arial"/>
                  </w:rPr>
                  <w:t>Poland</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Nagwek1"/>
        <w:numPr>
          <w:ilvl w:val="0"/>
          <w:numId w:val="0"/>
        </w:numPr>
        <w:ind w:left="431" w:hanging="431"/>
      </w:pPr>
      <w:r>
        <w:t>Introduction</w:t>
      </w:r>
    </w:p>
    <w:p w14:paraId="6A3CB05E" w14:textId="77777777" w:rsidR="00B327E9" w:rsidRPr="00E40A5C" w:rsidRDefault="00B327E9" w:rsidP="00B327E9">
      <w:pPr>
        <w:rPr>
          <w:rStyle w:val="Wyrnienieintensywne"/>
          <w:sz w:val="22"/>
        </w:rPr>
      </w:pPr>
      <w:r w:rsidRPr="00E40A5C">
        <w:rPr>
          <w:rStyle w:val="Wyrnienieintensywn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Wyrnieniedelikatne"/>
          <w:b w:val="0"/>
          <w:sz w:val="22"/>
        </w:rPr>
        <w:t>ESG</w:t>
      </w:r>
      <w:r w:rsidRPr="006F4535">
        <w:t>_1&gt;</w:t>
      </w:r>
    </w:p>
    <w:p w14:paraId="5837F05B" w14:textId="77777777" w:rsidR="007E12E1" w:rsidRDefault="007E12E1" w:rsidP="007E12E1">
      <w:permStart w:id="411981036" w:edGrp="everyone"/>
      <w:r>
        <w:t>We believe that the proposed solutions go in the right direction, but we have some general remarks.</w:t>
      </w:r>
    </w:p>
    <w:p w14:paraId="750CA4F4" w14:textId="77777777" w:rsidR="007E12E1" w:rsidRDefault="007E12E1" w:rsidP="007E12E1">
      <w:r>
        <w:t>This regulation focuses on disclosure, however indirectly touches governance of almost all financial institutions and not only. In our opinion, the logic of regulation suggest a different approach, governance of reporting and governance of ESG should go first, or at least together with disclosure.</w:t>
      </w:r>
    </w:p>
    <w:p w14:paraId="012112F0" w14:textId="77777777" w:rsidR="007E12E1" w:rsidRDefault="007E12E1" w:rsidP="007E12E1">
      <w:r>
        <w:t>There is also a very limited number of researches on the perception of ESG data. That is why we need to encourage researches in this area, before issuing regulations on pre-contractual information. In our opinion, together with European taxonomy the "European ESG benchmark" should be proposed to help to find the reference point and scale for disclosed information.</w:t>
      </w:r>
    </w:p>
    <w:p w14:paraId="6CE0430C" w14:textId="77777777" w:rsidR="007E12E1" w:rsidRDefault="007E12E1" w:rsidP="007E12E1">
      <w:r>
        <w:t>In practice, the most difficult aspect may be – in our opinion - data collection and data availability. Therefore, it seems to us that the "principle of proportionality" is missing here. There is a need to specify by which moment the company should try to obtain information. Maybe if data were unavailable, the company should just describe the attempts to get it. This is particularly difficult in the context of suppliers analysis, especially when companies invest outside the European Union, where different legislation is in force and many international documents (e.g. ILO conventions) have not been adopted by states.</w:t>
      </w:r>
    </w:p>
    <w:p w14:paraId="72791699" w14:textId="77777777" w:rsidR="007E12E1" w:rsidRDefault="007E12E1" w:rsidP="007E12E1">
      <w:r>
        <w:t>There is also a need of the benchmark, we start from disclosures but do not clearly know what will be disclosed.</w:t>
      </w:r>
    </w:p>
    <w:p w14:paraId="2A64DEE6" w14:textId="77777777" w:rsidR="007E12E1" w:rsidRDefault="007E12E1" w:rsidP="007E12E1">
      <w:r>
        <w:t>Moreover, the calculation of the proposed indicators seems impossible for smaller companies, which will also be subjected to the reporting obligation. Such companies may not have enough power to obtain such data.</w:t>
      </w:r>
    </w:p>
    <w:p w14:paraId="6A3CB062" w14:textId="7AC7E602" w:rsidR="00B327E9" w:rsidRPr="00BF28DA" w:rsidRDefault="007E12E1" w:rsidP="00B327E9">
      <w:r>
        <w:t>It is important that based on the reported data, appropriate conclusions can be drawn, thanks to which it will be possible to make changes. Another issue is to take consequences against companies that will not adapt to the changes taking place. What is more, it is not certain that the introduced complicated information requirements will not cause a decrease in the number of green products offered on the market.</w:t>
      </w:r>
      <w:permEnd w:id="411981036"/>
      <w:r w:rsidR="00B327E9" w:rsidRPr="00BF28DA">
        <w:t>&lt;ESA_COMMENT_</w:t>
      </w:r>
      <w:r w:rsidR="00C86E1C">
        <w:rPr>
          <w:rStyle w:val="Wyrnieniedelikatne"/>
          <w:b w:val="0"/>
          <w:sz w:val="22"/>
        </w:rPr>
        <w:t>ESG</w:t>
      </w:r>
      <w:r w:rsidR="000A58BE">
        <w:t>_</w:t>
      </w:r>
      <w:r w:rsidR="00B327E9"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B7DAEAA" w14:textId="77777777" w:rsidR="003939FC" w:rsidRDefault="00B06B89" w:rsidP="003E573C">
      <w:pPr>
        <w:rPr>
          <w:rFonts w:cs="Arial"/>
        </w:rPr>
      </w:pPr>
      <w:permStart w:id="1221819945" w:edGrp="everyone"/>
      <w:r w:rsidRPr="00B06B89">
        <w:rPr>
          <w:rFonts w:cs="Arial"/>
        </w:rPr>
        <w:t>At least for the transitional period, while the accessibility of new information will be very difficult, the option opt-in seems to be a good solution</w:t>
      </w:r>
    </w:p>
    <w:permEnd w:id="1221819945"/>
    <w:p w14:paraId="0F1F4245" w14:textId="3500670A"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6415E03C" w14:textId="474AB57C" w:rsidR="003E573C" w:rsidRDefault="00460329" w:rsidP="003E573C">
      <w:pPr>
        <w:rPr>
          <w:rFonts w:cs="Arial"/>
        </w:rPr>
      </w:pPr>
      <w:permStart w:id="729947415" w:edGrp="everyone"/>
      <w:r w:rsidRPr="00460329">
        <w:rPr>
          <w:rFonts w:cs="Arial"/>
        </w:rPr>
        <w:t>The proposed climate and other environment-related indicators in Annex I are mostly based on the "weighted average" approach which seems to be correct and considering the size of the business</w:t>
      </w:r>
      <w:r>
        <w:rPr>
          <w:rFonts w:cs="Arial"/>
        </w:rPr>
        <w:t xml:space="preserve"> </w:t>
      </w:r>
      <w:permEnd w:id="729947415"/>
      <w:r w:rsidR="003E573C">
        <w:rPr>
          <w:rFonts w:cs="Arial"/>
        </w:rPr>
        <w:t>&lt;ESA_QUESTION_</w:t>
      </w:r>
      <w:r w:rsidR="00C86E1C">
        <w:rPr>
          <w:rFonts w:cs="Arial"/>
        </w:rPr>
        <w:t>ESG</w:t>
      </w:r>
      <w:r w:rsidR="003E573C">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6A7E3221" w14:textId="77777777" w:rsidR="00B25C97" w:rsidRDefault="00B25C97" w:rsidP="003E573C">
      <w:pPr>
        <w:rPr>
          <w:rFonts w:cs="Arial"/>
        </w:rPr>
      </w:pPr>
      <w:permStart w:id="677205538" w:edGrp="everyone"/>
      <w:r w:rsidRPr="00B25C97">
        <w:rPr>
          <w:rFonts w:cs="Arial"/>
        </w:rPr>
        <w:t>An attempt to create a benchmark may facilitate reporting, the proposed indicators are quite vaguely defined at this stage, it is not clear what we are aiming for. There is a need for more precise transition from ESG targets to ESG indicators.</w:t>
      </w:r>
    </w:p>
    <w:permEnd w:id="677205538"/>
    <w:p w14:paraId="54D6583E" w14:textId="1BE2E52A"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5BBBBDC0" w:rsidR="003E573C" w:rsidRPr="000447EC" w:rsidRDefault="002C5EF3" w:rsidP="003E573C">
      <w:pPr>
        <w:rPr>
          <w:rFonts w:cs="Arial"/>
        </w:rPr>
      </w:pPr>
      <w:permStart w:id="1220688604" w:edGrp="everyone"/>
      <w:r w:rsidRPr="000447EC">
        <w:rPr>
          <w:rFonts w:cs="Arial"/>
        </w:rPr>
        <w:t>The reporting template is transparent</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0EB821EA" w14:textId="77777777" w:rsidR="00E34A2D" w:rsidRPr="00E34A2D" w:rsidRDefault="00E34A2D" w:rsidP="00E34A2D">
      <w:pPr>
        <w:rPr>
          <w:rFonts w:cs="Arial"/>
        </w:rPr>
      </w:pPr>
      <w:permStart w:id="209390932" w:edGrp="everyone"/>
      <w:r w:rsidRPr="00E34A2D">
        <w:rPr>
          <w:rFonts w:cs="Arial"/>
        </w:rPr>
        <w:t>Forward-looking indicators are helpful, but together with information on success in achieving previous forward-looking indicators. As far social and employee, respect for human rights and anti-corruption and anti-bribery matters: the indicators sometimes seem too broad. There is a bunch of different statistics, including EUROSTAT or OECD, that could be the kind of benchmark at the beginning. Not all the states in which companies are investing has implemented core 8 ILO conventions, but with such a benchmark, it could be easier to report.</w:t>
      </w:r>
    </w:p>
    <w:p w14:paraId="48F9D2DE" w14:textId="77777777" w:rsidR="00E34A2D" w:rsidRPr="00E34A2D" w:rsidRDefault="00E34A2D" w:rsidP="00E34A2D">
      <w:pPr>
        <w:rPr>
          <w:rFonts w:cs="Arial"/>
        </w:rPr>
      </w:pPr>
      <w:r w:rsidRPr="00E34A2D">
        <w:rPr>
          <w:rFonts w:cs="Arial"/>
        </w:rPr>
        <w:t>How one can measure the existing policy? (like anti-bribery, human rights, and other policies?) Should it be just stated that it exists or described what kind of solutions and regulations are in such a policy?</w:t>
      </w:r>
    </w:p>
    <w:p w14:paraId="331B65B7" w14:textId="77777777" w:rsidR="00E34A2D" w:rsidRPr="00E34A2D" w:rsidRDefault="00E34A2D" w:rsidP="00E34A2D">
      <w:pPr>
        <w:rPr>
          <w:rFonts w:cs="Arial"/>
        </w:rPr>
      </w:pPr>
      <w:r w:rsidRPr="00E34A2D">
        <w:rPr>
          <w:rFonts w:cs="Arial"/>
        </w:rPr>
        <w:t>Maybe the animals' treatment  - according to Council Directive 98/58/EC on the minimum standards for the protection of all farmed animals  - should be operationalised and taken into account in reports on investee companies</w:t>
      </w:r>
    </w:p>
    <w:p w14:paraId="3D19F9DE" w14:textId="77777777" w:rsidR="00E34A2D" w:rsidRPr="00E34A2D" w:rsidRDefault="00E34A2D" w:rsidP="00E34A2D">
      <w:pPr>
        <w:rPr>
          <w:rFonts w:cs="Arial"/>
        </w:rPr>
      </w:pPr>
      <w:r w:rsidRPr="00E34A2D">
        <w:rPr>
          <w:rFonts w:cs="Arial"/>
        </w:rPr>
        <w:lastRenderedPageBreak/>
        <w:t>Gender pay gap - the proposed index seems to simplify this issue greatly and ignores many factors that make up the wage differences. Instead, we can propose an index constructed as an average weighted with working hours of the differences in earnings between men and women in positions, e.g. specialists, experts, board member etc. It seems that the current databases make it possible to calculate the indicator constructed in this way.</w:t>
      </w:r>
    </w:p>
    <w:p w14:paraId="28939211" w14:textId="77777777" w:rsidR="00E34A2D" w:rsidRPr="00E34A2D" w:rsidRDefault="00E34A2D" w:rsidP="00E34A2D">
      <w:pPr>
        <w:rPr>
          <w:rFonts w:cs="Arial"/>
        </w:rPr>
      </w:pPr>
      <w:r w:rsidRPr="00E34A2D">
        <w:rPr>
          <w:rFonts w:cs="Arial"/>
        </w:rPr>
        <w:t>Excessive CEO pay ratio - the calculated value itself does not say much, maybe it is worth adding an indicator relating it to the company's results in a given year, whether the year-on-year change of this indicator follows or not the change in the company's results year-on-year</w:t>
      </w:r>
    </w:p>
    <w:p w14:paraId="4057568A" w14:textId="77777777" w:rsidR="00E34A2D" w:rsidRPr="00E34A2D" w:rsidRDefault="00E34A2D" w:rsidP="00E34A2D">
      <w:pPr>
        <w:rPr>
          <w:rFonts w:cs="Arial"/>
        </w:rPr>
      </w:pPr>
      <w:r w:rsidRPr="00E34A2D">
        <w:rPr>
          <w:rFonts w:cs="Arial"/>
        </w:rPr>
        <w:t>Board gender diversity - an indicator as problematic as the gender pay gap and does not take into account many factors, e.g. experience or qualifications. Can be considered this indicator - the difference in the average length of work experience before getting a position on the board of men and women as a percentage of the average for men</w:t>
      </w:r>
    </w:p>
    <w:p w14:paraId="719FC718" w14:textId="77777777" w:rsidR="00E34A2D" w:rsidRPr="00E34A2D" w:rsidRDefault="00E34A2D" w:rsidP="00E34A2D">
      <w:pPr>
        <w:rPr>
          <w:rFonts w:cs="Arial"/>
        </w:rPr>
      </w:pPr>
      <w:r w:rsidRPr="00E34A2D">
        <w:rPr>
          <w:rFonts w:cs="Arial"/>
        </w:rPr>
        <w:t>indicators no. from 21 to 23 and 25 and 30 - indicators correct, but they do not check practice. An interesting indicator could be a share of incidents reported under a given policy</w:t>
      </w:r>
    </w:p>
    <w:p w14:paraId="19A5D131" w14:textId="77777777" w:rsidR="00E34A2D" w:rsidRPr="00E34A2D" w:rsidRDefault="00E34A2D" w:rsidP="00E34A2D">
      <w:pPr>
        <w:rPr>
          <w:rFonts w:cs="Arial"/>
        </w:rPr>
      </w:pPr>
      <w:r w:rsidRPr="00E34A2D">
        <w:rPr>
          <w:rFonts w:cs="Arial"/>
        </w:rPr>
        <w:t>indicator no. 27 - "significant risk of incidents" may give rise to some interpretation freedom and this should be carefully explained</w:t>
      </w:r>
    </w:p>
    <w:p w14:paraId="095706D1" w14:textId="77777777" w:rsidR="00E34A2D" w:rsidRPr="00E34A2D" w:rsidRDefault="00E34A2D" w:rsidP="00E34A2D">
      <w:pPr>
        <w:rPr>
          <w:rFonts w:cs="Arial"/>
        </w:rPr>
      </w:pPr>
      <w:r w:rsidRPr="00E34A2D">
        <w:rPr>
          <w:rFonts w:cs="Arial"/>
        </w:rPr>
        <w:t>indicator 28 - does not show the scale of the phenomenon, maybe better to apply share of incidents reported under a human rights policy</w:t>
      </w:r>
    </w:p>
    <w:p w14:paraId="6AAD3460" w14:textId="1A47F355" w:rsidR="00E34A2D" w:rsidRPr="00E34A2D" w:rsidRDefault="00E34A2D" w:rsidP="00E34A2D">
      <w:pPr>
        <w:rPr>
          <w:rFonts w:cs="Arial"/>
        </w:rPr>
      </w:pPr>
      <w:r w:rsidRPr="00E34A2D">
        <w:rPr>
          <w:rFonts w:cs="Arial"/>
        </w:rPr>
        <w:t>indicator no. 31 - "</w:t>
      </w:r>
      <w:r w:rsidR="008B6C69">
        <w:rPr>
          <w:rFonts w:cs="Arial"/>
        </w:rPr>
        <w:t>insufficiencies in action taken</w:t>
      </w:r>
      <w:r w:rsidRPr="00E34A2D">
        <w:rPr>
          <w:rFonts w:cs="Arial"/>
        </w:rPr>
        <w:t>" may give rise to some interpretation freedom and this should be carefully explained</w:t>
      </w:r>
    </w:p>
    <w:p w14:paraId="6D66065C" w14:textId="77777777" w:rsidR="007D1B73" w:rsidRDefault="00E34A2D" w:rsidP="003E573C">
      <w:pPr>
        <w:rPr>
          <w:rFonts w:cs="Arial"/>
        </w:rPr>
      </w:pPr>
      <w:r w:rsidRPr="00E34A2D">
        <w:rPr>
          <w:rFonts w:cs="Arial"/>
        </w:rPr>
        <w:t>indicator 32 - does not show the scale of the phenomenon, it is worth creating an indicator that considers a national scale, e.g. the use of CPI or using the TRACE bribery risk matrix methodology</w:t>
      </w:r>
    </w:p>
    <w:permEnd w:id="209390932"/>
    <w:p w14:paraId="61BD6C84" w14:textId="53869745"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F4181CB" w14:textId="77777777" w:rsidR="00E47755" w:rsidRDefault="003458D9" w:rsidP="003E573C">
      <w:pPr>
        <w:rPr>
          <w:rFonts w:cs="Arial"/>
        </w:rPr>
      </w:pPr>
      <w:permStart w:id="569465455" w:edGrp="everyone"/>
      <w:r w:rsidRPr="00F70F07">
        <w:rPr>
          <w:rFonts w:cs="Arial"/>
        </w:rPr>
        <w:t>T</w:t>
      </w:r>
      <w:r w:rsidR="002C5EF3" w:rsidRPr="00F70F07">
        <w:rPr>
          <w:rFonts w:cs="Arial"/>
        </w:rPr>
        <w:t xml:space="preserve">he approach is good, </w:t>
      </w:r>
      <w:r w:rsidR="009A27FD" w:rsidRPr="00F70F07">
        <w:rPr>
          <w:rFonts w:cs="Arial"/>
        </w:rPr>
        <w:t>but missing</w:t>
      </w:r>
      <w:r w:rsidR="002C5EF3" w:rsidRPr="00F70F07">
        <w:rPr>
          <w:rFonts w:cs="Arial"/>
        </w:rPr>
        <w:t xml:space="preserve"> the indicator on the basis of which it will be possible to assess the actual practice of the company</w:t>
      </w:r>
    </w:p>
    <w:permEnd w:id="569465455"/>
    <w:p w14:paraId="2267AC0F" w14:textId="7AB4A597"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Akapitzlist"/>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Akapitzlist"/>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lastRenderedPageBreak/>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1F88BEE4" w14:textId="77777777" w:rsidR="008816BC" w:rsidRPr="008816BC" w:rsidRDefault="008816BC" w:rsidP="008816BC">
      <w:pPr>
        <w:rPr>
          <w:rFonts w:cs="Arial"/>
        </w:rPr>
      </w:pPr>
      <w:permStart w:id="221670941" w:edGrp="everyone"/>
      <w:r w:rsidRPr="008816BC">
        <w:rPr>
          <w:rFonts w:cs="Arial"/>
        </w:rPr>
        <w:t>Yes, sustainable development is not only the environment but also the conditions of work and human rights. Because social and human rights issues are measured and reported from at least 50 years (</w:t>
      </w:r>
    </w:p>
    <w:p w14:paraId="16690007" w14:textId="77777777" w:rsidR="008816BC" w:rsidRDefault="008816BC" w:rsidP="003E573C">
      <w:pPr>
        <w:rPr>
          <w:rFonts w:cs="Arial"/>
        </w:rPr>
      </w:pPr>
      <w:r w:rsidRPr="008816BC">
        <w:rPr>
          <w:rFonts w:cs="Arial"/>
        </w:rPr>
        <w:t>E.g. because of International Covenant on Economic, Social and Cultural Rights) it should be easier for companies to report referring to indicators existing from years.</w:t>
      </w:r>
    </w:p>
    <w:permEnd w:id="221670941"/>
    <w:p w14:paraId="57161E15" w14:textId="698B0C6F"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351AA133" w:rsidR="003E573C" w:rsidRDefault="0022246C" w:rsidP="003E573C">
      <w:pPr>
        <w:rPr>
          <w:rFonts w:cs="Arial"/>
        </w:rPr>
      </w:pPr>
      <w:permStart w:id="610013876" w:edGrp="everyone"/>
      <w:r>
        <w:rPr>
          <w:rFonts w:cs="Arial"/>
        </w:rPr>
        <w:t xml:space="preserve">Historical comparison could help to assess a change (even though the company still faces ESG problems one can see the </w:t>
      </w:r>
      <w:r w:rsidR="00946C1A">
        <w:rPr>
          <w:rFonts w:cs="Arial"/>
        </w:rPr>
        <w:t>attempts</w:t>
      </w:r>
      <w:r>
        <w:rPr>
          <w:rFonts w:cs="Arial"/>
        </w:rPr>
        <w:t xml:space="preserve"> to improve it. 10 years seem to be a good period, not too short, because the change needs time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31D8ACBC" w14:textId="77777777" w:rsidR="003365AD" w:rsidRPr="003365AD" w:rsidRDefault="003365AD" w:rsidP="003365AD">
      <w:pPr>
        <w:rPr>
          <w:rFonts w:cs="Arial"/>
        </w:rPr>
      </w:pPr>
      <w:permStart w:id="790175202" w:edGrp="everyone"/>
      <w:r w:rsidRPr="003365AD">
        <w:rPr>
          <w:rFonts w:cs="Arial"/>
        </w:rPr>
        <w:t>The benchmark and the very clearly prepared indicators (with an opt-in option during the first period) are the best way to try to avoid "window dressing" and – for the investor - to compare offered financial products.</w:t>
      </w:r>
    </w:p>
    <w:p w14:paraId="64D5C241" w14:textId="77777777" w:rsidR="003365AD" w:rsidRDefault="003365AD" w:rsidP="003E573C">
      <w:pPr>
        <w:rPr>
          <w:rFonts w:cs="Arial"/>
        </w:rPr>
      </w:pPr>
      <w:r w:rsidRPr="003365AD">
        <w:rPr>
          <w:rFonts w:cs="Arial"/>
        </w:rPr>
        <w:t>It will probably be inevitable to ask companies to provide additional explanations, e.g. internal documentation.</w:t>
      </w:r>
    </w:p>
    <w:permEnd w:id="790175202"/>
    <w:p w14:paraId="140C09C0" w14:textId="7CA519A5"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4DF75893" w14:textId="77777777" w:rsidR="00490B7E" w:rsidRDefault="00490B7E" w:rsidP="003E573C">
      <w:pPr>
        <w:rPr>
          <w:rFonts w:cs="Arial"/>
        </w:rPr>
      </w:pPr>
      <w:permStart w:id="800330460" w:edGrp="everyone"/>
      <w:r w:rsidRPr="00490B7E">
        <w:rPr>
          <w:rFonts w:cs="Arial"/>
        </w:rPr>
        <w:t>Yes. However, it is possible that this will affect the length of business processes in companies. Does this apply to the company's overall offer or also to individual offers?</w:t>
      </w:r>
    </w:p>
    <w:permEnd w:id="800330460"/>
    <w:p w14:paraId="7F118029" w14:textId="06AA4A77"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0B67B5A1" w14:textId="77777777" w:rsidR="003F4229" w:rsidRDefault="003F4229" w:rsidP="003E573C">
      <w:pPr>
        <w:rPr>
          <w:rFonts w:cs="Arial"/>
        </w:rPr>
      </w:pPr>
      <w:permStart w:id="1179406826" w:edGrp="everyone"/>
      <w:r w:rsidRPr="003F4229">
        <w:rPr>
          <w:rFonts w:cs="Arial"/>
        </w:rPr>
        <w:t>They should be clear and easy to understand to consumer and private, non-institutional investor and have references to predefined ESG benchmarks.</w:t>
      </w:r>
    </w:p>
    <w:permEnd w:id="1179406826"/>
    <w:p w14:paraId="39C16C25" w14:textId="2CFD45B3"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lastRenderedPageBreak/>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44C27903" w14:textId="77777777" w:rsidR="003959E6" w:rsidRDefault="003959E6" w:rsidP="003E573C">
      <w:permStart w:id="669663577" w:edGrp="everyone"/>
      <w:r w:rsidRPr="003959E6">
        <w:t>We agree with always disclosing exposure to solid fossil-fuel sectors. Within other sectors, we proposed: weapons sector - in terms of human rights issues. Nuclear energy should be treated with caution as for now it is probably the only real alternative for a stable supply of energy. At the same time, we should ensure that green energy will be also always disclosure.</w:t>
      </w:r>
    </w:p>
    <w:permEnd w:id="669663577"/>
    <w:p w14:paraId="4B36BA28" w14:textId="3D4615E3"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lastRenderedPageBreak/>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0AEC92C8" w14:textId="77777777" w:rsidR="002A2646" w:rsidRDefault="002A2646" w:rsidP="003E573C">
      <w:pPr>
        <w:rPr>
          <w:rFonts w:cs="Arial"/>
        </w:rPr>
      </w:pPr>
      <w:permStart w:id="2245015" w:edGrp="everyone"/>
      <w:r w:rsidRPr="002A2646">
        <w:rPr>
          <w:rFonts w:cs="Arial"/>
        </w:rPr>
        <w:t>Governance should be regulated at least together with disclosure. The order of regulations is opaque.</w:t>
      </w:r>
    </w:p>
    <w:permEnd w:id="2245015"/>
    <w:p w14:paraId="3E1B08DB" w14:textId="3D1287B2"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4D0281F8" w14:textId="77777777" w:rsidR="00E2192A" w:rsidRDefault="00CC2948" w:rsidP="003E573C">
      <w:pPr>
        <w:rPr>
          <w:rFonts w:cs="Arial"/>
        </w:rPr>
      </w:pPr>
      <w:permStart w:id="1182486711" w:edGrp="everyone"/>
      <w:r>
        <w:rPr>
          <w:rFonts w:cs="Arial"/>
        </w:rPr>
        <w:t xml:space="preserve"> </w:t>
      </w:r>
      <w:r w:rsidR="00E2192A" w:rsidRPr="00E2192A">
        <w:rPr>
          <w:rFonts w:cs="Arial"/>
        </w:rPr>
        <w:t>Financial product, according to the regulation should be "fair" and its information not misleading. We think that the first step in this area should be the ESA's guideline. Regarding different strategies, it is always good to confront them with external benchmarks.</w:t>
      </w:r>
    </w:p>
    <w:permEnd w:id="1182486711"/>
    <w:p w14:paraId="5F95ABFF" w14:textId="4957EBEB"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0E7459D9" w:rsidR="003E573C" w:rsidRDefault="00CC2948" w:rsidP="003E573C">
      <w:pPr>
        <w:rPr>
          <w:rFonts w:cs="Arial"/>
        </w:rPr>
      </w:pPr>
      <w:permStart w:id="1634935588" w:edGrp="everyone"/>
      <w:r>
        <w:rPr>
          <w:rFonts w:cs="Arial"/>
        </w:rPr>
        <w:t xml:space="preserve"> </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2"/>
        </w:numPr>
      </w:pPr>
      <w:r>
        <w:lastRenderedPageBreak/>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2"/>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2"/>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2"/>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50F52379" w:rsidR="003E573C" w:rsidRPr="00222B28" w:rsidRDefault="00222B28" w:rsidP="00222B28">
      <w:pPr>
        <w:rPr>
          <w:rFonts w:cs="Arial"/>
        </w:rPr>
      </w:pPr>
      <w:permStart w:id="374105505" w:edGrp="everyone"/>
      <w:r w:rsidRPr="00222B28">
        <w:rPr>
          <w:rFonts w:cs="Arial"/>
        </w:rPr>
        <w:t>a)</w:t>
      </w:r>
      <w:r>
        <w:rPr>
          <w:rFonts w:cs="Arial"/>
        </w:rPr>
        <w:t xml:space="preserve"> </w:t>
      </w:r>
      <w:r w:rsidR="00711F8B" w:rsidRPr="00222B28">
        <w:rPr>
          <w:rFonts w:cs="Arial"/>
        </w:rPr>
        <w:t>website (too general for pre-con</w:t>
      </w:r>
      <w:r w:rsidR="000B4F24">
        <w:rPr>
          <w:rFonts w:cs="Arial"/>
        </w:rPr>
        <w:t>t</w:t>
      </w:r>
      <w:r w:rsidR="00711F8B" w:rsidRPr="00222B28">
        <w:rPr>
          <w:rFonts w:cs="Arial"/>
        </w:rPr>
        <w:t>ractual) b)pre-contractual – detailed c)website – detailed information but needed for general public d) pre-contractual - detailed</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76E5" w14:textId="77777777" w:rsidR="00C52FCE" w:rsidRDefault="00C52FCE">
      <w:r>
        <w:separator/>
      </w:r>
    </w:p>
    <w:p w14:paraId="28D82521" w14:textId="77777777" w:rsidR="00C52FCE" w:rsidRDefault="00C52FCE"/>
  </w:endnote>
  <w:endnote w:type="continuationSeparator" w:id="0">
    <w:p w14:paraId="544168E5" w14:textId="77777777" w:rsidR="00C52FCE" w:rsidRDefault="00C52FCE">
      <w:r>
        <w:continuationSeparator/>
      </w:r>
    </w:p>
    <w:p w14:paraId="6C61F893" w14:textId="77777777" w:rsidR="00C52FCE" w:rsidRDefault="00C52FCE"/>
  </w:endnote>
  <w:endnote w:type="continuationNotice" w:id="1">
    <w:p w14:paraId="1A7BE211" w14:textId="77777777" w:rsidR="00C52FCE" w:rsidRDefault="00C52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90894">
            <w:rPr>
              <w:rFonts w:cs="Arial"/>
              <w:noProof/>
              <w:sz w:val="22"/>
              <w:szCs w:val="22"/>
            </w:rPr>
            <w:t>7</w:t>
          </w:r>
          <w:r w:rsidRPr="00616B9B">
            <w:rPr>
              <w:rFonts w:cs="Arial"/>
              <w:noProof/>
              <w:sz w:val="22"/>
              <w:szCs w:val="22"/>
            </w:rPr>
            <w:fldChar w:fldCharType="end"/>
          </w:r>
        </w:p>
      </w:tc>
    </w:tr>
  </w:tbl>
  <w:p w14:paraId="6A3CB0F0" w14:textId="77777777" w:rsidR="00811EDA" w:rsidRDefault="00811ED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164C4" w14:textId="77777777" w:rsidR="00C52FCE" w:rsidRDefault="00C52FCE">
      <w:r>
        <w:separator/>
      </w:r>
    </w:p>
    <w:p w14:paraId="1B537A76" w14:textId="77777777" w:rsidR="00C52FCE" w:rsidRDefault="00C52FCE"/>
  </w:footnote>
  <w:footnote w:type="continuationSeparator" w:id="0">
    <w:p w14:paraId="178DD4A1" w14:textId="77777777" w:rsidR="00C52FCE" w:rsidRDefault="00C52FCE">
      <w:r>
        <w:continuationSeparator/>
      </w:r>
    </w:p>
    <w:p w14:paraId="3722E29B" w14:textId="77777777" w:rsidR="00C52FCE" w:rsidRDefault="00C52FCE"/>
  </w:footnote>
  <w:footnote w:type="continuationNotice" w:id="1">
    <w:p w14:paraId="78F93547" w14:textId="77777777" w:rsidR="00C52FCE" w:rsidRDefault="00C52FCE"/>
  </w:footnote>
  <w:footnote w:id="2">
    <w:p w14:paraId="52F26208" w14:textId="77777777" w:rsidR="00197794" w:rsidRDefault="00197794" w:rsidP="00197794">
      <w:pPr>
        <w:pStyle w:val="Tekstprzypisudolnego"/>
      </w:pPr>
      <w:r>
        <w:rPr>
          <w:rStyle w:val="Odwoanieprzypisudolnego"/>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Nagwek"/>
    </w:pPr>
    <w:r>
      <w:rPr>
        <w:noProof/>
        <w:lang w:val="pl-PL" w:eastAsia="pl-PL"/>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val="pl-PL" w:eastAsia="pl-PL"/>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3B11FA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Nagwek"/>
      <w:jc w:val="right"/>
    </w:pPr>
    <w:r>
      <w:rPr>
        <w:noProof/>
        <w:lang w:val="pl-PL" w:eastAsia="pl-PL"/>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val="pl-PL" w:eastAsia="pl-PL"/>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Nagwek"/>
      <w:rPr>
        <w:lang w:val="fr-FR"/>
      </w:rPr>
    </w:pPr>
  </w:p>
  <w:p w14:paraId="6A3CB0F8" w14:textId="77777777" w:rsidR="00811EDA" w:rsidRPr="002F4496" w:rsidRDefault="00811EDA" w:rsidP="000C06C9">
    <w:pPr>
      <w:pStyle w:val="Nagwek"/>
      <w:tabs>
        <w:tab w:val="clear" w:pos="4536"/>
        <w:tab w:val="clear" w:pos="9072"/>
        <w:tab w:val="left" w:pos="8227"/>
      </w:tabs>
      <w:rPr>
        <w:lang w:val="fr-FR"/>
      </w:rPr>
    </w:pPr>
  </w:p>
  <w:p w14:paraId="6A3CB0F9" w14:textId="77777777" w:rsidR="00811EDA" w:rsidRPr="002F4496" w:rsidRDefault="00811EDA" w:rsidP="000C06C9">
    <w:pPr>
      <w:pStyle w:val="Nagwek"/>
      <w:tabs>
        <w:tab w:val="clear" w:pos="4536"/>
        <w:tab w:val="clear" w:pos="9072"/>
        <w:tab w:val="left" w:pos="8227"/>
      </w:tabs>
      <w:rPr>
        <w:lang w:val="fr-FR"/>
      </w:rPr>
    </w:pPr>
  </w:p>
  <w:p w14:paraId="6A3CB0FA" w14:textId="77777777" w:rsidR="00811EDA" w:rsidRPr="002F4496" w:rsidRDefault="00811EDA">
    <w:pPr>
      <w:pStyle w:val="Nagwek"/>
      <w:rPr>
        <w:lang w:val="fr-FR"/>
      </w:rPr>
    </w:pPr>
  </w:p>
  <w:p w14:paraId="6A3CB0FB" w14:textId="77777777" w:rsidR="00811EDA" w:rsidRPr="002F4496" w:rsidRDefault="00811EDA">
    <w:pPr>
      <w:pStyle w:val="Nagwek"/>
      <w:rPr>
        <w:lang w:val="fr-FR"/>
      </w:rPr>
    </w:pPr>
  </w:p>
  <w:p w14:paraId="6A3CB0FC" w14:textId="77777777" w:rsidR="00811EDA" w:rsidRPr="002F4496" w:rsidRDefault="00811EDA">
    <w:pPr>
      <w:pStyle w:val="Nagwek"/>
      <w:rPr>
        <w:lang w:val="fr-FR"/>
      </w:rPr>
    </w:pPr>
  </w:p>
  <w:p w14:paraId="6A3CB0FD" w14:textId="77777777" w:rsidR="00811EDA" w:rsidRPr="002F4496" w:rsidRDefault="00811EDA">
    <w:pPr>
      <w:pStyle w:val="Nagwek"/>
      <w:rPr>
        <w:lang w:val="fr-FR"/>
      </w:rPr>
    </w:pPr>
  </w:p>
  <w:p w14:paraId="6A3CB0FE" w14:textId="77777777" w:rsidR="00811EDA" w:rsidRPr="002F4496" w:rsidRDefault="00811EDA">
    <w:pPr>
      <w:pStyle w:val="Nagwek"/>
      <w:rPr>
        <w:highlight w:val="yellow"/>
        <w:lang w:val="fr-FR"/>
      </w:rPr>
    </w:pPr>
  </w:p>
  <w:p w14:paraId="6A3CB0FF" w14:textId="05D5FF53" w:rsidR="00811EDA" w:rsidRDefault="00DE66EB">
    <w:pPr>
      <w:pStyle w:val="Nagwek"/>
    </w:pPr>
    <w:r>
      <w:rPr>
        <w:noProof/>
        <w:lang w:val="pl-PL" w:eastAsia="pl-PL"/>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96E651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val="pl-PL" w:eastAsia="pl-PL"/>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1D6D4A"/>
    <w:multiLevelType w:val="multilevel"/>
    <w:tmpl w:val="16D8C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9"/>
  </w:num>
  <w:num w:numId="21">
    <w:abstractNumId w:val="39"/>
  </w:num>
  <w:num w:numId="22">
    <w:abstractNumId w:val="27"/>
  </w:num>
  <w:num w:numId="23">
    <w:abstractNumId w:val="8"/>
  </w:num>
  <w:num w:numId="24">
    <w:abstractNumId w:val="32"/>
  </w:num>
  <w:num w:numId="25">
    <w:abstractNumId w:val="31"/>
  </w:num>
  <w:num w:numId="26">
    <w:abstractNumId w:val="20"/>
  </w:num>
  <w:num w:numId="27">
    <w:abstractNumId w:val="35"/>
  </w:num>
  <w:num w:numId="28">
    <w:abstractNumId w:val="41"/>
  </w:num>
  <w:num w:numId="29">
    <w:abstractNumId w:val="6"/>
  </w:num>
  <w:num w:numId="30">
    <w:abstractNumId w:val="2"/>
  </w:num>
  <w:num w:numId="31">
    <w:abstractNumId w:val="23"/>
  </w:num>
  <w:num w:numId="32">
    <w:abstractNumId w:val="21"/>
  </w:num>
  <w:num w:numId="33">
    <w:abstractNumId w:val="38"/>
  </w:num>
  <w:num w:numId="34">
    <w:abstractNumId w:val="37"/>
  </w:num>
  <w:num w:numId="35">
    <w:abstractNumId w:val="10"/>
  </w:num>
  <w:num w:numId="36">
    <w:abstractNumId w:val="11"/>
  </w:num>
  <w:num w:numId="37">
    <w:abstractNumId w:val="13"/>
  </w:num>
  <w:num w:numId="38">
    <w:abstractNumId w:val="26"/>
  </w:num>
  <w:num w:numId="39">
    <w:abstractNumId w:val="22"/>
  </w:num>
  <w:num w:numId="40">
    <w:abstractNumId w:val="36"/>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70"/>
    <w:rsid w:val="000006AD"/>
    <w:rsid w:val="00000976"/>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47EC"/>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4F24"/>
    <w:rsid w:val="000B55C0"/>
    <w:rsid w:val="000B5DF2"/>
    <w:rsid w:val="000C06C9"/>
    <w:rsid w:val="000C1DCC"/>
    <w:rsid w:val="000C1FBC"/>
    <w:rsid w:val="000C2B6A"/>
    <w:rsid w:val="000C2F88"/>
    <w:rsid w:val="000C3593"/>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2E72"/>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002"/>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2B87"/>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9D4"/>
    <w:rsid w:val="00204CBC"/>
    <w:rsid w:val="002051F1"/>
    <w:rsid w:val="002067BA"/>
    <w:rsid w:val="0021058D"/>
    <w:rsid w:val="00210E59"/>
    <w:rsid w:val="00211E2F"/>
    <w:rsid w:val="00211E9E"/>
    <w:rsid w:val="00214FB4"/>
    <w:rsid w:val="00215940"/>
    <w:rsid w:val="00217C23"/>
    <w:rsid w:val="00220561"/>
    <w:rsid w:val="00220CE4"/>
    <w:rsid w:val="0022246C"/>
    <w:rsid w:val="00222B28"/>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33"/>
    <w:rsid w:val="002A0C82"/>
    <w:rsid w:val="002A0CD8"/>
    <w:rsid w:val="002A13EB"/>
    <w:rsid w:val="002A2646"/>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5EF3"/>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5AD"/>
    <w:rsid w:val="00336B56"/>
    <w:rsid w:val="00337A3F"/>
    <w:rsid w:val="00341B25"/>
    <w:rsid w:val="00341EC0"/>
    <w:rsid w:val="0034240C"/>
    <w:rsid w:val="00344496"/>
    <w:rsid w:val="003458D9"/>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0AAC"/>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39FC"/>
    <w:rsid w:val="00394CE6"/>
    <w:rsid w:val="003959E6"/>
    <w:rsid w:val="00395E7B"/>
    <w:rsid w:val="00395F4C"/>
    <w:rsid w:val="003A580F"/>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58A7"/>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4229"/>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6317"/>
    <w:rsid w:val="00447FBE"/>
    <w:rsid w:val="0045035E"/>
    <w:rsid w:val="0045175A"/>
    <w:rsid w:val="00451ED9"/>
    <w:rsid w:val="00452180"/>
    <w:rsid w:val="00453072"/>
    <w:rsid w:val="004539F8"/>
    <w:rsid w:val="00453F26"/>
    <w:rsid w:val="0045503F"/>
    <w:rsid w:val="00455273"/>
    <w:rsid w:val="00460329"/>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0872"/>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0B7E"/>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1E4"/>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1801"/>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E3C"/>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167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F8B"/>
    <w:rsid w:val="00712580"/>
    <w:rsid w:val="00712E05"/>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1828"/>
    <w:rsid w:val="007824C8"/>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B73"/>
    <w:rsid w:val="007D21D5"/>
    <w:rsid w:val="007D3E8D"/>
    <w:rsid w:val="007D5519"/>
    <w:rsid w:val="007D5915"/>
    <w:rsid w:val="007D5B4F"/>
    <w:rsid w:val="007D5C30"/>
    <w:rsid w:val="007E0660"/>
    <w:rsid w:val="007E12E1"/>
    <w:rsid w:val="007E1411"/>
    <w:rsid w:val="007E1882"/>
    <w:rsid w:val="007E1BB4"/>
    <w:rsid w:val="007E3514"/>
    <w:rsid w:val="007E4AAA"/>
    <w:rsid w:val="007E4BD2"/>
    <w:rsid w:val="007E4C29"/>
    <w:rsid w:val="007E4CA8"/>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AA2"/>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474E"/>
    <w:rsid w:val="00880224"/>
    <w:rsid w:val="008816BC"/>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1E1"/>
    <w:rsid w:val="008A2585"/>
    <w:rsid w:val="008A2718"/>
    <w:rsid w:val="008A4CF6"/>
    <w:rsid w:val="008A4E42"/>
    <w:rsid w:val="008A51AA"/>
    <w:rsid w:val="008A6A12"/>
    <w:rsid w:val="008B0DC6"/>
    <w:rsid w:val="008B2B9E"/>
    <w:rsid w:val="008B31F5"/>
    <w:rsid w:val="008B4C79"/>
    <w:rsid w:val="008B5D2D"/>
    <w:rsid w:val="008B6361"/>
    <w:rsid w:val="008B6C69"/>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1A"/>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27FD"/>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4154"/>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1F1"/>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505"/>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50A"/>
    <w:rsid w:val="00B03CE2"/>
    <w:rsid w:val="00B059A9"/>
    <w:rsid w:val="00B063CF"/>
    <w:rsid w:val="00B06544"/>
    <w:rsid w:val="00B06B89"/>
    <w:rsid w:val="00B06E08"/>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A5F"/>
    <w:rsid w:val="00B24B42"/>
    <w:rsid w:val="00B24DC6"/>
    <w:rsid w:val="00B24E30"/>
    <w:rsid w:val="00B258F3"/>
    <w:rsid w:val="00B25C97"/>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37FB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394"/>
    <w:rsid w:val="00B93CDA"/>
    <w:rsid w:val="00B942E9"/>
    <w:rsid w:val="00B9433A"/>
    <w:rsid w:val="00B948EE"/>
    <w:rsid w:val="00B94BF3"/>
    <w:rsid w:val="00B94F90"/>
    <w:rsid w:val="00B95DC5"/>
    <w:rsid w:val="00B97E34"/>
    <w:rsid w:val="00B97FEF"/>
    <w:rsid w:val="00BA1354"/>
    <w:rsid w:val="00BA24F8"/>
    <w:rsid w:val="00BA31AA"/>
    <w:rsid w:val="00BA45D8"/>
    <w:rsid w:val="00BA530B"/>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2FCE"/>
    <w:rsid w:val="00C5355E"/>
    <w:rsid w:val="00C535E2"/>
    <w:rsid w:val="00C539FF"/>
    <w:rsid w:val="00C53FC1"/>
    <w:rsid w:val="00C56438"/>
    <w:rsid w:val="00C570B3"/>
    <w:rsid w:val="00C6009F"/>
    <w:rsid w:val="00C60417"/>
    <w:rsid w:val="00C6046F"/>
    <w:rsid w:val="00C638C2"/>
    <w:rsid w:val="00C651D4"/>
    <w:rsid w:val="00C6669E"/>
    <w:rsid w:val="00C672B0"/>
    <w:rsid w:val="00C6796A"/>
    <w:rsid w:val="00C729C7"/>
    <w:rsid w:val="00C761FA"/>
    <w:rsid w:val="00C777AD"/>
    <w:rsid w:val="00C80C53"/>
    <w:rsid w:val="00C81195"/>
    <w:rsid w:val="00C84BF1"/>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2948"/>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66F"/>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834"/>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21B2"/>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ED"/>
    <w:rsid w:val="00E063F8"/>
    <w:rsid w:val="00E079AF"/>
    <w:rsid w:val="00E114D6"/>
    <w:rsid w:val="00E1166E"/>
    <w:rsid w:val="00E11DBD"/>
    <w:rsid w:val="00E13211"/>
    <w:rsid w:val="00E16FB5"/>
    <w:rsid w:val="00E179D6"/>
    <w:rsid w:val="00E21407"/>
    <w:rsid w:val="00E2192A"/>
    <w:rsid w:val="00E22668"/>
    <w:rsid w:val="00E227D3"/>
    <w:rsid w:val="00E22BFF"/>
    <w:rsid w:val="00E22CB0"/>
    <w:rsid w:val="00E23798"/>
    <w:rsid w:val="00E2585D"/>
    <w:rsid w:val="00E25DBD"/>
    <w:rsid w:val="00E25FA2"/>
    <w:rsid w:val="00E2723D"/>
    <w:rsid w:val="00E27C77"/>
    <w:rsid w:val="00E3179E"/>
    <w:rsid w:val="00E32AC9"/>
    <w:rsid w:val="00E34A2D"/>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47755"/>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89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61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791"/>
    <w:rsid w:val="00F24E6F"/>
    <w:rsid w:val="00F26069"/>
    <w:rsid w:val="00F26B7E"/>
    <w:rsid w:val="00F27D7D"/>
    <w:rsid w:val="00F3002B"/>
    <w:rsid w:val="00F30BC9"/>
    <w:rsid w:val="00F31E57"/>
    <w:rsid w:val="00F32462"/>
    <w:rsid w:val="00F3269A"/>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07"/>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15:docId w15:val="{FD743374-4823-411E-A837-EFE3CA0E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F0769"/>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uiPriority w:val="99"/>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uiPriority w:val="99"/>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uiPriority w:val="99"/>
    <w:rsid w:val="002D6E1A"/>
    <w:rPr>
      <w:rFonts w:ascii="Georgia" w:hAnsi="Georgia"/>
      <w:sz w:val="22"/>
      <w:szCs w:val="24"/>
      <w:lang w:eastAsia="de-DE"/>
    </w:rPr>
  </w:style>
  <w:style w:type="character" w:customStyle="1" w:styleId="StopkaZnak">
    <w:name w:val="Stopka Znak"/>
    <w:link w:val="Stopka"/>
    <w:uiPriority w:val="99"/>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ny"/>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omylnaczcionkaakapitu"/>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ny"/>
    <w:next w:val="Normalny"/>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omylnaczcionkaakapitu"/>
    <w:link w:val="Questionstyle"/>
    <w:rsid w:val="008701E5"/>
    <w:rPr>
      <w:rFonts w:asciiTheme="minorHAnsi" w:eastAsiaTheme="minorEastAsia" w:hAnsiTheme="minorHAnsi" w:cstheme="minorBidi"/>
      <w:b/>
      <w:sz w:val="22"/>
      <w:lang w:eastAsia="en-US"/>
    </w:rPr>
  </w:style>
  <w:style w:type="paragraph" w:styleId="Podtytu">
    <w:name w:val="Subtitle"/>
    <w:basedOn w:val="Normalny"/>
    <w:next w:val="Normalny"/>
    <w:link w:val="PodtytuZnak"/>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PodtytuZnak">
    <w:name w:val="Podtytuł Znak"/>
    <w:basedOn w:val="Domylnaczcionkaakapitu"/>
    <w:link w:val="Podtytu"/>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Akapitzlist"/>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omylnaczcionkaakapitu"/>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omylnaczcionkaakapitu"/>
    <w:link w:val="myNormal0"/>
    <w:locked/>
    <w:rsid w:val="00AF38AF"/>
    <w:rPr>
      <w:rFonts w:ascii="Georgia" w:hAnsi="Georgia"/>
      <w:lang w:eastAsia="de-DE"/>
    </w:rPr>
  </w:style>
  <w:style w:type="paragraph" w:customStyle="1" w:styleId="myNormal0">
    <w:name w:val="myNormal"/>
    <w:basedOn w:val="Normalny"/>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Akapitzlist"/>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ny"/>
    <w:link w:val="Odwoanieprzypisudolnego"/>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78286561">
      <w:bodyDiv w:val="1"/>
      <w:marLeft w:val="0"/>
      <w:marRight w:val="0"/>
      <w:marTop w:val="0"/>
      <w:marBottom w:val="0"/>
      <w:divBdr>
        <w:top w:val="none" w:sz="0" w:space="0" w:color="auto"/>
        <w:left w:val="none" w:sz="0" w:space="0" w:color="auto"/>
        <w:bottom w:val="none" w:sz="0" w:space="0" w:color="auto"/>
        <w:right w:val="none" w:sz="0" w:space="0" w:color="auto"/>
      </w:divBdr>
      <w:divsChild>
        <w:div w:id="731151599">
          <w:marLeft w:val="0"/>
          <w:marRight w:val="0"/>
          <w:marTop w:val="0"/>
          <w:marBottom w:val="0"/>
          <w:divBdr>
            <w:top w:val="none" w:sz="0" w:space="0" w:color="auto"/>
            <w:left w:val="none" w:sz="0" w:space="0" w:color="auto"/>
            <w:bottom w:val="none" w:sz="0" w:space="0" w:color="auto"/>
            <w:right w:val="none" w:sz="0" w:space="0" w:color="auto"/>
          </w:divBdr>
          <w:divsChild>
            <w:div w:id="1793941265">
              <w:marLeft w:val="0"/>
              <w:marRight w:val="0"/>
              <w:marTop w:val="0"/>
              <w:marBottom w:val="0"/>
              <w:divBdr>
                <w:top w:val="none" w:sz="0" w:space="0" w:color="auto"/>
                <w:left w:val="none" w:sz="0" w:space="0" w:color="auto"/>
                <w:bottom w:val="none" w:sz="0" w:space="0" w:color="auto"/>
                <w:right w:val="none" w:sz="0" w:space="0" w:color="auto"/>
              </w:divBdr>
              <w:divsChild>
                <w:div w:id="1382826805">
                  <w:marLeft w:val="0"/>
                  <w:marRight w:val="0"/>
                  <w:marTop w:val="0"/>
                  <w:marBottom w:val="0"/>
                  <w:divBdr>
                    <w:top w:val="none" w:sz="0" w:space="0" w:color="auto"/>
                    <w:left w:val="none" w:sz="0" w:space="0" w:color="auto"/>
                    <w:bottom w:val="none" w:sz="0" w:space="0" w:color="auto"/>
                    <w:right w:val="none" w:sz="0" w:space="0" w:color="auto"/>
                  </w:divBdr>
                  <w:divsChild>
                    <w:div w:id="2041473751">
                      <w:marLeft w:val="0"/>
                      <w:marRight w:val="0"/>
                      <w:marTop w:val="0"/>
                      <w:marBottom w:val="0"/>
                      <w:divBdr>
                        <w:top w:val="none" w:sz="0" w:space="0" w:color="auto"/>
                        <w:left w:val="none" w:sz="0" w:space="0" w:color="auto"/>
                        <w:bottom w:val="none" w:sz="0" w:space="0" w:color="auto"/>
                        <w:right w:val="none" w:sz="0" w:space="0" w:color="auto"/>
                      </w:divBdr>
                      <w:divsChild>
                        <w:div w:id="1554847078">
                          <w:marLeft w:val="0"/>
                          <w:marRight w:val="0"/>
                          <w:marTop w:val="0"/>
                          <w:marBottom w:val="0"/>
                          <w:divBdr>
                            <w:top w:val="none" w:sz="0" w:space="0" w:color="auto"/>
                            <w:left w:val="none" w:sz="0" w:space="0" w:color="auto"/>
                            <w:bottom w:val="none" w:sz="0" w:space="0" w:color="auto"/>
                            <w:right w:val="none" w:sz="0" w:space="0" w:color="auto"/>
                          </w:divBdr>
                          <w:divsChild>
                            <w:div w:id="1348874623">
                              <w:marLeft w:val="0"/>
                              <w:marRight w:val="300"/>
                              <w:marTop w:val="180"/>
                              <w:marBottom w:val="0"/>
                              <w:divBdr>
                                <w:top w:val="none" w:sz="0" w:space="0" w:color="auto"/>
                                <w:left w:val="none" w:sz="0" w:space="0" w:color="auto"/>
                                <w:bottom w:val="none" w:sz="0" w:space="0" w:color="auto"/>
                                <w:right w:val="none" w:sz="0" w:space="0" w:color="auto"/>
                              </w:divBdr>
                              <w:divsChild>
                                <w:div w:id="14081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15419">
          <w:marLeft w:val="0"/>
          <w:marRight w:val="0"/>
          <w:marTop w:val="0"/>
          <w:marBottom w:val="0"/>
          <w:divBdr>
            <w:top w:val="none" w:sz="0" w:space="0" w:color="auto"/>
            <w:left w:val="none" w:sz="0" w:space="0" w:color="auto"/>
            <w:bottom w:val="none" w:sz="0" w:space="0" w:color="auto"/>
            <w:right w:val="none" w:sz="0" w:space="0" w:color="auto"/>
          </w:divBdr>
          <w:divsChild>
            <w:div w:id="2126775018">
              <w:marLeft w:val="0"/>
              <w:marRight w:val="0"/>
              <w:marTop w:val="0"/>
              <w:marBottom w:val="0"/>
              <w:divBdr>
                <w:top w:val="none" w:sz="0" w:space="0" w:color="auto"/>
                <w:left w:val="none" w:sz="0" w:space="0" w:color="auto"/>
                <w:bottom w:val="none" w:sz="0" w:space="0" w:color="auto"/>
                <w:right w:val="none" w:sz="0" w:space="0" w:color="auto"/>
              </w:divBdr>
              <w:divsChild>
                <w:div w:id="1900630485">
                  <w:marLeft w:val="0"/>
                  <w:marRight w:val="0"/>
                  <w:marTop w:val="0"/>
                  <w:marBottom w:val="0"/>
                  <w:divBdr>
                    <w:top w:val="none" w:sz="0" w:space="0" w:color="auto"/>
                    <w:left w:val="none" w:sz="0" w:space="0" w:color="auto"/>
                    <w:bottom w:val="none" w:sz="0" w:space="0" w:color="auto"/>
                    <w:right w:val="none" w:sz="0" w:space="0" w:color="auto"/>
                  </w:divBdr>
                  <w:divsChild>
                    <w:div w:id="1426655839">
                      <w:marLeft w:val="0"/>
                      <w:marRight w:val="0"/>
                      <w:marTop w:val="0"/>
                      <w:marBottom w:val="0"/>
                      <w:divBdr>
                        <w:top w:val="none" w:sz="0" w:space="0" w:color="auto"/>
                        <w:left w:val="none" w:sz="0" w:space="0" w:color="auto"/>
                        <w:bottom w:val="none" w:sz="0" w:space="0" w:color="auto"/>
                        <w:right w:val="none" w:sz="0" w:space="0" w:color="auto"/>
                      </w:divBdr>
                      <w:divsChild>
                        <w:div w:id="3259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nvited_Students xmlns="1106acd9-71b3-40f5-815f-c7023e74644e" xsi:nil="true"/>
    <CultureName xmlns="1106acd9-71b3-40f5-815f-c7023e74644e" xsi:nil="true"/>
    <Owner xmlns="1106acd9-71b3-40f5-815f-c7023e74644e">
      <UserInfo>
        <DisplayName/>
        <AccountId xsi:nil="true"/>
        <AccountType/>
      </UserInfo>
    </Owner>
    <Students xmlns="1106acd9-71b3-40f5-815f-c7023e74644e">
      <UserInfo>
        <DisplayName/>
        <AccountId xsi:nil="true"/>
        <AccountType/>
      </UserInfo>
    </Students>
    <Has_Teacher_Only_SectionGroup xmlns="1106acd9-71b3-40f5-815f-c7023e74644e" xsi:nil="true"/>
    <AppVersion xmlns="1106acd9-71b3-40f5-815f-c7023e74644e" xsi:nil="true"/>
    <LMS_Mappings xmlns="1106acd9-71b3-40f5-815f-c7023e74644e" xsi:nil="true"/>
    <Invited_Teachers xmlns="1106acd9-71b3-40f5-815f-c7023e74644e" xsi:nil="true"/>
    <Teachers xmlns="1106acd9-71b3-40f5-815f-c7023e74644e">
      <UserInfo>
        <DisplayName/>
        <AccountId xsi:nil="true"/>
        <AccountType/>
      </UserInfo>
    </Teachers>
    <Math_Settings xmlns="1106acd9-71b3-40f5-815f-c7023e74644e" xsi:nil="true"/>
    <Templates xmlns="1106acd9-71b3-40f5-815f-c7023e74644e" xsi:nil="true"/>
    <DefaultSectionNames xmlns="1106acd9-71b3-40f5-815f-c7023e74644e" xsi:nil="true"/>
    <Is_Collaboration_Space_Locked xmlns="1106acd9-71b3-40f5-815f-c7023e74644e" xsi:nil="true"/>
    <_ip_UnifiedCompliancePolicyProperties xmlns="http://schemas.microsoft.com/sharepoint/v3" xsi:nil="true"/>
    <FolderType xmlns="1106acd9-71b3-40f5-815f-c7023e74644e" xsi:nil="true"/>
    <Self_Registration_Enabled xmlns="1106acd9-71b3-40f5-815f-c7023e74644e" xsi:nil="true"/>
    <TeamsChannelId xmlns="1106acd9-71b3-40f5-815f-c7023e74644e" xsi:nil="true"/>
    <IsNotebookLocked xmlns="1106acd9-71b3-40f5-815f-c7023e74644e" xsi:nil="true"/>
    <NotebookType xmlns="1106acd9-71b3-40f5-815f-c7023e74644e" xsi:nil="true"/>
    <Student_Groups xmlns="1106acd9-71b3-40f5-815f-c7023e74644e">
      <UserInfo>
        <DisplayName/>
        <AccountId xsi:nil="true"/>
        <AccountType/>
      </UserInfo>
    </Student_Groups>
    <Distribution_Groups xmlns="1106acd9-71b3-40f5-815f-c7023e7464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DADD8B459E4AF46A33D4BEA733A480E" ma:contentTypeVersion="35" ma:contentTypeDescription="Utwórz nowy dokument." ma:contentTypeScope="" ma:versionID="f096bfeed32582feb42b84f995681400">
  <xsd:schema xmlns:xsd="http://www.w3.org/2001/XMLSchema" xmlns:xs="http://www.w3.org/2001/XMLSchema" xmlns:p="http://schemas.microsoft.com/office/2006/metadata/properties" xmlns:ns1="http://schemas.microsoft.com/sharepoint/v3" xmlns:ns3="4ea5f5d4-e0af-4503-8aa8-c75c856350a1" xmlns:ns4="1106acd9-71b3-40f5-815f-c7023e74644e" targetNamespace="http://schemas.microsoft.com/office/2006/metadata/properties" ma:root="true" ma:fieldsID="4f029085b4c68d994e0430f4ed89a3d5" ns1:_="" ns3:_="" ns4:_="">
    <xsd:import namespace="http://schemas.microsoft.com/sharepoint/v3"/>
    <xsd:import namespace="4ea5f5d4-e0af-4503-8aa8-c75c856350a1"/>
    <xsd:import namespace="1106acd9-71b3-40f5-815f-c7023e74644e"/>
    <xsd:element name="properties">
      <xsd:complexType>
        <xsd:sequence>
          <xsd:element name="documentManagement">
            <xsd:complexType>
              <xsd:all>
                <xsd:element ref="ns3:SharedWithUsers"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3:SharedWithDetails" minOccurs="0"/>
                <xsd:element ref="ns3:SharingHintHash"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Właściwości ujednoliconych zasad zgodności" ma:description="" ma:hidden="true" ma:internalName="_ip_UnifiedCompliancePolicyProperties">
      <xsd:simpleType>
        <xsd:restriction base="dms:Note"/>
      </xsd:simpleType>
    </xsd:element>
    <xsd:element name="_ip_UnifiedCompliancePolicyUIAction" ma:index="12" nillable="true" ma:displayName="Akcja interfejsu użytkownika ujednoliconych zasad zgodności"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5f5d4-e0af-4503-8aa8-c75c856350a1"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description="" ma:internalName="SharedWithDetails" ma:readOnly="true">
      <xsd:simpleType>
        <xsd:restriction base="dms:Note">
          <xsd:maxLength value="255"/>
        </xsd:restriction>
      </xsd:simpleType>
    </xsd:element>
    <xsd:element name="SharingHintHash" ma:index="16" nillable="true" ma:displayName="Skrót wskazówki dotyczącej udostępniani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6acd9-71b3-40f5-815f-c7023e74644e"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sharepoint/v3"/>
    <ds:schemaRef ds:uri="4ea5f5d4-e0af-4503-8aa8-c75c856350a1"/>
    <ds:schemaRef ds:uri="http://purl.org/dc/dcmitype/"/>
    <ds:schemaRef ds:uri="http://purl.org/dc/elements/1.1/"/>
    <ds:schemaRef ds:uri="1106acd9-71b3-40f5-815f-c7023e74644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1F447CB8-87E8-46AB-9546-D26DBAA24B7C}">
  <ds:schemaRefs>
    <ds:schemaRef ds:uri="http://schemas.openxmlformats.org/officeDocument/2006/bibliography"/>
  </ds:schemaRefs>
</ds:datastoreItem>
</file>

<file path=customXml/itemProps4.xml><?xml version="1.0" encoding="utf-8"?>
<ds:datastoreItem xmlns:ds="http://schemas.openxmlformats.org/officeDocument/2006/customXml" ds:itemID="{83425675-5D14-46A1-9F6F-B7EC70303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a5f5d4-e0af-4503-8aa8-c75c856350a1"/>
    <ds:schemaRef ds:uri="1106acd9-71b3-40f5-815f-c7023e74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6E36DA-9C56-40DF-8ACB-F49EF23C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3032</Words>
  <Characters>17226</Characters>
  <Application>Microsoft Office Word</Application>
  <DocSecurity>8</DocSecurity>
  <Lines>143</Lines>
  <Paragraphs>40</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20218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Marcin Kawiński</cp:lastModifiedBy>
  <cp:revision>3</cp:revision>
  <cp:lastPrinted>2015-02-18T11:01:00Z</cp:lastPrinted>
  <dcterms:created xsi:type="dcterms:W3CDTF">2020-09-01T18:21:00Z</dcterms:created>
  <dcterms:modified xsi:type="dcterms:W3CDTF">2020-09-01T18:24:00Z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0x0101002DADD8B459E4AF46A33D4BEA733A480E</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