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399AC00" w:rsidR="00C2094B" w:rsidRPr="004E49B0" w:rsidRDefault="007E58A7" w:rsidP="00337A3F">
            <w:pPr>
              <w:pStyle w:val="00bDBInfo"/>
              <w:rPr>
                <w:rFonts w:cs="Arial"/>
              </w:rPr>
            </w:pPr>
            <w:r>
              <w:rPr>
                <w:rFonts w:cs="Arial"/>
              </w:rPr>
              <w:t>2</w:t>
            </w:r>
            <w:r w:rsidR="00D8396F">
              <w:rPr>
                <w:rFonts w:cs="Arial"/>
              </w:rPr>
              <w:t>3</w:t>
            </w:r>
            <w:r w:rsidR="00197794">
              <w:rPr>
                <w:rFonts w:cs="Arial"/>
              </w:rPr>
              <w:t xml:space="preserve"> </w:t>
            </w:r>
            <w:r w:rsidR="006920C8">
              <w:rPr>
                <w:rFonts w:cs="Arial"/>
              </w:rPr>
              <w:t>April</w:t>
            </w:r>
            <w:r w:rsidR="00197794">
              <w:rPr>
                <w:rFonts w:cs="Arial"/>
              </w:rPr>
              <w:t xml:space="preserve"> </w:t>
            </w:r>
            <w:r w:rsidR="00EF5FB9">
              <w:rPr>
                <w:rFonts w:cs="Arial"/>
              </w:rPr>
              <w:t>20</w:t>
            </w:r>
            <w:r w:rsidR="006920C8">
              <w:rPr>
                <w:rFonts w:cs="Arial"/>
              </w:rPr>
              <w:t>20</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19E9BAF1"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ning ESG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2C0EC76C"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754AC4">
              <w:rPr>
                <w:rFonts w:cs="Arial"/>
              </w:rPr>
              <w:t>2</w:t>
            </w:r>
            <w:r w:rsidR="00D8396F">
              <w:rPr>
                <w:rFonts w:cs="Arial"/>
              </w:rPr>
              <w:t>3</w:t>
            </w:r>
            <w:r w:rsidR="00754AC4">
              <w:rPr>
                <w:rFonts w:cs="Arial"/>
              </w:rPr>
              <w:t xml:space="preserve"> April</w:t>
            </w:r>
            <w:r w:rsidR="003E573C">
              <w:rPr>
                <w:rFonts w:cs="Arial"/>
              </w:rPr>
              <w:t xml:space="preserve"> </w:t>
            </w:r>
            <w:r w:rsidR="002E4F86">
              <w:rPr>
                <w:rFonts w:cs="Arial"/>
                <w:shd w:val="clear" w:color="auto" w:fill="FFFFFF" w:themeFill="background1"/>
              </w:rPr>
              <w:t>20</w:t>
            </w:r>
            <w:r w:rsidR="00754AC4">
              <w:rPr>
                <w:rFonts w:cs="Arial"/>
                <w:shd w:val="clear" w:color="auto" w:fill="FFFFFF" w:themeFill="background1"/>
              </w:rPr>
              <w:t>2</w:t>
            </w:r>
            <w:r w:rsidR="001D12A2">
              <w:rPr>
                <w:rFonts w:cs="Arial"/>
                <w:shd w:val="clear" w:color="auto" w:fill="FFFFFF" w:themeFill="background1"/>
              </w:rPr>
              <w:t>0</w:t>
            </w:r>
          </w:p>
          <w:p w14:paraId="6A3CB033" w14:textId="6ADB7399" w:rsidR="00704EED" w:rsidRPr="004E49B0" w:rsidRDefault="00704EED" w:rsidP="00337A3F">
            <w:pPr>
              <w:pStyle w:val="02Date"/>
              <w:rPr>
                <w:rFonts w:cs="Arial"/>
              </w:rPr>
            </w:pPr>
            <w:r>
              <w:rPr>
                <w:rFonts w:cs="Arial"/>
                <w:shd w:val="clear" w:color="auto" w:fill="FFFFFF" w:themeFill="background1"/>
              </w:rPr>
              <w:t>ESMA 3</w:t>
            </w:r>
            <w:r w:rsidR="00D94EB7">
              <w:rPr>
                <w:rFonts w:cs="Arial"/>
                <w:shd w:val="clear" w:color="auto" w:fill="FFFFFF" w:themeFill="background1"/>
              </w:rPr>
              <w:t>4</w:t>
            </w:r>
            <w:r>
              <w:rPr>
                <w:rFonts w:cs="Arial"/>
                <w:shd w:val="clear" w:color="auto" w:fill="FFFFFF" w:themeFill="background1"/>
              </w:rPr>
              <w:t>-</w:t>
            </w:r>
            <w:r w:rsidR="00D94EB7">
              <w:rPr>
                <w:rFonts w:cs="Arial"/>
                <w:shd w:val="clear" w:color="auto" w:fill="FFFFFF" w:themeFill="background1"/>
              </w:rPr>
              <w:t>45</w:t>
            </w:r>
            <w:r>
              <w:rPr>
                <w:rFonts w:cs="Arial"/>
                <w:shd w:val="clear" w:color="auto" w:fill="FFFFFF" w:themeFill="background1"/>
              </w:rPr>
              <w:t>-</w:t>
            </w:r>
            <w:r w:rsidR="00D94EB7">
              <w:rPr>
                <w:rFonts w:cs="Arial"/>
                <w:shd w:val="clear" w:color="auto" w:fill="FFFFFF" w:themeFill="background1"/>
              </w:rPr>
              <w:t>904</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63E41319" w:rsidR="00754AC4" w:rsidRDefault="00754AC4" w:rsidP="00754AC4">
      <w:pPr>
        <w:spacing w:after="240"/>
        <w:jc w:val="both"/>
        <w:rPr>
          <w:rStyle w:val="SubtleEmphasis"/>
          <w:b w:val="0"/>
          <w:bCs/>
          <w:sz w:val="22"/>
        </w:rPr>
      </w:pPr>
      <w:r w:rsidRPr="00754AC4">
        <w:rPr>
          <w:rStyle w:val="SubtleEmphasis"/>
          <w:b w:val="0"/>
          <w:bCs/>
          <w:sz w:val="22"/>
        </w:rPr>
        <w:t>The European Supervisory Authorities (ESAs) invite comments on all matters in this consultation paper</w:t>
      </w:r>
      <w:r>
        <w:rPr>
          <w:rStyle w:val="SubtleEmphasis"/>
          <w:b w:val="0"/>
          <w:bCs/>
          <w:sz w:val="22"/>
        </w:rPr>
        <w:t xml:space="preserve"> on ESG disclosures under Regulation (EU) 2019/2088</w:t>
      </w:r>
      <w:r w:rsidRPr="00754AC4">
        <w:rPr>
          <w:rStyle w:val="SubtleEmphasis"/>
          <w:b w:val="0"/>
          <w:bCs/>
          <w:sz w:val="22"/>
        </w:rPr>
        <w:t xml:space="preserve"> </w:t>
      </w:r>
      <w:r>
        <w:rPr>
          <w:rStyle w:val="SubtleEmphasis"/>
          <w:b w:val="0"/>
          <w:bCs/>
          <w:sz w:val="22"/>
        </w:rPr>
        <w:t xml:space="preserve">on sustainability-related </w:t>
      </w:r>
      <w:r w:rsidR="00BE7C87">
        <w:rPr>
          <w:rStyle w:val="SubtleEmphasis"/>
          <w:b w:val="0"/>
          <w:bCs/>
          <w:sz w:val="22"/>
        </w:rPr>
        <w:t>disclosures</w:t>
      </w:r>
      <w:r>
        <w:rPr>
          <w:rStyle w:val="SubtleEmphasis"/>
          <w:b w:val="0"/>
          <w:bCs/>
          <w:sz w:val="22"/>
        </w:rPr>
        <w:t xml:space="preserve"> in the financial sector (hereinafter “SFDR”) </w:t>
      </w:r>
      <w:r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19B88CA2"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w:t>
      </w:r>
      <w:r w:rsidRPr="001C240F">
        <w:rPr>
          <w:rStyle w:val="SubtleEmphasis"/>
          <w:b w:val="0"/>
          <w:sz w:val="22"/>
        </w:rPr>
        <w:t xml:space="preserve">by </w:t>
      </w:r>
      <w:r w:rsidR="00D5594A" w:rsidRPr="001C240F">
        <w:rPr>
          <w:rStyle w:val="SubtleEmphasis"/>
          <w:sz w:val="22"/>
        </w:rPr>
        <w:t>1 September</w:t>
      </w:r>
      <w:r w:rsidRPr="001C240F">
        <w:rPr>
          <w:rStyle w:val="SubtleEmphasis"/>
          <w:sz w:val="22"/>
        </w:rPr>
        <w:t xml:space="preserve">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lastRenderedPageBreak/>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3A31D4AC" w:rsidR="00B327E9" w:rsidRPr="00AB6D88" w:rsidRDefault="005234EE" w:rsidP="005234EE">
                <w:pPr>
                  <w:rPr>
                    <w:rStyle w:val="PlaceholderText"/>
                    <w:rFonts w:cs="Arial"/>
                  </w:rPr>
                </w:pPr>
                <w:r>
                  <w:rPr>
                    <w:rStyle w:val="PlaceholderText"/>
                    <w:rFonts w:cs="Arial"/>
                  </w:rPr>
                  <w:t>PIMFA</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4D8E8BF1" w:rsidR="00B327E9" w:rsidRPr="00AB6D88" w:rsidRDefault="00464A10"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234EE">
                  <w:rPr>
                    <w:rFonts w:cs="Arial"/>
                  </w:rPr>
                  <w:t>Other Financial service providers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482B10E8" w:rsidR="00B327E9" w:rsidRPr="00AB6D88" w:rsidRDefault="005234EE"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53E43D49" w:rsidR="00B327E9" w:rsidRPr="00AB6D88" w:rsidRDefault="005234EE" w:rsidP="00F136AD">
                <w:pPr>
                  <w:rPr>
                    <w:rFonts w:cs="Arial"/>
                  </w:rPr>
                </w:pPr>
                <w:r>
                  <w:rPr>
                    <w:rFonts w:cs="Arial"/>
                  </w:rPr>
                  <w:t>UK</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76ECCA59" w14:textId="77777777" w:rsidR="005234EE" w:rsidRDefault="005234EE" w:rsidP="005234EE">
      <w:pPr>
        <w:rPr>
          <w:lang w:eastAsia="en-GB"/>
        </w:rPr>
      </w:pPr>
      <w:permStart w:id="411981036" w:edGrp="everyone"/>
      <w:r>
        <w:rPr>
          <w:lang w:eastAsia="en-GB"/>
        </w:rPr>
        <w:t>Thank you for the opportunity to respond to the ESMA, EBA and EIOPA Joint Consultation Paper on ESG Disclosures arising from Article 2a, Article 4(6) and (7), Article 8(3), Article 9(5), Article 10(2) and Article 11(4) of Regulation (EU) 2019/2088.</w:t>
      </w:r>
    </w:p>
    <w:p w14:paraId="751BBF6D" w14:textId="77777777" w:rsidR="005234EE" w:rsidRDefault="005234EE" w:rsidP="005234EE">
      <w:pPr>
        <w:rPr>
          <w:lang w:eastAsia="en-GB"/>
        </w:rPr>
      </w:pPr>
    </w:p>
    <w:p w14:paraId="448BA59E" w14:textId="77777777" w:rsidR="005234EE" w:rsidRDefault="005234EE" w:rsidP="005234EE">
      <w:pPr>
        <w:rPr>
          <w:lang w:eastAsia="en-GB"/>
        </w:rPr>
      </w:pPr>
      <w:r>
        <w:rPr>
          <w:shd w:val="clear" w:color="auto" w:fill="F0F0F0"/>
        </w:rPr>
        <w:t>The Personal Investment Management and Financial Advice Association (PIMFA) is the UK’s leading trade association for firms that provide investment management and financial advice to everyone from individuals and families to charities, pension funds, trusts and companies.</w:t>
      </w:r>
    </w:p>
    <w:p w14:paraId="3C5D8354" w14:textId="77777777" w:rsidR="005234EE" w:rsidRDefault="005234EE" w:rsidP="005234EE">
      <w:pPr>
        <w:shd w:val="clear" w:color="auto" w:fill="FFFFFF"/>
        <w:rPr>
          <w:lang w:eastAsia="en-GB"/>
        </w:rPr>
      </w:pPr>
    </w:p>
    <w:p w14:paraId="6A83FAB1" w14:textId="77777777" w:rsidR="005234EE" w:rsidRDefault="005234EE" w:rsidP="005234EE">
      <w:pPr>
        <w:shd w:val="clear" w:color="auto" w:fill="FFFFFF"/>
        <w:rPr>
          <w:lang w:eastAsia="en-GB"/>
        </w:rPr>
      </w:pPr>
      <w:r>
        <w:rPr>
          <w:lang w:eastAsia="en-GB"/>
        </w:rPr>
        <w:t>We understand the scale of the challenge in moving to a sustainable economic model and replacing a product and service range with new sustainable finance centric products and service.  Our sector is very keen to engage, change and make the fullest contribution to the discussions and consultations which will achieve this.</w:t>
      </w:r>
    </w:p>
    <w:p w14:paraId="64353596" w14:textId="77777777" w:rsidR="005234EE" w:rsidRDefault="005234EE" w:rsidP="005234EE">
      <w:pPr>
        <w:shd w:val="clear" w:color="auto" w:fill="FFFFFF"/>
        <w:rPr>
          <w:lang w:eastAsia="en-GB"/>
        </w:rPr>
      </w:pPr>
    </w:p>
    <w:p w14:paraId="68559ACD" w14:textId="77777777" w:rsidR="005234EE" w:rsidRDefault="005234EE" w:rsidP="005234EE">
      <w:pPr>
        <w:shd w:val="clear" w:color="auto" w:fill="FFFFFF"/>
        <w:rPr>
          <w:lang w:eastAsia="en-GB"/>
        </w:rPr>
      </w:pPr>
      <w:r>
        <w:rPr>
          <w:lang w:eastAsia="en-GB"/>
        </w:rPr>
        <w:t>PIMFA is conscious that perhaps the current focus on environmental (E) activities could be at the cost of not appreciating the importance of developing similar approaches for social and governance (S &amp; G) issues, which in turn creates space for unintended inconsistencies in these issues.</w:t>
      </w:r>
    </w:p>
    <w:p w14:paraId="3720861C" w14:textId="77777777" w:rsidR="005234EE" w:rsidRDefault="005234EE" w:rsidP="005234EE">
      <w:pPr>
        <w:rPr>
          <w:lang w:eastAsia="en-GB"/>
        </w:rPr>
      </w:pPr>
    </w:p>
    <w:p w14:paraId="75C5BFA1" w14:textId="77777777" w:rsidR="005234EE" w:rsidRDefault="005234EE" w:rsidP="005234EE">
      <w:pPr>
        <w:rPr>
          <w:lang w:eastAsia="en-US"/>
        </w:rPr>
      </w:pPr>
      <w:r>
        <w:t xml:space="preserve">Included in our priorities in this debate would be ensuring transparency and disclosure leads to more consistency given that gathering and reporting data relating to ESG factors has become a major issue for our member firms, as they seek to plan how to integrate ESG factors into their stewardship, investment and advice processes. </w:t>
      </w:r>
    </w:p>
    <w:p w14:paraId="3E556D10" w14:textId="77777777" w:rsidR="005234EE" w:rsidRDefault="005234EE" w:rsidP="005234EE"/>
    <w:p w14:paraId="6E45D61A" w14:textId="77777777" w:rsidR="005234EE" w:rsidRDefault="005234EE" w:rsidP="005234EE">
      <w:r>
        <w:t xml:space="preserve">There is a clear business case for ESG disclosure and reporting for investors and firms as it can help investors and retail firms better understand underlying material ESG risk as well as the opportunities.  However, there is no one answer or set of data points that should populate a single framework capable of meeting the needs of all users with an interest in mapping ESG data. </w:t>
      </w:r>
    </w:p>
    <w:p w14:paraId="083394BE" w14:textId="77777777" w:rsidR="005234EE" w:rsidRDefault="005234EE" w:rsidP="005234EE"/>
    <w:p w14:paraId="3DDDE2B6" w14:textId="77777777" w:rsidR="005234EE" w:rsidRDefault="005234EE" w:rsidP="005234EE">
      <w:r>
        <w:t xml:space="preserve">The variety of firms and products within financial services sector make it innovative enough to rise to this challenge. </w:t>
      </w:r>
    </w:p>
    <w:p w14:paraId="044F47F9" w14:textId="77777777" w:rsidR="005234EE" w:rsidRDefault="005234EE" w:rsidP="005234EE"/>
    <w:p w14:paraId="7088C57D" w14:textId="77777777" w:rsidR="005234EE" w:rsidRDefault="005234EE" w:rsidP="005234EE">
      <w:r>
        <w:t xml:space="preserve">As part of the wider debate on ESG disclosures, we would be supportive of an approach that required the disclosure of standardised ESG information at a basic level that can complement more customised reporting, similar to how accounting has specific disclosure standards. </w:t>
      </w:r>
    </w:p>
    <w:p w14:paraId="4A0D48CA" w14:textId="77777777" w:rsidR="005234EE" w:rsidRDefault="005234EE" w:rsidP="005234EE"/>
    <w:p w14:paraId="7AAE5B4D" w14:textId="336E408F" w:rsidR="005234EE" w:rsidRDefault="005234EE" w:rsidP="005234EE">
      <w:pPr>
        <w:shd w:val="clear" w:color="auto" w:fill="FFFFFF"/>
        <w:rPr>
          <w:lang w:eastAsia="en-GB"/>
        </w:rPr>
      </w:pPr>
      <w:r>
        <w:rPr>
          <w:lang w:eastAsia="en-GB"/>
        </w:rPr>
        <w:t xml:space="preserve">Although there is growing empirical data to show that sustainable investing can generate positive investment returns when compared to mature alternative investment choices, it still seems likely simply repeating that fact is unlikely to make people accept it.  Our sector would support a framework that addresses any discrepancies in ESG analysis, disclosure and rating frameworks in order to facilitate the new sustainable finance pathways needed to deliver more to meeting our climate related goals and for those savings and wealth creators who understand their businesses do not operate in a </w:t>
      </w:r>
      <w:r w:rsidR="00464A10">
        <w:rPr>
          <w:lang w:eastAsia="en-GB"/>
        </w:rPr>
        <w:t>vacuum</w:t>
      </w:r>
      <w:r>
        <w:rPr>
          <w:lang w:eastAsia="en-GB"/>
        </w:rPr>
        <w:t xml:space="preserve"> set aside from environment, economical and societal consequences. </w:t>
      </w:r>
    </w:p>
    <w:p w14:paraId="0DF184B9" w14:textId="77777777" w:rsidR="005234EE" w:rsidRDefault="005234EE" w:rsidP="005234EE">
      <w:pPr>
        <w:shd w:val="clear" w:color="auto" w:fill="FFFFFF"/>
        <w:rPr>
          <w:lang w:eastAsia="en-GB"/>
        </w:rPr>
      </w:pPr>
    </w:p>
    <w:p w14:paraId="057D687B" w14:textId="77777777" w:rsidR="005234EE" w:rsidRDefault="005234EE" w:rsidP="005234EE">
      <w:pPr>
        <w:shd w:val="clear" w:color="auto" w:fill="FFFFFF"/>
        <w:rPr>
          <w:lang w:eastAsia="en-GB"/>
        </w:rPr>
      </w:pPr>
    </w:p>
    <w:p w14:paraId="371DDDCC" w14:textId="77777777" w:rsidR="005234EE" w:rsidRDefault="005234EE" w:rsidP="005234EE">
      <w:pPr>
        <w:shd w:val="clear" w:color="auto" w:fill="FFFFFF"/>
        <w:rPr>
          <w:lang w:eastAsia="en-GB"/>
        </w:rPr>
      </w:pPr>
    </w:p>
    <w:p w14:paraId="0FD2ADE9" w14:textId="77777777" w:rsidR="005234EE" w:rsidRDefault="005234EE" w:rsidP="005234EE">
      <w:pPr>
        <w:shd w:val="clear" w:color="auto" w:fill="FFFFFF"/>
        <w:rPr>
          <w:lang w:eastAsia="en-GB"/>
        </w:rPr>
      </w:pPr>
    </w:p>
    <w:p w14:paraId="20666C1C" w14:textId="77777777" w:rsidR="005234EE" w:rsidRDefault="005234EE" w:rsidP="005234EE">
      <w:pPr>
        <w:shd w:val="clear" w:color="auto" w:fill="FFFFFF"/>
        <w:rPr>
          <w:lang w:eastAsia="en-GB"/>
        </w:rPr>
      </w:pPr>
    </w:p>
    <w:p w14:paraId="144E24F3" w14:textId="77777777" w:rsidR="005234EE" w:rsidRDefault="005234EE" w:rsidP="005234EE">
      <w:pPr>
        <w:shd w:val="clear" w:color="auto" w:fill="FFFFFF"/>
        <w:rPr>
          <w:lang w:eastAsia="en-GB"/>
        </w:rPr>
      </w:pPr>
    </w:p>
    <w:p w14:paraId="14EC294A" w14:textId="77777777" w:rsidR="005234EE" w:rsidRDefault="005234EE" w:rsidP="005234EE">
      <w:pPr>
        <w:shd w:val="clear" w:color="auto" w:fill="FFFFFF"/>
        <w:rPr>
          <w:lang w:eastAsia="en-GB"/>
        </w:rPr>
      </w:pPr>
      <w:r>
        <w:rPr>
          <w:lang w:eastAsia="en-GB"/>
        </w:rPr>
        <w:t>Some of the wider conversations that still need to take place should address:</w:t>
      </w:r>
    </w:p>
    <w:p w14:paraId="42F8B966" w14:textId="77777777" w:rsidR="005234EE" w:rsidRDefault="005234EE" w:rsidP="005234EE">
      <w:pPr>
        <w:shd w:val="clear" w:color="auto" w:fill="FFFFFF"/>
        <w:rPr>
          <w:lang w:eastAsia="en-GB"/>
        </w:rPr>
      </w:pPr>
    </w:p>
    <w:p w14:paraId="5AED5CC3" w14:textId="77777777" w:rsidR="005234EE" w:rsidRDefault="005234EE" w:rsidP="00C80519">
      <w:pPr>
        <w:pStyle w:val="ListParagraph"/>
        <w:numPr>
          <w:ilvl w:val="0"/>
          <w:numId w:val="41"/>
        </w:numPr>
        <w:shd w:val="clear" w:color="auto" w:fill="FFFFFF"/>
        <w:rPr>
          <w:lang w:eastAsia="en-GB"/>
        </w:rPr>
      </w:pPr>
      <w:r>
        <w:rPr>
          <w:lang w:eastAsia="en-GB"/>
        </w:rPr>
        <w:t>The issues that arise from relying too much on information published by and/or provided directly by the firms being assessed, or by publications that forward publish corporate communications.  This is a problem to address because firms with difficult ESG issues might be more inclined to communicate selectively on those issues.</w:t>
      </w:r>
    </w:p>
    <w:p w14:paraId="5F0C9575" w14:textId="77777777" w:rsidR="005234EE" w:rsidRDefault="005234EE" w:rsidP="005234EE">
      <w:pPr>
        <w:shd w:val="clear" w:color="auto" w:fill="FFFFFF"/>
        <w:rPr>
          <w:lang w:eastAsia="en-GB"/>
        </w:rPr>
      </w:pPr>
    </w:p>
    <w:p w14:paraId="00CE8392" w14:textId="77777777" w:rsidR="005234EE" w:rsidRDefault="005234EE" w:rsidP="00C80519">
      <w:pPr>
        <w:pStyle w:val="ListParagraph"/>
        <w:numPr>
          <w:ilvl w:val="0"/>
          <w:numId w:val="41"/>
        </w:numPr>
        <w:shd w:val="clear" w:color="auto" w:fill="FFFFFF"/>
        <w:rPr>
          <w:lang w:eastAsia="en-GB"/>
        </w:rPr>
      </w:pPr>
      <w:r>
        <w:rPr>
          <w:lang w:eastAsia="en-GB"/>
        </w:rPr>
        <w:t xml:space="preserve">Focus assessment on management policies and processes and not only the ESG impacts and outcomes of the firms being reviewed.  </w:t>
      </w:r>
    </w:p>
    <w:p w14:paraId="0D9A3842" w14:textId="77777777" w:rsidR="005234EE" w:rsidRDefault="005234EE" w:rsidP="005234EE">
      <w:pPr>
        <w:shd w:val="clear" w:color="auto" w:fill="FFFFFF"/>
        <w:rPr>
          <w:lang w:eastAsia="en-GB"/>
        </w:rPr>
      </w:pPr>
    </w:p>
    <w:p w14:paraId="706CE2A3" w14:textId="11134B5D" w:rsidR="005234EE" w:rsidRDefault="005234EE" w:rsidP="00C80519">
      <w:pPr>
        <w:pStyle w:val="ListParagraph"/>
        <w:numPr>
          <w:ilvl w:val="0"/>
          <w:numId w:val="41"/>
        </w:numPr>
        <w:shd w:val="clear" w:color="auto" w:fill="FFFFFF"/>
        <w:rPr>
          <w:lang w:eastAsia="en-GB"/>
        </w:rPr>
      </w:pPr>
      <w:r>
        <w:rPr>
          <w:lang w:eastAsia="en-GB"/>
        </w:rPr>
        <w:t xml:space="preserve">Assessing firms with a downside risk framework and focusing on managing negative external factors can result in reputational damage or legal action. This creates a problem as it doesn’t take into account which firms are creating social or environmental value for society, especially where investment and economic activity undertaken by that firm in certain locations or circumstances might imply greater potential for </w:t>
      </w:r>
      <w:r w:rsidR="00464A10">
        <w:rPr>
          <w:lang w:eastAsia="en-GB"/>
        </w:rPr>
        <w:t>both positive and</w:t>
      </w:r>
      <w:r>
        <w:rPr>
          <w:lang w:eastAsia="en-GB"/>
        </w:rPr>
        <w:t xml:space="preserve"> negative impacts.</w:t>
      </w:r>
    </w:p>
    <w:p w14:paraId="1C3F886E" w14:textId="77777777" w:rsidR="005234EE" w:rsidRDefault="005234EE" w:rsidP="005234EE">
      <w:pPr>
        <w:shd w:val="clear" w:color="auto" w:fill="FFFFFF"/>
        <w:rPr>
          <w:lang w:eastAsia="en-GB"/>
        </w:rPr>
      </w:pPr>
    </w:p>
    <w:p w14:paraId="4C61B3E9" w14:textId="77777777" w:rsidR="005234EE" w:rsidRDefault="005234EE" w:rsidP="00C80519">
      <w:pPr>
        <w:pStyle w:val="ListParagraph"/>
        <w:numPr>
          <w:ilvl w:val="0"/>
          <w:numId w:val="41"/>
        </w:numPr>
        <w:shd w:val="clear" w:color="auto" w:fill="FFFFFF"/>
        <w:rPr>
          <w:lang w:eastAsia="en-GB"/>
        </w:rPr>
      </w:pPr>
      <w:r>
        <w:rPr>
          <w:lang w:eastAsia="en-GB"/>
        </w:rPr>
        <w:t>There is a limited framework within which to understand increasingly complex and evolving issue of corporate responsibility, and might result in combining issues that might not end up being treated equally, leading to a risk of not addressing cultural bias of the organisation assessing the data and the individual analysts.</w:t>
      </w:r>
    </w:p>
    <w:p w14:paraId="5B3FC437" w14:textId="77777777" w:rsidR="005234EE" w:rsidRDefault="005234EE" w:rsidP="005234EE">
      <w:pPr>
        <w:shd w:val="clear" w:color="auto" w:fill="FFFFFF"/>
        <w:rPr>
          <w:lang w:eastAsia="en-GB"/>
        </w:rPr>
      </w:pPr>
    </w:p>
    <w:p w14:paraId="38575244" w14:textId="77777777" w:rsidR="005234EE" w:rsidRDefault="005234EE" w:rsidP="00C80519">
      <w:pPr>
        <w:pStyle w:val="ListParagraph"/>
        <w:numPr>
          <w:ilvl w:val="0"/>
          <w:numId w:val="41"/>
        </w:numPr>
        <w:shd w:val="clear" w:color="auto" w:fill="FFFFFF"/>
        <w:rPr>
          <w:lang w:eastAsia="en-GB"/>
        </w:rPr>
      </w:pPr>
      <w:r>
        <w:rPr>
          <w:lang w:eastAsia="en-GB"/>
        </w:rPr>
        <w:t>Conflating the materiality of ESG issues for the financial performance of investments and the materiality of those issues impacts on stakeholders and society, while some assessment can be based on financial materiality and others could involve more moral judgements. In both cases the credibility and accountability of those judgements are in doubt.</w:t>
      </w:r>
    </w:p>
    <w:p w14:paraId="08FBBDD8" w14:textId="77777777" w:rsidR="005234EE" w:rsidRDefault="005234EE" w:rsidP="005234EE">
      <w:pPr>
        <w:shd w:val="clear" w:color="auto" w:fill="FFFFFF"/>
        <w:rPr>
          <w:lang w:eastAsia="en-GB"/>
        </w:rPr>
      </w:pPr>
    </w:p>
    <w:p w14:paraId="3CAEB15B" w14:textId="77777777" w:rsidR="005234EE" w:rsidRDefault="005234EE" w:rsidP="00C80519">
      <w:pPr>
        <w:pStyle w:val="ListParagraph"/>
        <w:numPr>
          <w:ilvl w:val="0"/>
          <w:numId w:val="41"/>
        </w:numPr>
        <w:shd w:val="clear" w:color="auto" w:fill="FFFFFF"/>
        <w:rPr>
          <w:lang w:eastAsia="en-GB"/>
        </w:rPr>
      </w:pPr>
      <w:r>
        <w:rPr>
          <w:lang w:eastAsia="en-GB"/>
        </w:rPr>
        <w:t xml:space="preserve">Without a clear and full ESG framework (not just a heavy focus on one aspect) covering all the issues fairly with suitable weighting, there could be a risk of not integrating ESG analysis products and ratings into mainstream financial analysis of products and ratings that firms and owners offer to consumers, given the commercial interest in maintaining a full range of different services and products. </w:t>
      </w:r>
    </w:p>
    <w:p w14:paraId="14D6B824" w14:textId="77777777" w:rsidR="005234EE" w:rsidRDefault="005234EE" w:rsidP="005234EE">
      <w:pPr>
        <w:rPr>
          <w:lang w:eastAsia="en-US"/>
        </w:rPr>
      </w:pPr>
    </w:p>
    <w:p w14:paraId="0C630CE1" w14:textId="77777777" w:rsidR="005234EE" w:rsidRDefault="005234EE" w:rsidP="005234EE">
      <w:pPr>
        <w:rPr>
          <w:lang w:eastAsia="en-GB"/>
        </w:rPr>
      </w:pPr>
      <w:r>
        <w:rPr>
          <w:lang w:eastAsia="en-GB"/>
        </w:rPr>
        <w:t>Some of our specific comments relate to complexity and range of the financial activities of our member firms, as there is a challenge to precisely match the outcomes intended from the Article obligations in the SFDR and the RTS onto specific activities and we see some gaps that may need flexibility or further clarification.</w:t>
      </w:r>
    </w:p>
    <w:p w14:paraId="4EF1D85F" w14:textId="77777777" w:rsidR="005234EE" w:rsidRDefault="005234EE" w:rsidP="005234EE">
      <w:pPr>
        <w:rPr>
          <w:lang w:eastAsia="en-GB"/>
        </w:rPr>
      </w:pPr>
    </w:p>
    <w:p w14:paraId="2F069D0A" w14:textId="77777777" w:rsidR="005234EE" w:rsidRDefault="005234EE" w:rsidP="005234EE">
      <w:pPr>
        <w:rPr>
          <w:lang w:eastAsia="en-GB"/>
        </w:rPr>
      </w:pPr>
      <w:r>
        <w:rPr>
          <w:lang w:eastAsia="en-GB"/>
        </w:rPr>
        <w:t xml:space="preserve">For example, in terms of the year-end snapshot of PAI compared to the reference period, should the PAI statement be reflective of what the entity is invested in as-at (e.g.) 31 December 2021, or if it needs to consider anything that the entity has invested in between (in this example) 10 Mar 2021 (ie the date on which the PAI were first considered) and 31 Dec 2021, and not referring to the customer’s timeline. </w:t>
      </w:r>
    </w:p>
    <w:p w14:paraId="2BC34B05" w14:textId="77777777" w:rsidR="005234EE" w:rsidRDefault="005234EE" w:rsidP="005234EE">
      <w:pPr>
        <w:rPr>
          <w:lang w:eastAsia="en-GB"/>
        </w:rPr>
      </w:pPr>
    </w:p>
    <w:p w14:paraId="7E21D61B" w14:textId="77777777" w:rsidR="005234EE" w:rsidRDefault="005234EE" w:rsidP="005234EE">
      <w:pPr>
        <w:rPr>
          <w:lang w:eastAsia="en-GB"/>
        </w:rPr>
      </w:pPr>
      <w:r>
        <w:rPr>
          <w:lang w:eastAsia="en-GB"/>
        </w:rPr>
        <w:t>This is an important distinction for portfolio managers and for other FMPs because, at year end, if they have exited positions in Company A does that mean they do not need to include the PAI of Company A in the disclosure statement?  The answer is not clear.</w:t>
      </w:r>
    </w:p>
    <w:p w14:paraId="731FBB19" w14:textId="77777777" w:rsidR="005234EE" w:rsidRDefault="005234EE" w:rsidP="005234EE">
      <w:pPr>
        <w:rPr>
          <w:lang w:eastAsia="en-GB"/>
        </w:rPr>
      </w:pPr>
    </w:p>
    <w:p w14:paraId="2359A080" w14:textId="77777777" w:rsidR="005234EE" w:rsidRDefault="005234EE" w:rsidP="005234EE">
      <w:pPr>
        <w:rPr>
          <w:lang w:eastAsia="en-GB"/>
        </w:rPr>
      </w:pPr>
    </w:p>
    <w:p w14:paraId="406F1010" w14:textId="77777777" w:rsidR="005234EE" w:rsidRDefault="005234EE" w:rsidP="005234EE">
      <w:pPr>
        <w:rPr>
          <w:lang w:eastAsia="en-GB"/>
        </w:rPr>
      </w:pPr>
    </w:p>
    <w:p w14:paraId="7FC80D2D" w14:textId="77777777" w:rsidR="005234EE" w:rsidRDefault="005234EE" w:rsidP="005234EE">
      <w:pPr>
        <w:rPr>
          <w:lang w:eastAsia="en-GB"/>
        </w:rPr>
      </w:pPr>
    </w:p>
    <w:p w14:paraId="38AE6F9C" w14:textId="77777777" w:rsidR="005234EE" w:rsidRDefault="005234EE" w:rsidP="005234EE">
      <w:pPr>
        <w:rPr>
          <w:lang w:eastAsia="en-GB"/>
        </w:rPr>
      </w:pPr>
    </w:p>
    <w:p w14:paraId="16FC7BAE" w14:textId="77777777" w:rsidR="005234EE" w:rsidRDefault="005234EE" w:rsidP="005234EE">
      <w:pPr>
        <w:rPr>
          <w:lang w:eastAsia="en-GB"/>
        </w:rPr>
      </w:pPr>
    </w:p>
    <w:p w14:paraId="6F218B0A" w14:textId="77777777" w:rsidR="005234EE" w:rsidRDefault="005234EE" w:rsidP="005234EE">
      <w:pPr>
        <w:rPr>
          <w:lang w:eastAsia="en-GB"/>
        </w:rPr>
      </w:pPr>
    </w:p>
    <w:p w14:paraId="74DFEDC0" w14:textId="77777777" w:rsidR="005234EE" w:rsidRDefault="005234EE" w:rsidP="005234EE">
      <w:pPr>
        <w:rPr>
          <w:lang w:eastAsia="en-GB"/>
        </w:rPr>
      </w:pPr>
      <w:r>
        <w:rPr>
          <w:lang w:eastAsia="en-GB"/>
        </w:rPr>
        <w:t xml:space="preserve">However, if it </w:t>
      </w:r>
      <w:r>
        <w:rPr>
          <w:i/>
          <w:iCs/>
          <w:lang w:eastAsia="en-GB"/>
        </w:rPr>
        <w:t>is</w:t>
      </w:r>
      <w:r>
        <w:rPr>
          <w:lang w:eastAsia="en-GB"/>
        </w:rPr>
        <w:t xml:space="preserve"> expected to include </w:t>
      </w:r>
      <w:r>
        <w:rPr>
          <w:i/>
          <w:iCs/>
          <w:lang w:eastAsia="en-GB"/>
        </w:rPr>
        <w:t>all</w:t>
      </w:r>
      <w:r>
        <w:rPr>
          <w:lang w:eastAsia="en-GB"/>
        </w:rPr>
        <w:t xml:space="preserve"> investments throughout the reference period, then calculating (e.g.) “Share of investments in investee companies with sites located in areas of high water stress” becomes even more of a challenge, as firms need to understand the aggregated share that Company A made up of the average AUM that the entity invested, before doing the PAI metric calculation.  </w:t>
      </w:r>
    </w:p>
    <w:p w14:paraId="4DB0C6FA" w14:textId="77777777" w:rsidR="005234EE" w:rsidRDefault="005234EE" w:rsidP="005234EE">
      <w:pPr>
        <w:rPr>
          <w:lang w:eastAsia="en-GB"/>
        </w:rPr>
      </w:pPr>
    </w:p>
    <w:p w14:paraId="11CE31C6" w14:textId="77777777" w:rsidR="005234EE" w:rsidRDefault="005234EE" w:rsidP="005234EE">
      <w:pPr>
        <w:rPr>
          <w:lang w:val="en-US" w:eastAsia="en-GB"/>
        </w:rPr>
      </w:pPr>
      <w:r>
        <w:rPr>
          <w:bCs/>
        </w:rPr>
        <w:t xml:space="preserve">For example, is </w:t>
      </w:r>
      <w:r>
        <w:rPr>
          <w:lang w:val="en-US" w:eastAsia="en-GB"/>
        </w:rPr>
        <w:t>compliance with SFDR Art 4 from June 2021 also mandatory for small subsidiaries (&lt;500 employees) of a “large group”?</w:t>
      </w:r>
    </w:p>
    <w:p w14:paraId="2E584150" w14:textId="77777777" w:rsidR="005234EE" w:rsidRDefault="005234EE" w:rsidP="005234EE">
      <w:pPr>
        <w:rPr>
          <w:lang w:val="en-US" w:eastAsia="en-GB"/>
        </w:rPr>
      </w:pPr>
    </w:p>
    <w:p w14:paraId="0ACE5F60" w14:textId="77777777" w:rsidR="005234EE" w:rsidRDefault="005234EE" w:rsidP="005234EE">
      <w:pPr>
        <w:rPr>
          <w:lang w:val="en-US" w:eastAsia="en-GB"/>
        </w:rPr>
      </w:pPr>
      <w:r>
        <w:rPr>
          <w:lang w:val="en-US" w:eastAsia="en-GB"/>
        </w:rPr>
        <w:t xml:space="preserve">Art 4, paragraph 4, only mentions the parent undertaking of a large group. Together with Art 4, paragraph 3, this suggests that smaller subsidiaries have the choice whether to comply or explain on Art 4 even after June 2021 – and it would be helpful for the ESAs to provide clarity. </w:t>
      </w:r>
    </w:p>
    <w:p w14:paraId="2A2D9A07" w14:textId="77777777" w:rsidR="005234EE" w:rsidRDefault="005234EE" w:rsidP="005234EE">
      <w:pPr>
        <w:rPr>
          <w:lang w:val="en-US" w:eastAsia="en-GB"/>
        </w:rPr>
      </w:pPr>
    </w:p>
    <w:p w14:paraId="327AC234" w14:textId="77777777" w:rsidR="005234EE" w:rsidRDefault="005234EE" w:rsidP="005234EE">
      <w:pPr>
        <w:rPr>
          <w:lang w:val="en-US" w:eastAsia="en-GB"/>
        </w:rPr>
      </w:pPr>
      <w:r>
        <w:rPr>
          <w:lang w:val="en-US" w:eastAsia="en-GB"/>
        </w:rPr>
        <w:t>In addition, thinking on the exact thresholds for Art 8/9 products – is it enough, to decide that a product is Art 8, then to ensure the required processes is in place to make the required disclosures. Or does a firm need to reach a certain level of sustainable / contributing investments which then need to disclose visually according to draft RTS Art 15?   For example, especially in the beginning, a firm may decide it has an Art 8 product but when it comes to reporting it might need to show very low numbers for “sustainable” and “contributing” investments due to a lack of data, which is not ideal but what is the alternative?</w:t>
      </w:r>
    </w:p>
    <w:p w14:paraId="2A791F8E" w14:textId="77777777" w:rsidR="005234EE" w:rsidRDefault="005234EE" w:rsidP="005234EE">
      <w:pPr>
        <w:rPr>
          <w:lang w:val="en-US" w:eastAsia="en-GB"/>
        </w:rPr>
      </w:pPr>
    </w:p>
    <w:p w14:paraId="03BC5C30" w14:textId="77777777" w:rsidR="005234EE" w:rsidRDefault="005234EE" w:rsidP="005234EE">
      <w:pPr>
        <w:rPr>
          <w:lang w:val="en-US" w:eastAsia="en-GB"/>
        </w:rPr>
      </w:pPr>
      <w:r>
        <w:rPr>
          <w:lang w:val="en-US" w:eastAsia="en-GB"/>
        </w:rPr>
        <w:t>A follow-up is what exactly qualifies as “sustainable investments” (RTS Art 15, 2a, i) and “investments that contribute to the attainment of the environmental or social characteristics promoted by the financial product” (RTS Art 15, 2a, ii)</w:t>
      </w:r>
    </w:p>
    <w:p w14:paraId="6C29497E" w14:textId="77777777" w:rsidR="005234EE" w:rsidRDefault="005234EE" w:rsidP="005234EE">
      <w:pPr>
        <w:rPr>
          <w:lang w:val="en-US" w:eastAsia="en-GB"/>
        </w:rPr>
      </w:pPr>
    </w:p>
    <w:p w14:paraId="06F55F7D" w14:textId="77777777" w:rsidR="005234EE" w:rsidRDefault="005234EE" w:rsidP="005234EE">
      <w:pPr>
        <w:rPr>
          <w:lang w:val="en-US" w:eastAsia="en-GB"/>
        </w:rPr>
      </w:pPr>
      <w:r>
        <w:rPr>
          <w:lang w:val="en-US" w:eastAsia="en-GB"/>
        </w:rPr>
        <w:t>If a firm invest only in funds, would it need to rely on the info provided by the funds on whether they are “sustainable investments” (to assume this equals Art 9) or “contributing investments” (to assume this equals Art 8) and for the latter to what exactly they contribute. Or could / would it need to review the underlying units of those funds itself in order to determine whether a fund invested in is a sustainable or a contributing investment?</w:t>
      </w:r>
    </w:p>
    <w:p w14:paraId="0E5CE381" w14:textId="77777777" w:rsidR="005234EE" w:rsidRDefault="005234EE" w:rsidP="005234EE">
      <w:pPr>
        <w:rPr>
          <w:lang w:val="en-US" w:eastAsia="en-GB"/>
        </w:rPr>
      </w:pPr>
    </w:p>
    <w:p w14:paraId="1C907BF8" w14:textId="77777777" w:rsidR="005234EE" w:rsidRDefault="005234EE" w:rsidP="005234EE">
      <w:pPr>
        <w:rPr>
          <w:lang w:eastAsia="en-GB"/>
        </w:rPr>
      </w:pPr>
      <w:r>
        <w:rPr>
          <w:lang w:eastAsia="en-GB"/>
        </w:rPr>
        <w:t xml:space="preserve">As the RT do not completely touch on the full E, S and G spectrum, we would argue that a higher degree of flexibility when policing the application of the RTS as they apply now is warranted and that flexibility, and a degree of pragmatism, will be beneficial when the RTS framework is extended across the wider E, S and G topics given the degree of difference and range of choice provided by the financial services sector.  </w:t>
      </w:r>
    </w:p>
    <w:p w14:paraId="6DF0A418" w14:textId="77777777" w:rsidR="005234EE" w:rsidRDefault="005234EE" w:rsidP="005234EE">
      <w:pPr>
        <w:rPr>
          <w:lang w:eastAsia="en-GB"/>
        </w:rPr>
      </w:pPr>
    </w:p>
    <w:p w14:paraId="6A3CB062" w14:textId="100E1B97" w:rsidR="00B327E9" w:rsidRPr="00BF28DA" w:rsidRDefault="005234EE" w:rsidP="00B327E9">
      <w:r>
        <w:rPr>
          <w:lang w:eastAsia="en-GB"/>
        </w:rPr>
        <w:t>Again, thanks for you for the opportunity to submit our view and if you have any queries about our response, please do not hesitate to contact us: we would be happy to discuss and provide further information.</w:t>
      </w:r>
      <w:permEnd w:id="411981036"/>
      <w:r w:rsidR="00B327E9" w:rsidRPr="00BF28DA">
        <w:t>&lt;ESA_COMMENT_</w:t>
      </w:r>
      <w:r w:rsidR="00C86E1C">
        <w:rPr>
          <w:rStyle w:val="SubtleEmphasis"/>
          <w:b w:val="0"/>
          <w:sz w:val="22"/>
        </w:rPr>
        <w:t>ESG</w:t>
      </w:r>
      <w:r w:rsidR="000A58BE">
        <w:t>_</w:t>
      </w:r>
      <w:r w:rsidR="00B327E9" w:rsidRPr="00BF28DA">
        <w:t>1&gt;</w:t>
      </w:r>
    </w:p>
    <w:p w14:paraId="6A3CB063" w14:textId="77777777" w:rsidR="00F31E57" w:rsidRPr="00BF28DA" w:rsidRDefault="00F31E57" w:rsidP="00D34282"/>
    <w:p w14:paraId="741317CF" w14:textId="5D0A042A" w:rsidR="003E573C" w:rsidRDefault="00F31E57" w:rsidP="003E573C">
      <w:pPr>
        <w:pStyle w:val="Questionstyle"/>
        <w:numPr>
          <w:ilvl w:val="0"/>
          <w:numId w:val="39"/>
        </w:numPr>
      </w:pPr>
      <w:r w:rsidRPr="0075015C">
        <w:br w:type="page"/>
      </w:r>
      <w:r w:rsidR="003E573C">
        <w:lastRenderedPageBreak/>
        <w:t xml:space="preserve">: </w:t>
      </w:r>
      <w:r w:rsidR="00D5594A" w:rsidRPr="00D5594A">
        <w:t>Do you agree with the approach proposed in Chapter II and Annex I – where the indicators in Table 1 always lead to principal adverse impacts irrespective of the value of the metrics, requiring consistent disclosure, and the indicators in Table 2 and 3 are subject to an “opt-in” regime for disclosure?</w:t>
      </w:r>
      <w:r w:rsidR="003E573C" w:rsidRPr="00763760">
        <w:t>?</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044740D7" w14:textId="7C83A50F" w:rsidR="005234EE" w:rsidRDefault="005234EE" w:rsidP="005234EE">
      <w:pPr>
        <w:rPr>
          <w:szCs w:val="22"/>
          <w:lang w:eastAsia="en-US"/>
        </w:rPr>
      </w:pPr>
      <w:permStart w:id="1221819945" w:edGrp="everyone"/>
      <w:r>
        <w:t xml:space="preserve">PIMFA welcomes the opportunity to comment and agrees with the aspiration to pivot the economy to a more sustainable model and we are aware of the important role the financial sector will play in achieving that aspiration. </w:t>
      </w:r>
    </w:p>
    <w:p w14:paraId="3C8F29B5" w14:textId="77777777" w:rsidR="005234EE" w:rsidRDefault="005234EE" w:rsidP="005234EE"/>
    <w:p w14:paraId="5B3FE808" w14:textId="77777777" w:rsidR="005234EE" w:rsidRDefault="005234EE" w:rsidP="005234EE">
      <w:r>
        <w:t xml:space="preserve">However, we are aware of the risk that moves in that direction may not evolve at a consistent rate and there may be divergence between the implementation of rules relating to the taxonomy and other regulations like MIFID and NFRD requirements. </w:t>
      </w:r>
    </w:p>
    <w:p w14:paraId="3DB56E99" w14:textId="77777777" w:rsidR="005234EE" w:rsidRDefault="005234EE" w:rsidP="005234EE"/>
    <w:p w14:paraId="7460A870" w14:textId="77777777" w:rsidR="005234EE" w:rsidRDefault="005234EE" w:rsidP="005234EE">
      <w:r>
        <w:t>At this stage in the evolution of new sustainable finance related regulations, we are conscious of the understandable lack of data. As a result, we would be hesitant to agree that the approach being taken in the RTS regarding standardisation is where it needs to be.  We are also conscious of the lack of more detail on the benefits for recipients of the information required by the disclosures and the time scale as mapped out that would place an undetermined burden on financial market participants.</w:t>
      </w:r>
    </w:p>
    <w:p w14:paraId="3B2ACE1E" w14:textId="77777777" w:rsidR="005234EE" w:rsidRDefault="005234EE" w:rsidP="005234EE"/>
    <w:p w14:paraId="7432316F" w14:textId="77777777" w:rsidR="005234EE" w:rsidRDefault="005234EE" w:rsidP="005234EE">
      <w:r>
        <w:t xml:space="preserve">Our sector is invested in making a full contribution to the move to a sustainable economy and the role of disclosures required to change attitudes. We would feel more comfortable with an acceptance from the ESAs of the challenge this places on firms and participants and feel there is value in highlighting some of the areas we would argue still need further development. </w:t>
      </w:r>
    </w:p>
    <w:p w14:paraId="449F55AD" w14:textId="77777777" w:rsidR="005234EE" w:rsidRDefault="005234EE" w:rsidP="005234EE"/>
    <w:p w14:paraId="2FA6AC7C" w14:textId="77777777" w:rsidR="005234EE" w:rsidRDefault="005234EE" w:rsidP="005234EE">
      <w:pPr>
        <w:rPr>
          <w:b/>
          <w:bCs/>
        </w:rPr>
      </w:pPr>
      <w:r>
        <w:rPr>
          <w:b/>
          <w:bCs/>
        </w:rPr>
        <w:t>Adverse Impact Indicators</w:t>
      </w:r>
    </w:p>
    <w:p w14:paraId="2833D456" w14:textId="77777777" w:rsidR="005234EE" w:rsidRDefault="005234EE" w:rsidP="005234EE">
      <w:pPr>
        <w:rPr>
          <w:b/>
          <w:bCs/>
        </w:rPr>
      </w:pPr>
    </w:p>
    <w:p w14:paraId="67659F10" w14:textId="77777777" w:rsidR="005234EE" w:rsidRDefault="005234EE" w:rsidP="005234EE">
      <w:r>
        <w:t>These are a new concept and there is further thought to be engaged on to ensure an agreed understanding on what their objective is across the sector and what outcomes are sought.  It seems they focus on investee firms not the investor.  It’s not clear that adverse sustainability impacts (ASIs) will correctly advise on negative aspects of investments and do so at the expense of the positive steps being taken by those same investments such as better stewardship or applying transition pathways.   We would welcome more engagement and guidance relating to the meaning of adverse impacts.</w:t>
      </w:r>
    </w:p>
    <w:p w14:paraId="40940F04" w14:textId="77777777" w:rsidR="005234EE" w:rsidRDefault="005234EE" w:rsidP="005234EE"/>
    <w:p w14:paraId="0B10DD01" w14:textId="77777777" w:rsidR="005234EE" w:rsidRDefault="005234EE" w:rsidP="005234EE">
      <w:pPr>
        <w:rPr>
          <w:b/>
          <w:bCs/>
        </w:rPr>
      </w:pPr>
      <w:r>
        <w:rPr>
          <w:b/>
          <w:bCs/>
        </w:rPr>
        <w:t>Data</w:t>
      </w:r>
    </w:p>
    <w:p w14:paraId="20FB2CF5" w14:textId="77777777" w:rsidR="005234EE" w:rsidRDefault="005234EE" w:rsidP="005234EE"/>
    <w:p w14:paraId="5EF87251" w14:textId="77777777" w:rsidR="005234EE" w:rsidRDefault="005234EE" w:rsidP="005234EE">
      <w:r>
        <w:t>Our feedback would be there is no yet sufficient ESG data to match the requirements of the RTS, especially from fund to fund which is understandable given there is no international or consistency agreed standards for the required granularity that would make ESG data have more value.  This raises a few concerns that we would welcome more communication about such as:</w:t>
      </w:r>
    </w:p>
    <w:p w14:paraId="7C4679EB" w14:textId="77777777" w:rsidR="005234EE" w:rsidRDefault="005234EE" w:rsidP="005234EE"/>
    <w:p w14:paraId="36C02D2C" w14:textId="77777777" w:rsidR="005234EE" w:rsidRDefault="005234EE" w:rsidP="005234EE">
      <w:r>
        <w:t xml:space="preserve">The NFRD is due to be revised to take account of relevant sector and regulatory changes, so perhaps building in more flexibility for the indicators could be welcome and prudent compared to rigid requirements. </w:t>
      </w:r>
    </w:p>
    <w:p w14:paraId="0591D41E" w14:textId="77777777" w:rsidR="005234EE" w:rsidRDefault="005234EE" w:rsidP="005234EE"/>
    <w:p w14:paraId="4D876581" w14:textId="42654658" w:rsidR="005234EE" w:rsidRDefault="005234EE" w:rsidP="005234EE">
      <w:r>
        <w:t>We would argue that ESG data should be standardised and presented in a way that imposes the least burden on those using that data and the proposal for the PAI may not be the most suitable and instead more thoughts may be required on how best to standardise how the data is gathered and how it is made available to users.</w:t>
      </w:r>
    </w:p>
    <w:p w14:paraId="5E4DEC54" w14:textId="77777777" w:rsidR="005234EE" w:rsidRDefault="005234EE" w:rsidP="005234EE"/>
    <w:p w14:paraId="6E70283B" w14:textId="77777777" w:rsidR="005234EE" w:rsidRDefault="005234EE" w:rsidP="005234EE">
      <w:r>
        <w:t>It is also relevant to point out that the regulations apply for firms operating in the EU and while Article 8 of the taxonomy places obligations on participants to make disclosures there is no agreed international obligation metric.</w:t>
      </w:r>
    </w:p>
    <w:p w14:paraId="4248891E" w14:textId="77777777" w:rsidR="00AD68B1" w:rsidRDefault="00AD68B1" w:rsidP="005234EE"/>
    <w:p w14:paraId="5FC457D7" w14:textId="77777777" w:rsidR="005234EE" w:rsidRDefault="005234EE" w:rsidP="005234EE"/>
    <w:p w14:paraId="0A6ACF6A" w14:textId="77777777" w:rsidR="005234EE" w:rsidRDefault="005234EE" w:rsidP="005234EE">
      <w:pPr>
        <w:rPr>
          <w:b/>
          <w:bCs/>
        </w:rPr>
      </w:pPr>
      <w:r>
        <w:rPr>
          <w:b/>
          <w:bCs/>
        </w:rPr>
        <w:lastRenderedPageBreak/>
        <w:t>Materiality</w:t>
      </w:r>
    </w:p>
    <w:p w14:paraId="3EA3D619" w14:textId="77777777" w:rsidR="005234EE" w:rsidRDefault="005234EE" w:rsidP="005234EE"/>
    <w:p w14:paraId="2E594697" w14:textId="77777777" w:rsidR="005234EE" w:rsidRDefault="005234EE" w:rsidP="005234EE">
      <w:r>
        <w:t xml:space="preserve">It seems the approach taken by the RTS is to apply generic standards rather than address the risk of the product or service in meeting sustainability objectives and risk will vary significantly across the sector depending on the consumer objectives and the product or service range.  Article 6(d) requires a materiality assessment and a risk based assessment and we feel this is a more appropriate method to apply to principle adverse impact (PAI) disclosures.  </w:t>
      </w:r>
    </w:p>
    <w:p w14:paraId="31F5C99A" w14:textId="77777777" w:rsidR="005234EE" w:rsidRDefault="005234EE" w:rsidP="005234EE"/>
    <w:p w14:paraId="3D43DC02" w14:textId="77777777" w:rsidR="005234EE" w:rsidRDefault="005234EE" w:rsidP="005234EE">
      <w:pPr>
        <w:rPr>
          <w:b/>
          <w:bCs/>
        </w:rPr>
      </w:pPr>
      <w:r>
        <w:rPr>
          <w:b/>
          <w:bCs/>
        </w:rPr>
        <w:t xml:space="preserve"> Clarity and Timing</w:t>
      </w:r>
    </w:p>
    <w:p w14:paraId="6F5C0201" w14:textId="77777777" w:rsidR="005234EE" w:rsidRDefault="005234EE" w:rsidP="005234EE"/>
    <w:p w14:paraId="37C5D2EE" w14:textId="3093E891" w:rsidR="005234EE" w:rsidRDefault="005234EE" w:rsidP="005234EE">
      <w:r>
        <w:t xml:space="preserve">We would comment that the bridge between the Taxonomy and the Disclosures RTS should be clearer and an action plan started to address inconsistencies and you will be aware this relates to the Do No Significant Harm (DNSH) principle.  In the RTS it seems the outcome is that all investments will need a PAI but this is not the case for the Taxonomy, where the DNSH is within defined limits with regard to the negative outcomes from economic activities.  The PAI and the DNSH requirements are meant to reach a similar outcome then the methodology should be consistent.  If the DNSH offers </w:t>
      </w:r>
      <w:r w:rsidR="00464A10">
        <w:t>mitigation</w:t>
      </w:r>
      <w:r>
        <w:t xml:space="preserve"> on one issue then that same mitigation factor should be included in the PAI. </w:t>
      </w:r>
    </w:p>
    <w:p w14:paraId="3B39C3F6" w14:textId="77777777" w:rsidR="005234EE" w:rsidRDefault="005234EE" w:rsidP="005234EE"/>
    <w:p w14:paraId="321F837E" w14:textId="77777777" w:rsidR="005234EE" w:rsidRDefault="005234EE" w:rsidP="005234EE">
      <w:r>
        <w:t>The Regulation will apply from 10 march 2021, subject to any agreed deferral but it is reasonable that the Level 2 requirements will still be incomplete by then so the RTS may come into force while the NFRD is also up for review and the RTS will place various requirements on firms, which may subsequently change at a later date when firms are expected to have the data available. We wonder if it would be more beneficial for indicators to be s to be an opt-in and if there is an option for proportionality based on how much of a portfolio the asset comprises.</w:t>
      </w:r>
    </w:p>
    <w:p w14:paraId="7E044B6A" w14:textId="77777777" w:rsidR="005234EE" w:rsidRDefault="005234EE" w:rsidP="005234EE"/>
    <w:p w14:paraId="6496FAC5" w14:textId="1EDF2A54" w:rsidR="003E573C" w:rsidRDefault="005234EE" w:rsidP="003E573C">
      <w:pPr>
        <w:rPr>
          <w:rFonts w:cs="Arial"/>
        </w:rPr>
      </w:pPr>
      <w:r>
        <w:t>There is also a concern at the value to consumers to the disclosure of data. We understand the rationale for requiring data to be available but there is a doubt that it will add value to product or service or that it will add to the financial literacy of consumers, and it seems reasonable to query the benefit of ever increasing disclosure for the sake of disclosure and quantifying what the benefit to the end user is, if at all.</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78AE0F9E" w:rsidR="003E573C" w:rsidRDefault="003E573C" w:rsidP="003E573C">
      <w:pPr>
        <w:pStyle w:val="Questionstyle"/>
        <w:numPr>
          <w:ilvl w:val="0"/>
          <w:numId w:val="39"/>
        </w:numPr>
      </w:pPr>
      <w:r>
        <w:t xml:space="preserve">: </w:t>
      </w:r>
      <w:r w:rsidR="00D5594A" w:rsidRPr="00D5594A">
        <w:t>Does the approach laid out in Chapter II and Annex I, take sufficiently into account the size, nature, and scale of financial market participants activities and the type of products they make available?</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3ABFAE04" w14:textId="067E98E3" w:rsidR="005234EE" w:rsidRDefault="005234EE" w:rsidP="005234EE">
      <w:pPr>
        <w:rPr>
          <w:szCs w:val="22"/>
          <w:lang w:eastAsia="en-US"/>
        </w:rPr>
      </w:pPr>
      <w:permStart w:id="729947415" w:edGrp="everyone"/>
      <w:r>
        <w:t>PIMFA understands the challenges in designing a generic methodology but is vary of such an approach given the differences in business models and product and service features across such a diverse sector as financial services and raise the issue of proportionality.</w:t>
      </w:r>
    </w:p>
    <w:p w14:paraId="6CAB7197" w14:textId="77777777" w:rsidR="005234EE" w:rsidRDefault="005234EE" w:rsidP="005234EE"/>
    <w:p w14:paraId="08319795" w14:textId="398C8783" w:rsidR="005234EE" w:rsidRDefault="005234EE" w:rsidP="005234EE">
      <w:r>
        <w:t>The outcome sought, as we understand it, is for market participants and advisers to address sustainability risk and consider ‘adverse’ sustainability factors in investment choices.  It seems reasonable to ask about the merits of a proportional approach depending on the market footprint of a participant. The burden for complying with the disclosure requirements will be an issue for smaller participants and it seems this consultation provides an opportunity to review the value for the public of certain disclosure requirements and the means through which those disclosures are obtained and the impact of those efforts and in what way it detracts from other more beneficial work</w:t>
      </w:r>
      <w:r w:rsidR="00AD68B1">
        <w:t xml:space="preserve"> </w:t>
      </w:r>
      <w:r>
        <w:t xml:space="preserve">streams where participants have limited bandwidth. </w:t>
      </w:r>
    </w:p>
    <w:p w14:paraId="7190EDFE" w14:textId="77777777" w:rsidR="005234EE" w:rsidRDefault="005234EE" w:rsidP="005234EE"/>
    <w:p w14:paraId="60071252" w14:textId="58CF2C18" w:rsidR="005234EE" w:rsidRDefault="005234EE" w:rsidP="005234EE">
      <w:r>
        <w:t xml:space="preserve">PIMFA would also ask </w:t>
      </w:r>
      <w:r w:rsidR="00464A10">
        <w:t>that articles that seem to d</w:t>
      </w:r>
      <w:r>
        <w:t xml:space="preserve">uplicate </w:t>
      </w:r>
      <w:r w:rsidR="00464A10">
        <w:t>‘</w:t>
      </w:r>
      <w:r>
        <w:t>the ask</w:t>
      </w:r>
      <w:r w:rsidR="00464A10">
        <w:t>’</w:t>
      </w:r>
      <w:r>
        <w:t xml:space="preserve"> (articles 3 to 6 of SFDR) </w:t>
      </w:r>
      <w:r w:rsidR="00464A10">
        <w:t>are reviewed, as the</w:t>
      </w:r>
      <w:r>
        <w:t xml:space="preserve"> requirement may place an unwarranted requirement on some advisers. </w:t>
      </w:r>
    </w:p>
    <w:p w14:paraId="0A56C71B" w14:textId="77777777" w:rsidR="005234EE" w:rsidRDefault="005234EE" w:rsidP="005234EE"/>
    <w:p w14:paraId="7A09C6A0" w14:textId="3B4EFE9B" w:rsidR="003E573C" w:rsidRDefault="005234EE" w:rsidP="003E573C">
      <w:pPr>
        <w:rPr>
          <w:rFonts w:cs="Arial"/>
        </w:rPr>
      </w:pPr>
      <w:r>
        <w:t xml:space="preserve">We fully support the noble intentions of the SFDR and the outcomes sought but wonder if the scope of the regulation (article 4) requiring advisers to publish and maintain data on their websites relating to the scale of their activity and the products they advise in regard to adverse impacts on sustainability factors. But RTS article 12 asks advisers for a detailed ‘statement’ on whether the adviser ranks their product choices </w:t>
      </w:r>
      <w:r>
        <w:lastRenderedPageBreak/>
        <w:t>based on principal adverse impacts in Table I Annex I. It seems this is a bit onerous and may discourage advisers from steering clients toward more sustainable choices for their investments</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69EC93BC" w:rsidR="003E573C" w:rsidRDefault="003E573C" w:rsidP="003E573C">
      <w:pPr>
        <w:pStyle w:val="Questionstyle"/>
        <w:numPr>
          <w:ilvl w:val="0"/>
          <w:numId w:val="39"/>
        </w:numPr>
      </w:pPr>
      <w:r>
        <w:t xml:space="preserve">: </w:t>
      </w:r>
      <w:r w:rsidR="00D5594A" w:rsidRPr="00D5594A">
        <w:t>If you do not agree with the approach in Chapter II and Annex I, is there another way to ensure sufficiently comparable disclosure against key indicators?</w:t>
      </w:r>
      <w:r w:rsidRPr="00763760">
        <w:t xml:space="preserve"> </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31CC1E6" w14:textId="22D5A2F4" w:rsidR="005234EE" w:rsidRDefault="005234EE" w:rsidP="005234EE">
      <w:pPr>
        <w:rPr>
          <w:szCs w:val="22"/>
          <w:lang w:eastAsia="en-US"/>
        </w:rPr>
      </w:pPr>
      <w:permStart w:id="677205538" w:edGrp="everyone"/>
      <w:r>
        <w:t xml:space="preserve">Table I should be voluntary in our opinion at least whilst other related regulations are under review and regulations converge, as this provides an opportunity for the relevant ESG data to be available in a reliable and consistent format and there is a case to argue that a central ESG register would add value. </w:t>
      </w:r>
    </w:p>
    <w:p w14:paraId="3147797C" w14:textId="77777777" w:rsidR="005234EE" w:rsidRDefault="005234EE" w:rsidP="005234EE"/>
    <w:p w14:paraId="1E0C574D" w14:textId="77777777" w:rsidR="005234EE" w:rsidRDefault="005234EE" w:rsidP="005234EE">
      <w:r>
        <w:t>Not every investment will be relevant for an adverse impact so the PAI should really focus on the most relevant material holdings in an asset.  We would argue that standardisation, might seem inconsistent with wider choice, but instead that it will enable easier comparison among a wide range of users and will build consumer confidence.</w:t>
      </w:r>
    </w:p>
    <w:p w14:paraId="78D928C1" w14:textId="77777777" w:rsidR="00AD68B1" w:rsidRDefault="00AD68B1" w:rsidP="005234EE"/>
    <w:p w14:paraId="5A7DE2DD" w14:textId="77777777" w:rsidR="005234EE" w:rsidRDefault="005234EE" w:rsidP="005234EE">
      <w:r>
        <w:t>It would be reasonable that ESG data required to meet the requirements under SFDR and used in PAI data for participants should be made available by the investee company itself as required to by the NFRD.  It doesn’t seem that buying ESG data or keeping records is the most efficient use of resources, time or effort of participants and advisers when there are suitable alternatives. And again we would draw the conversation back to a central register of relevant ESG data that can be publicly available and free of charge, on the grounds that the data is required under the NFRD and should therefore be available to those seeking to meet the needs of the SFDR relating to ESG.</w:t>
      </w:r>
    </w:p>
    <w:p w14:paraId="2A751379" w14:textId="77777777" w:rsidR="005234EE" w:rsidRDefault="005234EE" w:rsidP="005234EE"/>
    <w:p w14:paraId="6878E4F8" w14:textId="77777777" w:rsidR="005234EE" w:rsidRDefault="005234EE" w:rsidP="005234EE">
      <w:r>
        <w:t xml:space="preserve">We understand complete information is not always available (as acknowledged in Article 7) from investee firms and this present a challenge to completing PAIs so we would make the point again that phasing in so that participants can compile disclosures that add value. </w:t>
      </w:r>
    </w:p>
    <w:p w14:paraId="00F4DA09" w14:textId="77777777" w:rsidR="005234EE" w:rsidRDefault="005234EE" w:rsidP="005234EE"/>
    <w:p w14:paraId="4C5D39E0" w14:textId="77777777" w:rsidR="005234EE" w:rsidRDefault="005234EE" w:rsidP="005234EE">
      <w:r>
        <w:t xml:space="preserve">PIMFA would feel  there is merit in a ‘reasonable endeavour’ regulatory principle as given there is already agreement that not all data points can be completed, this would avoid a tick-box approach to meeting the regulatory requirement and provides a degree of flexibility to adjust and adapt to real world unintended outcomes that are more easily resolved because of that flexibility and for the ESAs to learn from where a rigid approach was taken previously, which in turn led to a range of unintended consequences and avoidable challenges across the sector to meet the letter and spirit of other market regulations within MiFID for example. </w:t>
      </w:r>
    </w:p>
    <w:p w14:paraId="2F821F78" w14:textId="77777777" w:rsidR="005234EE" w:rsidRDefault="005234EE" w:rsidP="005234EE"/>
    <w:p w14:paraId="2DFDFC69" w14:textId="77777777" w:rsidR="005234EE" w:rsidRDefault="005234EE" w:rsidP="005234EE">
      <w:r>
        <w:t>PAI disclosures could instead be mandated to follow materiality on the portfolio relating to investment volumes within it and this would allow participants to focus on the most pertinent factors without risking the task being so difficult it means participants steer clear form advising diversified portfolios to their clients and this approach can be disclosed by participants.</w:t>
      </w:r>
    </w:p>
    <w:p w14:paraId="03C91C5E" w14:textId="77777777" w:rsidR="005234EE" w:rsidRDefault="005234EE" w:rsidP="005234EE"/>
    <w:p w14:paraId="72A23BA0" w14:textId="74F07C07" w:rsidR="003E573C" w:rsidRDefault="005234EE" w:rsidP="003E573C">
      <w:pPr>
        <w:rPr>
          <w:rFonts w:cs="Arial"/>
        </w:rPr>
      </w:pPr>
      <w:r>
        <w:t>The flaws I the disclosures metric framework can be solved by updating the NFRD which will improve the information disclosed by investee companies and some can be mandatory to move the market such as carbon disclosures and energy performance as that is where the change required will stem from in the most material sense</w:t>
      </w:r>
      <w:r w:rsidR="00AD68B1">
        <w:t>.</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415248A2" w:rsidR="003E573C" w:rsidRDefault="003E573C" w:rsidP="003E573C">
      <w:pPr>
        <w:pStyle w:val="Questionstyle"/>
        <w:numPr>
          <w:ilvl w:val="0"/>
          <w:numId w:val="39"/>
        </w:numPr>
      </w:pPr>
      <w:r>
        <w:t xml:space="preserve">: </w:t>
      </w:r>
      <w:r w:rsidR="00D5594A" w:rsidRPr="00D5594A">
        <w:t>Do you have any views on the reporting template provided in Table 1 of Annex I?</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27444BC3" w14:textId="5036B460" w:rsidR="005234EE" w:rsidRDefault="005234EE" w:rsidP="005234EE">
      <w:pPr>
        <w:rPr>
          <w:szCs w:val="22"/>
          <w:lang w:eastAsia="en-US"/>
        </w:rPr>
      </w:pPr>
      <w:permStart w:id="1220688604" w:edGrp="everyone"/>
      <w:r>
        <w:t>The summary in Article 5 doesn’t add value or disclose new information from what we can determine and adds unnecessary duplication.</w:t>
      </w:r>
    </w:p>
    <w:p w14:paraId="021B4F0F" w14:textId="77777777" w:rsidR="005234EE" w:rsidRDefault="005234EE" w:rsidP="005234EE"/>
    <w:p w14:paraId="6CB4B668" w14:textId="77777777" w:rsidR="005234EE" w:rsidRDefault="005234EE" w:rsidP="005234EE">
      <w:r>
        <w:lastRenderedPageBreak/>
        <w:t xml:space="preserve">As mentioned before we argue that a risk based assessment has merit in terms of materiality as the identified areas for adverse impacts are not the same in value terms for all participants for a PAI via the SFDR. The 32 indicators are not all crucial and it would be unfortunate if the standardised approach led to an excessive burden on participants without the value of that burden for end users being taken into account.  Is there a risk that a lot of effort goes into gathering a lot of data that is not used for any substantive purpose and over time the opportunity to use data to foster change has been lost. </w:t>
      </w:r>
    </w:p>
    <w:p w14:paraId="6BC6AA51" w14:textId="77777777" w:rsidR="005234EE" w:rsidRDefault="005234EE" w:rsidP="005234EE"/>
    <w:p w14:paraId="3F80E3FB" w14:textId="77777777" w:rsidR="005234EE" w:rsidRDefault="005234EE" w:rsidP="005234EE">
      <w:r>
        <w:t xml:space="preserve">We agree that the reference in Article 10 on disclosing responsible business conduct codes and international standards relating to due diligence and for reporting is valid but it’s not clear that firms have the expertise to include forward looking climate change data that would be of a sufficiently high enough quality to be trusted by users of that data and given the nature of such bold statements ono future unquantifiable changes may expose firms to legal risk which we would like to see eliminated. </w:t>
      </w:r>
    </w:p>
    <w:p w14:paraId="4EB6E614" w14:textId="77777777" w:rsidR="005234EE" w:rsidRDefault="005234EE" w:rsidP="005234EE"/>
    <w:p w14:paraId="784D9858" w14:textId="7033F4CB" w:rsidR="003E573C" w:rsidRDefault="005234EE" w:rsidP="003E573C">
      <w:pPr>
        <w:rPr>
          <w:rFonts w:cs="Arial"/>
        </w:rPr>
      </w:pPr>
      <w:r>
        <w:t>We still have concerns that the end user of this data, the consumer specifically, need to properly and accurately understand the data and make informed decisions based on the correct understanding and we feel there is still merit to tailoring sustainable information with the end user in mind.</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41077C5A" w:rsidR="003E573C" w:rsidRDefault="003E573C" w:rsidP="003E573C">
      <w:pPr>
        <w:pStyle w:val="Questionstyle"/>
        <w:numPr>
          <w:ilvl w:val="0"/>
          <w:numId w:val="39"/>
        </w:numPr>
      </w:pPr>
      <w:r>
        <w:t xml:space="preserve">: </w:t>
      </w:r>
      <w:r w:rsidR="002A73F1" w:rsidRPr="002A73F1">
        <w:t>Do you agree with the indicators? Would you recommend any other indicators? Do you see merit in including forward-looking indicators such as emission reduction pathways, or scope 4 emissions (saving other companies´ GHG emissions)?</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6CAE894D" w14:textId="6DFE0BA0" w:rsidR="00CB7396" w:rsidRDefault="00CB7396" w:rsidP="00CB7396">
      <w:pPr>
        <w:rPr>
          <w:szCs w:val="22"/>
          <w:lang w:eastAsia="en-US"/>
        </w:rPr>
      </w:pPr>
      <w:permStart w:id="209390932" w:edGrp="everyone"/>
      <w:r>
        <w:t xml:space="preserve">We are not sure that adverse impact assessment is consistent with assessing sustainability which is the vantage point the regulation seeks to move consumers toward. </w:t>
      </w:r>
    </w:p>
    <w:p w14:paraId="7ED6523E" w14:textId="77777777" w:rsidR="00CB7396" w:rsidRDefault="00CB7396" w:rsidP="00CB7396"/>
    <w:p w14:paraId="7F1E1DB7" w14:textId="77777777" w:rsidR="00CB7396" w:rsidRDefault="00CB7396" w:rsidP="00CB7396">
      <w:r>
        <w:t>It’s difficult to agree that it’s possible to set forward looking criteria without addressing the inability to be certain that criteria applies in reality, which can only be judged with hindsight and the data is not based on quantitative factors given the variables that will affect the data in forward looking scenarios.</w:t>
      </w:r>
    </w:p>
    <w:p w14:paraId="4166E5CC" w14:textId="77777777" w:rsidR="00CB7396" w:rsidRDefault="00CB7396" w:rsidP="00CB7396"/>
    <w:p w14:paraId="4EE27C0A" w14:textId="1FCAA2DB" w:rsidR="003E573C" w:rsidRDefault="00CB7396" w:rsidP="003E573C">
      <w:pPr>
        <w:rPr>
          <w:rFonts w:cs="Arial"/>
        </w:rPr>
      </w:pPr>
      <w:r>
        <w:t>Some of the indicators don’t seem to add much to meeting the objective although they provide information that is of interest, it’s not clear for example recording ‘how many instances’ of an event or activity adds value.  PIMFA would make the case that the disclosure requirements should factor in the benefit of the indicators for the end user.  There is a risk that some of the indicators are very complex and not really of value to retail users and there is a case to argue that some indicators could be optional for the RTS as they will be looked at in more detail during the review of the NFRD?</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217A1EF0" w:rsidR="003E573C" w:rsidRDefault="003E573C" w:rsidP="003E573C">
      <w:pPr>
        <w:pStyle w:val="Questionstyle"/>
        <w:numPr>
          <w:ilvl w:val="0"/>
          <w:numId w:val="39"/>
        </w:numPr>
      </w:pPr>
      <w:r>
        <w:t xml:space="preserve">: </w:t>
      </w:r>
      <w:r w:rsidR="002A73F1" w:rsidRPr="002A73F1">
        <w:t>In addition to the proposed indicators on carbon emissions in Annex I, do you see merit in also requesting a) a relative measure of carbon emissions relative to the EU 2030 climate and energy framework target and b) a relative measure of carbon emissions relative to the prevailing carbon price?</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29E77975" w14:textId="64294267" w:rsidR="003E573C" w:rsidRDefault="00CB7396" w:rsidP="003E573C">
      <w:pPr>
        <w:rPr>
          <w:rFonts w:cs="Arial"/>
        </w:rPr>
      </w:pPr>
      <w:permStart w:id="418122716" w:edGrp="everyone"/>
      <w:r>
        <w:t>We see this as a challenge given that there are no NFR rules to follow and this should be addressed as part of the NFRD review</w:t>
      </w:r>
      <w:r w:rsidR="00AD68B1">
        <w:t>.</w:t>
      </w:r>
      <w:permEnd w:id="418122716"/>
      <w:r w:rsidR="003E573C">
        <w:rPr>
          <w:rFonts w:cs="Arial"/>
        </w:rPr>
        <w:t>&lt;ESA_QUESTION_</w:t>
      </w:r>
      <w:r w:rsidR="00C86E1C">
        <w:rPr>
          <w:rFonts w:cs="Arial"/>
        </w:rPr>
        <w:t>ESG</w:t>
      </w:r>
      <w:r w:rsidR="003E573C">
        <w:rPr>
          <w:rFonts w:cs="Arial"/>
        </w:rPr>
        <w:t>_6&gt;</w:t>
      </w:r>
    </w:p>
    <w:p w14:paraId="302B559F" w14:textId="77777777" w:rsidR="003E573C" w:rsidRDefault="003E573C" w:rsidP="003E573C">
      <w:pPr>
        <w:rPr>
          <w:rFonts w:cs="Arial"/>
        </w:rPr>
      </w:pPr>
    </w:p>
    <w:p w14:paraId="09807F9E" w14:textId="403676DE" w:rsidR="003E573C" w:rsidRDefault="003E573C" w:rsidP="003E573C">
      <w:pPr>
        <w:pStyle w:val="Questionstyle"/>
        <w:numPr>
          <w:ilvl w:val="0"/>
          <w:numId w:val="39"/>
        </w:numPr>
      </w:pPr>
      <w:r>
        <w:t xml:space="preserve">: </w:t>
      </w:r>
      <w:r w:rsidR="002A73F1" w:rsidRPr="002A73F1">
        <w:t>The ESAs saw merit in requiring measurement of both (1) the share of the investments in companies without a particular issue required by the indicator and (2) the share of all companies in the investments without that issue. Do you have any feedback on this proposal?</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6E4FE0B9" w14:textId="50E4C4A2" w:rsidR="00CB7396" w:rsidRDefault="00CB7396" w:rsidP="00CB7396">
      <w:pPr>
        <w:rPr>
          <w:szCs w:val="22"/>
          <w:lang w:eastAsia="en-US"/>
        </w:rPr>
      </w:pPr>
      <w:permStart w:id="569465455" w:edGrp="everyone"/>
      <w:r>
        <w:lastRenderedPageBreak/>
        <w:t>We are not sure what value data on the share of all companies (2) adds and only the share of the investment would seem to be worth compiling and it is also important to be clear what the shar</w:t>
      </w:r>
      <w:r w:rsidR="00AD68B1">
        <w:t>e</w:t>
      </w:r>
      <w:r>
        <w:t xml:space="preserve"> of investment indicator is measuring as portfolios will have a range of assets so the calculations will be difficult.</w:t>
      </w:r>
    </w:p>
    <w:p w14:paraId="096D10B9" w14:textId="77777777" w:rsidR="00CB7396" w:rsidRDefault="00CB7396" w:rsidP="00CB7396"/>
    <w:p w14:paraId="2267AC0F" w14:textId="40BAD103" w:rsidR="003E573C" w:rsidRDefault="00CB7396" w:rsidP="003E573C">
      <w:pPr>
        <w:rPr>
          <w:rFonts w:cs="Arial"/>
        </w:rPr>
      </w:pPr>
      <w:r>
        <w:t xml:space="preserve"> Again, we would highlight that a non-financial frame</w:t>
      </w:r>
      <w:r w:rsidR="00AD68B1">
        <w:t>work is vital to be accurately m</w:t>
      </w:r>
      <w:r>
        <w:t>easure the share of investments and the taxonomy and investee ESG data is probably the more suitable vehicle for the data to be compiled.</w:t>
      </w:r>
      <w:permEnd w:id="569465455"/>
      <w:r w:rsidR="003E573C">
        <w:rPr>
          <w:rFonts w:cs="Arial"/>
        </w:rPr>
        <w:t>&lt;ESA_QUESTION_</w:t>
      </w:r>
      <w:r w:rsidR="00C86E1C">
        <w:rPr>
          <w:rFonts w:cs="Arial"/>
        </w:rPr>
        <w:t>ESG</w:t>
      </w:r>
      <w:r w:rsidR="003E573C">
        <w:rPr>
          <w:rFonts w:cs="Arial"/>
        </w:rPr>
        <w:t>_7&gt;</w:t>
      </w:r>
    </w:p>
    <w:p w14:paraId="7E406E9F" w14:textId="77777777" w:rsidR="003E573C" w:rsidRDefault="003E573C" w:rsidP="003E573C">
      <w:pPr>
        <w:rPr>
          <w:rFonts w:cs="Arial"/>
        </w:rPr>
      </w:pPr>
    </w:p>
    <w:p w14:paraId="08E0CC4A" w14:textId="0B700084" w:rsidR="003E573C" w:rsidRDefault="003E573C" w:rsidP="002A73F1">
      <w:pPr>
        <w:pStyle w:val="ListParagraph"/>
        <w:numPr>
          <w:ilvl w:val="0"/>
          <w:numId w:val="39"/>
        </w:numPr>
        <w:rPr>
          <w:rFonts w:asciiTheme="minorHAnsi" w:eastAsiaTheme="minorEastAsia" w:hAnsiTheme="minorHAnsi" w:cstheme="minorBidi"/>
          <w:b/>
          <w:sz w:val="22"/>
          <w:szCs w:val="20"/>
          <w:lang w:eastAsia="en-US"/>
        </w:rPr>
      </w:pPr>
      <w:r>
        <w:t xml:space="preserve">: </w:t>
      </w:r>
      <w:r w:rsidR="002A73F1" w:rsidRPr="002A73F1">
        <w:rPr>
          <w:rFonts w:asciiTheme="minorHAnsi" w:eastAsiaTheme="minorEastAsia" w:hAnsiTheme="minorHAnsi" w:cstheme="minorBidi"/>
          <w:b/>
          <w:sz w:val="22"/>
          <w:szCs w:val="20"/>
          <w:lang w:eastAsia="en-US"/>
        </w:rPr>
        <w:t>Would you see merit in including more advanced indicators or metrics to allow financial market participants to capture activities by investee companies to reduce GHG emissions? If yes, how would such advanced metrics capture adverse impacts?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31875D2E" w:rsidR="003E573C" w:rsidRDefault="00CB7396" w:rsidP="003E573C">
      <w:pPr>
        <w:rPr>
          <w:rFonts w:cs="Arial"/>
        </w:rPr>
      </w:pPr>
      <w:permStart w:id="1713528049" w:edGrp="everyone"/>
      <w:r>
        <w:t>As stated above, it would seem reasonable that this level of data is better suited to ESG data from investee companies and within a taxonomy but we again make the case that this disclosure is not mandatory until the entire framework for sustainability finance regulation is in place.</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7C9C7281" w:rsidR="003E573C" w:rsidRDefault="003E573C" w:rsidP="003E573C">
      <w:pPr>
        <w:pStyle w:val="Questionstyle"/>
        <w:numPr>
          <w:ilvl w:val="0"/>
          <w:numId w:val="39"/>
        </w:numPr>
      </w:pPr>
      <w:r>
        <w:t xml:space="preserve">: </w:t>
      </w:r>
      <w:r w:rsidR="002A73F1" w:rsidRPr="002A73F1">
        <w:t>Do you agree with the goal of trying to deliver indicators for social and employee matters, respect for human rights, anti-corruption and anti-bribery matters at the same time as the environmental indicators?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3275BCDF" w14:textId="6408AE13" w:rsidR="00CB7396" w:rsidRDefault="00CB7396" w:rsidP="00CB7396">
      <w:pPr>
        <w:rPr>
          <w:szCs w:val="22"/>
          <w:lang w:eastAsia="en-US"/>
        </w:rPr>
      </w:pPr>
      <w:permStart w:id="221670941" w:edGrp="everyone"/>
      <w:r>
        <w:t>We agree measuring this data is important and that there is merit in a full view consideration of all ESG factors that relate to sustainable investments and to understand the impact from these factors but we are also conscious of the challenge for investors to gain access to trustworthy information.</w:t>
      </w:r>
    </w:p>
    <w:p w14:paraId="0A4368BF" w14:textId="4DABC0A6" w:rsidR="003E573C" w:rsidRDefault="00CB7396" w:rsidP="003E573C">
      <w:pPr>
        <w:rPr>
          <w:rFonts w:cs="Arial"/>
        </w:rPr>
      </w:pPr>
      <w:r>
        <w:t>We understand the importance placed on the relevant topics by the EU (and refer to the topics in Q3) and we would suggest the adverse impacts as per Table 1 remain non-mandatory at least until the NFRD review and until more clarity is available on the factors under the remit of th</w:t>
      </w:r>
      <w:r w:rsidR="00AD68B1">
        <w:t>e taxonomy (article 218 and 26)</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6B69127A" w:rsidR="003E573C" w:rsidRDefault="003E573C" w:rsidP="003E573C">
      <w:pPr>
        <w:pStyle w:val="Questionstyle"/>
        <w:numPr>
          <w:ilvl w:val="0"/>
          <w:numId w:val="39"/>
        </w:numPr>
      </w:pPr>
      <w:bookmarkStart w:id="1" w:name="_Hlk18829484"/>
      <w:r>
        <w:t xml:space="preserve">: </w:t>
      </w:r>
      <w:r w:rsidR="002A73F1" w:rsidRPr="002A73F1">
        <w:t>Do you agree with the proposal that financial market participants should provide a historical comparison of principal adverse impact disclosures up to ten years? If not, what timespan would you suggest?</w:t>
      </w:r>
      <w:r w:rsidRPr="00763760">
        <w:t xml:space="preserve"> </w:t>
      </w:r>
      <w:bookmarkEnd w:id="1"/>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09FB09EA" w:rsidR="003E573C" w:rsidRDefault="00CB7396" w:rsidP="003E573C">
      <w:pPr>
        <w:rPr>
          <w:rFonts w:cs="Arial"/>
        </w:rPr>
      </w:pPr>
      <w:permStart w:id="610013876" w:edGrp="everyone"/>
      <w:r>
        <w:t>In principle yes but ten years is a long time for comparative purposes in terms of the record burden it places on participants and would argue for a shorter timescale in the region of five years which is more in line with investment horizon timescales. This keeps the value of the data relevant and reduces the impact of record keeping.</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4A6821D" w:rsidR="003E573C" w:rsidRDefault="003E573C" w:rsidP="003E573C">
      <w:pPr>
        <w:pStyle w:val="Questionstyle"/>
        <w:numPr>
          <w:ilvl w:val="0"/>
          <w:numId w:val="39"/>
        </w:numPr>
      </w:pPr>
      <w:r>
        <w:t xml:space="preserve">: </w:t>
      </w:r>
      <w:r w:rsidR="002A73F1" w:rsidRPr="002A73F1">
        <w:t>Are there any ways to discourage potential “window dressing” techniques in the principal adverse impact reporting? Should the ESAs consider harmonising the methodology and timing of reporting across the reference period, e.g. on what dates the composition of investments must be taken into account? If not, what alternative would you suggest to curtail window dressing techniques?</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139EEB20" w14:textId="1EDB7860" w:rsidR="00CB7396" w:rsidRDefault="00464A10" w:rsidP="00CB7396">
      <w:pPr>
        <w:rPr>
          <w:szCs w:val="22"/>
          <w:lang w:eastAsia="en-US"/>
        </w:rPr>
      </w:pPr>
      <w:permStart w:id="790175202" w:edGrp="everyone"/>
      <w:r>
        <w:t>I</w:t>
      </w:r>
      <w:r w:rsidR="00CB7396">
        <w:t xml:space="preserve">n our view the choice of indicators could give rise to a risk of window dressing and especially if they are not related to verifiable facts. We argue it is vital that there is an agreed understanding if an adverse impact being reached so that indicators are consistent with the ongoing regulatory efforts on the taxonomy </w:t>
      </w:r>
      <w:r w:rsidR="00CB7396">
        <w:lastRenderedPageBreak/>
        <w:t>and non-financial reporting frameworks.  It is difficult to argue than a more granular approach is warranted and instead while guidance can be clarified, it seems allowing participants more flexibility in applying the regulation and adapting to specific risk profiles is a better approach.</w:t>
      </w:r>
    </w:p>
    <w:p w14:paraId="52AEF255" w14:textId="77777777" w:rsidR="00CB7396" w:rsidRDefault="00CB7396" w:rsidP="00CB7396"/>
    <w:p w14:paraId="1C937A34" w14:textId="77777777" w:rsidR="00CB7396" w:rsidRDefault="00CB7396" w:rsidP="00CB7396">
      <w:r>
        <w:t xml:space="preserve">Non-financial reporting standards are crucial to build trustworthy disclosures and they will help minimise greenwashing too and should be included in the NFRD review. </w:t>
      </w:r>
    </w:p>
    <w:p w14:paraId="60C3CFC4" w14:textId="77777777" w:rsidR="00CB7396" w:rsidRDefault="00CB7396" w:rsidP="00CB7396"/>
    <w:p w14:paraId="530678DB" w14:textId="77777777" w:rsidR="00CB7396" w:rsidRDefault="00CB7396" w:rsidP="00CB7396">
      <w:r>
        <w:t xml:space="preserve">We would also suggest consistency on the timeline for reporting is addressed given the variety of timelines that apply across the sector but the timeline needs to factor in disclosure periods for investee firms and for investors given the data may be a year out of date by the time an investee applies it but we remain concerned that too much granularity is not beneficial either and a reasonable balance is needed. </w:t>
      </w:r>
    </w:p>
    <w:p w14:paraId="1BCFDFCF" w14:textId="77777777" w:rsidR="00CB7396" w:rsidRDefault="00CB7396" w:rsidP="00CB7396"/>
    <w:p w14:paraId="140C09C0" w14:textId="32589473" w:rsidR="003E573C" w:rsidRDefault="00CB7396" w:rsidP="003E573C">
      <w:pPr>
        <w:rPr>
          <w:rFonts w:cs="Arial"/>
        </w:rPr>
      </w:pPr>
      <w:r>
        <w:t>For the PAI statement, the value stems from specific assets held at a certain point in time rather than the investment history and we would have concerns that reports for all assets, even if only held for a short time, is not reasonable and places an unfair burden on participants.</w:t>
      </w:r>
      <w:permEnd w:id="790175202"/>
      <w:r w:rsidR="003E573C">
        <w:rPr>
          <w:rFonts w:cs="Arial"/>
        </w:rPr>
        <w:t>&lt;ESA_QUESTION_</w:t>
      </w:r>
      <w:r w:rsidR="00C86E1C">
        <w:rPr>
          <w:rFonts w:cs="Arial"/>
        </w:rPr>
        <w:t>ESG</w:t>
      </w:r>
      <w:r w:rsidR="003E573C">
        <w:rPr>
          <w:rFonts w:cs="Arial"/>
        </w:rPr>
        <w:t>_11&gt;</w:t>
      </w:r>
    </w:p>
    <w:p w14:paraId="2CDEB4F0" w14:textId="77777777" w:rsidR="003E573C" w:rsidRDefault="003E573C" w:rsidP="003E573C">
      <w:pPr>
        <w:rPr>
          <w:rFonts w:cs="Arial"/>
        </w:rPr>
      </w:pPr>
    </w:p>
    <w:p w14:paraId="76D018C7" w14:textId="48A3259C" w:rsidR="003E573C" w:rsidRDefault="003E573C" w:rsidP="003E573C">
      <w:pPr>
        <w:pStyle w:val="Questionstyle"/>
        <w:numPr>
          <w:ilvl w:val="0"/>
          <w:numId w:val="39"/>
        </w:numPr>
      </w:pPr>
      <w:r>
        <w:t xml:space="preserve">: </w:t>
      </w:r>
      <w:r w:rsidR="002A73F1" w:rsidRPr="002A73F1">
        <w:t>Do you agree with the approach to have mandatory (1) pre-contractual and (2) periodic templates for financial products?</w:t>
      </w:r>
    </w:p>
    <w:p w14:paraId="28536FF9" w14:textId="23342845" w:rsidR="003E573C" w:rsidRDefault="003E573C" w:rsidP="003E573C">
      <w:pPr>
        <w:rPr>
          <w:rFonts w:cs="Arial"/>
        </w:rPr>
      </w:pPr>
      <w:r>
        <w:rPr>
          <w:rFonts w:cs="Arial"/>
        </w:rPr>
        <w:t>&lt;ESA_QUESTION_</w:t>
      </w:r>
      <w:r w:rsidR="00C86E1C">
        <w:rPr>
          <w:rFonts w:cs="Arial"/>
        </w:rPr>
        <w:t>ESG</w:t>
      </w:r>
      <w:r>
        <w:rPr>
          <w:rFonts w:cs="Arial"/>
        </w:rPr>
        <w:t>_12&gt;</w:t>
      </w:r>
    </w:p>
    <w:p w14:paraId="50789846" w14:textId="300CE901" w:rsidR="00CB7396" w:rsidRDefault="00CB7396" w:rsidP="00CB7396">
      <w:pPr>
        <w:rPr>
          <w:szCs w:val="22"/>
          <w:lang w:eastAsia="en-US"/>
        </w:rPr>
      </w:pPr>
      <w:permStart w:id="800330460" w:edGrp="everyone"/>
      <w:r>
        <w:t xml:space="preserve">As mentioned already we are not sure that a sufficient case has been made for how certain disclosures add value, although we understand the attraction of more data being disclosed up to a point.  In the context of MiFID the PRIIPS KID can provide for the inclusion of information that would clarify a product meets sustainability objectives and we would be reluctant to support more mandatory templates but rather that it was optional. </w:t>
      </w:r>
    </w:p>
    <w:p w14:paraId="3D768920" w14:textId="77777777" w:rsidR="00CB7396" w:rsidRDefault="00CB7396" w:rsidP="00CB7396"/>
    <w:p w14:paraId="07776659" w14:textId="77777777" w:rsidR="00CB7396" w:rsidRDefault="00CB7396" w:rsidP="00CB7396">
      <w:r>
        <w:t>We would mention it is difficult to see how a single mandatory template could be designed that is sufficient for the entire cross sector range of products and services.  The ESAs raised a valid point in the consultation on the range of documents where sustainability factors are addressed. The Level 1 obligations are a challenge and are best met through applying a flexible system that can respond to real world consequences instead of rigid standards.</w:t>
      </w:r>
    </w:p>
    <w:p w14:paraId="0A9E1005" w14:textId="77777777" w:rsidR="00CB7396" w:rsidRDefault="00CB7396" w:rsidP="00CB7396"/>
    <w:p w14:paraId="6CD93F52" w14:textId="77777777" w:rsidR="00CB7396" w:rsidRDefault="00CB7396" w:rsidP="00CB7396">
      <w:r>
        <w:t>The lack of draft templates and the confirmation at the public hearing that these will not be shared before the requirements come into force is understandable but may require an acceptance that more consultation is required at a later stage and again we make the case for flexibility to avoid the ESAs having to deal with avoidable difficulties from taking a prescribed approach.</w:t>
      </w:r>
    </w:p>
    <w:p w14:paraId="655F0CC5" w14:textId="77777777" w:rsidR="00CB7396" w:rsidRDefault="00CB7396" w:rsidP="00CB7396"/>
    <w:p w14:paraId="7F118029" w14:textId="3A16EF55" w:rsidR="003E573C" w:rsidRDefault="00CB7396" w:rsidP="003E573C">
      <w:pPr>
        <w:rPr>
          <w:rFonts w:cs="Arial"/>
        </w:rPr>
      </w:pPr>
      <w:r>
        <w:t xml:space="preserve">It would also be interesting to undertake a consumer engagement process to ensure that as well as setting higher level expectations, there is also engagement with the end user whose behaviours in relation to sustainability also need to evolve, and which are harder to change if they do not feel comfortable with the process they experience when getting financial advice but also with regard to the documentation and information they are provided with and it would be beneficial in the long term if lessons from previous experience were taken on board at this earlier stage.  There is plenty of evidence that consumers are put off engaging with financial advice due to issues relating to financial literacy and information overload and we would argue it would be beneficial to collect feedback from consumers to verify </w:t>
      </w:r>
      <w:r w:rsidR="00464A10">
        <w:t>that</w:t>
      </w:r>
      <w:r>
        <w:t xml:space="preserve"> </w:t>
      </w:r>
      <w:r w:rsidR="00464A10">
        <w:t xml:space="preserve">the </w:t>
      </w:r>
      <w:bookmarkStart w:id="2" w:name="_GoBack"/>
      <w:bookmarkEnd w:id="2"/>
      <w:r>
        <w:t>financial services market understand the objective and practical measures connected to the regulation and their needs are met by it.</w:t>
      </w:r>
      <w:permEnd w:id="800330460"/>
      <w:r w:rsidR="003E573C">
        <w:rPr>
          <w:rFonts w:cs="Arial"/>
        </w:rPr>
        <w:t>&lt;ESA_QUESTION_</w:t>
      </w:r>
      <w:r w:rsidR="00C86E1C">
        <w:rPr>
          <w:rFonts w:cs="Arial"/>
        </w:rPr>
        <w:t>ESG</w:t>
      </w:r>
      <w:r w:rsidR="003E573C">
        <w:rPr>
          <w:rFonts w:cs="Arial"/>
        </w:rPr>
        <w:t>_12&gt;</w:t>
      </w:r>
    </w:p>
    <w:p w14:paraId="5D6EAA31" w14:textId="77777777" w:rsidR="003E573C" w:rsidRDefault="003E573C" w:rsidP="003E573C">
      <w:pPr>
        <w:rPr>
          <w:rFonts w:cs="Arial"/>
        </w:rPr>
      </w:pPr>
    </w:p>
    <w:p w14:paraId="7983F908" w14:textId="50BC38BE" w:rsidR="003E573C" w:rsidRDefault="003E573C" w:rsidP="003E573C">
      <w:pPr>
        <w:pStyle w:val="Questionstyle"/>
        <w:numPr>
          <w:ilvl w:val="0"/>
          <w:numId w:val="39"/>
        </w:numPr>
      </w:pPr>
      <w:r>
        <w:t xml:space="preserve">: </w:t>
      </w:r>
      <w:r w:rsidR="002A73F1" w:rsidRPr="002A73F1">
        <w:t>If the ESAs develop such pre-contractual and periodic templates, what elements should the ESAs include and how should they be formatted?</w:t>
      </w:r>
    </w:p>
    <w:p w14:paraId="56F5A2F0" w14:textId="619A0097" w:rsidR="003E573C" w:rsidRDefault="003E573C" w:rsidP="003E573C">
      <w:pPr>
        <w:rPr>
          <w:rFonts w:cs="Arial"/>
        </w:rPr>
      </w:pPr>
      <w:r>
        <w:rPr>
          <w:rFonts w:cs="Arial"/>
        </w:rPr>
        <w:t>&lt;ESA_QUESTION_</w:t>
      </w:r>
      <w:r w:rsidR="00C86E1C">
        <w:rPr>
          <w:rFonts w:cs="Arial"/>
        </w:rPr>
        <w:t>ESG</w:t>
      </w:r>
      <w:r>
        <w:rPr>
          <w:rFonts w:cs="Arial"/>
        </w:rPr>
        <w:t>_13&gt;</w:t>
      </w:r>
    </w:p>
    <w:p w14:paraId="2878B4EB" w14:textId="2F7FCB39" w:rsidR="003E573C" w:rsidRDefault="00AD68B1" w:rsidP="003E573C">
      <w:pPr>
        <w:rPr>
          <w:rFonts w:cs="Arial"/>
        </w:rPr>
      </w:pPr>
      <w:permStart w:id="1179406826" w:edGrp="everyone"/>
      <w:r>
        <w:lastRenderedPageBreak/>
        <w:t xml:space="preserve">It </w:t>
      </w:r>
      <w:r w:rsidR="00CB7396">
        <w:t>would also seem reasonable to draw attention to lessons from other statements processes such as PRIIPs and an element of flexibility can reflect the reality of different product features.  It would be welcome if market participants were able to deliver periodic reports to their customers in the most suitable format for the consumer and for the business to meet its requirements.</w:t>
      </w:r>
    </w:p>
    <w:permEnd w:id="1179406826"/>
    <w:p w14:paraId="39C16C25" w14:textId="12218D08" w:rsidR="003E573C" w:rsidRDefault="003E573C" w:rsidP="003E573C">
      <w:pPr>
        <w:rPr>
          <w:rFonts w:cs="Arial"/>
        </w:rPr>
      </w:pPr>
      <w:r>
        <w:rPr>
          <w:rFonts w:cs="Arial"/>
        </w:rPr>
        <w:t>&lt;ESA_QUESTION_</w:t>
      </w:r>
      <w:r w:rsidR="00C86E1C">
        <w:rPr>
          <w:rFonts w:cs="Arial"/>
        </w:rPr>
        <w:t>ESG</w:t>
      </w:r>
      <w:r>
        <w:rPr>
          <w:rFonts w:cs="Arial"/>
        </w:rPr>
        <w:t>_13&gt;</w:t>
      </w:r>
    </w:p>
    <w:p w14:paraId="4C5E99F0" w14:textId="77777777" w:rsidR="003E573C" w:rsidRDefault="003E573C" w:rsidP="003E573C">
      <w:pPr>
        <w:rPr>
          <w:rFonts w:cs="Arial"/>
        </w:rPr>
      </w:pPr>
    </w:p>
    <w:p w14:paraId="64446580" w14:textId="7F73C6BF" w:rsidR="003E573C" w:rsidRDefault="003E573C" w:rsidP="003E573C">
      <w:pPr>
        <w:pStyle w:val="Questionstyle"/>
        <w:numPr>
          <w:ilvl w:val="0"/>
          <w:numId w:val="39"/>
        </w:numPr>
      </w:pPr>
      <w:r>
        <w:t xml:space="preserve">: </w:t>
      </w:r>
      <w:r w:rsidR="002A73F1" w:rsidRPr="002A73F1">
        <w:t>If you do not agree with harmonised reporting templates for financial products, please suggest what other approach you would propose that would ensure comparability between products.</w:t>
      </w:r>
    </w:p>
    <w:p w14:paraId="2EF6CD1F" w14:textId="378E184E" w:rsidR="003E573C" w:rsidRDefault="003E573C" w:rsidP="003E573C">
      <w:pPr>
        <w:rPr>
          <w:rFonts w:cs="Arial"/>
        </w:rPr>
      </w:pPr>
      <w:r>
        <w:rPr>
          <w:rFonts w:cs="Arial"/>
        </w:rPr>
        <w:t>&lt;ESA_QUESTION_</w:t>
      </w:r>
      <w:r w:rsidR="00C86E1C">
        <w:rPr>
          <w:rFonts w:cs="Arial"/>
        </w:rPr>
        <w:t>ESG</w:t>
      </w:r>
      <w:r>
        <w:rPr>
          <w:rFonts w:cs="Arial"/>
        </w:rPr>
        <w:t>_14&gt;</w:t>
      </w:r>
    </w:p>
    <w:p w14:paraId="4D27EE23" w14:textId="60DE5D5C" w:rsidR="003E573C" w:rsidRPr="00AD68B1" w:rsidRDefault="00CB7396" w:rsidP="003E573C">
      <w:pPr>
        <w:rPr>
          <w:szCs w:val="22"/>
          <w:lang w:eastAsia="en-US"/>
        </w:rPr>
      </w:pPr>
      <w:permStart w:id="1646396141" w:edGrp="everyone"/>
      <w:r>
        <w:t>Instead of mandating templates the standards should map out what information has to be shared without specifying the format. The RTS have set out the headings and the order for the information so that at least sets a degree of standardisation that is reasonable. Voluntary guidance could be drafted to set out best practice and a data point for consumers and end users to understand the disclosures could be produced at regulatory level.</w:t>
      </w:r>
    </w:p>
    <w:permEnd w:id="1646396141"/>
    <w:p w14:paraId="0FE78052" w14:textId="02AEED75" w:rsidR="003E573C" w:rsidRDefault="003E573C" w:rsidP="003E573C">
      <w:pPr>
        <w:rPr>
          <w:rFonts w:cs="Arial"/>
        </w:rPr>
      </w:pPr>
      <w:r>
        <w:rPr>
          <w:rFonts w:cs="Arial"/>
        </w:rPr>
        <w:t>&lt;ESA_QUESTION_</w:t>
      </w:r>
      <w:r w:rsidR="00C86E1C">
        <w:rPr>
          <w:rFonts w:cs="Arial"/>
        </w:rPr>
        <w:t>ESG</w:t>
      </w:r>
      <w:r>
        <w:rPr>
          <w:rFonts w:cs="Arial"/>
        </w:rPr>
        <w:t>_14&gt;</w:t>
      </w:r>
    </w:p>
    <w:p w14:paraId="3F3287D4" w14:textId="77777777" w:rsidR="003E573C" w:rsidRDefault="003E573C" w:rsidP="003E573C">
      <w:pPr>
        <w:rPr>
          <w:rFonts w:cs="Arial"/>
        </w:rPr>
      </w:pPr>
    </w:p>
    <w:p w14:paraId="1091B925" w14:textId="47FA8968" w:rsidR="003E573C" w:rsidRDefault="003E573C" w:rsidP="003E573C">
      <w:pPr>
        <w:pStyle w:val="Questionstyle"/>
        <w:numPr>
          <w:ilvl w:val="0"/>
          <w:numId w:val="39"/>
        </w:numPr>
      </w:pPr>
      <w:r>
        <w:t xml:space="preserve">: </w:t>
      </w:r>
      <w:r w:rsidR="002A73F1" w:rsidRPr="002A73F1">
        <w:t>Do you agree with the balance of information between pre-contractual and website information requirements? Apart from the items listed under Questions 25 and 26, is there anything you would add or subtract from these proposals?</w:t>
      </w:r>
    </w:p>
    <w:p w14:paraId="41786DD9" w14:textId="07ADD6ED" w:rsidR="003E573C" w:rsidRDefault="003E573C" w:rsidP="003E573C">
      <w:pPr>
        <w:rPr>
          <w:rFonts w:cs="Arial"/>
        </w:rPr>
      </w:pPr>
      <w:r>
        <w:rPr>
          <w:rFonts w:cs="Arial"/>
        </w:rPr>
        <w:t>&lt;ESA_QUESTION_</w:t>
      </w:r>
      <w:r w:rsidR="00C86E1C">
        <w:rPr>
          <w:rFonts w:cs="Arial"/>
        </w:rPr>
        <w:t>ESG</w:t>
      </w:r>
      <w:r>
        <w:rPr>
          <w:rFonts w:cs="Arial"/>
        </w:rPr>
        <w:t>_15&gt;</w:t>
      </w:r>
    </w:p>
    <w:p w14:paraId="7FE0966F" w14:textId="1F5F412B" w:rsidR="00CB7396" w:rsidRDefault="00CB7396" w:rsidP="00CB7396">
      <w:pPr>
        <w:rPr>
          <w:szCs w:val="22"/>
          <w:lang w:eastAsia="en-US"/>
        </w:rPr>
      </w:pPr>
      <w:permStart w:id="1271138379" w:edGrp="everyone"/>
      <w:r>
        <w:t xml:space="preserve">It is welcome that the pre-contractual information is short and concise given the Level 1 comparison.  We mention already our worry that overloading consumers with information diminishes the value of that information and risks the consumer being even less engaged.  Excessive disclosure of information rarely adds value and we would draw attention to our comment that consumer testing on information relating to disclosures could be beneficial. </w:t>
      </w:r>
    </w:p>
    <w:p w14:paraId="65F80E04" w14:textId="77777777" w:rsidR="00CB7396" w:rsidRDefault="00CB7396" w:rsidP="00CB7396"/>
    <w:p w14:paraId="783EACA8" w14:textId="77777777" w:rsidR="00CB7396" w:rsidRDefault="00CB7396" w:rsidP="00CB7396">
      <w:r>
        <w:t xml:space="preserve">More technical information is easier to display on a website (how many people have ever read the dense terms and conditions posted with a credit card, or the online terms before clicking agreed), and if there is a reason why consumers should make the time to read information then a website is probably a better format to devise a format to make that a reality. But in terms of direct provision of information we would take the few that less is more and careful consideration is needed to determine the exact understanding a consumer should take from the information mandated to be disclosed. </w:t>
      </w:r>
    </w:p>
    <w:p w14:paraId="177296E1" w14:textId="77777777" w:rsidR="00CB7396" w:rsidRDefault="00CB7396" w:rsidP="00CB7396"/>
    <w:p w14:paraId="2212F44E" w14:textId="77777777" w:rsidR="00CB7396" w:rsidRDefault="00CB7396" w:rsidP="00CB7396">
      <w:r>
        <w:t xml:space="preserve">We are not clear if the requirement to use the language of international finance is reasonable and clear language without the use of technical or ‘in-house’ terminology is more suited given the end user the disclosures are intended for. UK products are required to be clear, fair and not misleading and this should extend to the entire range of documentation.  We cannot see that disclosure documents in more technical terms than the marketing documents will engage end users or increase financial literacy. </w:t>
      </w:r>
    </w:p>
    <w:p w14:paraId="4C332183" w14:textId="77777777" w:rsidR="00CB7396" w:rsidRDefault="00CB7396" w:rsidP="00CB7396"/>
    <w:p w14:paraId="441AFA85" w14:textId="38E16057" w:rsidR="003E573C" w:rsidRDefault="00CB7396" w:rsidP="003E573C">
      <w:pPr>
        <w:rPr>
          <w:rFonts w:cs="Arial"/>
        </w:rPr>
      </w:pPr>
      <w:r>
        <w:t>To reduce information overload it could be more useful that links to relevant information on the fund provider site can be provided as we would mention it seems there is still a conversation not have about duplication of information and to ensure the burden of collating data is spread fairly so that if a fund provider has the required data, there is no need for the participant to draft that information again in its documentation, which gives rise to the information overload point made previously</w:t>
      </w:r>
      <w:r w:rsidR="00AD68B1">
        <w:t>.</w:t>
      </w:r>
    </w:p>
    <w:permEnd w:id="1271138379"/>
    <w:p w14:paraId="5A098E3E" w14:textId="2E81C49D" w:rsidR="003E573C" w:rsidRDefault="003E573C" w:rsidP="003E573C">
      <w:pPr>
        <w:rPr>
          <w:rFonts w:cs="Arial"/>
        </w:rPr>
      </w:pPr>
      <w:r>
        <w:rPr>
          <w:rFonts w:cs="Arial"/>
        </w:rPr>
        <w:t>&lt;ESA_QUESTION_</w:t>
      </w:r>
      <w:r w:rsidR="00C86E1C">
        <w:rPr>
          <w:rFonts w:cs="Arial"/>
        </w:rPr>
        <w:t>ESG</w:t>
      </w:r>
      <w:r>
        <w:rPr>
          <w:rFonts w:cs="Arial"/>
        </w:rPr>
        <w:t>_15&gt;</w:t>
      </w:r>
    </w:p>
    <w:p w14:paraId="3BA2B6C4" w14:textId="77777777" w:rsidR="003E573C" w:rsidRDefault="003E573C" w:rsidP="003E573C">
      <w:pPr>
        <w:rPr>
          <w:rFonts w:cs="Arial"/>
        </w:rPr>
      </w:pPr>
    </w:p>
    <w:p w14:paraId="6C4A59AA" w14:textId="241CEA66" w:rsidR="003E573C" w:rsidRDefault="003E573C" w:rsidP="003E573C">
      <w:pPr>
        <w:pStyle w:val="Questionstyle"/>
        <w:numPr>
          <w:ilvl w:val="0"/>
          <w:numId w:val="39"/>
        </w:numPr>
      </w:pPr>
      <w:r>
        <w:t xml:space="preserve">: </w:t>
      </w:r>
      <w:r w:rsidR="002A73F1" w:rsidRPr="002A73F1">
        <w:t>Do you think the differences between Article 8 and Article 9 products are sufficiently well captured by the proposed provisions? If not, please suggest how the disclosures could be further distinguished.</w:t>
      </w:r>
    </w:p>
    <w:p w14:paraId="7B5EAE23" w14:textId="6B08695F" w:rsidR="003E573C" w:rsidRDefault="003E573C" w:rsidP="003E573C">
      <w:pPr>
        <w:rPr>
          <w:rFonts w:cs="Arial"/>
        </w:rPr>
      </w:pPr>
      <w:r>
        <w:rPr>
          <w:rFonts w:cs="Arial"/>
        </w:rPr>
        <w:lastRenderedPageBreak/>
        <w:t>&lt;ESA_QUESTION_</w:t>
      </w:r>
      <w:r w:rsidR="00C86E1C">
        <w:rPr>
          <w:rFonts w:cs="Arial"/>
        </w:rPr>
        <w:t>ESG</w:t>
      </w:r>
      <w:r>
        <w:rPr>
          <w:rFonts w:cs="Arial"/>
        </w:rPr>
        <w:t>_16&gt;</w:t>
      </w:r>
    </w:p>
    <w:p w14:paraId="1EC6FB9C" w14:textId="77777777" w:rsidR="00C80519" w:rsidRDefault="00C80519" w:rsidP="00C80519">
      <w:permStart w:id="739535953" w:edGrp="everyone"/>
      <w:r>
        <w:t xml:space="preserve">It is reasonable that more clarification will be required at the Level 2 stage to be certain when a product qualifies or either definition so firms can meet compliance requirements. </w:t>
      </w:r>
    </w:p>
    <w:p w14:paraId="52AF6550" w14:textId="77777777" w:rsidR="00C80519" w:rsidRDefault="00C80519" w:rsidP="00C80519"/>
    <w:p w14:paraId="7A4B7DC1" w14:textId="3BF94489" w:rsidR="003E573C" w:rsidRDefault="00C80519" w:rsidP="003E573C">
      <w:pPr>
        <w:rPr>
          <w:rFonts w:cs="Arial"/>
        </w:rPr>
      </w:pPr>
      <w:r>
        <w:t>A product falls under the remit of the Art 8 or 9 definition when the whole product is marketed as sustainable but if a general approach to sustainability is taken then it’s not clear that produ</w:t>
      </w:r>
      <w:r w:rsidR="00AD68B1">
        <w:t>ct falls under the remit of Art</w:t>
      </w:r>
      <w:r>
        <w:t xml:space="preserve"> 8 or 9.  We would have concerns that consumers will not understand the difference between Art 8 and 9 products. They may misunderstand the warnings and this confusion is avoidable as investors should receive correct information on the specific sustainability characteristics of a product anyway based on the RTS.</w:t>
      </w:r>
    </w:p>
    <w:permEnd w:id="739535953"/>
    <w:p w14:paraId="3D245DDC" w14:textId="14A18067" w:rsidR="003E573C" w:rsidRDefault="003E573C" w:rsidP="003E573C">
      <w:pPr>
        <w:rPr>
          <w:rFonts w:cs="Arial"/>
        </w:rPr>
      </w:pPr>
      <w:r>
        <w:rPr>
          <w:rFonts w:cs="Arial"/>
        </w:rPr>
        <w:t>&lt;ESA_QUESTION_</w:t>
      </w:r>
      <w:r w:rsidR="00C86E1C">
        <w:rPr>
          <w:rFonts w:cs="Arial"/>
        </w:rPr>
        <w:t>ESG</w:t>
      </w:r>
      <w:r>
        <w:rPr>
          <w:rFonts w:cs="Arial"/>
        </w:rPr>
        <w:t>_16&gt;</w:t>
      </w:r>
    </w:p>
    <w:p w14:paraId="3731876E" w14:textId="77777777" w:rsidR="003E573C" w:rsidRDefault="003E573C" w:rsidP="003E573C">
      <w:pPr>
        <w:rPr>
          <w:rFonts w:cs="Arial"/>
        </w:rPr>
      </w:pPr>
    </w:p>
    <w:p w14:paraId="02255DE2" w14:textId="2A03C0E4" w:rsidR="003E573C" w:rsidRDefault="003E573C" w:rsidP="003E573C">
      <w:pPr>
        <w:pStyle w:val="Questionstyle"/>
        <w:numPr>
          <w:ilvl w:val="0"/>
          <w:numId w:val="39"/>
        </w:numPr>
      </w:pPr>
      <w:r>
        <w:t xml:space="preserve">: </w:t>
      </w:r>
      <w:r w:rsidR="002A73F1" w:rsidRPr="002A73F1">
        <w:t>Do the graphical and narrative descriptions of investment proportions capture indirect investments sufficiently?</w:t>
      </w:r>
    </w:p>
    <w:p w14:paraId="6E8F4F30" w14:textId="126FFDF5" w:rsidR="003E573C" w:rsidRDefault="003E573C" w:rsidP="003E573C">
      <w:pPr>
        <w:rPr>
          <w:rFonts w:cs="Arial"/>
        </w:rPr>
      </w:pPr>
      <w:r>
        <w:rPr>
          <w:rFonts w:cs="Arial"/>
        </w:rPr>
        <w:t>&lt;ESA_QUESTION_</w:t>
      </w:r>
      <w:r w:rsidR="00C86E1C">
        <w:rPr>
          <w:rFonts w:cs="Arial"/>
        </w:rPr>
        <w:t>ESG</w:t>
      </w:r>
      <w:r>
        <w:rPr>
          <w:rFonts w:cs="Arial"/>
        </w:rPr>
        <w:t>_17&gt;</w:t>
      </w:r>
    </w:p>
    <w:p w14:paraId="0ADDC51A" w14:textId="70A6714B" w:rsidR="003E573C" w:rsidRDefault="00C80519" w:rsidP="003E573C">
      <w:pPr>
        <w:rPr>
          <w:rFonts w:cs="Arial"/>
        </w:rPr>
      </w:pPr>
      <w:permStart w:id="225396737" w:edGrp="everyone"/>
      <w:r>
        <w:t>Given the wide range of indirect investments (collective investments or derivatives) it is a challenge to give a complete ‘graphical and narrative’ description and we would welcome more consideration on this issue.</w:t>
      </w:r>
    </w:p>
    <w:permEnd w:id="225396737"/>
    <w:p w14:paraId="78DF26C5" w14:textId="3E543289" w:rsidR="003E573C" w:rsidRDefault="003E573C" w:rsidP="003E573C">
      <w:pPr>
        <w:rPr>
          <w:rFonts w:cs="Arial"/>
        </w:rPr>
      </w:pPr>
      <w:r>
        <w:rPr>
          <w:rFonts w:cs="Arial"/>
        </w:rPr>
        <w:t>&lt;ESA_QUESTION_</w:t>
      </w:r>
      <w:r w:rsidR="00C86E1C">
        <w:rPr>
          <w:rFonts w:cs="Arial"/>
        </w:rPr>
        <w:t>ESG</w:t>
      </w:r>
      <w:r>
        <w:rPr>
          <w:rFonts w:cs="Arial"/>
        </w:rPr>
        <w:t>_17&gt;</w:t>
      </w:r>
    </w:p>
    <w:p w14:paraId="23DF59D7" w14:textId="77777777" w:rsidR="003E573C" w:rsidRDefault="003E573C" w:rsidP="003E573C">
      <w:pPr>
        <w:rPr>
          <w:rFonts w:cs="Arial"/>
        </w:rPr>
      </w:pPr>
    </w:p>
    <w:p w14:paraId="4A8653C3" w14:textId="195D385D" w:rsidR="003E573C" w:rsidRDefault="003E573C" w:rsidP="003E573C">
      <w:pPr>
        <w:pStyle w:val="Questionstyle"/>
        <w:numPr>
          <w:ilvl w:val="0"/>
          <w:numId w:val="39"/>
        </w:numPr>
      </w:pPr>
      <w:r>
        <w:t xml:space="preserve">: </w:t>
      </w:r>
      <w:r w:rsidR="002A73F1" w:rsidRPr="002A73F1">
        <w:t>The draft RTS require in Article 15(2) that for Article 8 products graphical representations illustrate the proportion of investments screened against the environmental or social characteristics of the financial product. However, as characteristics can widely vary from product to product do you think using the same graphical representation for very different types of products could be misleading to end-investors? If yes, how should such graphic representation be adapted?</w:t>
      </w:r>
      <w:r w:rsidRPr="00763760">
        <w:t xml:space="preserve"> </w:t>
      </w:r>
    </w:p>
    <w:p w14:paraId="1E4844B2" w14:textId="4FEF4585" w:rsidR="003E573C" w:rsidRDefault="003E573C" w:rsidP="003E573C">
      <w:pPr>
        <w:rPr>
          <w:rFonts w:cs="Arial"/>
        </w:rPr>
      </w:pPr>
      <w:r>
        <w:rPr>
          <w:rFonts w:cs="Arial"/>
        </w:rPr>
        <w:t>&lt;ESA_QUESTION_</w:t>
      </w:r>
      <w:r w:rsidR="00C86E1C">
        <w:rPr>
          <w:rFonts w:cs="Arial"/>
        </w:rPr>
        <w:t>ESG</w:t>
      </w:r>
      <w:r>
        <w:rPr>
          <w:rFonts w:cs="Arial"/>
        </w:rPr>
        <w:t>_18&gt;</w:t>
      </w:r>
    </w:p>
    <w:p w14:paraId="69754E28" w14:textId="01F87A0B" w:rsidR="00C80519" w:rsidRDefault="00C80519" w:rsidP="00C80519">
      <w:pPr>
        <w:rPr>
          <w:szCs w:val="22"/>
          <w:lang w:eastAsia="en-US"/>
        </w:rPr>
      </w:pPr>
      <w:permStart w:id="1687822303" w:edGrp="everyone"/>
      <w:r>
        <w:t>As we understand it this requirement would mean that a product in the remit of Art 8 could still have social and environmental objectives and this is not the case?</w:t>
      </w:r>
    </w:p>
    <w:p w14:paraId="54443111" w14:textId="77777777" w:rsidR="00C80519" w:rsidRDefault="00C80519" w:rsidP="00C80519"/>
    <w:p w14:paraId="558026DF" w14:textId="3379ECD3" w:rsidR="003E573C" w:rsidRDefault="00C80519" w:rsidP="003E573C">
      <w:pPr>
        <w:rPr>
          <w:rFonts w:cs="Arial"/>
        </w:rPr>
      </w:pPr>
      <w:r>
        <w:t>We refer again to the preference to undertake some research into the usefulness of these descriptions as it could be the case that allocating types of products across financial instructions can be misleading and confusing for the consumer as it’s assuming a level of technical knowledge of the consumer that is unlikely to be the case and the targ</w:t>
      </w:r>
      <w:r w:rsidR="006E44EE">
        <w:t>e</w:t>
      </w:r>
      <w:r>
        <w:t>t market for the information seems to have been overlooked.</w:t>
      </w:r>
    </w:p>
    <w:permEnd w:id="1687822303"/>
    <w:p w14:paraId="30601A6B" w14:textId="3603F604" w:rsidR="003E573C" w:rsidRDefault="003E573C" w:rsidP="003E573C">
      <w:pPr>
        <w:rPr>
          <w:rFonts w:cs="Arial"/>
        </w:rPr>
      </w:pPr>
      <w:r>
        <w:rPr>
          <w:rFonts w:cs="Arial"/>
        </w:rPr>
        <w:t>&lt;ESA_QUESTION_</w:t>
      </w:r>
      <w:r w:rsidR="00C86E1C">
        <w:rPr>
          <w:rFonts w:cs="Arial"/>
        </w:rPr>
        <w:t>ESG</w:t>
      </w:r>
      <w:r>
        <w:rPr>
          <w:rFonts w:cs="Arial"/>
        </w:rPr>
        <w:t>_18&gt;</w:t>
      </w:r>
    </w:p>
    <w:p w14:paraId="71E259CD" w14:textId="77777777" w:rsidR="003E573C" w:rsidRDefault="003E573C" w:rsidP="003E573C">
      <w:pPr>
        <w:rPr>
          <w:rFonts w:cs="Arial"/>
        </w:rPr>
      </w:pPr>
    </w:p>
    <w:p w14:paraId="139C12FF" w14:textId="5DBA941B" w:rsidR="003E573C" w:rsidRDefault="003E573C" w:rsidP="003E573C">
      <w:pPr>
        <w:pStyle w:val="Questionstyle"/>
        <w:numPr>
          <w:ilvl w:val="0"/>
          <w:numId w:val="39"/>
        </w:numPr>
      </w:pPr>
      <w:r>
        <w:t xml:space="preserve">: </w:t>
      </w:r>
      <w:r w:rsidR="002A73F1" w:rsidRPr="002A73F1">
        <w:t>Do you agree with always disclosing exposure to solid fossil-fuel sectors? Are there other sectors that should be captured in such a way, such as nuclear energy?</w:t>
      </w:r>
    </w:p>
    <w:p w14:paraId="65918E7C" w14:textId="4D81FF05" w:rsidR="003E573C" w:rsidRDefault="003E573C" w:rsidP="003E573C">
      <w:pPr>
        <w:rPr>
          <w:rFonts w:cs="Arial"/>
        </w:rPr>
      </w:pPr>
      <w:r>
        <w:rPr>
          <w:rFonts w:cs="Arial"/>
        </w:rPr>
        <w:t>&lt;ESA_QUESTION_</w:t>
      </w:r>
      <w:r w:rsidR="00C86E1C">
        <w:rPr>
          <w:rFonts w:cs="Arial"/>
        </w:rPr>
        <w:t>ESG</w:t>
      </w:r>
      <w:r>
        <w:rPr>
          <w:rFonts w:cs="Arial"/>
        </w:rPr>
        <w:t>_19&gt;</w:t>
      </w:r>
    </w:p>
    <w:p w14:paraId="1C1420B0" w14:textId="6771E875" w:rsidR="003E573C" w:rsidRDefault="00C80519" w:rsidP="003E573C">
      <w:pPr>
        <w:rPr>
          <w:rFonts w:cs="Arial"/>
        </w:rPr>
      </w:pPr>
      <w:permStart w:id="669663577" w:edGrp="everyone"/>
      <w:r>
        <w:t xml:space="preserve">We note that the taxonomy excludes fossil fuel power generation is not a sustainable activity as defined in the taxonomy and it could be helpful if fossil fuel that is most harmful </w:t>
      </w:r>
      <w:r w:rsidR="006E44EE">
        <w:t>c</w:t>
      </w:r>
      <w:r>
        <w:t>an be identified where there is an alternative or a transition pathway.  More work is required in our view on how to quantify this information if it has to be provided and what matters firms need to have regard for (</w:t>
      </w:r>
      <w:proofErr w:type="spellStart"/>
      <w:r>
        <w:t>ie</w:t>
      </w:r>
      <w:proofErr w:type="spellEnd"/>
      <w:r>
        <w:t xml:space="preserve"> revenue generated, risk exposure, pathways </w:t>
      </w:r>
      <w:proofErr w:type="spellStart"/>
      <w:r>
        <w:t>etc</w:t>
      </w:r>
      <w:proofErr w:type="spellEnd"/>
      <w:r>
        <w:t>)?</w:t>
      </w:r>
    </w:p>
    <w:permEnd w:id="669663577"/>
    <w:p w14:paraId="4B36BA28" w14:textId="0C626534" w:rsidR="003E573C" w:rsidRDefault="003E573C" w:rsidP="003E573C">
      <w:pPr>
        <w:rPr>
          <w:rFonts w:cs="Arial"/>
        </w:rPr>
      </w:pPr>
      <w:r>
        <w:rPr>
          <w:rFonts w:cs="Arial"/>
        </w:rPr>
        <w:t>&lt;ESA_QUESTION_</w:t>
      </w:r>
      <w:r w:rsidR="00C86E1C">
        <w:rPr>
          <w:rFonts w:cs="Arial"/>
        </w:rPr>
        <w:t>ESG</w:t>
      </w:r>
      <w:r>
        <w:rPr>
          <w:rFonts w:cs="Arial"/>
        </w:rPr>
        <w:t>_19&gt;</w:t>
      </w:r>
    </w:p>
    <w:p w14:paraId="0D906F8B" w14:textId="77777777" w:rsidR="003E573C" w:rsidRDefault="003E573C" w:rsidP="003E573C">
      <w:pPr>
        <w:rPr>
          <w:rFonts w:cs="Arial"/>
        </w:rPr>
      </w:pPr>
    </w:p>
    <w:p w14:paraId="7913E742" w14:textId="76181CFC" w:rsidR="003E573C" w:rsidRDefault="003E573C" w:rsidP="003E573C">
      <w:pPr>
        <w:pStyle w:val="Questionstyle"/>
        <w:numPr>
          <w:ilvl w:val="0"/>
          <w:numId w:val="39"/>
        </w:numPr>
      </w:pPr>
      <w:r>
        <w:t xml:space="preserve">: </w:t>
      </w:r>
      <w:r w:rsidR="002A73F1" w:rsidRPr="002A73F1">
        <w:t>Do the product disclosure rules take sufficient account of the differences between products, such as multi-option products or portfolio management products?</w:t>
      </w:r>
    </w:p>
    <w:p w14:paraId="0B9BBEEC" w14:textId="342185AF" w:rsidR="003E573C" w:rsidRDefault="003E573C" w:rsidP="003E573C">
      <w:pPr>
        <w:rPr>
          <w:rFonts w:cs="Arial"/>
        </w:rPr>
      </w:pPr>
      <w:r>
        <w:rPr>
          <w:rFonts w:cs="Arial"/>
        </w:rPr>
        <w:t>&lt;ESA_QUESTION_</w:t>
      </w:r>
      <w:r w:rsidR="00C86E1C">
        <w:rPr>
          <w:rFonts w:cs="Arial"/>
        </w:rPr>
        <w:t>ESG</w:t>
      </w:r>
      <w:r>
        <w:rPr>
          <w:rFonts w:cs="Arial"/>
        </w:rPr>
        <w:t>_20&gt;</w:t>
      </w:r>
    </w:p>
    <w:p w14:paraId="3855E260" w14:textId="20237BA4" w:rsidR="00C80519" w:rsidRDefault="00C80519" w:rsidP="00C80519">
      <w:permStart w:id="806708611" w:edGrp="everyone"/>
      <w:r>
        <w:lastRenderedPageBreak/>
        <w:t xml:space="preserve">We would appreciate more clarity on which RTS articles apply for MOPs that come under the remit of Articles 8 and 9 and the different requirements for MOP manufacturers or providers. </w:t>
      </w:r>
    </w:p>
    <w:p w14:paraId="0C4B12FB" w14:textId="77777777" w:rsidR="006E44EE" w:rsidRDefault="006E44EE" w:rsidP="00C80519">
      <w:pPr>
        <w:rPr>
          <w:szCs w:val="22"/>
          <w:lang w:eastAsia="en-US"/>
        </w:rPr>
      </w:pPr>
    </w:p>
    <w:p w14:paraId="7AC72B75" w14:textId="3575A02B" w:rsidR="003E573C" w:rsidRDefault="00C80519" w:rsidP="003E573C">
      <w:pPr>
        <w:rPr>
          <w:rFonts w:cs="Arial"/>
        </w:rPr>
      </w:pPr>
      <w:r>
        <w:t>We also note in more mature portfolios there can be holding that are no longer taking new business and it would be helpful for the ESAs to confirm that there are no disclosures at product level required for these especially where a consumer is switching funds and clarity on the required for closed funds.</w:t>
      </w:r>
      <w:permEnd w:id="806708611"/>
      <w:r w:rsidR="003E573C">
        <w:rPr>
          <w:rFonts w:cs="Arial"/>
        </w:rPr>
        <w:t>&lt;ESA_QUESTION_</w:t>
      </w:r>
      <w:r w:rsidR="00C86E1C">
        <w:rPr>
          <w:rFonts w:cs="Arial"/>
        </w:rPr>
        <w:t>ESG</w:t>
      </w:r>
      <w:r w:rsidR="003E573C">
        <w:rPr>
          <w:rFonts w:cs="Arial"/>
        </w:rPr>
        <w:t>_20&gt;</w:t>
      </w:r>
    </w:p>
    <w:p w14:paraId="45DB0F6E" w14:textId="77777777" w:rsidR="003E573C" w:rsidRDefault="003E573C" w:rsidP="003E573C">
      <w:pPr>
        <w:rPr>
          <w:rFonts w:cs="Arial"/>
        </w:rPr>
      </w:pPr>
    </w:p>
    <w:p w14:paraId="7FEBC666" w14:textId="27612EC4" w:rsidR="003E573C" w:rsidRDefault="003E573C" w:rsidP="003E573C">
      <w:pPr>
        <w:pStyle w:val="Questionstyle"/>
        <w:numPr>
          <w:ilvl w:val="0"/>
          <w:numId w:val="39"/>
        </w:numPr>
      </w:pPr>
      <w:r>
        <w:t xml:space="preserve">: </w:t>
      </w:r>
      <w:r w:rsidR="002A73F1" w:rsidRPr="002A73F1">
        <w:t>While Article 8 SFDR suggests investee companies should have “good governance practices”, Article 2(17) SFDR includes specific details for good governance practices for sustainable investment investee companies including “sound management structures, employee relations, remuneration of staff and tax compliance”. Should the requirements in the RTS for good governance practices for Article 8 products also capture these elements, bearing in mind Article 8 products may not be undertaking sustainable investments?</w:t>
      </w:r>
    </w:p>
    <w:p w14:paraId="13273649" w14:textId="1D23E2E4" w:rsidR="003E573C" w:rsidRDefault="003E573C" w:rsidP="003E573C">
      <w:pPr>
        <w:rPr>
          <w:rFonts w:cs="Arial"/>
        </w:rPr>
      </w:pPr>
      <w:r>
        <w:rPr>
          <w:rFonts w:cs="Arial"/>
        </w:rPr>
        <w:t>&lt;ESA_QUESTION_</w:t>
      </w:r>
      <w:r w:rsidR="00C86E1C">
        <w:rPr>
          <w:rFonts w:cs="Arial"/>
        </w:rPr>
        <w:t>ESG</w:t>
      </w:r>
      <w:r>
        <w:rPr>
          <w:rFonts w:cs="Arial"/>
        </w:rPr>
        <w:t>_21&gt;</w:t>
      </w:r>
    </w:p>
    <w:p w14:paraId="625A527A" w14:textId="2300AA44" w:rsidR="003E573C" w:rsidRDefault="00C80519" w:rsidP="003E573C">
      <w:pPr>
        <w:rPr>
          <w:rFonts w:cs="Arial"/>
        </w:rPr>
      </w:pPr>
      <w:permStart w:id="2245015" w:edGrp="everyone"/>
      <w:r>
        <w:t>Good governance is assessed in a range of ways by market participants that are relevant to the business models of investee firms.  Article 2 of the SFDR is not a complete list and relates to a wider definition so applying an incomplete definition to Article 8 products would more likely be misleading.</w:t>
      </w:r>
    </w:p>
    <w:permEnd w:id="2245015"/>
    <w:p w14:paraId="3E1B08DB" w14:textId="6D981451" w:rsidR="003E573C" w:rsidRDefault="003E573C" w:rsidP="003E573C">
      <w:pPr>
        <w:rPr>
          <w:rFonts w:cs="Arial"/>
        </w:rPr>
      </w:pPr>
      <w:r>
        <w:rPr>
          <w:rFonts w:cs="Arial"/>
        </w:rPr>
        <w:t>&lt;ESA_QUESTION_</w:t>
      </w:r>
      <w:r w:rsidR="00C86E1C">
        <w:rPr>
          <w:rFonts w:cs="Arial"/>
        </w:rPr>
        <w:t>ESG</w:t>
      </w:r>
      <w:r>
        <w:rPr>
          <w:rFonts w:cs="Arial"/>
        </w:rPr>
        <w:t>_21&gt;</w:t>
      </w:r>
    </w:p>
    <w:p w14:paraId="2E2FA109" w14:textId="77777777" w:rsidR="003E573C" w:rsidRDefault="003E573C" w:rsidP="003E573C">
      <w:pPr>
        <w:rPr>
          <w:rFonts w:cs="Arial"/>
        </w:rPr>
      </w:pPr>
    </w:p>
    <w:p w14:paraId="7441AA30" w14:textId="4E4A50BF" w:rsidR="003E573C" w:rsidRDefault="003E573C" w:rsidP="003E573C">
      <w:pPr>
        <w:pStyle w:val="Questionstyle"/>
        <w:numPr>
          <w:ilvl w:val="0"/>
          <w:numId w:val="39"/>
        </w:numPr>
      </w:pPr>
      <w:r>
        <w:t xml:space="preserve">: </w:t>
      </w:r>
      <w:r w:rsidR="002A73F1" w:rsidRPr="002A73F1">
        <w:t>What are your views on the preliminary proposals on “do not significantly harm” principle disclosures in line with the new empowerment under the taxonomy regulation, which can be found in Recital (33), Articles 16(2), 25, 34(3), 35(3), 38 and 45 in the draft RTS?</w:t>
      </w:r>
    </w:p>
    <w:p w14:paraId="162ADE10" w14:textId="6965CE1E" w:rsidR="003E573C" w:rsidRDefault="003E573C" w:rsidP="003E573C">
      <w:pPr>
        <w:rPr>
          <w:rFonts w:cs="Arial"/>
        </w:rPr>
      </w:pPr>
      <w:r>
        <w:rPr>
          <w:rFonts w:cs="Arial"/>
        </w:rPr>
        <w:t>&lt;ESA_QUESTION_</w:t>
      </w:r>
      <w:r w:rsidR="00C86E1C">
        <w:rPr>
          <w:rFonts w:cs="Arial"/>
        </w:rPr>
        <w:t>ESG</w:t>
      </w:r>
      <w:r>
        <w:rPr>
          <w:rFonts w:cs="Arial"/>
        </w:rPr>
        <w:t>_22&gt;</w:t>
      </w:r>
    </w:p>
    <w:p w14:paraId="0595D193" w14:textId="58EC33A3" w:rsidR="003E573C" w:rsidRDefault="00C80519" w:rsidP="003E573C">
      <w:pPr>
        <w:rPr>
          <w:rFonts w:cs="Arial"/>
        </w:rPr>
      </w:pPr>
      <w:permStart w:id="1182486711" w:edGrp="everyone"/>
      <w:r>
        <w:t>The DNSH seems to relate most to economic activity and the connection to sustainability.  But there is a risk of confusion that adverse impact assessments and DNSH could be confused as the latter is risk based.  But we understand the concept and the complimentary nature of each but would request a clearer demarcation between them so avoid confusion.</w:t>
      </w:r>
    </w:p>
    <w:permEnd w:id="1182486711"/>
    <w:p w14:paraId="5F95ABFF" w14:textId="2402E6DD" w:rsidR="003E573C" w:rsidRDefault="003E573C" w:rsidP="003E573C">
      <w:pPr>
        <w:rPr>
          <w:rFonts w:cs="Arial"/>
        </w:rPr>
      </w:pPr>
      <w:r>
        <w:rPr>
          <w:rFonts w:cs="Arial"/>
        </w:rPr>
        <w:t>&lt;ESA_QUESTION_</w:t>
      </w:r>
      <w:r w:rsidR="00C86E1C">
        <w:rPr>
          <w:rFonts w:cs="Arial"/>
        </w:rPr>
        <w:t>ESG</w:t>
      </w:r>
      <w:r>
        <w:rPr>
          <w:rFonts w:cs="Arial"/>
        </w:rPr>
        <w:t>_22&gt;</w:t>
      </w:r>
    </w:p>
    <w:p w14:paraId="0BF44D4D" w14:textId="77777777" w:rsidR="003E573C" w:rsidRDefault="003E573C" w:rsidP="003E573C">
      <w:pPr>
        <w:rPr>
          <w:rFonts w:cs="Arial"/>
        </w:rPr>
      </w:pPr>
    </w:p>
    <w:p w14:paraId="36463985" w14:textId="2803403A" w:rsidR="003E573C" w:rsidRDefault="003E573C" w:rsidP="003E573C">
      <w:pPr>
        <w:pStyle w:val="Questionstyle"/>
        <w:numPr>
          <w:ilvl w:val="0"/>
          <w:numId w:val="39"/>
        </w:numPr>
      </w:pPr>
      <w:r>
        <w:t xml:space="preserve">: </w:t>
      </w:r>
      <w:r w:rsidR="002A73F1" w:rsidRPr="002A73F1">
        <w:t>Do you see merit in the ESAs defining widely used ESG investment strategies (such as best-in-class, best-in-universe, exclusions, etc.) and giving financial market participants an opportunity to disclose the use of such strategies, where relevant? If yes, how would you define such widely used strategies?</w:t>
      </w:r>
    </w:p>
    <w:p w14:paraId="3F198626" w14:textId="4D42897E" w:rsidR="003E573C" w:rsidRDefault="003E573C" w:rsidP="003E573C">
      <w:pPr>
        <w:rPr>
          <w:rFonts w:cs="Arial"/>
        </w:rPr>
      </w:pPr>
      <w:r>
        <w:rPr>
          <w:rFonts w:cs="Arial"/>
        </w:rPr>
        <w:t>&lt;ESA_QUESTION_</w:t>
      </w:r>
      <w:r w:rsidR="00C86E1C">
        <w:rPr>
          <w:rFonts w:cs="Arial"/>
        </w:rPr>
        <w:t>ESG</w:t>
      </w:r>
      <w:r>
        <w:rPr>
          <w:rFonts w:cs="Arial"/>
        </w:rPr>
        <w:t>_23&gt;</w:t>
      </w:r>
    </w:p>
    <w:p w14:paraId="513C29AF" w14:textId="0583226D" w:rsidR="003E573C" w:rsidRDefault="00C80519" w:rsidP="003E573C">
      <w:pPr>
        <w:rPr>
          <w:rFonts w:cs="Arial"/>
        </w:rPr>
      </w:pPr>
      <w:permStart w:id="1634935588" w:edGrp="everyone"/>
      <w:r>
        <w:t>This might limit the freedom of participants to apply what it considers the most suitable option for its clients and business model.  These options can be defined in pre-contractual information in the standard strategy disclosure section and does not require another layer of information and we argue it is important for advisers and wealth managers to retain the ability to make consumer focused decisions for their clients based on the needs of that client.</w:t>
      </w:r>
    </w:p>
    <w:permEnd w:id="1634935588"/>
    <w:p w14:paraId="0C17FC2A" w14:textId="2D9188FF" w:rsidR="003E573C" w:rsidRDefault="003E573C" w:rsidP="003E573C">
      <w:pPr>
        <w:rPr>
          <w:rFonts w:cs="Arial"/>
        </w:rPr>
      </w:pPr>
      <w:r>
        <w:rPr>
          <w:rFonts w:cs="Arial"/>
        </w:rPr>
        <w:t>&lt;ESA_QUESTION_</w:t>
      </w:r>
      <w:r w:rsidR="00C86E1C">
        <w:rPr>
          <w:rFonts w:cs="Arial"/>
        </w:rPr>
        <w:t>ESG</w:t>
      </w:r>
      <w:r>
        <w:rPr>
          <w:rFonts w:cs="Arial"/>
        </w:rPr>
        <w:t>_23&gt;</w:t>
      </w:r>
    </w:p>
    <w:p w14:paraId="0F3185B7" w14:textId="77777777" w:rsidR="003E573C" w:rsidRDefault="003E573C" w:rsidP="003E573C">
      <w:pPr>
        <w:rPr>
          <w:rFonts w:cs="Arial"/>
        </w:rPr>
      </w:pPr>
    </w:p>
    <w:p w14:paraId="79E388A1" w14:textId="3E4B0800" w:rsidR="003E573C" w:rsidRDefault="003E573C" w:rsidP="003E573C">
      <w:pPr>
        <w:pStyle w:val="Questionstyle"/>
        <w:numPr>
          <w:ilvl w:val="0"/>
          <w:numId w:val="39"/>
        </w:numPr>
      </w:pPr>
      <w:r>
        <w:t xml:space="preserve">: </w:t>
      </w:r>
      <w:r w:rsidR="006920C8" w:rsidRPr="006920C8">
        <w:t>Do you agree with the approach on the disclosure of financial products’ top investments in periodic disclosures as currently set out in Articles 39 and 46 of the draft RTS?</w:t>
      </w:r>
      <w:r w:rsidRPr="00763760">
        <w:t xml:space="preserve"> </w:t>
      </w:r>
    </w:p>
    <w:p w14:paraId="28FD8FCF" w14:textId="40088564" w:rsidR="003E573C" w:rsidRDefault="003E573C" w:rsidP="003E573C">
      <w:pPr>
        <w:rPr>
          <w:rFonts w:cs="Arial"/>
        </w:rPr>
      </w:pPr>
      <w:r>
        <w:rPr>
          <w:rFonts w:cs="Arial"/>
        </w:rPr>
        <w:t>&lt;ESA_QUESTION_</w:t>
      </w:r>
      <w:r w:rsidR="00C86E1C">
        <w:rPr>
          <w:rFonts w:cs="Arial"/>
        </w:rPr>
        <w:t>ESG</w:t>
      </w:r>
      <w:r>
        <w:rPr>
          <w:rFonts w:cs="Arial"/>
        </w:rPr>
        <w:t>_24&gt;</w:t>
      </w:r>
    </w:p>
    <w:p w14:paraId="2282D3D7" w14:textId="29BE4E07" w:rsidR="003E573C" w:rsidRDefault="00C80519" w:rsidP="003E573C">
      <w:pPr>
        <w:rPr>
          <w:rFonts w:cs="Arial"/>
        </w:rPr>
      </w:pPr>
      <w:permStart w:id="872961277" w:edGrp="everyone"/>
      <w:r>
        <w:lastRenderedPageBreak/>
        <w:t>In article 46 it states ‘ … a list, in descending order of size of the 25 investments constituting on average the greatest proportion of investments of the financial product during the reference period …’ but we wonder if a lower number is a more reasonable requirement, although we accept the point regarding transparency and it’s not clear how to identify ‘location’ given the structure of products.</w:t>
      </w:r>
    </w:p>
    <w:permEnd w:id="872961277"/>
    <w:p w14:paraId="10059834" w14:textId="626AE791" w:rsidR="003E573C" w:rsidRDefault="003E573C" w:rsidP="003E573C">
      <w:pPr>
        <w:rPr>
          <w:rFonts w:cs="Arial"/>
        </w:rPr>
      </w:pPr>
      <w:r>
        <w:rPr>
          <w:rFonts w:cs="Arial"/>
        </w:rPr>
        <w:t>&lt;ESA_QUESTION_</w:t>
      </w:r>
      <w:r w:rsidR="00C86E1C">
        <w:rPr>
          <w:rFonts w:cs="Arial"/>
        </w:rPr>
        <w:t>ESG</w:t>
      </w:r>
      <w:r>
        <w:rPr>
          <w:rFonts w:cs="Arial"/>
        </w:rPr>
        <w:t>_24&gt;</w:t>
      </w:r>
    </w:p>
    <w:p w14:paraId="41ACC61A" w14:textId="77777777" w:rsidR="003E573C" w:rsidRDefault="003E573C" w:rsidP="003E573C">
      <w:pPr>
        <w:rPr>
          <w:rFonts w:cs="Arial"/>
        </w:rPr>
      </w:pPr>
    </w:p>
    <w:p w14:paraId="6D616070" w14:textId="77777777" w:rsidR="006920C8" w:rsidRDefault="003E573C" w:rsidP="006920C8">
      <w:pPr>
        <w:pStyle w:val="Questionstyle"/>
        <w:numPr>
          <w:ilvl w:val="0"/>
          <w:numId w:val="39"/>
        </w:numPr>
      </w:pPr>
      <w:r>
        <w:t xml:space="preserve">: </w:t>
      </w:r>
      <w:r w:rsidR="006920C8">
        <w:t>For each of the following four elements, please indicate whether you believe it is better to include the item in the pre-contractual or the website disclosures for financial products? Please explain your reasoning.</w:t>
      </w:r>
    </w:p>
    <w:p w14:paraId="4BBDAD76" w14:textId="77777777" w:rsidR="006920C8" w:rsidRDefault="006920C8" w:rsidP="006920C8">
      <w:pPr>
        <w:pStyle w:val="Questionstyle"/>
        <w:numPr>
          <w:ilvl w:val="0"/>
          <w:numId w:val="50"/>
        </w:numPr>
      </w:pPr>
      <w:r>
        <w:t>an indication of any commitment of a minimum reduction rate of the investments (sometimes referred to as the "investable universe") considered prior to the application of the investment strategy - in the draft RTS below it is in the pre-contractual disclosure Articles 17(b) and 26(b);</w:t>
      </w:r>
    </w:p>
    <w:p w14:paraId="46B45C9C" w14:textId="77777777" w:rsidR="006920C8" w:rsidRDefault="006920C8" w:rsidP="006920C8">
      <w:pPr>
        <w:pStyle w:val="Questionstyle"/>
        <w:numPr>
          <w:ilvl w:val="0"/>
          <w:numId w:val="50"/>
        </w:numPr>
      </w:pPr>
      <w:r>
        <w:t>a short description of the policy to assess good governance practices of the investee companies - in the draft RTS below it is in pre-contractual disclosure Articles 17(c) and 26(c);</w:t>
      </w:r>
    </w:p>
    <w:p w14:paraId="1051B739" w14:textId="77777777" w:rsidR="006920C8" w:rsidRDefault="006920C8" w:rsidP="006920C8">
      <w:pPr>
        <w:pStyle w:val="Questionstyle"/>
        <w:numPr>
          <w:ilvl w:val="0"/>
          <w:numId w:val="50"/>
        </w:numPr>
      </w:pPr>
      <w:r>
        <w:t>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 and</w:t>
      </w:r>
    </w:p>
    <w:p w14:paraId="29EEC46C" w14:textId="77777777" w:rsidR="006920C8" w:rsidRDefault="006920C8" w:rsidP="006920C8">
      <w:pPr>
        <w:pStyle w:val="Questionstyle"/>
        <w:numPr>
          <w:ilvl w:val="0"/>
          <w:numId w:val="50"/>
        </w:numPr>
      </w:pPr>
      <w:r>
        <w:t xml:space="preserve">a reference to whether data sources are external or internal and in what proportions - not currently reflected in the draft RTS but could complement the pre-contractual disclosures under Article 17. </w:t>
      </w:r>
    </w:p>
    <w:p w14:paraId="1C38AAAA" w14:textId="584BC214" w:rsidR="003E573C" w:rsidRDefault="003E573C" w:rsidP="006920C8">
      <w:pPr>
        <w:pStyle w:val="Questionstyle"/>
        <w:ind w:left="720"/>
      </w:pPr>
      <w:r w:rsidRPr="00763760">
        <w:t xml:space="preserve"> </w:t>
      </w:r>
    </w:p>
    <w:p w14:paraId="44F7FFB8" w14:textId="2672E1FC" w:rsidR="003E573C" w:rsidRDefault="003E573C" w:rsidP="003E573C">
      <w:pPr>
        <w:rPr>
          <w:rFonts w:cs="Arial"/>
        </w:rPr>
      </w:pPr>
      <w:r>
        <w:rPr>
          <w:rFonts w:cs="Arial"/>
        </w:rPr>
        <w:t>&lt;ESA_QUESTION_</w:t>
      </w:r>
      <w:r w:rsidR="00C86E1C">
        <w:rPr>
          <w:rFonts w:cs="Arial"/>
        </w:rPr>
        <w:t>ESG</w:t>
      </w:r>
      <w:r>
        <w:rPr>
          <w:rFonts w:cs="Arial"/>
        </w:rPr>
        <w:t>_25&gt;</w:t>
      </w:r>
    </w:p>
    <w:p w14:paraId="791A0604" w14:textId="7A49A1F3" w:rsidR="003E573C" w:rsidRDefault="00C80519" w:rsidP="003E573C">
      <w:pPr>
        <w:rPr>
          <w:rFonts w:cs="Arial"/>
        </w:rPr>
      </w:pPr>
      <w:permStart w:id="374105505" w:edGrp="everyone"/>
      <w:r>
        <w:t>We agree this information should be provided to consumers and believe is already disclosed.  However, rather than providing these information directly, adding it to website disclosures should be sufficient as it is not clear it’s materiality warrants such a position for</w:t>
      </w:r>
      <w:r w:rsidR="006E44EE">
        <w:t xml:space="preserve"> </w:t>
      </w:r>
      <w:r>
        <w:t>disclosure and for the minority to whom it may be relevant, the website di</w:t>
      </w:r>
      <w:r w:rsidR="006E44EE">
        <w:t xml:space="preserve">sclosure is not an unsuitable location </w:t>
      </w:r>
      <w:r>
        <w:t>for technical disclosures that meet the transparency objectives of the regulation.</w:t>
      </w:r>
    </w:p>
    <w:permEnd w:id="374105505"/>
    <w:p w14:paraId="7665AEED" w14:textId="5E4D62F2" w:rsidR="003E573C" w:rsidRDefault="003E573C" w:rsidP="003E573C">
      <w:pPr>
        <w:rPr>
          <w:rFonts w:cs="Arial"/>
        </w:rPr>
      </w:pPr>
      <w:r>
        <w:rPr>
          <w:rFonts w:cs="Arial"/>
        </w:rPr>
        <w:t>&lt;ESA_QUESTION_</w:t>
      </w:r>
      <w:r w:rsidR="00C86E1C">
        <w:rPr>
          <w:rFonts w:cs="Arial"/>
        </w:rPr>
        <w:t>ESG</w:t>
      </w:r>
      <w:r>
        <w:rPr>
          <w:rFonts w:cs="Arial"/>
        </w:rPr>
        <w:t>_25&gt;</w:t>
      </w:r>
    </w:p>
    <w:p w14:paraId="35F4B475" w14:textId="77777777" w:rsidR="003E573C" w:rsidRDefault="003E573C" w:rsidP="003E573C">
      <w:pPr>
        <w:rPr>
          <w:rFonts w:cs="Arial"/>
        </w:rPr>
      </w:pPr>
    </w:p>
    <w:p w14:paraId="07BBB7D0" w14:textId="6512F9CE" w:rsidR="003E573C" w:rsidRDefault="003E573C" w:rsidP="003E573C">
      <w:pPr>
        <w:pStyle w:val="Questionstyle"/>
        <w:numPr>
          <w:ilvl w:val="0"/>
          <w:numId w:val="39"/>
        </w:numPr>
      </w:pPr>
      <w:r>
        <w:t xml:space="preserve">: </w:t>
      </w:r>
      <w:r w:rsidR="006920C8" w:rsidRPr="006920C8">
        <w:t>Is it better to include a separate section on information on how the use of derivatives meets each of the environmental or social characteristics or sustainable investment objectives promoted by the financial product, as in the below draft RTS under Article 19 and article 28, or would it be better to integrate this section with the graphical and narrative explanation of the investment proportions under Article 15(2) and 24(2)?</w:t>
      </w:r>
    </w:p>
    <w:p w14:paraId="478748BB" w14:textId="1492C8F0" w:rsidR="003E573C" w:rsidRDefault="003E573C" w:rsidP="003E573C">
      <w:pPr>
        <w:rPr>
          <w:rFonts w:cs="Arial"/>
        </w:rPr>
      </w:pPr>
      <w:r>
        <w:rPr>
          <w:rFonts w:cs="Arial"/>
        </w:rPr>
        <w:t>&lt;ESA_QUESTION_</w:t>
      </w:r>
      <w:r w:rsidR="00C86E1C">
        <w:rPr>
          <w:rFonts w:cs="Arial"/>
        </w:rPr>
        <w:t>ESG</w:t>
      </w:r>
      <w:r>
        <w:rPr>
          <w:rFonts w:cs="Arial"/>
        </w:rPr>
        <w:t>_26&gt;</w:t>
      </w:r>
    </w:p>
    <w:p w14:paraId="6E186F2A" w14:textId="00A34FC9" w:rsidR="00C80519" w:rsidRPr="006E44EE" w:rsidRDefault="00C80519" w:rsidP="00C80519">
      <w:pPr>
        <w:rPr>
          <w:szCs w:val="22"/>
          <w:lang w:eastAsia="en-US"/>
        </w:rPr>
      </w:pPr>
      <w:permStart w:id="624894902" w:edGrp="everyone"/>
      <w:r>
        <w:t xml:space="preserve">We don’t see how this will add value given the efforts to properly disclosure such information is too complex and burdensome compared to the benefits that would arise. In our view it would be more beneficial for derivatives to be included in the market </w:t>
      </w:r>
      <w:r w:rsidR="00464A10">
        <w:t>participants’</w:t>
      </w:r>
      <w:r>
        <w:t xml:space="preserve"> normal investment and risk statement. </w:t>
      </w:r>
    </w:p>
    <w:p w14:paraId="3A6D8CB4" w14:textId="77777777" w:rsidR="00C80519" w:rsidRDefault="00C80519" w:rsidP="00C80519"/>
    <w:p w14:paraId="2BFE012E" w14:textId="2654B864" w:rsidR="003E573C" w:rsidRPr="006E44EE" w:rsidRDefault="00C80519" w:rsidP="003E573C">
      <w:r>
        <w:t>If the ESAs conclude there is a specific need to include derivatives then it may be useful to remove articles 19 and 28 and embed them into articles 15 and 24.</w:t>
      </w:r>
    </w:p>
    <w:permEnd w:id="624894902"/>
    <w:p w14:paraId="4A8013FB" w14:textId="735B8564" w:rsidR="003E573C" w:rsidRDefault="003E573C" w:rsidP="003E573C">
      <w:pPr>
        <w:rPr>
          <w:rFonts w:cs="Arial"/>
        </w:rPr>
      </w:pPr>
      <w:r>
        <w:rPr>
          <w:rFonts w:cs="Arial"/>
        </w:rPr>
        <w:t>&lt;ESA_QUESTION_</w:t>
      </w:r>
      <w:r w:rsidR="00C86E1C">
        <w:rPr>
          <w:rFonts w:cs="Arial"/>
        </w:rPr>
        <w:t>ESG</w:t>
      </w:r>
      <w:r>
        <w:rPr>
          <w:rFonts w:cs="Arial"/>
        </w:rPr>
        <w:t>_26&gt;</w:t>
      </w:r>
    </w:p>
    <w:p w14:paraId="2E8B6EF5" w14:textId="77777777" w:rsidR="003E573C" w:rsidRDefault="003E573C" w:rsidP="003E573C">
      <w:pPr>
        <w:rPr>
          <w:rFonts w:cs="Arial"/>
        </w:rPr>
      </w:pPr>
    </w:p>
    <w:p w14:paraId="362C80A0" w14:textId="45A589EB" w:rsidR="003E573C" w:rsidRDefault="003E573C" w:rsidP="003E573C">
      <w:pPr>
        <w:pStyle w:val="Questionstyle"/>
        <w:numPr>
          <w:ilvl w:val="0"/>
          <w:numId w:val="39"/>
        </w:numPr>
      </w:pPr>
      <w:r>
        <w:lastRenderedPageBreak/>
        <w:t xml:space="preserve">: </w:t>
      </w:r>
      <w:r w:rsidR="006920C8" w:rsidRPr="006920C8">
        <w:t>Do you have any views regarding the preliminary impact assessments? Can you provide more granular examples of costs associated with the policy options?</w:t>
      </w:r>
      <w:r w:rsidRPr="00763760">
        <w:t xml:space="preserve"> </w:t>
      </w:r>
    </w:p>
    <w:p w14:paraId="644F48DF" w14:textId="78D78223" w:rsidR="003E573C" w:rsidRDefault="003E573C" w:rsidP="003E573C">
      <w:pPr>
        <w:rPr>
          <w:rFonts w:cs="Arial"/>
        </w:rPr>
      </w:pPr>
      <w:r>
        <w:rPr>
          <w:rFonts w:cs="Arial"/>
        </w:rPr>
        <w:t>&lt;ESA_QUESTION_</w:t>
      </w:r>
      <w:r w:rsidR="00C86E1C">
        <w:rPr>
          <w:rFonts w:cs="Arial"/>
        </w:rPr>
        <w:t>ESG</w:t>
      </w:r>
      <w:r>
        <w:rPr>
          <w:rFonts w:cs="Arial"/>
        </w:rPr>
        <w:t>_27&gt;</w:t>
      </w:r>
    </w:p>
    <w:p w14:paraId="2338D131" w14:textId="36CCC3C6" w:rsidR="00C80519" w:rsidRDefault="00C80519" w:rsidP="00C80519">
      <w:pPr>
        <w:rPr>
          <w:szCs w:val="22"/>
          <w:lang w:eastAsia="en-US"/>
        </w:rPr>
      </w:pPr>
      <w:permStart w:id="1007688109" w:edGrp="everyone"/>
      <w:r>
        <w:t>Based on limited feedback it seems that the cost to implement a suitable disclosure process is going to be higher than initially assumed as for example, there doesn’t seem to be a proper understanding from the ESAs of the IT costs involved in making the updates required to meet disclosure obligations.</w:t>
      </w:r>
    </w:p>
    <w:p w14:paraId="55BDFD39" w14:textId="77777777" w:rsidR="00C80519" w:rsidRDefault="00C80519" w:rsidP="00C80519"/>
    <w:p w14:paraId="74A844ED" w14:textId="687F4431" w:rsidR="00C80519" w:rsidRDefault="00C80519" w:rsidP="00C80519">
      <w:r>
        <w:t>We have concerns that the facilitation of information overload could have been costed more credibly.  The information related to ESG disclosure required by the SFDR actually requires a large amount of pre</w:t>
      </w:r>
      <w:r w:rsidR="006E44EE">
        <w:t>-</w:t>
      </w:r>
      <w:r>
        <w:t xml:space="preserve">contractual information and as mentioned, it is not clear that this information is of value for consumers, but providing it places a burden on market participants. </w:t>
      </w:r>
    </w:p>
    <w:p w14:paraId="76693467" w14:textId="77777777" w:rsidR="00C80519" w:rsidRDefault="00C80519" w:rsidP="00C80519"/>
    <w:p w14:paraId="50AB8F8B" w14:textId="2F15286A" w:rsidR="003E573C" w:rsidRPr="006E44EE" w:rsidRDefault="00C80519" w:rsidP="003E573C">
      <w:r>
        <w:t>PIMFA would also have doubts that it is possible to meet the timetable as envisaged at Level 1 to develop detailed disclosure and required templates and to consult and sign-off, while still including an implementation period for market participants.</w:t>
      </w:r>
    </w:p>
    <w:permEnd w:id="1007688109"/>
    <w:p w14:paraId="60AE9CFD" w14:textId="1CEF26AE" w:rsidR="003E573C" w:rsidRDefault="003E573C" w:rsidP="003E573C">
      <w:pPr>
        <w:rPr>
          <w:rFonts w:cs="Arial"/>
        </w:rPr>
      </w:pPr>
      <w:r>
        <w:rPr>
          <w:rFonts w:cs="Arial"/>
        </w:rPr>
        <w:t>&lt;ESA_QUESTION_</w:t>
      </w:r>
      <w:r w:rsidR="00C86E1C">
        <w:rPr>
          <w:rFonts w:cs="Arial"/>
        </w:rPr>
        <w:t>ESG</w:t>
      </w:r>
      <w:r>
        <w:rPr>
          <w:rFonts w:cs="Arial"/>
        </w:rPr>
        <w:t>_27&gt;</w:t>
      </w:r>
    </w:p>
    <w:p w14:paraId="25C9796B"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A614B" w14:textId="77777777" w:rsidR="00703E9A" w:rsidRDefault="00703E9A">
      <w:r>
        <w:separator/>
      </w:r>
    </w:p>
    <w:p w14:paraId="6A035954" w14:textId="77777777" w:rsidR="00703E9A" w:rsidRDefault="00703E9A"/>
  </w:endnote>
  <w:endnote w:type="continuationSeparator" w:id="0">
    <w:p w14:paraId="5930C47E" w14:textId="77777777" w:rsidR="00703E9A" w:rsidRDefault="00703E9A">
      <w:r>
        <w:continuationSeparator/>
      </w:r>
    </w:p>
    <w:p w14:paraId="3EEEFE39" w14:textId="77777777" w:rsidR="00703E9A" w:rsidRDefault="00703E9A"/>
  </w:endnote>
  <w:endnote w:type="continuationNotice" w:id="1">
    <w:p w14:paraId="7D1B40D2" w14:textId="77777777" w:rsidR="00703E9A" w:rsidRDefault="00703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80E59" w14:textId="77777777" w:rsidR="008F65D5" w:rsidRDefault="008F6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64A10">
            <w:rPr>
              <w:rFonts w:cs="Arial"/>
              <w:noProof/>
              <w:sz w:val="22"/>
              <w:szCs w:val="22"/>
            </w:rPr>
            <w:t>13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AD7D7" w14:textId="77777777" w:rsidR="008F65D5" w:rsidRDefault="008F65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100"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EF10C" w14:textId="77777777" w:rsidR="00703E9A" w:rsidRDefault="00703E9A">
      <w:r>
        <w:separator/>
      </w:r>
    </w:p>
    <w:p w14:paraId="11D2549F" w14:textId="77777777" w:rsidR="00703E9A" w:rsidRDefault="00703E9A"/>
  </w:footnote>
  <w:footnote w:type="continuationSeparator" w:id="0">
    <w:p w14:paraId="5464E227" w14:textId="77777777" w:rsidR="00703E9A" w:rsidRDefault="00703E9A">
      <w:r>
        <w:continuationSeparator/>
      </w:r>
    </w:p>
    <w:p w14:paraId="3D44CE08" w14:textId="77777777" w:rsidR="00703E9A" w:rsidRDefault="00703E9A"/>
  </w:footnote>
  <w:footnote w:type="continuationNotice" w:id="1">
    <w:p w14:paraId="1C615F7F" w14:textId="77777777" w:rsidR="00703E9A" w:rsidRDefault="00703E9A"/>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5DCD1" w14:textId="77777777" w:rsidR="008F65D5" w:rsidRDefault="008F6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25E4F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2" w14:textId="77777777" w:rsidR="00811EDA" w:rsidRDefault="00811ED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CD5E4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05B164C"/>
    <w:multiLevelType w:val="hybridMultilevel"/>
    <w:tmpl w:val="4ABA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CF67058"/>
    <w:multiLevelType w:val="hybridMultilevel"/>
    <w:tmpl w:val="707004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9"/>
  </w:num>
  <w:num w:numId="3">
    <w:abstractNumId w:val="11"/>
  </w:num>
  <w:num w:numId="4">
    <w:abstractNumId w:val="25"/>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8"/>
  </w:num>
  <w:num w:numId="16">
    <w:abstractNumId w:val="1"/>
  </w:num>
  <w:num w:numId="17">
    <w:abstractNumId w:val="14"/>
  </w:num>
  <w:num w:numId="18">
    <w:abstractNumId w:val="15"/>
  </w:num>
  <w:num w:numId="19">
    <w:abstractNumId w:val="17"/>
  </w:num>
  <w:num w:numId="20">
    <w:abstractNumId w:val="29"/>
  </w:num>
  <w:num w:numId="21">
    <w:abstractNumId w:val="39"/>
  </w:num>
  <w:num w:numId="22">
    <w:abstractNumId w:val="27"/>
  </w:num>
  <w:num w:numId="23">
    <w:abstractNumId w:val="7"/>
  </w:num>
  <w:num w:numId="24">
    <w:abstractNumId w:val="32"/>
  </w:num>
  <w:num w:numId="25">
    <w:abstractNumId w:val="31"/>
  </w:num>
  <w:num w:numId="26">
    <w:abstractNumId w:val="20"/>
  </w:num>
  <w:num w:numId="27">
    <w:abstractNumId w:val="35"/>
  </w:num>
  <w:num w:numId="28">
    <w:abstractNumId w:val="41"/>
  </w:num>
  <w:num w:numId="29">
    <w:abstractNumId w:val="5"/>
  </w:num>
  <w:num w:numId="30">
    <w:abstractNumId w:val="2"/>
  </w:num>
  <w:num w:numId="31">
    <w:abstractNumId w:val="23"/>
  </w:num>
  <w:num w:numId="32">
    <w:abstractNumId w:val="21"/>
  </w:num>
  <w:num w:numId="33">
    <w:abstractNumId w:val="38"/>
  </w:num>
  <w:num w:numId="34">
    <w:abstractNumId w:val="37"/>
  </w:num>
  <w:num w:numId="35">
    <w:abstractNumId w:val="9"/>
  </w:num>
  <w:num w:numId="36">
    <w:abstractNumId w:val="10"/>
  </w:num>
  <w:num w:numId="37">
    <w:abstractNumId w:val="12"/>
  </w:num>
  <w:num w:numId="38">
    <w:abstractNumId w:val="26"/>
  </w:num>
  <w:num w:numId="39">
    <w:abstractNumId w:val="22"/>
  </w:num>
  <w:num w:numId="40">
    <w:abstractNumId w:val="36"/>
  </w:num>
  <w:num w:numId="41">
    <w:abstractNumId w:val="18"/>
    <w:lvlOverride w:ilvl="0"/>
    <w:lvlOverride w:ilvl="1"/>
    <w:lvlOverride w:ilvl="2"/>
    <w:lvlOverride w:ilvl="3"/>
    <w:lvlOverride w:ilvl="4"/>
    <w:lvlOverride w:ilvl="5"/>
    <w:lvlOverride w:ilvl="6"/>
    <w:lvlOverride w:ilvl="7"/>
    <w:lvlOverride w:ilv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7TB43jRLdj3XDux783pLmb6geOQ7UJxdlwkLOHEa4DLmgdDuNy7N161DEKv/fo5NLWe9J36WNG1rzvItIynu/Q==" w:salt="IxiToWweFtJz5C1p3iFyIA=="/>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40F"/>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667"/>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4ADE"/>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4A10"/>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5C0"/>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4EE"/>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590E"/>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4EE"/>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8A7"/>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24A8"/>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8B1"/>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E7C87"/>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519"/>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39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96F"/>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8328664">
      <w:bodyDiv w:val="1"/>
      <w:marLeft w:val="0"/>
      <w:marRight w:val="0"/>
      <w:marTop w:val="0"/>
      <w:marBottom w:val="0"/>
      <w:divBdr>
        <w:top w:val="none" w:sz="0" w:space="0" w:color="auto"/>
        <w:left w:val="none" w:sz="0" w:space="0" w:color="auto"/>
        <w:bottom w:val="none" w:sz="0" w:space="0" w:color="auto"/>
        <w:right w:val="none" w:sz="0" w:space="0" w:color="auto"/>
      </w:divBdr>
    </w:div>
    <w:div w:id="66922914">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51547637">
      <w:bodyDiv w:val="1"/>
      <w:marLeft w:val="0"/>
      <w:marRight w:val="0"/>
      <w:marTop w:val="0"/>
      <w:marBottom w:val="0"/>
      <w:divBdr>
        <w:top w:val="none" w:sz="0" w:space="0" w:color="auto"/>
        <w:left w:val="none" w:sz="0" w:space="0" w:color="auto"/>
        <w:bottom w:val="none" w:sz="0" w:space="0" w:color="auto"/>
        <w:right w:val="none" w:sz="0" w:space="0" w:color="auto"/>
      </w:divBdr>
    </w:div>
    <w:div w:id="278295255">
      <w:bodyDiv w:val="1"/>
      <w:marLeft w:val="0"/>
      <w:marRight w:val="0"/>
      <w:marTop w:val="0"/>
      <w:marBottom w:val="0"/>
      <w:divBdr>
        <w:top w:val="none" w:sz="0" w:space="0" w:color="auto"/>
        <w:left w:val="none" w:sz="0" w:space="0" w:color="auto"/>
        <w:bottom w:val="none" w:sz="0" w:space="0" w:color="auto"/>
        <w:right w:val="none" w:sz="0" w:space="0" w:color="auto"/>
      </w:divBdr>
    </w:div>
    <w:div w:id="278873498">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61055487">
      <w:bodyDiv w:val="1"/>
      <w:marLeft w:val="0"/>
      <w:marRight w:val="0"/>
      <w:marTop w:val="0"/>
      <w:marBottom w:val="0"/>
      <w:divBdr>
        <w:top w:val="none" w:sz="0" w:space="0" w:color="auto"/>
        <w:left w:val="none" w:sz="0" w:space="0" w:color="auto"/>
        <w:bottom w:val="none" w:sz="0" w:space="0" w:color="auto"/>
        <w:right w:val="none" w:sz="0" w:space="0" w:color="auto"/>
      </w:divBdr>
    </w:div>
    <w:div w:id="402483817">
      <w:bodyDiv w:val="1"/>
      <w:marLeft w:val="0"/>
      <w:marRight w:val="0"/>
      <w:marTop w:val="0"/>
      <w:marBottom w:val="0"/>
      <w:divBdr>
        <w:top w:val="none" w:sz="0" w:space="0" w:color="auto"/>
        <w:left w:val="none" w:sz="0" w:space="0" w:color="auto"/>
        <w:bottom w:val="none" w:sz="0" w:space="0" w:color="auto"/>
        <w:right w:val="none" w:sz="0" w:space="0" w:color="auto"/>
      </w:divBdr>
    </w:div>
    <w:div w:id="419833973">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509377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13246680">
      <w:bodyDiv w:val="1"/>
      <w:marLeft w:val="0"/>
      <w:marRight w:val="0"/>
      <w:marTop w:val="0"/>
      <w:marBottom w:val="0"/>
      <w:divBdr>
        <w:top w:val="none" w:sz="0" w:space="0" w:color="auto"/>
        <w:left w:val="none" w:sz="0" w:space="0" w:color="auto"/>
        <w:bottom w:val="none" w:sz="0" w:space="0" w:color="auto"/>
        <w:right w:val="none" w:sz="0" w:space="0" w:color="auto"/>
      </w:divBdr>
    </w:div>
    <w:div w:id="637496108">
      <w:bodyDiv w:val="1"/>
      <w:marLeft w:val="0"/>
      <w:marRight w:val="0"/>
      <w:marTop w:val="0"/>
      <w:marBottom w:val="0"/>
      <w:divBdr>
        <w:top w:val="none" w:sz="0" w:space="0" w:color="auto"/>
        <w:left w:val="none" w:sz="0" w:space="0" w:color="auto"/>
        <w:bottom w:val="none" w:sz="0" w:space="0" w:color="auto"/>
        <w:right w:val="none" w:sz="0" w:space="0" w:color="auto"/>
      </w:divBdr>
    </w:div>
    <w:div w:id="728845986">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896294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84633612">
      <w:bodyDiv w:val="1"/>
      <w:marLeft w:val="0"/>
      <w:marRight w:val="0"/>
      <w:marTop w:val="0"/>
      <w:marBottom w:val="0"/>
      <w:divBdr>
        <w:top w:val="none" w:sz="0" w:space="0" w:color="auto"/>
        <w:left w:val="none" w:sz="0" w:space="0" w:color="auto"/>
        <w:bottom w:val="none" w:sz="0" w:space="0" w:color="auto"/>
        <w:right w:val="none" w:sz="0" w:space="0" w:color="auto"/>
      </w:divBdr>
    </w:div>
    <w:div w:id="921842133">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20819371">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6609120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55227636">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387800014">
      <w:bodyDiv w:val="1"/>
      <w:marLeft w:val="0"/>
      <w:marRight w:val="0"/>
      <w:marTop w:val="0"/>
      <w:marBottom w:val="0"/>
      <w:divBdr>
        <w:top w:val="none" w:sz="0" w:space="0" w:color="auto"/>
        <w:left w:val="none" w:sz="0" w:space="0" w:color="auto"/>
        <w:bottom w:val="none" w:sz="0" w:space="0" w:color="auto"/>
        <w:right w:val="none" w:sz="0" w:space="0" w:color="auto"/>
      </w:divBdr>
    </w:div>
    <w:div w:id="1407920345">
      <w:bodyDiv w:val="1"/>
      <w:marLeft w:val="0"/>
      <w:marRight w:val="0"/>
      <w:marTop w:val="0"/>
      <w:marBottom w:val="0"/>
      <w:divBdr>
        <w:top w:val="none" w:sz="0" w:space="0" w:color="auto"/>
        <w:left w:val="none" w:sz="0" w:space="0" w:color="auto"/>
        <w:bottom w:val="none" w:sz="0" w:space="0" w:color="auto"/>
        <w:right w:val="none" w:sz="0" w:space="0" w:color="auto"/>
      </w:divBdr>
    </w:div>
    <w:div w:id="1455977469">
      <w:bodyDiv w:val="1"/>
      <w:marLeft w:val="0"/>
      <w:marRight w:val="0"/>
      <w:marTop w:val="0"/>
      <w:marBottom w:val="0"/>
      <w:divBdr>
        <w:top w:val="none" w:sz="0" w:space="0" w:color="auto"/>
        <w:left w:val="none" w:sz="0" w:space="0" w:color="auto"/>
        <w:bottom w:val="none" w:sz="0" w:space="0" w:color="auto"/>
        <w:right w:val="none" w:sz="0" w:space="0" w:color="auto"/>
      </w:divBdr>
    </w:div>
    <w:div w:id="1529946972">
      <w:bodyDiv w:val="1"/>
      <w:marLeft w:val="0"/>
      <w:marRight w:val="0"/>
      <w:marTop w:val="0"/>
      <w:marBottom w:val="0"/>
      <w:divBdr>
        <w:top w:val="none" w:sz="0" w:space="0" w:color="auto"/>
        <w:left w:val="none" w:sz="0" w:space="0" w:color="auto"/>
        <w:bottom w:val="none" w:sz="0" w:space="0" w:color="auto"/>
        <w:right w:val="none" w:sz="0" w:space="0" w:color="auto"/>
      </w:divBdr>
    </w:div>
    <w:div w:id="1554849452">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92200500">
      <w:bodyDiv w:val="1"/>
      <w:marLeft w:val="0"/>
      <w:marRight w:val="0"/>
      <w:marTop w:val="0"/>
      <w:marBottom w:val="0"/>
      <w:divBdr>
        <w:top w:val="none" w:sz="0" w:space="0" w:color="auto"/>
        <w:left w:val="none" w:sz="0" w:space="0" w:color="auto"/>
        <w:bottom w:val="none" w:sz="0" w:space="0" w:color="auto"/>
        <w:right w:val="none" w:sz="0" w:space="0" w:color="auto"/>
      </w:divBdr>
    </w:div>
    <w:div w:id="1599757481">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89789536">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29251346">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11161040">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239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ESMA34-45-904</_dlc_DocId>
    <_dlc_DocIdUrl xmlns="35c8e399-07b8-49e4-91bf-01a20105d4df">
      <Url>https://sherpa.esma.europa.eu/sites/INIIVM/_layouts/15/DocIdRedir.aspx?ID=ESMA34-45-904</Url>
      <Description>ESMA34-45-904</Description>
    </_dlc_DocIdUrl>
    <MeetingDate xmlns="35c8e399-07b8-49e4-91bf-01a20105d4df" xsi:nil="true"/>
    <TaxCatchAll xmlns="35c8e399-07b8-49e4-91bf-01a20105d4df">
      <Value>66</Value>
      <Value>38</Value>
      <Value>72</Value>
      <Value>85</Value>
    </TaxCatchAll>
    <Year xmlns="35c8e399-07b8-49e4-91bf-01a20105d4df">2020</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MMF</TermName>
          <TermId xmlns="http://schemas.microsoft.com/office/infopath/2007/PartnerControls">2682d9f9-17ef-452e-b9a4-b56d32a15999</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purl.org/dc/elements/1.1/"/>
    <ds:schemaRef ds:uri="http://schemas.microsoft.com/office/2006/metadata/properties"/>
    <ds:schemaRef ds:uri="35c8e399-07b8-49e4-91bf-01a20105d4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4B6A731-C05F-476F-82E7-5815CB2E1F5F}">
  <ds:schemaRefs>
    <ds:schemaRef ds:uri="http://schemas.openxmlformats.org/officeDocument/2006/bibliography"/>
  </ds:schemaRefs>
</ds:datastoreItem>
</file>

<file path=customXml/itemProps6.xml><?xml version="1.0" encoding="utf-8"?>
<ds:datastoreItem xmlns:ds="http://schemas.openxmlformats.org/officeDocument/2006/customXml" ds:itemID="{7E55C7EF-9278-4E52-AFD6-61268958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7632</Words>
  <Characters>40270</Characters>
  <Application>Microsoft Office Word</Application>
  <DocSecurity>8</DocSecurity>
  <Lines>335</Lines>
  <Paragraphs>95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47807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Des FitzGerald</cp:lastModifiedBy>
  <cp:revision>4</cp:revision>
  <cp:lastPrinted>2015-02-18T11:01:00Z</cp:lastPrinted>
  <dcterms:created xsi:type="dcterms:W3CDTF">2020-09-01T12:07:00Z</dcterms:created>
  <dcterms:modified xsi:type="dcterms:W3CDTF">2020-09-01T12:35:00Z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f21af772-d49b-4d24-ad34-f05251f1682f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