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07B276EC" w:rsidR="00B327E9" w:rsidRPr="00AB6D88" w:rsidRDefault="008457D7" w:rsidP="008457D7">
                <w:pPr>
                  <w:rPr>
                    <w:rStyle w:val="PlaceholderText"/>
                    <w:rFonts w:cs="Arial"/>
                  </w:rPr>
                </w:pPr>
                <w:r>
                  <w:rPr>
                    <w:rStyle w:val="PlaceholderText"/>
                    <w:rFonts w:cs="Arial"/>
                  </w:rPr>
                  <w:t>First State Investments</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56B3780E" w:rsidR="00B327E9" w:rsidRPr="00AB6D88" w:rsidRDefault="00091040"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457D7">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43ADBD4" w:rsidR="00B327E9" w:rsidRPr="00AB6D88" w:rsidRDefault="008457D7" w:rsidP="00F136AD">
                <w:pPr>
                  <w:rPr>
                    <w:rFonts w:cs="Arial"/>
                  </w:rPr>
                </w:pPr>
                <w:r>
                  <w:rPr>
                    <w:rFonts w:cs="Arial"/>
                  </w:rPr>
                  <w:t>UK</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439EFB8" w14:textId="77777777" w:rsidR="008457D7" w:rsidRPr="00CA2BCB" w:rsidRDefault="008457D7" w:rsidP="008457D7">
      <w:pPr>
        <w:pStyle w:val="NormalWeb"/>
        <w:shd w:val="clear" w:color="auto" w:fill="FFFFFF"/>
        <w:spacing w:before="0" w:beforeAutospacing="0" w:after="360" w:afterAutospacing="0" w:line="276" w:lineRule="auto"/>
        <w:jc w:val="both"/>
        <w:rPr>
          <w:rFonts w:ascii="Arial" w:hAnsi="Arial" w:cs="Arial"/>
          <w:color w:val="005288"/>
          <w:sz w:val="20"/>
        </w:rPr>
      </w:pPr>
      <w:permStart w:id="411981036" w:edGrp="everyone"/>
      <w:r w:rsidRPr="00CA2BCB">
        <w:rPr>
          <w:rFonts w:ascii="Arial" w:hAnsi="Arial" w:cs="Arial"/>
          <w:color w:val="005288"/>
          <w:sz w:val="20"/>
        </w:rPr>
        <w:t xml:space="preserve">First State Investments, </w:t>
      </w:r>
      <w:proofErr w:type="spellStart"/>
      <w:r w:rsidRPr="00CA2BCB">
        <w:rPr>
          <w:rFonts w:ascii="Arial" w:hAnsi="Arial" w:cs="Arial"/>
          <w:color w:val="005288"/>
          <w:sz w:val="20"/>
        </w:rPr>
        <w:t>also</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known</w:t>
      </w:r>
      <w:proofErr w:type="spellEnd"/>
      <w:r w:rsidRPr="00CA2BCB">
        <w:rPr>
          <w:rFonts w:ascii="Arial" w:hAnsi="Arial" w:cs="Arial"/>
          <w:color w:val="005288"/>
          <w:sz w:val="20"/>
        </w:rPr>
        <w:t xml:space="preserve"> as First Sentier Investors in Australia, </w:t>
      </w:r>
      <w:proofErr w:type="spellStart"/>
      <w:r w:rsidRPr="00CA2BCB">
        <w:rPr>
          <w:rFonts w:ascii="Arial" w:hAnsi="Arial" w:cs="Arial"/>
          <w:color w:val="005288"/>
          <w:sz w:val="20"/>
        </w:rPr>
        <w:t>is</w:t>
      </w:r>
      <w:proofErr w:type="spellEnd"/>
      <w:r w:rsidRPr="00CA2BCB">
        <w:rPr>
          <w:rFonts w:ascii="Arial" w:hAnsi="Arial" w:cs="Arial"/>
          <w:color w:val="005288"/>
          <w:sz w:val="20"/>
        </w:rPr>
        <w:t xml:space="preserve"> a global </w:t>
      </w:r>
      <w:proofErr w:type="spellStart"/>
      <w:r w:rsidRPr="00CA2BCB">
        <w:rPr>
          <w:rFonts w:ascii="Arial" w:hAnsi="Arial" w:cs="Arial"/>
          <w:color w:val="005288"/>
          <w:sz w:val="20"/>
        </w:rPr>
        <w:t>asset</w:t>
      </w:r>
      <w:proofErr w:type="spellEnd"/>
      <w:r w:rsidRPr="00CA2BCB">
        <w:rPr>
          <w:rFonts w:ascii="Arial" w:hAnsi="Arial" w:cs="Arial"/>
          <w:color w:val="005288"/>
          <w:sz w:val="20"/>
        </w:rPr>
        <w:t xml:space="preserve"> management business </w:t>
      </w:r>
      <w:proofErr w:type="spellStart"/>
      <w:r w:rsidRPr="00CA2BCB">
        <w:rPr>
          <w:rFonts w:ascii="Arial" w:hAnsi="Arial" w:cs="Arial"/>
          <w:color w:val="005288"/>
          <w:sz w:val="20"/>
        </w:rPr>
        <w:t>focused</w:t>
      </w:r>
      <w:proofErr w:type="spellEnd"/>
      <w:r w:rsidRPr="00CA2BCB">
        <w:rPr>
          <w:rFonts w:ascii="Arial" w:hAnsi="Arial" w:cs="Arial"/>
          <w:color w:val="005288"/>
          <w:sz w:val="20"/>
        </w:rPr>
        <w:t xml:space="preserve"> on </w:t>
      </w:r>
      <w:proofErr w:type="spellStart"/>
      <w:r w:rsidRPr="00CA2BCB">
        <w:rPr>
          <w:rFonts w:ascii="Arial" w:hAnsi="Arial" w:cs="Arial"/>
          <w:color w:val="005288"/>
          <w:sz w:val="20"/>
        </w:rPr>
        <w:t>providing</w:t>
      </w:r>
      <w:proofErr w:type="spellEnd"/>
      <w:r w:rsidRPr="00CA2BCB">
        <w:rPr>
          <w:rFonts w:ascii="Arial" w:hAnsi="Arial" w:cs="Arial"/>
          <w:color w:val="005288"/>
          <w:sz w:val="20"/>
        </w:rPr>
        <w:t xml:space="preserve"> high </w:t>
      </w:r>
      <w:proofErr w:type="spellStart"/>
      <w:r w:rsidRPr="00CA2BCB">
        <w:rPr>
          <w:rFonts w:ascii="Arial" w:hAnsi="Arial" w:cs="Arial"/>
          <w:color w:val="005288"/>
          <w:sz w:val="20"/>
        </w:rPr>
        <w:t>quality</w:t>
      </w:r>
      <w:proofErr w:type="spellEnd"/>
      <w:r w:rsidRPr="00CA2BCB">
        <w:rPr>
          <w:rFonts w:ascii="Arial" w:hAnsi="Arial" w:cs="Arial"/>
          <w:color w:val="005288"/>
          <w:sz w:val="20"/>
        </w:rPr>
        <w:t>, long-</w:t>
      </w:r>
      <w:proofErr w:type="spellStart"/>
      <w:r w:rsidRPr="00CA2BCB">
        <w:rPr>
          <w:rFonts w:ascii="Arial" w:hAnsi="Arial" w:cs="Arial"/>
          <w:color w:val="005288"/>
          <w:sz w:val="20"/>
        </w:rPr>
        <w:t>term</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investment</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capabilities</w:t>
      </w:r>
      <w:proofErr w:type="spellEnd"/>
      <w:r w:rsidRPr="00CA2BCB">
        <w:rPr>
          <w:rFonts w:ascii="Arial" w:hAnsi="Arial" w:cs="Arial"/>
          <w:color w:val="005288"/>
          <w:sz w:val="20"/>
        </w:rPr>
        <w:t xml:space="preserve"> to </w:t>
      </w:r>
      <w:proofErr w:type="spellStart"/>
      <w:r w:rsidRPr="00CA2BCB">
        <w:rPr>
          <w:rFonts w:ascii="Arial" w:hAnsi="Arial" w:cs="Arial"/>
          <w:color w:val="005288"/>
          <w:sz w:val="20"/>
        </w:rPr>
        <w:t>our</w:t>
      </w:r>
      <w:proofErr w:type="spellEnd"/>
      <w:r w:rsidRPr="00CA2BCB">
        <w:rPr>
          <w:rFonts w:ascii="Arial" w:hAnsi="Arial" w:cs="Arial"/>
          <w:color w:val="005288"/>
          <w:sz w:val="20"/>
        </w:rPr>
        <w:t xml:space="preserve"> clients. </w:t>
      </w:r>
      <w:proofErr w:type="spellStart"/>
      <w:r w:rsidRPr="00CA2BCB">
        <w:rPr>
          <w:rFonts w:ascii="Arial" w:hAnsi="Arial" w:cs="Arial"/>
          <w:color w:val="005288"/>
          <w:sz w:val="20"/>
        </w:rPr>
        <w:t>We</w:t>
      </w:r>
      <w:proofErr w:type="spellEnd"/>
      <w:r w:rsidRPr="00CA2BCB">
        <w:rPr>
          <w:rFonts w:ascii="Arial" w:hAnsi="Arial" w:cs="Arial"/>
          <w:color w:val="005288"/>
          <w:sz w:val="20"/>
        </w:rPr>
        <w:t xml:space="preserve"> are </w:t>
      </w:r>
      <w:proofErr w:type="spellStart"/>
      <w:r w:rsidRPr="00CA2BCB">
        <w:rPr>
          <w:rFonts w:ascii="Arial" w:hAnsi="Arial" w:cs="Arial"/>
          <w:color w:val="005288"/>
          <w:sz w:val="20"/>
        </w:rPr>
        <w:t>responsible</w:t>
      </w:r>
      <w:proofErr w:type="spellEnd"/>
      <w:r w:rsidRPr="00CA2BCB">
        <w:rPr>
          <w:rFonts w:ascii="Arial" w:hAnsi="Arial" w:cs="Arial"/>
          <w:color w:val="005288"/>
          <w:sz w:val="20"/>
        </w:rPr>
        <w:t xml:space="preserve"> for</w:t>
      </w:r>
      <w:r>
        <w:rPr>
          <w:rFonts w:ascii="Arial" w:hAnsi="Arial" w:cs="Arial"/>
          <w:color w:val="005288"/>
          <w:sz w:val="20"/>
        </w:rPr>
        <w:t xml:space="preserve"> </w:t>
      </w:r>
      <w:proofErr w:type="spellStart"/>
      <w:r>
        <w:rPr>
          <w:rFonts w:ascii="Arial" w:hAnsi="Arial" w:cs="Arial"/>
          <w:color w:val="005288"/>
          <w:sz w:val="20"/>
        </w:rPr>
        <w:t>approximately</w:t>
      </w:r>
      <w:proofErr w:type="spellEnd"/>
      <w:r>
        <w:rPr>
          <w:rFonts w:ascii="Arial" w:hAnsi="Arial" w:cs="Arial"/>
          <w:color w:val="005288"/>
          <w:sz w:val="20"/>
        </w:rPr>
        <w:t xml:space="preserve"> USD$148b </w:t>
      </w:r>
      <w:proofErr w:type="spellStart"/>
      <w:r w:rsidRPr="00CA2BCB">
        <w:rPr>
          <w:rFonts w:ascii="Arial" w:hAnsi="Arial" w:cs="Arial"/>
          <w:color w:val="005288"/>
          <w:sz w:val="20"/>
        </w:rPr>
        <w:t>assets</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under</w:t>
      </w:r>
      <w:proofErr w:type="spellEnd"/>
      <w:r w:rsidRPr="00CA2BCB">
        <w:rPr>
          <w:rFonts w:ascii="Arial" w:hAnsi="Arial" w:cs="Arial"/>
          <w:color w:val="005288"/>
          <w:sz w:val="20"/>
        </w:rPr>
        <w:t xml:space="preserve"> management on </w:t>
      </w:r>
      <w:proofErr w:type="spellStart"/>
      <w:r w:rsidRPr="00CA2BCB">
        <w:rPr>
          <w:rFonts w:ascii="Arial" w:hAnsi="Arial" w:cs="Arial"/>
          <w:color w:val="005288"/>
          <w:sz w:val="20"/>
        </w:rPr>
        <w:t>behalf</w:t>
      </w:r>
      <w:proofErr w:type="spellEnd"/>
      <w:r w:rsidRPr="00CA2BCB">
        <w:rPr>
          <w:rFonts w:ascii="Arial" w:hAnsi="Arial" w:cs="Arial"/>
          <w:color w:val="005288"/>
          <w:sz w:val="20"/>
        </w:rPr>
        <w:t xml:space="preserve"> of clients </w:t>
      </w:r>
      <w:proofErr w:type="spellStart"/>
      <w:r w:rsidRPr="00CA2BCB">
        <w:rPr>
          <w:rFonts w:ascii="Arial" w:hAnsi="Arial" w:cs="Arial"/>
          <w:color w:val="005288"/>
          <w:sz w:val="20"/>
        </w:rPr>
        <w:t>that</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include</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institutional</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investors</w:t>
      </w:r>
      <w:proofErr w:type="spellEnd"/>
      <w:r w:rsidRPr="00CA2BCB">
        <w:rPr>
          <w:rFonts w:ascii="Arial" w:hAnsi="Arial" w:cs="Arial"/>
          <w:color w:val="005288"/>
          <w:sz w:val="20"/>
        </w:rPr>
        <w:t xml:space="preserve">, pension </w:t>
      </w:r>
      <w:proofErr w:type="spellStart"/>
      <w:r w:rsidRPr="00CA2BCB">
        <w:rPr>
          <w:rFonts w:ascii="Arial" w:hAnsi="Arial" w:cs="Arial"/>
          <w:color w:val="005288"/>
          <w:sz w:val="20"/>
        </w:rPr>
        <w:t>funds</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wholesale</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distributors</w:t>
      </w:r>
      <w:proofErr w:type="spellEnd"/>
      <w:r w:rsidRPr="00CA2BCB">
        <w:rPr>
          <w:rFonts w:ascii="Arial" w:hAnsi="Arial" w:cs="Arial"/>
          <w:color w:val="005288"/>
          <w:sz w:val="20"/>
        </w:rPr>
        <w:t xml:space="preserve"> and </w:t>
      </w:r>
      <w:proofErr w:type="spellStart"/>
      <w:r w:rsidRPr="00CA2BCB">
        <w:rPr>
          <w:rFonts w:ascii="Arial" w:hAnsi="Arial" w:cs="Arial"/>
          <w:color w:val="005288"/>
          <w:sz w:val="20"/>
        </w:rPr>
        <w:t>platforms</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financial</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advisers</w:t>
      </w:r>
      <w:proofErr w:type="spellEnd"/>
      <w:r w:rsidRPr="00CA2BCB">
        <w:rPr>
          <w:rFonts w:ascii="Arial" w:hAnsi="Arial" w:cs="Arial"/>
          <w:color w:val="005288"/>
          <w:sz w:val="20"/>
        </w:rPr>
        <w:t xml:space="preserve"> and </w:t>
      </w:r>
      <w:proofErr w:type="spellStart"/>
      <w:r w:rsidRPr="00CA2BCB">
        <w:rPr>
          <w:rFonts w:ascii="Arial" w:hAnsi="Arial" w:cs="Arial"/>
          <w:color w:val="005288"/>
          <w:sz w:val="20"/>
        </w:rPr>
        <w:t>their</w:t>
      </w:r>
      <w:proofErr w:type="spellEnd"/>
      <w:r w:rsidRPr="00CA2BCB">
        <w:rPr>
          <w:rFonts w:ascii="Arial" w:hAnsi="Arial" w:cs="Arial"/>
          <w:color w:val="005288"/>
          <w:sz w:val="20"/>
        </w:rPr>
        <w:t xml:space="preserve"> clients.</w:t>
      </w:r>
    </w:p>
    <w:p w14:paraId="1DAE5C9C" w14:textId="77777777" w:rsidR="008457D7" w:rsidRDefault="008457D7" w:rsidP="008457D7">
      <w:pPr>
        <w:pStyle w:val="NormalWeb"/>
        <w:shd w:val="clear" w:color="auto" w:fill="FFFFFF"/>
        <w:spacing w:before="0" w:beforeAutospacing="0" w:after="360" w:afterAutospacing="0" w:line="276" w:lineRule="auto"/>
        <w:jc w:val="both"/>
        <w:rPr>
          <w:rFonts w:ascii="Arial" w:hAnsi="Arial" w:cs="Arial"/>
          <w:color w:val="005288"/>
          <w:sz w:val="20"/>
        </w:rPr>
      </w:pPr>
      <w:proofErr w:type="spellStart"/>
      <w:r w:rsidRPr="00CA2BCB">
        <w:rPr>
          <w:rFonts w:ascii="Arial" w:hAnsi="Arial" w:cs="Arial"/>
          <w:color w:val="005288"/>
          <w:sz w:val="20"/>
        </w:rPr>
        <w:t>We</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take</w:t>
      </w:r>
      <w:proofErr w:type="spellEnd"/>
      <w:r w:rsidRPr="00CA2BCB">
        <w:rPr>
          <w:rFonts w:ascii="Arial" w:hAnsi="Arial" w:cs="Arial"/>
          <w:color w:val="005288"/>
          <w:sz w:val="20"/>
        </w:rPr>
        <w:t xml:space="preserve"> a long-</w:t>
      </w:r>
      <w:proofErr w:type="spellStart"/>
      <w:r w:rsidRPr="00CA2BCB">
        <w:rPr>
          <w:rFonts w:ascii="Arial" w:hAnsi="Arial" w:cs="Arial"/>
          <w:color w:val="005288"/>
          <w:sz w:val="20"/>
        </w:rPr>
        <w:t>term</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approach</w:t>
      </w:r>
      <w:proofErr w:type="spellEnd"/>
      <w:r w:rsidRPr="00CA2BCB">
        <w:rPr>
          <w:rFonts w:ascii="Arial" w:hAnsi="Arial" w:cs="Arial"/>
          <w:color w:val="005288"/>
          <w:sz w:val="20"/>
        </w:rPr>
        <w:t xml:space="preserve"> to </w:t>
      </w:r>
      <w:proofErr w:type="spellStart"/>
      <w:r w:rsidRPr="00CA2BCB">
        <w:rPr>
          <w:rFonts w:ascii="Arial" w:hAnsi="Arial" w:cs="Arial"/>
          <w:color w:val="005288"/>
          <w:sz w:val="20"/>
        </w:rPr>
        <w:t>investment</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with</w:t>
      </w:r>
      <w:proofErr w:type="spellEnd"/>
      <w:r w:rsidRPr="00CA2BCB">
        <w:rPr>
          <w:rFonts w:ascii="Arial" w:hAnsi="Arial" w:cs="Arial"/>
          <w:color w:val="005288"/>
          <w:sz w:val="20"/>
        </w:rPr>
        <w:t xml:space="preserve"> a focus on </w:t>
      </w:r>
      <w:proofErr w:type="spellStart"/>
      <w:r w:rsidRPr="00CA2BCB">
        <w:rPr>
          <w:rFonts w:ascii="Arial" w:hAnsi="Arial" w:cs="Arial"/>
          <w:color w:val="005288"/>
          <w:sz w:val="20"/>
        </w:rPr>
        <w:t>preserving</w:t>
      </w:r>
      <w:proofErr w:type="spellEnd"/>
      <w:r w:rsidRPr="00CA2BCB">
        <w:rPr>
          <w:rFonts w:ascii="Arial" w:hAnsi="Arial" w:cs="Arial"/>
          <w:color w:val="005288"/>
          <w:sz w:val="20"/>
        </w:rPr>
        <w:t xml:space="preserve"> capital and performance </w:t>
      </w:r>
      <w:proofErr w:type="spellStart"/>
      <w:r w:rsidRPr="00CA2BCB">
        <w:rPr>
          <w:rFonts w:ascii="Arial" w:hAnsi="Arial" w:cs="Arial"/>
          <w:color w:val="005288"/>
          <w:sz w:val="20"/>
        </w:rPr>
        <w:t>through</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market</w:t>
      </w:r>
      <w:proofErr w:type="spellEnd"/>
      <w:r w:rsidRPr="00CA2BCB">
        <w:rPr>
          <w:rFonts w:ascii="Arial" w:hAnsi="Arial" w:cs="Arial"/>
          <w:color w:val="005288"/>
          <w:sz w:val="20"/>
        </w:rPr>
        <w:t xml:space="preserve"> cycles, </w:t>
      </w:r>
      <w:proofErr w:type="spellStart"/>
      <w:r w:rsidRPr="00CA2BCB">
        <w:rPr>
          <w:rFonts w:ascii="Arial" w:hAnsi="Arial" w:cs="Arial"/>
          <w:color w:val="005288"/>
          <w:sz w:val="20"/>
        </w:rPr>
        <w:t>rather</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than</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trying</w:t>
      </w:r>
      <w:proofErr w:type="spellEnd"/>
      <w:r w:rsidRPr="00CA2BCB">
        <w:rPr>
          <w:rFonts w:ascii="Arial" w:hAnsi="Arial" w:cs="Arial"/>
          <w:color w:val="005288"/>
          <w:sz w:val="20"/>
        </w:rPr>
        <w:t xml:space="preserve"> to </w:t>
      </w:r>
      <w:proofErr w:type="spellStart"/>
      <w:r w:rsidRPr="00CA2BCB">
        <w:rPr>
          <w:rFonts w:ascii="Arial" w:hAnsi="Arial" w:cs="Arial"/>
          <w:color w:val="005288"/>
          <w:sz w:val="20"/>
        </w:rPr>
        <w:t>achieve</w:t>
      </w:r>
      <w:proofErr w:type="spellEnd"/>
      <w:r w:rsidRPr="00CA2BCB">
        <w:rPr>
          <w:rFonts w:ascii="Arial" w:hAnsi="Arial" w:cs="Arial"/>
          <w:color w:val="005288"/>
          <w:sz w:val="20"/>
        </w:rPr>
        <w:t xml:space="preserve"> short-</w:t>
      </w:r>
      <w:proofErr w:type="spellStart"/>
      <w:r w:rsidRPr="00CA2BCB">
        <w:rPr>
          <w:rFonts w:ascii="Arial" w:hAnsi="Arial" w:cs="Arial"/>
          <w:color w:val="005288"/>
          <w:sz w:val="20"/>
        </w:rPr>
        <w:t>term</w:t>
      </w:r>
      <w:proofErr w:type="spellEnd"/>
      <w:r w:rsidRPr="00CA2BCB">
        <w:rPr>
          <w:rFonts w:ascii="Arial" w:hAnsi="Arial" w:cs="Arial"/>
          <w:color w:val="005288"/>
          <w:sz w:val="20"/>
        </w:rPr>
        <w:t xml:space="preserve"> gains.</w:t>
      </w:r>
      <w:r>
        <w:rPr>
          <w:rFonts w:ascii="Arial" w:hAnsi="Arial" w:cs="Arial"/>
          <w:color w:val="005288"/>
          <w:sz w:val="20"/>
        </w:rPr>
        <w:t xml:space="preserve">  </w:t>
      </w:r>
      <w:proofErr w:type="spellStart"/>
      <w:r w:rsidRPr="00CA2BCB">
        <w:rPr>
          <w:rFonts w:ascii="Arial" w:hAnsi="Arial" w:cs="Arial"/>
          <w:color w:val="005288"/>
          <w:sz w:val="20"/>
        </w:rPr>
        <w:t>We</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recognise</w:t>
      </w:r>
      <w:proofErr w:type="spellEnd"/>
      <w:r w:rsidRPr="00CA2BCB">
        <w:rPr>
          <w:rFonts w:ascii="Arial" w:hAnsi="Arial" w:cs="Arial"/>
          <w:color w:val="005288"/>
          <w:sz w:val="20"/>
        </w:rPr>
        <w:t xml:space="preserve"> the importance of </w:t>
      </w:r>
      <w:proofErr w:type="spellStart"/>
      <w:r w:rsidRPr="00CA2BCB">
        <w:rPr>
          <w:rFonts w:ascii="Arial" w:hAnsi="Arial" w:cs="Arial"/>
          <w:color w:val="005288"/>
          <w:sz w:val="20"/>
        </w:rPr>
        <w:t>responsible</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investment</w:t>
      </w:r>
      <w:proofErr w:type="spellEnd"/>
      <w:r w:rsidRPr="00CA2BCB">
        <w:rPr>
          <w:rFonts w:ascii="Arial" w:hAnsi="Arial" w:cs="Arial"/>
          <w:color w:val="005288"/>
          <w:sz w:val="20"/>
        </w:rPr>
        <w:t xml:space="preserve"> and </w:t>
      </w:r>
      <w:proofErr w:type="spellStart"/>
      <w:r w:rsidRPr="00CA2BCB">
        <w:rPr>
          <w:rFonts w:ascii="Arial" w:hAnsi="Arial" w:cs="Arial"/>
          <w:color w:val="005288"/>
          <w:sz w:val="20"/>
        </w:rPr>
        <w:t>that</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Environmental</w:t>
      </w:r>
      <w:proofErr w:type="spellEnd"/>
      <w:r w:rsidRPr="00CA2BCB">
        <w:rPr>
          <w:rFonts w:ascii="Arial" w:hAnsi="Arial" w:cs="Arial"/>
          <w:color w:val="005288"/>
          <w:sz w:val="20"/>
        </w:rPr>
        <w:t xml:space="preserve">, Social and </w:t>
      </w:r>
      <w:proofErr w:type="spellStart"/>
      <w:r w:rsidRPr="00CA2BCB">
        <w:rPr>
          <w:rFonts w:ascii="Arial" w:hAnsi="Arial" w:cs="Arial"/>
          <w:color w:val="005288"/>
          <w:sz w:val="20"/>
        </w:rPr>
        <w:t>Governance</w:t>
      </w:r>
      <w:proofErr w:type="spellEnd"/>
      <w:r w:rsidRPr="00CA2BCB">
        <w:rPr>
          <w:rFonts w:ascii="Arial" w:hAnsi="Arial" w:cs="Arial"/>
          <w:color w:val="005288"/>
          <w:sz w:val="20"/>
        </w:rPr>
        <w:t xml:space="preserve"> (ESG) issues impact </w:t>
      </w:r>
      <w:proofErr w:type="spellStart"/>
      <w:r w:rsidRPr="00CA2BCB">
        <w:rPr>
          <w:rFonts w:ascii="Arial" w:hAnsi="Arial" w:cs="Arial"/>
          <w:color w:val="005288"/>
          <w:sz w:val="20"/>
        </w:rPr>
        <w:t>investment</w:t>
      </w:r>
      <w:proofErr w:type="spellEnd"/>
      <w:r w:rsidRPr="00CA2BCB">
        <w:rPr>
          <w:rFonts w:ascii="Arial" w:hAnsi="Arial" w:cs="Arial"/>
          <w:color w:val="005288"/>
          <w:sz w:val="20"/>
        </w:rPr>
        <w:t xml:space="preserve"> value. </w:t>
      </w:r>
      <w:proofErr w:type="spellStart"/>
      <w:r w:rsidRPr="00CA2BCB">
        <w:rPr>
          <w:rFonts w:ascii="Arial" w:hAnsi="Arial" w:cs="Arial"/>
          <w:color w:val="005288"/>
          <w:sz w:val="20"/>
        </w:rPr>
        <w:t>We</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believe</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we</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can</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achieve</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better</w:t>
      </w:r>
      <w:proofErr w:type="spellEnd"/>
      <w:r w:rsidRPr="00CA2BCB">
        <w:rPr>
          <w:rFonts w:ascii="Arial" w:hAnsi="Arial" w:cs="Arial"/>
          <w:color w:val="005288"/>
          <w:sz w:val="20"/>
        </w:rPr>
        <w:t xml:space="preserve"> long-</w:t>
      </w:r>
      <w:proofErr w:type="spellStart"/>
      <w:r w:rsidRPr="00CA2BCB">
        <w:rPr>
          <w:rFonts w:ascii="Arial" w:hAnsi="Arial" w:cs="Arial"/>
          <w:color w:val="005288"/>
          <w:sz w:val="20"/>
        </w:rPr>
        <w:t>term</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investment</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outcomes</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through</w:t>
      </w:r>
      <w:proofErr w:type="spellEnd"/>
      <w:r w:rsidRPr="00CA2BCB">
        <w:rPr>
          <w:rFonts w:ascii="Arial" w:hAnsi="Arial" w:cs="Arial"/>
          <w:color w:val="005288"/>
          <w:sz w:val="20"/>
        </w:rPr>
        <w:t xml:space="preserve"> active engagement </w:t>
      </w:r>
      <w:proofErr w:type="spellStart"/>
      <w:r w:rsidRPr="00CA2BCB">
        <w:rPr>
          <w:rFonts w:ascii="Arial" w:hAnsi="Arial" w:cs="Arial"/>
          <w:color w:val="005288"/>
          <w:sz w:val="20"/>
        </w:rPr>
        <w:t>with</w:t>
      </w:r>
      <w:proofErr w:type="spellEnd"/>
      <w:r w:rsidRPr="00CA2BCB">
        <w:rPr>
          <w:rFonts w:ascii="Arial" w:hAnsi="Arial" w:cs="Arial"/>
          <w:color w:val="005288"/>
          <w:sz w:val="20"/>
        </w:rPr>
        <w:t xml:space="preserve"> companies and by </w:t>
      </w:r>
      <w:proofErr w:type="spellStart"/>
      <w:r w:rsidRPr="00CA2BCB">
        <w:rPr>
          <w:rFonts w:ascii="Arial" w:hAnsi="Arial" w:cs="Arial"/>
          <w:color w:val="005288"/>
          <w:sz w:val="20"/>
        </w:rPr>
        <w:t>exercising</w:t>
      </w:r>
      <w:proofErr w:type="spellEnd"/>
      <w:r w:rsidRPr="00CA2BCB">
        <w:rPr>
          <w:rFonts w:ascii="Arial" w:hAnsi="Arial" w:cs="Arial"/>
          <w:color w:val="005288"/>
          <w:sz w:val="20"/>
        </w:rPr>
        <w:t xml:space="preserve"> the </w:t>
      </w:r>
      <w:proofErr w:type="spellStart"/>
      <w:r w:rsidRPr="00CA2BCB">
        <w:rPr>
          <w:rFonts w:ascii="Arial" w:hAnsi="Arial" w:cs="Arial"/>
          <w:color w:val="005288"/>
          <w:sz w:val="20"/>
        </w:rPr>
        <w:t>equity</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ownership</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rights</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we</w:t>
      </w:r>
      <w:proofErr w:type="spellEnd"/>
      <w:r w:rsidRPr="00CA2BCB">
        <w:rPr>
          <w:rFonts w:ascii="Arial" w:hAnsi="Arial" w:cs="Arial"/>
          <w:color w:val="005288"/>
          <w:sz w:val="20"/>
        </w:rPr>
        <w:t xml:space="preserve"> </w:t>
      </w:r>
      <w:proofErr w:type="spellStart"/>
      <w:r w:rsidRPr="00CA2BCB">
        <w:rPr>
          <w:rFonts w:ascii="Arial" w:hAnsi="Arial" w:cs="Arial"/>
          <w:color w:val="005288"/>
          <w:sz w:val="20"/>
        </w:rPr>
        <w:t>hold</w:t>
      </w:r>
      <w:proofErr w:type="spellEnd"/>
      <w:r w:rsidRPr="00CA2BCB">
        <w:rPr>
          <w:rFonts w:ascii="Arial" w:hAnsi="Arial" w:cs="Arial"/>
          <w:color w:val="005288"/>
          <w:sz w:val="20"/>
        </w:rPr>
        <w:t xml:space="preserve"> on </w:t>
      </w:r>
      <w:proofErr w:type="spellStart"/>
      <w:r w:rsidRPr="00CA2BCB">
        <w:rPr>
          <w:rFonts w:ascii="Arial" w:hAnsi="Arial" w:cs="Arial"/>
          <w:color w:val="005288"/>
          <w:sz w:val="20"/>
        </w:rPr>
        <w:t>behalf</w:t>
      </w:r>
      <w:proofErr w:type="spellEnd"/>
      <w:r w:rsidRPr="00CA2BCB">
        <w:rPr>
          <w:rFonts w:ascii="Arial" w:hAnsi="Arial" w:cs="Arial"/>
          <w:color w:val="005288"/>
          <w:sz w:val="20"/>
        </w:rPr>
        <w:t xml:space="preserve"> of </w:t>
      </w:r>
      <w:proofErr w:type="spellStart"/>
      <w:r w:rsidRPr="00CA2BCB">
        <w:rPr>
          <w:rFonts w:ascii="Arial" w:hAnsi="Arial" w:cs="Arial"/>
          <w:color w:val="005288"/>
          <w:sz w:val="20"/>
        </w:rPr>
        <w:t>our</w:t>
      </w:r>
      <w:proofErr w:type="spellEnd"/>
      <w:r w:rsidRPr="00CA2BCB">
        <w:rPr>
          <w:rFonts w:ascii="Arial" w:hAnsi="Arial" w:cs="Arial"/>
          <w:color w:val="005288"/>
          <w:sz w:val="20"/>
        </w:rPr>
        <w:t xml:space="preserve"> clients.</w:t>
      </w:r>
    </w:p>
    <w:p w14:paraId="45237C54" w14:textId="77777777" w:rsidR="008457D7" w:rsidRDefault="008457D7" w:rsidP="008457D7">
      <w:pPr>
        <w:pStyle w:val="NormalWeb"/>
        <w:shd w:val="clear" w:color="auto" w:fill="FFFFFF"/>
        <w:spacing w:before="0" w:beforeAutospacing="0" w:after="360" w:afterAutospacing="0" w:line="276" w:lineRule="auto"/>
        <w:jc w:val="both"/>
        <w:rPr>
          <w:rFonts w:ascii="Arial" w:hAnsi="Arial" w:cs="Arial"/>
          <w:color w:val="005288"/>
          <w:sz w:val="20"/>
        </w:rPr>
      </w:pPr>
      <w:proofErr w:type="spellStart"/>
      <w:r>
        <w:rPr>
          <w:rFonts w:ascii="Arial" w:hAnsi="Arial" w:cs="Arial"/>
          <w:color w:val="005288"/>
          <w:sz w:val="20"/>
        </w:rPr>
        <w:t>We</w:t>
      </w:r>
      <w:proofErr w:type="spellEnd"/>
      <w:r>
        <w:rPr>
          <w:rFonts w:ascii="Arial" w:hAnsi="Arial" w:cs="Arial"/>
          <w:color w:val="005288"/>
          <w:sz w:val="20"/>
        </w:rPr>
        <w:t xml:space="preserve"> have </w:t>
      </w:r>
      <w:proofErr w:type="spellStart"/>
      <w:r>
        <w:rPr>
          <w:rFonts w:ascii="Arial" w:hAnsi="Arial" w:cs="Arial"/>
          <w:color w:val="005288"/>
          <w:sz w:val="20"/>
        </w:rPr>
        <w:t>significant</w:t>
      </w:r>
      <w:proofErr w:type="spellEnd"/>
      <w:r>
        <w:rPr>
          <w:rFonts w:ascii="Arial" w:hAnsi="Arial" w:cs="Arial"/>
          <w:color w:val="005288"/>
          <w:sz w:val="20"/>
        </w:rPr>
        <w:t xml:space="preserve"> </w:t>
      </w:r>
      <w:proofErr w:type="spellStart"/>
      <w:r>
        <w:rPr>
          <w:rFonts w:ascii="Arial" w:hAnsi="Arial" w:cs="Arial"/>
          <w:color w:val="005288"/>
          <w:sz w:val="20"/>
        </w:rPr>
        <w:t>concerns</w:t>
      </w:r>
      <w:proofErr w:type="spellEnd"/>
      <w:r>
        <w:rPr>
          <w:rFonts w:ascii="Arial" w:hAnsi="Arial" w:cs="Arial"/>
          <w:color w:val="005288"/>
          <w:sz w:val="20"/>
        </w:rPr>
        <w:t xml:space="preserve"> </w:t>
      </w:r>
      <w:proofErr w:type="spellStart"/>
      <w:r>
        <w:rPr>
          <w:rFonts w:ascii="Arial" w:hAnsi="Arial" w:cs="Arial"/>
          <w:color w:val="005288"/>
          <w:sz w:val="20"/>
        </w:rPr>
        <w:t>regarding</w:t>
      </w:r>
      <w:proofErr w:type="spellEnd"/>
      <w:r>
        <w:rPr>
          <w:rFonts w:ascii="Arial" w:hAnsi="Arial" w:cs="Arial"/>
          <w:color w:val="005288"/>
          <w:sz w:val="20"/>
        </w:rPr>
        <w:t xml:space="preserve"> the </w:t>
      </w:r>
      <w:proofErr w:type="spellStart"/>
      <w:r>
        <w:rPr>
          <w:rFonts w:ascii="Arial" w:hAnsi="Arial" w:cs="Arial"/>
          <w:color w:val="005288"/>
          <w:sz w:val="20"/>
        </w:rPr>
        <w:t>timetable</w:t>
      </w:r>
      <w:proofErr w:type="spellEnd"/>
      <w:r>
        <w:rPr>
          <w:rFonts w:ascii="Arial" w:hAnsi="Arial" w:cs="Arial"/>
          <w:color w:val="005288"/>
          <w:sz w:val="20"/>
        </w:rPr>
        <w:t xml:space="preserve"> for the introduction of the SFDR in </w:t>
      </w:r>
      <w:proofErr w:type="spellStart"/>
      <w:r>
        <w:rPr>
          <w:rFonts w:ascii="Arial" w:hAnsi="Arial" w:cs="Arial"/>
          <w:color w:val="005288"/>
          <w:sz w:val="20"/>
        </w:rPr>
        <w:t>that</w:t>
      </w:r>
      <w:proofErr w:type="spellEnd"/>
      <w:r>
        <w:rPr>
          <w:rFonts w:ascii="Arial" w:hAnsi="Arial" w:cs="Arial"/>
          <w:color w:val="005288"/>
          <w:sz w:val="20"/>
        </w:rPr>
        <w:t xml:space="preserve"> </w:t>
      </w:r>
      <w:proofErr w:type="spellStart"/>
      <w:r>
        <w:rPr>
          <w:rFonts w:ascii="Arial" w:hAnsi="Arial" w:cs="Arial"/>
          <w:color w:val="005288"/>
          <w:sz w:val="20"/>
        </w:rPr>
        <w:t>it</w:t>
      </w:r>
      <w:proofErr w:type="spellEnd"/>
      <w:r>
        <w:rPr>
          <w:rFonts w:ascii="Arial" w:hAnsi="Arial" w:cs="Arial"/>
          <w:color w:val="005288"/>
          <w:sz w:val="20"/>
        </w:rPr>
        <w:t xml:space="preserve"> </w:t>
      </w:r>
      <w:proofErr w:type="spellStart"/>
      <w:r>
        <w:rPr>
          <w:rFonts w:ascii="Arial" w:hAnsi="Arial" w:cs="Arial"/>
          <w:color w:val="005288"/>
          <w:sz w:val="20"/>
        </w:rPr>
        <w:t>does</w:t>
      </w:r>
      <w:proofErr w:type="spellEnd"/>
      <w:r>
        <w:rPr>
          <w:rFonts w:ascii="Arial" w:hAnsi="Arial" w:cs="Arial"/>
          <w:color w:val="005288"/>
          <w:sz w:val="20"/>
        </w:rPr>
        <w:t xml:space="preserve"> not </w:t>
      </w:r>
      <w:proofErr w:type="spellStart"/>
      <w:r>
        <w:rPr>
          <w:rFonts w:ascii="Arial" w:hAnsi="Arial" w:cs="Arial"/>
          <w:color w:val="005288"/>
          <w:sz w:val="20"/>
        </w:rPr>
        <w:t>allow</w:t>
      </w:r>
      <w:proofErr w:type="spellEnd"/>
      <w:r>
        <w:rPr>
          <w:rFonts w:ascii="Arial" w:hAnsi="Arial" w:cs="Arial"/>
          <w:color w:val="005288"/>
          <w:sz w:val="20"/>
        </w:rPr>
        <w:t xml:space="preserve"> for </w:t>
      </w:r>
      <w:proofErr w:type="spellStart"/>
      <w:r>
        <w:rPr>
          <w:rFonts w:ascii="Arial" w:hAnsi="Arial" w:cs="Arial"/>
          <w:color w:val="005288"/>
          <w:sz w:val="20"/>
        </w:rPr>
        <w:t>sufficient</w:t>
      </w:r>
      <w:proofErr w:type="spellEnd"/>
      <w:r>
        <w:rPr>
          <w:rFonts w:ascii="Arial" w:hAnsi="Arial" w:cs="Arial"/>
          <w:color w:val="005288"/>
          <w:sz w:val="20"/>
        </w:rPr>
        <w:t xml:space="preserve"> time to </w:t>
      </w:r>
      <w:proofErr w:type="spellStart"/>
      <w:r>
        <w:rPr>
          <w:rFonts w:ascii="Arial" w:hAnsi="Arial" w:cs="Arial"/>
          <w:color w:val="005288"/>
          <w:sz w:val="20"/>
        </w:rPr>
        <w:t>make</w:t>
      </w:r>
      <w:proofErr w:type="spellEnd"/>
      <w:r>
        <w:rPr>
          <w:rFonts w:ascii="Arial" w:hAnsi="Arial" w:cs="Arial"/>
          <w:color w:val="005288"/>
          <w:sz w:val="20"/>
        </w:rPr>
        <w:t xml:space="preserve"> </w:t>
      </w:r>
      <w:proofErr w:type="spellStart"/>
      <w:r>
        <w:rPr>
          <w:rFonts w:ascii="Arial" w:hAnsi="Arial" w:cs="Arial"/>
          <w:color w:val="005288"/>
          <w:sz w:val="20"/>
        </w:rPr>
        <w:t>mandated</w:t>
      </w:r>
      <w:proofErr w:type="spellEnd"/>
      <w:r>
        <w:rPr>
          <w:rFonts w:ascii="Arial" w:hAnsi="Arial" w:cs="Arial"/>
          <w:color w:val="005288"/>
          <w:sz w:val="20"/>
        </w:rPr>
        <w:t xml:space="preserve"> changes to </w:t>
      </w:r>
      <w:proofErr w:type="spellStart"/>
      <w:r>
        <w:rPr>
          <w:rFonts w:ascii="Arial" w:hAnsi="Arial" w:cs="Arial"/>
          <w:color w:val="005288"/>
          <w:sz w:val="20"/>
        </w:rPr>
        <w:t>pre</w:t>
      </w:r>
      <w:proofErr w:type="spellEnd"/>
      <w:r>
        <w:rPr>
          <w:rFonts w:ascii="Arial" w:hAnsi="Arial" w:cs="Arial"/>
          <w:color w:val="005288"/>
          <w:sz w:val="20"/>
        </w:rPr>
        <w:t xml:space="preserve"> </w:t>
      </w:r>
      <w:proofErr w:type="spellStart"/>
      <w:r>
        <w:rPr>
          <w:rFonts w:ascii="Arial" w:hAnsi="Arial" w:cs="Arial"/>
          <w:color w:val="005288"/>
          <w:sz w:val="20"/>
        </w:rPr>
        <w:t>contractual</w:t>
      </w:r>
      <w:proofErr w:type="spellEnd"/>
      <w:r>
        <w:rPr>
          <w:rFonts w:ascii="Arial" w:hAnsi="Arial" w:cs="Arial"/>
          <w:color w:val="005288"/>
          <w:sz w:val="20"/>
        </w:rPr>
        <w:t xml:space="preserve"> </w:t>
      </w:r>
      <w:proofErr w:type="spellStart"/>
      <w:r>
        <w:rPr>
          <w:rFonts w:ascii="Arial" w:hAnsi="Arial" w:cs="Arial"/>
          <w:color w:val="005288"/>
          <w:sz w:val="20"/>
        </w:rPr>
        <w:t>disclosures</w:t>
      </w:r>
      <w:proofErr w:type="spellEnd"/>
      <w:r>
        <w:rPr>
          <w:rFonts w:ascii="Arial" w:hAnsi="Arial" w:cs="Arial"/>
          <w:color w:val="005288"/>
          <w:sz w:val="20"/>
        </w:rPr>
        <w:t xml:space="preserve"> and gain the </w:t>
      </w:r>
      <w:proofErr w:type="spellStart"/>
      <w:r>
        <w:rPr>
          <w:rFonts w:ascii="Arial" w:hAnsi="Arial" w:cs="Arial"/>
          <w:color w:val="005288"/>
          <w:sz w:val="20"/>
        </w:rPr>
        <w:t>required</w:t>
      </w:r>
      <w:proofErr w:type="spellEnd"/>
      <w:r>
        <w:rPr>
          <w:rFonts w:ascii="Arial" w:hAnsi="Arial" w:cs="Arial"/>
          <w:color w:val="005288"/>
          <w:sz w:val="20"/>
        </w:rPr>
        <w:t xml:space="preserve"> </w:t>
      </w:r>
      <w:proofErr w:type="spellStart"/>
      <w:r>
        <w:rPr>
          <w:rFonts w:ascii="Arial" w:hAnsi="Arial" w:cs="Arial"/>
          <w:color w:val="005288"/>
          <w:sz w:val="20"/>
        </w:rPr>
        <w:t>approvals</w:t>
      </w:r>
      <w:proofErr w:type="spellEnd"/>
      <w:r>
        <w:rPr>
          <w:rFonts w:ascii="Arial" w:hAnsi="Arial" w:cs="Arial"/>
          <w:color w:val="005288"/>
          <w:sz w:val="20"/>
        </w:rPr>
        <w:t xml:space="preserve"> for </w:t>
      </w:r>
      <w:proofErr w:type="spellStart"/>
      <w:r>
        <w:rPr>
          <w:rFonts w:ascii="Arial" w:hAnsi="Arial" w:cs="Arial"/>
          <w:color w:val="005288"/>
          <w:sz w:val="20"/>
        </w:rPr>
        <w:t>such</w:t>
      </w:r>
      <w:proofErr w:type="spellEnd"/>
      <w:r>
        <w:rPr>
          <w:rFonts w:ascii="Arial" w:hAnsi="Arial" w:cs="Arial"/>
          <w:color w:val="005288"/>
          <w:sz w:val="20"/>
        </w:rPr>
        <w:t xml:space="preserve"> changes </w:t>
      </w:r>
      <w:proofErr w:type="spellStart"/>
      <w:r>
        <w:rPr>
          <w:rFonts w:ascii="Arial" w:hAnsi="Arial" w:cs="Arial"/>
          <w:color w:val="005288"/>
          <w:sz w:val="20"/>
        </w:rPr>
        <w:t>from</w:t>
      </w:r>
      <w:proofErr w:type="spellEnd"/>
      <w:r>
        <w:rPr>
          <w:rFonts w:ascii="Arial" w:hAnsi="Arial" w:cs="Arial"/>
          <w:color w:val="005288"/>
          <w:sz w:val="20"/>
        </w:rPr>
        <w:t xml:space="preserve"> </w:t>
      </w:r>
      <w:proofErr w:type="spellStart"/>
      <w:r>
        <w:rPr>
          <w:rFonts w:ascii="Arial" w:hAnsi="Arial" w:cs="Arial"/>
          <w:color w:val="005288"/>
          <w:sz w:val="20"/>
        </w:rPr>
        <w:t>regulatory</w:t>
      </w:r>
      <w:proofErr w:type="spellEnd"/>
      <w:r>
        <w:rPr>
          <w:rFonts w:ascii="Arial" w:hAnsi="Arial" w:cs="Arial"/>
          <w:color w:val="005288"/>
          <w:sz w:val="20"/>
        </w:rPr>
        <w:t xml:space="preserve"> bodies </w:t>
      </w:r>
      <w:proofErr w:type="spellStart"/>
      <w:r>
        <w:rPr>
          <w:rFonts w:ascii="Arial" w:hAnsi="Arial" w:cs="Arial"/>
          <w:color w:val="005288"/>
          <w:sz w:val="20"/>
        </w:rPr>
        <w:t>both</w:t>
      </w:r>
      <w:proofErr w:type="spellEnd"/>
      <w:r>
        <w:rPr>
          <w:rFonts w:ascii="Arial" w:hAnsi="Arial" w:cs="Arial"/>
          <w:color w:val="005288"/>
          <w:sz w:val="20"/>
        </w:rPr>
        <w:t xml:space="preserve"> </w:t>
      </w:r>
      <w:proofErr w:type="spellStart"/>
      <w:r>
        <w:rPr>
          <w:rFonts w:ascii="Arial" w:hAnsi="Arial" w:cs="Arial"/>
          <w:color w:val="005288"/>
          <w:sz w:val="20"/>
        </w:rPr>
        <w:t>within</w:t>
      </w:r>
      <w:proofErr w:type="spellEnd"/>
      <w:r>
        <w:rPr>
          <w:rFonts w:ascii="Arial" w:hAnsi="Arial" w:cs="Arial"/>
          <w:color w:val="005288"/>
          <w:sz w:val="20"/>
        </w:rPr>
        <w:t xml:space="preserve"> and </w:t>
      </w:r>
      <w:proofErr w:type="spellStart"/>
      <w:r>
        <w:rPr>
          <w:rFonts w:ascii="Arial" w:hAnsi="Arial" w:cs="Arial"/>
          <w:color w:val="005288"/>
          <w:sz w:val="20"/>
        </w:rPr>
        <w:t>outside</w:t>
      </w:r>
      <w:proofErr w:type="spellEnd"/>
      <w:r>
        <w:rPr>
          <w:rFonts w:ascii="Arial" w:hAnsi="Arial" w:cs="Arial"/>
          <w:color w:val="005288"/>
          <w:sz w:val="20"/>
        </w:rPr>
        <w:t xml:space="preserve"> of Europe </w:t>
      </w:r>
      <w:proofErr w:type="spellStart"/>
      <w:r>
        <w:rPr>
          <w:rFonts w:ascii="Arial" w:hAnsi="Arial" w:cs="Arial"/>
          <w:color w:val="005288"/>
          <w:sz w:val="20"/>
        </w:rPr>
        <w:t>before</w:t>
      </w:r>
      <w:proofErr w:type="spellEnd"/>
      <w:r>
        <w:rPr>
          <w:rFonts w:ascii="Arial" w:hAnsi="Arial" w:cs="Arial"/>
          <w:color w:val="005288"/>
          <w:sz w:val="20"/>
        </w:rPr>
        <w:t xml:space="preserve"> the </w:t>
      </w:r>
      <w:proofErr w:type="spellStart"/>
      <w:r>
        <w:rPr>
          <w:rFonts w:ascii="Arial" w:hAnsi="Arial" w:cs="Arial"/>
          <w:color w:val="005288"/>
          <w:sz w:val="20"/>
        </w:rPr>
        <w:t>proposed</w:t>
      </w:r>
      <w:proofErr w:type="spellEnd"/>
      <w:r>
        <w:rPr>
          <w:rFonts w:ascii="Arial" w:hAnsi="Arial" w:cs="Arial"/>
          <w:color w:val="005288"/>
          <w:sz w:val="20"/>
        </w:rPr>
        <w:t xml:space="preserve"> </w:t>
      </w:r>
      <w:proofErr w:type="spellStart"/>
      <w:proofErr w:type="gramStart"/>
      <w:r>
        <w:rPr>
          <w:rFonts w:ascii="Arial" w:hAnsi="Arial" w:cs="Arial"/>
          <w:color w:val="005288"/>
          <w:sz w:val="20"/>
        </w:rPr>
        <w:t>implementation</w:t>
      </w:r>
      <w:proofErr w:type="spellEnd"/>
      <w:proofErr w:type="gramEnd"/>
      <w:r>
        <w:rPr>
          <w:rFonts w:ascii="Arial" w:hAnsi="Arial" w:cs="Arial"/>
          <w:color w:val="005288"/>
          <w:sz w:val="20"/>
        </w:rPr>
        <w:t xml:space="preserve"> date of March 10</w:t>
      </w:r>
      <w:r w:rsidRPr="00CA2BCB">
        <w:rPr>
          <w:rFonts w:ascii="Arial" w:hAnsi="Arial" w:cs="Arial"/>
          <w:color w:val="005288"/>
          <w:sz w:val="20"/>
          <w:vertAlign w:val="superscript"/>
        </w:rPr>
        <w:t>th</w:t>
      </w:r>
      <w:r>
        <w:rPr>
          <w:rFonts w:ascii="Arial" w:hAnsi="Arial" w:cs="Arial"/>
          <w:color w:val="005288"/>
          <w:sz w:val="20"/>
        </w:rPr>
        <w:t xml:space="preserve"> 2021.</w:t>
      </w:r>
    </w:p>
    <w:p w14:paraId="7D656A12" w14:textId="77777777" w:rsidR="008457D7" w:rsidRDefault="008457D7" w:rsidP="008457D7">
      <w:pPr>
        <w:pStyle w:val="NormalWeb"/>
        <w:shd w:val="clear" w:color="auto" w:fill="FFFFFF"/>
        <w:spacing w:before="0" w:beforeAutospacing="0" w:after="360" w:afterAutospacing="0" w:line="276" w:lineRule="auto"/>
        <w:jc w:val="both"/>
        <w:rPr>
          <w:rFonts w:ascii="Arial" w:hAnsi="Arial" w:cs="Arial"/>
          <w:color w:val="005288"/>
          <w:sz w:val="20"/>
        </w:rPr>
      </w:pPr>
      <w:proofErr w:type="spellStart"/>
      <w:r>
        <w:rPr>
          <w:rFonts w:ascii="Arial" w:hAnsi="Arial" w:cs="Arial"/>
          <w:color w:val="005288"/>
          <w:sz w:val="20"/>
        </w:rPr>
        <w:t>Material</w:t>
      </w:r>
      <w:proofErr w:type="spellEnd"/>
      <w:r>
        <w:rPr>
          <w:rFonts w:ascii="Arial" w:hAnsi="Arial" w:cs="Arial"/>
          <w:color w:val="005288"/>
          <w:sz w:val="20"/>
        </w:rPr>
        <w:t xml:space="preserve"> changes to </w:t>
      </w:r>
      <w:proofErr w:type="spellStart"/>
      <w:r>
        <w:rPr>
          <w:rFonts w:ascii="Arial" w:hAnsi="Arial" w:cs="Arial"/>
          <w:color w:val="005288"/>
          <w:sz w:val="20"/>
        </w:rPr>
        <w:t>regulated</w:t>
      </w:r>
      <w:proofErr w:type="spellEnd"/>
      <w:r>
        <w:rPr>
          <w:rFonts w:ascii="Arial" w:hAnsi="Arial" w:cs="Arial"/>
          <w:color w:val="005288"/>
          <w:sz w:val="20"/>
        </w:rPr>
        <w:t xml:space="preserve"> </w:t>
      </w:r>
      <w:proofErr w:type="spellStart"/>
      <w:r>
        <w:rPr>
          <w:rFonts w:ascii="Arial" w:hAnsi="Arial" w:cs="Arial"/>
          <w:color w:val="005288"/>
          <w:sz w:val="20"/>
        </w:rPr>
        <w:t>fund</w:t>
      </w:r>
      <w:proofErr w:type="spellEnd"/>
      <w:r>
        <w:rPr>
          <w:rFonts w:ascii="Arial" w:hAnsi="Arial" w:cs="Arial"/>
          <w:color w:val="005288"/>
          <w:sz w:val="20"/>
        </w:rPr>
        <w:t xml:space="preserve"> </w:t>
      </w:r>
      <w:proofErr w:type="spellStart"/>
      <w:r>
        <w:rPr>
          <w:rFonts w:ascii="Arial" w:hAnsi="Arial" w:cs="Arial"/>
          <w:color w:val="005288"/>
          <w:sz w:val="20"/>
        </w:rPr>
        <w:t>prospectuses</w:t>
      </w:r>
      <w:proofErr w:type="spellEnd"/>
      <w:r>
        <w:rPr>
          <w:rFonts w:ascii="Arial" w:hAnsi="Arial" w:cs="Arial"/>
          <w:color w:val="005288"/>
          <w:sz w:val="20"/>
        </w:rPr>
        <w:t xml:space="preserve"> </w:t>
      </w:r>
      <w:proofErr w:type="spellStart"/>
      <w:r>
        <w:rPr>
          <w:rFonts w:ascii="Arial" w:hAnsi="Arial" w:cs="Arial"/>
          <w:color w:val="005288"/>
          <w:sz w:val="20"/>
        </w:rPr>
        <w:t>such</w:t>
      </w:r>
      <w:proofErr w:type="spellEnd"/>
      <w:r>
        <w:rPr>
          <w:rFonts w:ascii="Arial" w:hAnsi="Arial" w:cs="Arial"/>
          <w:color w:val="005288"/>
          <w:sz w:val="20"/>
        </w:rPr>
        <w:t xml:space="preserve"> as </w:t>
      </w:r>
      <w:proofErr w:type="spellStart"/>
      <w:r>
        <w:rPr>
          <w:rFonts w:ascii="Arial" w:hAnsi="Arial" w:cs="Arial"/>
          <w:color w:val="005288"/>
          <w:sz w:val="20"/>
        </w:rPr>
        <w:t>those</w:t>
      </w:r>
      <w:proofErr w:type="spellEnd"/>
      <w:r>
        <w:rPr>
          <w:rFonts w:ascii="Arial" w:hAnsi="Arial" w:cs="Arial"/>
          <w:color w:val="005288"/>
          <w:sz w:val="20"/>
        </w:rPr>
        <w:t xml:space="preserve"> </w:t>
      </w:r>
      <w:proofErr w:type="spellStart"/>
      <w:r>
        <w:rPr>
          <w:rFonts w:ascii="Arial" w:hAnsi="Arial" w:cs="Arial"/>
          <w:color w:val="005288"/>
          <w:sz w:val="20"/>
        </w:rPr>
        <w:t>required</w:t>
      </w:r>
      <w:proofErr w:type="spellEnd"/>
      <w:r>
        <w:rPr>
          <w:rFonts w:ascii="Arial" w:hAnsi="Arial" w:cs="Arial"/>
          <w:color w:val="005288"/>
          <w:sz w:val="20"/>
        </w:rPr>
        <w:t xml:space="preserve"> by the RTS </w:t>
      </w:r>
      <w:proofErr w:type="spellStart"/>
      <w:r>
        <w:rPr>
          <w:rFonts w:ascii="Arial" w:hAnsi="Arial" w:cs="Arial"/>
          <w:color w:val="005288"/>
          <w:sz w:val="20"/>
        </w:rPr>
        <w:t>will</w:t>
      </w:r>
      <w:proofErr w:type="spellEnd"/>
      <w:r>
        <w:rPr>
          <w:rFonts w:ascii="Arial" w:hAnsi="Arial" w:cs="Arial"/>
          <w:color w:val="005288"/>
          <w:sz w:val="20"/>
        </w:rPr>
        <w:t xml:space="preserve"> </w:t>
      </w:r>
      <w:proofErr w:type="spellStart"/>
      <w:r>
        <w:rPr>
          <w:rFonts w:ascii="Arial" w:hAnsi="Arial" w:cs="Arial"/>
          <w:color w:val="005288"/>
          <w:sz w:val="20"/>
        </w:rPr>
        <w:t>require</w:t>
      </w:r>
      <w:proofErr w:type="spellEnd"/>
      <w:r>
        <w:rPr>
          <w:rFonts w:ascii="Arial" w:hAnsi="Arial" w:cs="Arial"/>
          <w:color w:val="005288"/>
          <w:sz w:val="20"/>
        </w:rPr>
        <w:t xml:space="preserve"> </w:t>
      </w:r>
      <w:proofErr w:type="spellStart"/>
      <w:r>
        <w:rPr>
          <w:rFonts w:ascii="Arial" w:hAnsi="Arial" w:cs="Arial"/>
          <w:color w:val="005288"/>
          <w:sz w:val="20"/>
        </w:rPr>
        <w:t>regulatory</w:t>
      </w:r>
      <w:proofErr w:type="spellEnd"/>
      <w:r>
        <w:rPr>
          <w:rFonts w:ascii="Arial" w:hAnsi="Arial" w:cs="Arial"/>
          <w:color w:val="005288"/>
          <w:sz w:val="20"/>
        </w:rPr>
        <w:t xml:space="preserve"> </w:t>
      </w:r>
      <w:proofErr w:type="spellStart"/>
      <w:r>
        <w:rPr>
          <w:rFonts w:ascii="Arial" w:hAnsi="Arial" w:cs="Arial"/>
          <w:color w:val="005288"/>
          <w:sz w:val="20"/>
        </w:rPr>
        <w:t>approvals</w:t>
      </w:r>
      <w:proofErr w:type="spellEnd"/>
      <w:r>
        <w:rPr>
          <w:rFonts w:ascii="Arial" w:hAnsi="Arial" w:cs="Arial"/>
          <w:color w:val="005288"/>
          <w:sz w:val="20"/>
        </w:rPr>
        <w:t xml:space="preserve"> and </w:t>
      </w:r>
      <w:proofErr w:type="spellStart"/>
      <w:r>
        <w:rPr>
          <w:rFonts w:ascii="Arial" w:hAnsi="Arial" w:cs="Arial"/>
          <w:color w:val="005288"/>
          <w:sz w:val="20"/>
        </w:rPr>
        <w:t>pre</w:t>
      </w:r>
      <w:proofErr w:type="spellEnd"/>
      <w:r>
        <w:rPr>
          <w:rFonts w:ascii="Arial" w:hAnsi="Arial" w:cs="Arial"/>
          <w:color w:val="005288"/>
          <w:sz w:val="20"/>
        </w:rPr>
        <w:t xml:space="preserve"> notification to </w:t>
      </w:r>
      <w:proofErr w:type="spellStart"/>
      <w:r>
        <w:rPr>
          <w:rFonts w:ascii="Arial" w:hAnsi="Arial" w:cs="Arial"/>
          <w:color w:val="005288"/>
          <w:sz w:val="20"/>
        </w:rPr>
        <w:t>unitholders</w:t>
      </w:r>
      <w:proofErr w:type="spellEnd"/>
      <w:r>
        <w:rPr>
          <w:rFonts w:ascii="Arial" w:hAnsi="Arial" w:cs="Arial"/>
          <w:color w:val="005288"/>
          <w:sz w:val="20"/>
        </w:rPr>
        <w:t xml:space="preserve">.  There are </w:t>
      </w:r>
      <w:proofErr w:type="spellStart"/>
      <w:r>
        <w:rPr>
          <w:rFonts w:ascii="Arial" w:hAnsi="Arial" w:cs="Arial"/>
          <w:color w:val="005288"/>
          <w:sz w:val="20"/>
        </w:rPr>
        <w:t>regulator</w:t>
      </w:r>
      <w:proofErr w:type="spellEnd"/>
      <w:r>
        <w:rPr>
          <w:rFonts w:ascii="Arial" w:hAnsi="Arial" w:cs="Arial"/>
          <w:color w:val="005288"/>
          <w:sz w:val="20"/>
        </w:rPr>
        <w:t xml:space="preserve"> </w:t>
      </w:r>
      <w:proofErr w:type="spellStart"/>
      <w:r>
        <w:rPr>
          <w:rFonts w:ascii="Arial" w:hAnsi="Arial" w:cs="Arial"/>
          <w:color w:val="005288"/>
          <w:sz w:val="20"/>
        </w:rPr>
        <w:t>enforced</w:t>
      </w:r>
      <w:proofErr w:type="spellEnd"/>
      <w:r>
        <w:rPr>
          <w:rFonts w:ascii="Arial" w:hAnsi="Arial" w:cs="Arial"/>
          <w:color w:val="005288"/>
          <w:sz w:val="20"/>
        </w:rPr>
        <w:t xml:space="preserve"> time </w:t>
      </w:r>
      <w:proofErr w:type="spellStart"/>
      <w:r>
        <w:rPr>
          <w:rFonts w:ascii="Arial" w:hAnsi="Arial" w:cs="Arial"/>
          <w:color w:val="005288"/>
          <w:sz w:val="20"/>
        </w:rPr>
        <w:t>periods</w:t>
      </w:r>
      <w:proofErr w:type="spellEnd"/>
      <w:r>
        <w:rPr>
          <w:rFonts w:ascii="Arial" w:hAnsi="Arial" w:cs="Arial"/>
          <w:color w:val="005288"/>
          <w:sz w:val="20"/>
        </w:rPr>
        <w:t xml:space="preserve"> for </w:t>
      </w:r>
      <w:proofErr w:type="spellStart"/>
      <w:r>
        <w:rPr>
          <w:rFonts w:ascii="Arial" w:hAnsi="Arial" w:cs="Arial"/>
          <w:color w:val="005288"/>
          <w:sz w:val="20"/>
        </w:rPr>
        <w:t>such</w:t>
      </w:r>
      <w:proofErr w:type="spellEnd"/>
      <w:r>
        <w:rPr>
          <w:rFonts w:ascii="Arial" w:hAnsi="Arial" w:cs="Arial"/>
          <w:color w:val="005288"/>
          <w:sz w:val="20"/>
        </w:rPr>
        <w:t xml:space="preserve"> actions </w:t>
      </w:r>
      <w:proofErr w:type="spellStart"/>
      <w:r>
        <w:rPr>
          <w:rFonts w:ascii="Arial" w:hAnsi="Arial" w:cs="Arial"/>
          <w:color w:val="005288"/>
          <w:sz w:val="20"/>
        </w:rPr>
        <w:t>which</w:t>
      </w:r>
      <w:proofErr w:type="spellEnd"/>
      <w:r>
        <w:rPr>
          <w:rFonts w:ascii="Arial" w:hAnsi="Arial" w:cs="Arial"/>
          <w:color w:val="005288"/>
          <w:sz w:val="20"/>
        </w:rPr>
        <w:t xml:space="preserve"> the SFDR </w:t>
      </w:r>
      <w:proofErr w:type="spellStart"/>
      <w:r>
        <w:rPr>
          <w:rFonts w:ascii="Arial" w:hAnsi="Arial" w:cs="Arial"/>
          <w:color w:val="005288"/>
          <w:sz w:val="20"/>
        </w:rPr>
        <w:t>timetable</w:t>
      </w:r>
      <w:proofErr w:type="spellEnd"/>
      <w:r>
        <w:rPr>
          <w:rFonts w:ascii="Arial" w:hAnsi="Arial" w:cs="Arial"/>
          <w:color w:val="005288"/>
          <w:sz w:val="20"/>
        </w:rPr>
        <w:t xml:space="preserve"> </w:t>
      </w:r>
      <w:proofErr w:type="spellStart"/>
      <w:r>
        <w:rPr>
          <w:rFonts w:ascii="Arial" w:hAnsi="Arial" w:cs="Arial"/>
          <w:color w:val="005288"/>
          <w:sz w:val="20"/>
        </w:rPr>
        <w:t>appears</w:t>
      </w:r>
      <w:proofErr w:type="spellEnd"/>
      <w:r>
        <w:rPr>
          <w:rFonts w:ascii="Arial" w:hAnsi="Arial" w:cs="Arial"/>
          <w:color w:val="005288"/>
          <w:sz w:val="20"/>
        </w:rPr>
        <w:t xml:space="preserve"> to have not </w:t>
      </w:r>
      <w:proofErr w:type="spellStart"/>
      <w:r>
        <w:rPr>
          <w:rFonts w:ascii="Arial" w:hAnsi="Arial" w:cs="Arial"/>
          <w:color w:val="005288"/>
          <w:sz w:val="20"/>
        </w:rPr>
        <w:t>taken</w:t>
      </w:r>
      <w:proofErr w:type="spellEnd"/>
      <w:r>
        <w:rPr>
          <w:rFonts w:ascii="Arial" w:hAnsi="Arial" w:cs="Arial"/>
          <w:color w:val="005288"/>
          <w:sz w:val="20"/>
        </w:rPr>
        <w:t xml:space="preserve"> </w:t>
      </w:r>
      <w:proofErr w:type="spellStart"/>
      <w:r>
        <w:rPr>
          <w:rFonts w:ascii="Arial" w:hAnsi="Arial" w:cs="Arial"/>
          <w:color w:val="005288"/>
          <w:sz w:val="20"/>
        </w:rPr>
        <w:t>into</w:t>
      </w:r>
      <w:proofErr w:type="spellEnd"/>
      <w:r>
        <w:rPr>
          <w:rFonts w:ascii="Arial" w:hAnsi="Arial" w:cs="Arial"/>
          <w:color w:val="005288"/>
          <w:sz w:val="20"/>
        </w:rPr>
        <w:t xml:space="preserve"> </w:t>
      </w:r>
      <w:proofErr w:type="spellStart"/>
      <w:r>
        <w:rPr>
          <w:rFonts w:ascii="Arial" w:hAnsi="Arial" w:cs="Arial"/>
          <w:color w:val="005288"/>
          <w:sz w:val="20"/>
        </w:rPr>
        <w:t>account</w:t>
      </w:r>
      <w:proofErr w:type="spellEnd"/>
      <w:r>
        <w:rPr>
          <w:rFonts w:ascii="Arial" w:hAnsi="Arial" w:cs="Arial"/>
          <w:color w:val="005288"/>
          <w:sz w:val="20"/>
        </w:rPr>
        <w:t xml:space="preserve"> </w:t>
      </w:r>
      <w:proofErr w:type="spellStart"/>
      <w:r>
        <w:rPr>
          <w:rFonts w:ascii="Arial" w:hAnsi="Arial" w:cs="Arial"/>
          <w:color w:val="005288"/>
          <w:sz w:val="20"/>
        </w:rPr>
        <w:t>when</w:t>
      </w:r>
      <w:proofErr w:type="spellEnd"/>
      <w:r>
        <w:rPr>
          <w:rFonts w:ascii="Arial" w:hAnsi="Arial" w:cs="Arial"/>
          <w:color w:val="005288"/>
          <w:sz w:val="20"/>
        </w:rPr>
        <w:t xml:space="preserve"> setting the </w:t>
      </w:r>
      <w:proofErr w:type="spellStart"/>
      <w:r>
        <w:rPr>
          <w:rFonts w:ascii="Arial" w:hAnsi="Arial" w:cs="Arial"/>
          <w:color w:val="005288"/>
          <w:sz w:val="20"/>
        </w:rPr>
        <w:t>regulation</w:t>
      </w:r>
      <w:proofErr w:type="spellEnd"/>
      <w:r>
        <w:rPr>
          <w:rFonts w:ascii="Arial" w:hAnsi="Arial" w:cs="Arial"/>
          <w:color w:val="005288"/>
          <w:sz w:val="20"/>
        </w:rPr>
        <w:t xml:space="preserve"> commencement date.   </w:t>
      </w:r>
      <w:proofErr w:type="spellStart"/>
      <w:r>
        <w:rPr>
          <w:rFonts w:ascii="Arial" w:hAnsi="Arial" w:cs="Arial"/>
          <w:color w:val="005288"/>
          <w:sz w:val="20"/>
        </w:rPr>
        <w:t>Until</w:t>
      </w:r>
      <w:proofErr w:type="spellEnd"/>
      <w:r>
        <w:rPr>
          <w:rFonts w:ascii="Arial" w:hAnsi="Arial" w:cs="Arial"/>
          <w:color w:val="005288"/>
          <w:sz w:val="20"/>
        </w:rPr>
        <w:t xml:space="preserve"> the final standards have been </w:t>
      </w:r>
      <w:proofErr w:type="spellStart"/>
      <w:r>
        <w:rPr>
          <w:rFonts w:ascii="Arial" w:hAnsi="Arial" w:cs="Arial"/>
          <w:color w:val="005288"/>
          <w:sz w:val="20"/>
        </w:rPr>
        <w:t>published</w:t>
      </w:r>
      <w:proofErr w:type="spellEnd"/>
      <w:r>
        <w:rPr>
          <w:rFonts w:ascii="Arial" w:hAnsi="Arial" w:cs="Arial"/>
          <w:color w:val="005288"/>
          <w:sz w:val="20"/>
        </w:rPr>
        <w:t xml:space="preserve"> by the </w:t>
      </w:r>
      <w:proofErr w:type="spellStart"/>
      <w:r>
        <w:rPr>
          <w:rFonts w:ascii="Arial" w:hAnsi="Arial" w:cs="Arial"/>
          <w:color w:val="005288"/>
          <w:sz w:val="20"/>
        </w:rPr>
        <w:t>ESA’s</w:t>
      </w:r>
      <w:proofErr w:type="spellEnd"/>
      <w:r>
        <w:rPr>
          <w:rFonts w:ascii="Arial" w:hAnsi="Arial" w:cs="Arial"/>
          <w:color w:val="005288"/>
          <w:sz w:val="20"/>
        </w:rPr>
        <w:t xml:space="preserve">, </w:t>
      </w:r>
      <w:proofErr w:type="spellStart"/>
      <w:r>
        <w:rPr>
          <w:rFonts w:ascii="Arial" w:hAnsi="Arial" w:cs="Arial"/>
          <w:color w:val="005288"/>
          <w:sz w:val="20"/>
        </w:rPr>
        <w:t>investment</w:t>
      </w:r>
      <w:proofErr w:type="spellEnd"/>
      <w:r>
        <w:rPr>
          <w:rFonts w:ascii="Arial" w:hAnsi="Arial" w:cs="Arial"/>
          <w:color w:val="005288"/>
          <w:sz w:val="20"/>
        </w:rPr>
        <w:t xml:space="preserve"> managers </w:t>
      </w:r>
      <w:proofErr w:type="spellStart"/>
      <w:r>
        <w:rPr>
          <w:rFonts w:ascii="Arial" w:hAnsi="Arial" w:cs="Arial"/>
          <w:color w:val="005288"/>
          <w:sz w:val="20"/>
        </w:rPr>
        <w:t>cannot</w:t>
      </w:r>
      <w:proofErr w:type="spellEnd"/>
      <w:r>
        <w:rPr>
          <w:rFonts w:ascii="Arial" w:hAnsi="Arial" w:cs="Arial"/>
          <w:color w:val="005288"/>
          <w:sz w:val="20"/>
        </w:rPr>
        <w:t xml:space="preserve"> </w:t>
      </w:r>
      <w:proofErr w:type="spellStart"/>
      <w:r>
        <w:rPr>
          <w:rFonts w:ascii="Arial" w:hAnsi="Arial" w:cs="Arial"/>
          <w:color w:val="005288"/>
          <w:sz w:val="20"/>
        </w:rPr>
        <w:t>complete</w:t>
      </w:r>
      <w:proofErr w:type="spellEnd"/>
      <w:r>
        <w:rPr>
          <w:rFonts w:ascii="Arial" w:hAnsi="Arial" w:cs="Arial"/>
          <w:color w:val="005288"/>
          <w:sz w:val="20"/>
        </w:rPr>
        <w:t xml:space="preserve"> the changes </w:t>
      </w:r>
      <w:proofErr w:type="spellStart"/>
      <w:r>
        <w:rPr>
          <w:rFonts w:ascii="Arial" w:hAnsi="Arial" w:cs="Arial"/>
          <w:color w:val="005288"/>
          <w:sz w:val="20"/>
        </w:rPr>
        <w:t>required</w:t>
      </w:r>
      <w:proofErr w:type="spellEnd"/>
      <w:r>
        <w:rPr>
          <w:rFonts w:ascii="Arial" w:hAnsi="Arial" w:cs="Arial"/>
          <w:color w:val="005288"/>
          <w:sz w:val="20"/>
        </w:rPr>
        <w:t xml:space="preserve"> and </w:t>
      </w:r>
      <w:proofErr w:type="spellStart"/>
      <w:r>
        <w:rPr>
          <w:rFonts w:ascii="Arial" w:hAnsi="Arial" w:cs="Arial"/>
          <w:color w:val="005288"/>
          <w:sz w:val="20"/>
        </w:rPr>
        <w:t>begin</w:t>
      </w:r>
      <w:proofErr w:type="spellEnd"/>
      <w:r>
        <w:rPr>
          <w:rFonts w:ascii="Arial" w:hAnsi="Arial" w:cs="Arial"/>
          <w:color w:val="005288"/>
          <w:sz w:val="20"/>
        </w:rPr>
        <w:t xml:space="preserve"> the </w:t>
      </w:r>
      <w:proofErr w:type="spellStart"/>
      <w:r>
        <w:rPr>
          <w:rFonts w:ascii="Arial" w:hAnsi="Arial" w:cs="Arial"/>
          <w:color w:val="005288"/>
          <w:sz w:val="20"/>
        </w:rPr>
        <w:t>approval</w:t>
      </w:r>
      <w:proofErr w:type="spellEnd"/>
      <w:r>
        <w:rPr>
          <w:rFonts w:ascii="Arial" w:hAnsi="Arial" w:cs="Arial"/>
          <w:color w:val="005288"/>
          <w:sz w:val="20"/>
        </w:rPr>
        <w:t xml:space="preserve"> </w:t>
      </w:r>
      <w:proofErr w:type="spellStart"/>
      <w:r>
        <w:rPr>
          <w:rFonts w:ascii="Arial" w:hAnsi="Arial" w:cs="Arial"/>
          <w:color w:val="005288"/>
          <w:sz w:val="20"/>
        </w:rPr>
        <w:t>process</w:t>
      </w:r>
      <w:proofErr w:type="spellEnd"/>
      <w:r>
        <w:rPr>
          <w:rFonts w:ascii="Arial" w:hAnsi="Arial" w:cs="Arial"/>
          <w:color w:val="005288"/>
          <w:sz w:val="20"/>
        </w:rPr>
        <w:t xml:space="preserve">.  </w:t>
      </w:r>
      <w:proofErr w:type="spellStart"/>
      <w:r>
        <w:rPr>
          <w:rFonts w:ascii="Arial" w:hAnsi="Arial" w:cs="Arial"/>
          <w:color w:val="005288"/>
          <w:sz w:val="20"/>
        </w:rPr>
        <w:t>Organizing</w:t>
      </w:r>
      <w:proofErr w:type="spellEnd"/>
      <w:r>
        <w:rPr>
          <w:rFonts w:ascii="Arial" w:hAnsi="Arial" w:cs="Arial"/>
          <w:color w:val="005288"/>
          <w:sz w:val="20"/>
        </w:rPr>
        <w:t xml:space="preserve"> and </w:t>
      </w:r>
      <w:proofErr w:type="spellStart"/>
      <w:r>
        <w:rPr>
          <w:rFonts w:ascii="Arial" w:hAnsi="Arial" w:cs="Arial"/>
          <w:color w:val="005288"/>
          <w:sz w:val="20"/>
        </w:rPr>
        <w:t>managing</w:t>
      </w:r>
      <w:proofErr w:type="spellEnd"/>
      <w:r>
        <w:rPr>
          <w:rFonts w:ascii="Arial" w:hAnsi="Arial" w:cs="Arial"/>
          <w:color w:val="005288"/>
          <w:sz w:val="20"/>
        </w:rPr>
        <w:t xml:space="preserve"> </w:t>
      </w:r>
      <w:proofErr w:type="spellStart"/>
      <w:r>
        <w:rPr>
          <w:rFonts w:ascii="Arial" w:hAnsi="Arial" w:cs="Arial"/>
          <w:color w:val="005288"/>
          <w:sz w:val="20"/>
        </w:rPr>
        <w:t>shareholder</w:t>
      </w:r>
      <w:proofErr w:type="spellEnd"/>
      <w:r>
        <w:rPr>
          <w:rFonts w:ascii="Arial" w:hAnsi="Arial" w:cs="Arial"/>
          <w:color w:val="005288"/>
          <w:sz w:val="20"/>
        </w:rPr>
        <w:t xml:space="preserve"> votes to change </w:t>
      </w:r>
      <w:proofErr w:type="spellStart"/>
      <w:r>
        <w:rPr>
          <w:rFonts w:ascii="Arial" w:hAnsi="Arial" w:cs="Arial"/>
          <w:color w:val="005288"/>
          <w:sz w:val="20"/>
        </w:rPr>
        <w:t>fund</w:t>
      </w:r>
      <w:proofErr w:type="spellEnd"/>
      <w:r>
        <w:rPr>
          <w:rFonts w:ascii="Arial" w:hAnsi="Arial" w:cs="Arial"/>
          <w:color w:val="005288"/>
          <w:sz w:val="20"/>
        </w:rPr>
        <w:t xml:space="preserve"> </w:t>
      </w:r>
      <w:proofErr w:type="spellStart"/>
      <w:r>
        <w:rPr>
          <w:rFonts w:ascii="Arial" w:hAnsi="Arial" w:cs="Arial"/>
          <w:color w:val="005288"/>
          <w:sz w:val="20"/>
        </w:rPr>
        <w:t>prospectuses</w:t>
      </w:r>
      <w:proofErr w:type="spellEnd"/>
      <w:r>
        <w:rPr>
          <w:rFonts w:ascii="Arial" w:hAnsi="Arial" w:cs="Arial"/>
          <w:color w:val="005288"/>
          <w:sz w:val="20"/>
        </w:rPr>
        <w:t xml:space="preserve"> </w:t>
      </w:r>
      <w:proofErr w:type="spellStart"/>
      <w:r>
        <w:rPr>
          <w:rFonts w:ascii="Arial" w:hAnsi="Arial" w:cs="Arial"/>
          <w:color w:val="005288"/>
          <w:sz w:val="20"/>
        </w:rPr>
        <w:t>can</w:t>
      </w:r>
      <w:proofErr w:type="spellEnd"/>
      <w:r>
        <w:rPr>
          <w:rFonts w:ascii="Arial" w:hAnsi="Arial" w:cs="Arial"/>
          <w:color w:val="005288"/>
          <w:sz w:val="20"/>
        </w:rPr>
        <w:t xml:space="preserve"> </w:t>
      </w:r>
      <w:proofErr w:type="spellStart"/>
      <w:r>
        <w:rPr>
          <w:rFonts w:ascii="Arial" w:hAnsi="Arial" w:cs="Arial"/>
          <w:color w:val="005288"/>
          <w:sz w:val="20"/>
        </w:rPr>
        <w:t>take</w:t>
      </w:r>
      <w:proofErr w:type="spellEnd"/>
      <w:r>
        <w:rPr>
          <w:rFonts w:ascii="Arial" w:hAnsi="Arial" w:cs="Arial"/>
          <w:color w:val="005288"/>
          <w:sz w:val="20"/>
        </w:rPr>
        <w:t xml:space="preserve"> over 3 </w:t>
      </w:r>
      <w:proofErr w:type="spellStart"/>
      <w:r>
        <w:rPr>
          <w:rFonts w:ascii="Arial" w:hAnsi="Arial" w:cs="Arial"/>
          <w:color w:val="005288"/>
          <w:sz w:val="20"/>
        </w:rPr>
        <w:t>months</w:t>
      </w:r>
      <w:proofErr w:type="spellEnd"/>
      <w:r>
        <w:rPr>
          <w:rFonts w:ascii="Arial" w:hAnsi="Arial" w:cs="Arial"/>
          <w:color w:val="005288"/>
          <w:sz w:val="20"/>
        </w:rPr>
        <w:t xml:space="preserve"> to </w:t>
      </w:r>
      <w:proofErr w:type="spellStart"/>
      <w:r>
        <w:rPr>
          <w:rFonts w:ascii="Arial" w:hAnsi="Arial" w:cs="Arial"/>
          <w:color w:val="005288"/>
          <w:sz w:val="20"/>
        </w:rPr>
        <w:t>complete</w:t>
      </w:r>
      <w:proofErr w:type="spellEnd"/>
      <w:r>
        <w:rPr>
          <w:rFonts w:ascii="Arial" w:hAnsi="Arial" w:cs="Arial"/>
          <w:color w:val="005288"/>
          <w:sz w:val="20"/>
        </w:rPr>
        <w:t xml:space="preserve"> and </w:t>
      </w:r>
      <w:proofErr w:type="spellStart"/>
      <w:r>
        <w:rPr>
          <w:rFonts w:ascii="Arial" w:hAnsi="Arial" w:cs="Arial"/>
          <w:color w:val="005288"/>
          <w:sz w:val="20"/>
        </w:rPr>
        <w:t>would</w:t>
      </w:r>
      <w:proofErr w:type="spellEnd"/>
      <w:r>
        <w:rPr>
          <w:rFonts w:ascii="Arial" w:hAnsi="Arial" w:cs="Arial"/>
          <w:color w:val="005288"/>
          <w:sz w:val="20"/>
        </w:rPr>
        <w:t xml:space="preserve"> </w:t>
      </w:r>
      <w:proofErr w:type="spellStart"/>
      <w:r>
        <w:rPr>
          <w:rFonts w:ascii="Arial" w:hAnsi="Arial" w:cs="Arial"/>
          <w:color w:val="005288"/>
          <w:sz w:val="20"/>
        </w:rPr>
        <w:t>therefore</w:t>
      </w:r>
      <w:proofErr w:type="spellEnd"/>
      <w:r>
        <w:rPr>
          <w:rFonts w:ascii="Arial" w:hAnsi="Arial" w:cs="Arial"/>
          <w:color w:val="005288"/>
          <w:sz w:val="20"/>
        </w:rPr>
        <w:t xml:space="preserve"> </w:t>
      </w:r>
      <w:proofErr w:type="spellStart"/>
      <w:r>
        <w:rPr>
          <w:rFonts w:ascii="Arial" w:hAnsi="Arial" w:cs="Arial"/>
          <w:color w:val="005288"/>
          <w:sz w:val="20"/>
        </w:rPr>
        <w:t>be</w:t>
      </w:r>
      <w:proofErr w:type="spellEnd"/>
      <w:r>
        <w:rPr>
          <w:rFonts w:ascii="Arial" w:hAnsi="Arial" w:cs="Arial"/>
          <w:color w:val="005288"/>
          <w:sz w:val="20"/>
        </w:rPr>
        <w:t xml:space="preserve"> impossible to </w:t>
      </w:r>
      <w:proofErr w:type="spellStart"/>
      <w:r>
        <w:rPr>
          <w:rFonts w:ascii="Arial" w:hAnsi="Arial" w:cs="Arial"/>
          <w:color w:val="005288"/>
          <w:sz w:val="20"/>
        </w:rPr>
        <w:t>meet</w:t>
      </w:r>
      <w:proofErr w:type="spellEnd"/>
      <w:r>
        <w:rPr>
          <w:rFonts w:ascii="Arial" w:hAnsi="Arial" w:cs="Arial"/>
          <w:color w:val="005288"/>
          <w:sz w:val="20"/>
        </w:rPr>
        <w:t xml:space="preserve"> for March as </w:t>
      </w:r>
      <w:proofErr w:type="spellStart"/>
      <w:r>
        <w:rPr>
          <w:rFonts w:ascii="Arial" w:hAnsi="Arial" w:cs="Arial"/>
          <w:color w:val="005288"/>
          <w:sz w:val="20"/>
        </w:rPr>
        <w:t>details</w:t>
      </w:r>
      <w:proofErr w:type="spellEnd"/>
      <w:r>
        <w:rPr>
          <w:rFonts w:ascii="Arial" w:hAnsi="Arial" w:cs="Arial"/>
          <w:color w:val="005288"/>
          <w:sz w:val="20"/>
        </w:rPr>
        <w:t xml:space="preserve"> </w:t>
      </w:r>
      <w:proofErr w:type="spellStart"/>
      <w:r>
        <w:rPr>
          <w:rFonts w:ascii="Arial" w:hAnsi="Arial" w:cs="Arial"/>
          <w:color w:val="005288"/>
          <w:sz w:val="20"/>
        </w:rPr>
        <w:t>from</w:t>
      </w:r>
      <w:proofErr w:type="spellEnd"/>
      <w:r>
        <w:rPr>
          <w:rFonts w:ascii="Arial" w:hAnsi="Arial" w:cs="Arial"/>
          <w:color w:val="005288"/>
          <w:sz w:val="20"/>
        </w:rPr>
        <w:t xml:space="preserve"> the </w:t>
      </w:r>
      <w:proofErr w:type="spellStart"/>
      <w:r>
        <w:rPr>
          <w:rFonts w:ascii="Arial" w:hAnsi="Arial" w:cs="Arial"/>
          <w:color w:val="005288"/>
          <w:sz w:val="20"/>
        </w:rPr>
        <w:t>ESA’s</w:t>
      </w:r>
      <w:proofErr w:type="spellEnd"/>
      <w:r>
        <w:rPr>
          <w:rFonts w:ascii="Arial" w:hAnsi="Arial" w:cs="Arial"/>
          <w:color w:val="005288"/>
          <w:sz w:val="20"/>
        </w:rPr>
        <w:t xml:space="preserve"> in </w:t>
      </w:r>
      <w:proofErr w:type="spellStart"/>
      <w:r>
        <w:rPr>
          <w:rFonts w:ascii="Arial" w:hAnsi="Arial" w:cs="Arial"/>
          <w:color w:val="005288"/>
          <w:sz w:val="20"/>
        </w:rPr>
        <w:t>January</w:t>
      </w:r>
      <w:proofErr w:type="spellEnd"/>
      <w:r>
        <w:rPr>
          <w:rFonts w:ascii="Arial" w:hAnsi="Arial" w:cs="Arial"/>
          <w:color w:val="005288"/>
          <w:sz w:val="20"/>
        </w:rPr>
        <w:t xml:space="preserve"> </w:t>
      </w:r>
      <w:proofErr w:type="spellStart"/>
      <w:r>
        <w:rPr>
          <w:rFonts w:ascii="Arial" w:hAnsi="Arial" w:cs="Arial"/>
          <w:color w:val="005288"/>
          <w:sz w:val="20"/>
        </w:rPr>
        <w:t>will</w:t>
      </w:r>
      <w:proofErr w:type="spellEnd"/>
      <w:r>
        <w:rPr>
          <w:rFonts w:ascii="Arial" w:hAnsi="Arial" w:cs="Arial"/>
          <w:color w:val="005288"/>
          <w:sz w:val="20"/>
        </w:rPr>
        <w:t xml:space="preserve"> not </w:t>
      </w:r>
      <w:proofErr w:type="spellStart"/>
      <w:r>
        <w:rPr>
          <w:rFonts w:ascii="Arial" w:hAnsi="Arial" w:cs="Arial"/>
          <w:color w:val="005288"/>
          <w:sz w:val="20"/>
        </w:rPr>
        <w:t>allow</w:t>
      </w:r>
      <w:proofErr w:type="spellEnd"/>
      <w:r>
        <w:rPr>
          <w:rFonts w:ascii="Arial" w:hAnsi="Arial" w:cs="Arial"/>
          <w:color w:val="005288"/>
          <w:sz w:val="20"/>
        </w:rPr>
        <w:t xml:space="preserve"> </w:t>
      </w:r>
      <w:proofErr w:type="spellStart"/>
      <w:r>
        <w:rPr>
          <w:rFonts w:ascii="Arial" w:hAnsi="Arial" w:cs="Arial"/>
          <w:color w:val="005288"/>
          <w:sz w:val="20"/>
        </w:rPr>
        <w:t>sufficient</w:t>
      </w:r>
      <w:proofErr w:type="spellEnd"/>
      <w:r>
        <w:rPr>
          <w:rFonts w:ascii="Arial" w:hAnsi="Arial" w:cs="Arial"/>
          <w:color w:val="005288"/>
          <w:sz w:val="20"/>
        </w:rPr>
        <w:t xml:space="preserve"> time. </w:t>
      </w:r>
    </w:p>
    <w:p w14:paraId="36A32049" w14:textId="77777777" w:rsidR="008457D7" w:rsidRPr="00CA2BCB" w:rsidRDefault="008457D7" w:rsidP="008457D7">
      <w:pPr>
        <w:pStyle w:val="NormalWeb"/>
        <w:shd w:val="clear" w:color="auto" w:fill="FFFFFF"/>
        <w:spacing w:before="0" w:beforeAutospacing="0" w:after="360" w:afterAutospacing="0" w:line="276" w:lineRule="auto"/>
        <w:jc w:val="both"/>
        <w:rPr>
          <w:rFonts w:ascii="Arial" w:hAnsi="Arial" w:cs="Arial"/>
          <w:color w:val="005288"/>
          <w:sz w:val="20"/>
        </w:rPr>
      </w:pPr>
      <w:proofErr w:type="spellStart"/>
      <w:r>
        <w:rPr>
          <w:rFonts w:ascii="Arial" w:hAnsi="Arial" w:cs="Arial"/>
          <w:color w:val="005288"/>
          <w:sz w:val="20"/>
        </w:rPr>
        <w:t>We</w:t>
      </w:r>
      <w:proofErr w:type="spellEnd"/>
      <w:r>
        <w:rPr>
          <w:rFonts w:ascii="Arial" w:hAnsi="Arial" w:cs="Arial"/>
          <w:color w:val="005288"/>
          <w:sz w:val="20"/>
        </w:rPr>
        <w:t xml:space="preserve"> </w:t>
      </w:r>
      <w:proofErr w:type="spellStart"/>
      <w:r>
        <w:rPr>
          <w:rFonts w:ascii="Arial" w:hAnsi="Arial" w:cs="Arial"/>
          <w:color w:val="005288"/>
          <w:sz w:val="20"/>
        </w:rPr>
        <w:t>would</w:t>
      </w:r>
      <w:proofErr w:type="spellEnd"/>
      <w:r>
        <w:rPr>
          <w:rFonts w:ascii="Arial" w:hAnsi="Arial" w:cs="Arial"/>
          <w:color w:val="005288"/>
          <w:sz w:val="20"/>
        </w:rPr>
        <w:t xml:space="preserve"> urge </w:t>
      </w:r>
      <w:proofErr w:type="spellStart"/>
      <w:r>
        <w:rPr>
          <w:rFonts w:ascii="Arial" w:hAnsi="Arial" w:cs="Arial"/>
          <w:color w:val="005288"/>
          <w:sz w:val="20"/>
        </w:rPr>
        <w:t>that</w:t>
      </w:r>
      <w:proofErr w:type="spellEnd"/>
      <w:r>
        <w:rPr>
          <w:rFonts w:ascii="Arial" w:hAnsi="Arial" w:cs="Arial"/>
          <w:color w:val="005288"/>
          <w:sz w:val="20"/>
        </w:rPr>
        <w:t xml:space="preserve"> the </w:t>
      </w:r>
      <w:proofErr w:type="spellStart"/>
      <w:r>
        <w:rPr>
          <w:rFonts w:ascii="Arial" w:hAnsi="Arial" w:cs="Arial"/>
          <w:color w:val="005288"/>
          <w:sz w:val="20"/>
        </w:rPr>
        <w:t>implementation</w:t>
      </w:r>
      <w:proofErr w:type="spellEnd"/>
      <w:r>
        <w:rPr>
          <w:rFonts w:ascii="Arial" w:hAnsi="Arial" w:cs="Arial"/>
          <w:color w:val="005288"/>
          <w:sz w:val="20"/>
        </w:rPr>
        <w:t xml:space="preserve"> date </w:t>
      </w:r>
      <w:proofErr w:type="spellStart"/>
      <w:r>
        <w:rPr>
          <w:rFonts w:ascii="Arial" w:hAnsi="Arial" w:cs="Arial"/>
          <w:color w:val="005288"/>
          <w:sz w:val="20"/>
        </w:rPr>
        <w:t>is</w:t>
      </w:r>
      <w:proofErr w:type="spellEnd"/>
      <w:r>
        <w:rPr>
          <w:rFonts w:ascii="Arial" w:hAnsi="Arial" w:cs="Arial"/>
          <w:color w:val="005288"/>
          <w:sz w:val="20"/>
        </w:rPr>
        <w:t xml:space="preserve"> </w:t>
      </w:r>
      <w:proofErr w:type="spellStart"/>
      <w:r>
        <w:rPr>
          <w:rFonts w:ascii="Arial" w:hAnsi="Arial" w:cs="Arial"/>
          <w:color w:val="005288"/>
          <w:sz w:val="20"/>
        </w:rPr>
        <w:t>deferred</w:t>
      </w:r>
      <w:proofErr w:type="spellEnd"/>
      <w:r>
        <w:rPr>
          <w:rFonts w:ascii="Arial" w:hAnsi="Arial" w:cs="Arial"/>
          <w:color w:val="005288"/>
          <w:sz w:val="20"/>
        </w:rPr>
        <w:t xml:space="preserve"> </w:t>
      </w:r>
      <w:proofErr w:type="spellStart"/>
      <w:r>
        <w:rPr>
          <w:rFonts w:ascii="Arial" w:hAnsi="Arial" w:cs="Arial"/>
          <w:color w:val="005288"/>
          <w:sz w:val="20"/>
        </w:rPr>
        <w:t>until</w:t>
      </w:r>
      <w:proofErr w:type="spellEnd"/>
      <w:r>
        <w:rPr>
          <w:rFonts w:ascii="Arial" w:hAnsi="Arial" w:cs="Arial"/>
          <w:color w:val="005288"/>
          <w:sz w:val="20"/>
        </w:rPr>
        <w:t xml:space="preserve"> the end of 2021 to </w:t>
      </w:r>
      <w:proofErr w:type="spellStart"/>
      <w:r>
        <w:rPr>
          <w:rFonts w:ascii="Arial" w:hAnsi="Arial" w:cs="Arial"/>
          <w:color w:val="005288"/>
          <w:sz w:val="20"/>
        </w:rPr>
        <w:t>allow</w:t>
      </w:r>
      <w:proofErr w:type="spellEnd"/>
      <w:r>
        <w:rPr>
          <w:rFonts w:ascii="Arial" w:hAnsi="Arial" w:cs="Arial"/>
          <w:color w:val="005288"/>
          <w:sz w:val="20"/>
        </w:rPr>
        <w:t xml:space="preserve"> time for a </w:t>
      </w:r>
      <w:proofErr w:type="spellStart"/>
      <w:r>
        <w:rPr>
          <w:rFonts w:ascii="Arial" w:hAnsi="Arial" w:cs="Arial"/>
          <w:color w:val="005288"/>
          <w:sz w:val="20"/>
        </w:rPr>
        <w:t>proper</w:t>
      </w:r>
      <w:proofErr w:type="spellEnd"/>
      <w:r>
        <w:rPr>
          <w:rFonts w:ascii="Arial" w:hAnsi="Arial" w:cs="Arial"/>
          <w:color w:val="005288"/>
          <w:sz w:val="20"/>
        </w:rPr>
        <w:t xml:space="preserve"> and </w:t>
      </w:r>
      <w:proofErr w:type="spellStart"/>
      <w:r>
        <w:rPr>
          <w:rFonts w:ascii="Arial" w:hAnsi="Arial" w:cs="Arial"/>
          <w:color w:val="005288"/>
          <w:sz w:val="20"/>
        </w:rPr>
        <w:t>considered</w:t>
      </w:r>
      <w:proofErr w:type="spellEnd"/>
      <w:r>
        <w:rPr>
          <w:rFonts w:ascii="Arial" w:hAnsi="Arial" w:cs="Arial"/>
          <w:color w:val="005288"/>
          <w:sz w:val="20"/>
        </w:rPr>
        <w:t xml:space="preserve"> </w:t>
      </w:r>
      <w:proofErr w:type="spellStart"/>
      <w:r>
        <w:rPr>
          <w:rFonts w:ascii="Arial" w:hAnsi="Arial" w:cs="Arial"/>
          <w:color w:val="005288"/>
          <w:sz w:val="20"/>
        </w:rPr>
        <w:t>implementation</w:t>
      </w:r>
      <w:proofErr w:type="spellEnd"/>
      <w:r>
        <w:rPr>
          <w:rFonts w:ascii="Arial" w:hAnsi="Arial" w:cs="Arial"/>
          <w:color w:val="005288"/>
          <w:sz w:val="20"/>
        </w:rPr>
        <w:t xml:space="preserve"> of the </w:t>
      </w:r>
      <w:proofErr w:type="spellStart"/>
      <w:r>
        <w:rPr>
          <w:rFonts w:ascii="Arial" w:hAnsi="Arial" w:cs="Arial"/>
          <w:color w:val="005288"/>
          <w:sz w:val="20"/>
        </w:rPr>
        <w:t>disclosure</w:t>
      </w:r>
      <w:proofErr w:type="spellEnd"/>
      <w:r>
        <w:rPr>
          <w:rFonts w:ascii="Arial" w:hAnsi="Arial" w:cs="Arial"/>
          <w:color w:val="005288"/>
          <w:sz w:val="20"/>
        </w:rPr>
        <w:t xml:space="preserve"> </w:t>
      </w:r>
      <w:proofErr w:type="spellStart"/>
      <w:r>
        <w:rPr>
          <w:rFonts w:ascii="Arial" w:hAnsi="Arial" w:cs="Arial"/>
          <w:color w:val="005288"/>
          <w:sz w:val="20"/>
        </w:rPr>
        <w:t>requirements</w:t>
      </w:r>
      <w:proofErr w:type="spellEnd"/>
      <w:r>
        <w:rPr>
          <w:rFonts w:ascii="Arial" w:hAnsi="Arial" w:cs="Arial"/>
          <w:color w:val="005288"/>
          <w:sz w:val="20"/>
        </w:rPr>
        <w:t xml:space="preserve"> and for all </w:t>
      </w:r>
      <w:proofErr w:type="spellStart"/>
      <w:r>
        <w:rPr>
          <w:rFonts w:ascii="Arial" w:hAnsi="Arial" w:cs="Arial"/>
          <w:color w:val="005288"/>
          <w:sz w:val="20"/>
        </w:rPr>
        <w:t>regulatory</w:t>
      </w:r>
      <w:proofErr w:type="spellEnd"/>
      <w:r>
        <w:rPr>
          <w:rFonts w:ascii="Arial" w:hAnsi="Arial" w:cs="Arial"/>
          <w:color w:val="005288"/>
          <w:sz w:val="20"/>
        </w:rPr>
        <w:t xml:space="preserve"> </w:t>
      </w:r>
      <w:proofErr w:type="spellStart"/>
      <w:r>
        <w:rPr>
          <w:rFonts w:ascii="Arial" w:hAnsi="Arial" w:cs="Arial"/>
          <w:color w:val="005288"/>
          <w:sz w:val="20"/>
        </w:rPr>
        <w:t>approvals</w:t>
      </w:r>
      <w:proofErr w:type="spellEnd"/>
      <w:r>
        <w:rPr>
          <w:rFonts w:ascii="Arial" w:hAnsi="Arial" w:cs="Arial"/>
          <w:color w:val="005288"/>
          <w:sz w:val="20"/>
        </w:rPr>
        <w:t xml:space="preserve"> to </w:t>
      </w:r>
      <w:proofErr w:type="spellStart"/>
      <w:r>
        <w:rPr>
          <w:rFonts w:ascii="Arial" w:hAnsi="Arial" w:cs="Arial"/>
          <w:color w:val="005288"/>
          <w:sz w:val="20"/>
        </w:rPr>
        <w:t>be</w:t>
      </w:r>
      <w:proofErr w:type="spellEnd"/>
      <w:r>
        <w:rPr>
          <w:rFonts w:ascii="Arial" w:hAnsi="Arial" w:cs="Arial"/>
          <w:color w:val="005288"/>
          <w:sz w:val="20"/>
        </w:rPr>
        <w:t xml:space="preserve"> </w:t>
      </w:r>
      <w:proofErr w:type="spellStart"/>
      <w:r>
        <w:rPr>
          <w:rFonts w:ascii="Arial" w:hAnsi="Arial" w:cs="Arial"/>
          <w:color w:val="005288"/>
          <w:sz w:val="20"/>
        </w:rPr>
        <w:t>achieved</w:t>
      </w:r>
      <w:proofErr w:type="spellEnd"/>
      <w:r>
        <w:rPr>
          <w:rFonts w:ascii="Arial" w:hAnsi="Arial" w:cs="Arial"/>
          <w:color w:val="005288"/>
          <w:sz w:val="20"/>
        </w:rPr>
        <w:t xml:space="preserve">. </w:t>
      </w:r>
    </w:p>
    <w:p w14:paraId="2B1A7227" w14:textId="77777777" w:rsidR="008457D7" w:rsidRDefault="008457D7" w:rsidP="008457D7">
      <w:pPr>
        <w:jc w:val="both"/>
        <w:rPr>
          <w:rFonts w:ascii="Calibri" w:eastAsia="Calibri" w:hAnsi="Calibri" w:cs="Calibri"/>
          <w:b/>
          <w:bCs/>
          <w:color w:val="244061" w:themeColor="accent1" w:themeShade="80"/>
          <w:sz w:val="32"/>
          <w:szCs w:val="32"/>
        </w:rPr>
      </w:pPr>
    </w:p>
    <w:p w14:paraId="309A0FA5" w14:textId="77777777" w:rsidR="008457D7" w:rsidRDefault="008457D7" w:rsidP="008457D7">
      <w:pPr>
        <w:jc w:val="both"/>
        <w:rPr>
          <w:rFonts w:eastAsia="Calibri" w:cs="Arial"/>
          <w:b/>
          <w:bCs/>
          <w:color w:val="244061" w:themeColor="accent1" w:themeShade="80"/>
          <w:szCs w:val="32"/>
        </w:rPr>
      </w:pPr>
    </w:p>
    <w:p w14:paraId="2156FFBD" w14:textId="77777777" w:rsidR="008457D7" w:rsidRDefault="008457D7" w:rsidP="008457D7">
      <w:pPr>
        <w:jc w:val="both"/>
        <w:rPr>
          <w:rFonts w:eastAsia="Calibri" w:cs="Arial"/>
          <w:b/>
          <w:bCs/>
          <w:color w:val="244061" w:themeColor="accent1" w:themeShade="80"/>
          <w:szCs w:val="32"/>
        </w:rPr>
      </w:pPr>
    </w:p>
    <w:p w14:paraId="219DC47D" w14:textId="77777777" w:rsidR="008457D7" w:rsidRDefault="008457D7" w:rsidP="008457D7">
      <w:pPr>
        <w:jc w:val="both"/>
        <w:rPr>
          <w:rFonts w:eastAsia="Calibri" w:cs="Arial"/>
          <w:b/>
          <w:bCs/>
          <w:color w:val="244061" w:themeColor="accent1" w:themeShade="80"/>
          <w:szCs w:val="32"/>
        </w:rPr>
      </w:pPr>
    </w:p>
    <w:p w14:paraId="3C87A62F" w14:textId="77777777" w:rsidR="008457D7" w:rsidRDefault="008457D7" w:rsidP="008457D7">
      <w:pPr>
        <w:jc w:val="both"/>
        <w:rPr>
          <w:rFonts w:eastAsia="Calibri" w:cs="Arial"/>
          <w:b/>
          <w:bCs/>
          <w:color w:val="244061" w:themeColor="accent1" w:themeShade="80"/>
          <w:szCs w:val="32"/>
        </w:rPr>
      </w:pPr>
    </w:p>
    <w:p w14:paraId="3AFF2A72" w14:textId="77777777" w:rsidR="008457D7" w:rsidRDefault="008457D7" w:rsidP="008457D7">
      <w:pPr>
        <w:jc w:val="both"/>
        <w:rPr>
          <w:rFonts w:eastAsia="Calibri" w:cs="Arial"/>
          <w:b/>
          <w:bCs/>
          <w:color w:val="244061" w:themeColor="accent1" w:themeShade="80"/>
          <w:szCs w:val="32"/>
        </w:rPr>
      </w:pPr>
    </w:p>
    <w:p w14:paraId="6A0C3B4B" w14:textId="77777777" w:rsidR="008457D7" w:rsidRDefault="008457D7" w:rsidP="008457D7">
      <w:pPr>
        <w:jc w:val="both"/>
        <w:rPr>
          <w:rFonts w:eastAsia="Calibri" w:cs="Arial"/>
          <w:b/>
          <w:bCs/>
          <w:color w:val="244061" w:themeColor="accent1" w:themeShade="80"/>
          <w:szCs w:val="32"/>
        </w:rPr>
      </w:pPr>
    </w:p>
    <w:p w14:paraId="724B8AF4" w14:textId="77777777" w:rsidR="008457D7" w:rsidRDefault="008457D7" w:rsidP="008457D7">
      <w:pPr>
        <w:jc w:val="both"/>
        <w:rPr>
          <w:rFonts w:eastAsia="Calibri" w:cs="Arial"/>
          <w:b/>
          <w:bCs/>
          <w:color w:val="244061" w:themeColor="accent1" w:themeShade="80"/>
          <w:szCs w:val="32"/>
        </w:rPr>
      </w:pPr>
    </w:p>
    <w:p w14:paraId="571EA342" w14:textId="77777777" w:rsidR="008457D7" w:rsidRDefault="008457D7" w:rsidP="008457D7">
      <w:pPr>
        <w:jc w:val="both"/>
        <w:rPr>
          <w:rFonts w:eastAsia="Calibri" w:cs="Arial"/>
          <w:b/>
          <w:bCs/>
          <w:color w:val="244061" w:themeColor="accent1" w:themeShade="80"/>
          <w:szCs w:val="32"/>
        </w:rPr>
      </w:pPr>
    </w:p>
    <w:p w14:paraId="4D69F51D" w14:textId="77777777" w:rsidR="008457D7" w:rsidRDefault="008457D7" w:rsidP="008457D7">
      <w:pPr>
        <w:jc w:val="both"/>
        <w:rPr>
          <w:rFonts w:eastAsia="Calibri" w:cs="Arial"/>
          <w:b/>
          <w:bCs/>
          <w:color w:val="244061" w:themeColor="accent1" w:themeShade="80"/>
          <w:szCs w:val="32"/>
        </w:rPr>
      </w:pPr>
    </w:p>
    <w:p w14:paraId="74ED4714" w14:textId="77777777" w:rsidR="008457D7" w:rsidRDefault="008457D7" w:rsidP="008457D7">
      <w:pPr>
        <w:jc w:val="both"/>
        <w:rPr>
          <w:rFonts w:eastAsia="Calibri" w:cs="Arial"/>
          <w:b/>
          <w:bCs/>
          <w:color w:val="244061" w:themeColor="accent1" w:themeShade="80"/>
          <w:szCs w:val="32"/>
        </w:rPr>
      </w:pP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1978C8BB" w14:textId="77777777" w:rsidR="008457D7" w:rsidRPr="008273AF" w:rsidRDefault="008457D7" w:rsidP="008457D7">
      <w:pPr>
        <w:jc w:val="both"/>
        <w:rPr>
          <w:rFonts w:cs="Arial"/>
          <w:color w:val="244061" w:themeColor="accent1" w:themeShade="80"/>
        </w:rPr>
      </w:pPr>
      <w:permStart w:id="1221819945" w:edGrp="everyone"/>
      <w:r w:rsidRPr="008273AF">
        <w:rPr>
          <w:rFonts w:cs="Arial"/>
          <w:color w:val="244061" w:themeColor="accent1" w:themeShade="80"/>
          <w:szCs w:val="20"/>
        </w:rPr>
        <w:t>FSI support efforts to empower end-investors to make informed decisions on where to allocate their saving, pensions and other investments based on increased transparency from asset managers.  We do however have concerns around the approach proposed in Chapter II and Annex I.</w:t>
      </w:r>
      <w:r w:rsidRPr="008273AF">
        <w:rPr>
          <w:rFonts w:cs="Arial"/>
          <w:color w:val="244061" w:themeColor="accent1" w:themeShade="80"/>
        </w:rPr>
        <w:t xml:space="preserve"> </w:t>
      </w:r>
    </w:p>
    <w:p w14:paraId="49B97245" w14:textId="77777777" w:rsidR="008457D7" w:rsidRPr="008273AF" w:rsidRDefault="008457D7" w:rsidP="008457D7">
      <w:pPr>
        <w:jc w:val="both"/>
        <w:rPr>
          <w:rFonts w:cs="Arial"/>
          <w:color w:val="244061" w:themeColor="accent1" w:themeShade="80"/>
        </w:rPr>
      </w:pPr>
      <w:r w:rsidRPr="008273AF">
        <w:rPr>
          <w:rFonts w:cs="Arial"/>
          <w:color w:val="244061" w:themeColor="accent1" w:themeShade="80"/>
        </w:rPr>
        <w:t xml:space="preserve">Specifically, we have concerns that it is not in keeping with the spirit of the Level 1 text in that it does not, in fact, support financial market participants to identify and prioritise </w:t>
      </w:r>
      <w:r w:rsidRPr="00101656">
        <w:rPr>
          <w:rFonts w:cs="Arial"/>
          <w:b/>
          <w:color w:val="244061" w:themeColor="accent1" w:themeShade="80"/>
        </w:rPr>
        <w:t>principal</w:t>
      </w:r>
      <w:r w:rsidRPr="008273AF">
        <w:rPr>
          <w:rFonts w:cs="Arial"/>
          <w:color w:val="244061" w:themeColor="accent1" w:themeShade="80"/>
        </w:rPr>
        <w:t xml:space="preserve"> adverse sustainability impacts and indicators (Regulation (EU) 2019/2088, Article 4 (2) (a)). Instead, it prescribes the assessment of certain specified adverse impacts and indicators and by consequence precludes firms from using their own skill and judgement in relation to what constitutes potential adverse impacts.</w:t>
      </w:r>
      <w:r w:rsidRPr="008273AF">
        <w:rPr>
          <w:rFonts w:cs="Arial"/>
          <w:color w:val="244061" w:themeColor="accent1" w:themeShade="80"/>
          <w:sz w:val="24"/>
        </w:rPr>
        <w:t xml:space="preserve">  </w:t>
      </w:r>
      <w:r w:rsidRPr="008273AF">
        <w:rPr>
          <w:rFonts w:cs="Arial"/>
          <w:color w:val="244061" w:themeColor="accent1" w:themeShade="80"/>
        </w:rPr>
        <w:t>This is particularly relevant to actively managed (as opposed to passive index funds) investments.</w:t>
      </w:r>
    </w:p>
    <w:p w14:paraId="6A618DB7" w14:textId="77777777" w:rsidR="008457D7" w:rsidRPr="008273AF" w:rsidRDefault="008457D7" w:rsidP="008457D7">
      <w:pPr>
        <w:jc w:val="both"/>
        <w:rPr>
          <w:rFonts w:cs="Arial"/>
          <w:color w:val="244061" w:themeColor="accent1" w:themeShade="80"/>
        </w:rPr>
      </w:pPr>
      <w:r w:rsidRPr="008273AF">
        <w:rPr>
          <w:rFonts w:cs="Arial"/>
          <w:color w:val="244061" w:themeColor="accent1" w:themeShade="80"/>
        </w:rPr>
        <w:t xml:space="preserve">We also question the value to investors and their advisers in aggregating scores of a firm’s portfolios.   Although we support the identification of adverse impacts and requiring a narrative disclosure as to how firms address them, firm-level calculations do not help investors to compare and contrast the most appropriate product for them. </w:t>
      </w:r>
      <w:r>
        <w:rPr>
          <w:rFonts w:cs="Arial"/>
          <w:color w:val="244061" w:themeColor="accent1" w:themeShade="80"/>
        </w:rPr>
        <w:t>We, for instance, have sustainable equity and fixed income teams – an aggregation of the adverse impacts of those teams together will not be meaningful.</w:t>
      </w:r>
    </w:p>
    <w:p w14:paraId="3B869EB7" w14:textId="77777777" w:rsidR="008457D7" w:rsidRPr="008273AF" w:rsidRDefault="008457D7" w:rsidP="008457D7">
      <w:pPr>
        <w:jc w:val="both"/>
        <w:rPr>
          <w:rFonts w:cs="Arial"/>
          <w:color w:val="244061" w:themeColor="accent1" w:themeShade="80"/>
        </w:rPr>
      </w:pPr>
      <w:r w:rsidRPr="008273AF">
        <w:rPr>
          <w:rFonts w:cs="Arial"/>
          <w:color w:val="244061" w:themeColor="accent1" w:themeShade="80"/>
        </w:rPr>
        <w:t>The approach also sets a range of sustainability issues and associated metrics where there is currently little data available in the market for financial institutions to acquire and utilize.  Therefore no data statements might be misconstrued by investors as being ignored as irrelevant by the institution and result in poor quality and meaningless disclosures.</w:t>
      </w:r>
      <w:r>
        <w:rPr>
          <w:rFonts w:cs="Arial"/>
          <w:color w:val="244061" w:themeColor="accent1" w:themeShade="80"/>
        </w:rPr>
        <w:t xml:space="preserve"> The final RTS needs to specifically allow firms to refer to the lack of data sources in the PIA statement itself. For some assets classes (e.g. emerging markets debt, the data is not and will likely not for some considerable time be available).</w:t>
      </w:r>
    </w:p>
    <w:p w14:paraId="6496FAC5" w14:textId="77777777" w:rsidR="003E573C" w:rsidRDefault="003E573C" w:rsidP="003E573C">
      <w:pPr>
        <w:rPr>
          <w:rFonts w:cs="Arial"/>
        </w:rPr>
      </w:pPr>
      <w:r>
        <w:rPr>
          <w:rFonts w:cs="Arial"/>
        </w:rPr>
        <w:t>TYPE YOUR TEXT HERE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3DB5E71" w14:textId="488C9CCB" w:rsidR="008457D7" w:rsidRPr="0024134B" w:rsidRDefault="008457D7" w:rsidP="008457D7">
      <w:pPr>
        <w:jc w:val="both"/>
        <w:rPr>
          <w:rFonts w:cs="Arial"/>
          <w:bCs/>
          <w:color w:val="31849B" w:themeColor="accent5" w:themeShade="BF"/>
        </w:rPr>
      </w:pPr>
      <w:permStart w:id="729947415" w:edGrp="everyone"/>
      <w:r w:rsidRPr="0024134B">
        <w:rPr>
          <w:rFonts w:cs="Arial"/>
          <w:bCs/>
          <w:color w:val="31849B" w:themeColor="accent5" w:themeShade="BF"/>
        </w:rPr>
        <w:t>FSI have no objections to the approach proposed</w:t>
      </w:r>
      <w:r>
        <w:rPr>
          <w:rFonts w:cs="Arial"/>
          <w:bCs/>
          <w:color w:val="31849B" w:themeColor="accent5" w:themeShade="BF"/>
        </w:rPr>
        <w:t xml:space="preserve"> in addition to the comments made above</w:t>
      </w:r>
      <w:r w:rsidRPr="0024134B">
        <w:rPr>
          <w:rFonts w:cs="Arial"/>
          <w:bCs/>
          <w:color w:val="31849B" w:themeColor="accent5" w:themeShade="BF"/>
        </w:rPr>
        <w:t>.</w:t>
      </w:r>
    </w:p>
    <w:p w14:paraId="6415E03C" w14:textId="47F2CC18" w:rsidR="003E573C" w:rsidRDefault="003E573C" w:rsidP="003E573C">
      <w:pPr>
        <w:rPr>
          <w:rFonts w:cs="Arial"/>
        </w:rPr>
      </w:pPr>
      <w:r>
        <w:rPr>
          <w:rFonts w:cs="Arial"/>
        </w:rPr>
        <w:t xml:space="preserve"> </w:t>
      </w:r>
      <w:permEnd w:id="729947415"/>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30449B9E" w14:textId="7F9F8FA7" w:rsidR="008457D7" w:rsidRPr="0024134B" w:rsidRDefault="008457D7" w:rsidP="008457D7">
      <w:pPr>
        <w:jc w:val="both"/>
        <w:rPr>
          <w:rFonts w:cs="Arial"/>
          <w:color w:val="31849B" w:themeColor="accent5" w:themeShade="BF"/>
        </w:rPr>
      </w:pPr>
      <w:permStart w:id="677205538" w:edGrp="everyone"/>
      <w:r>
        <w:rPr>
          <w:rFonts w:cs="Arial"/>
          <w:color w:val="31849B" w:themeColor="accent5" w:themeShade="BF"/>
        </w:rPr>
        <w:t>W</w:t>
      </w:r>
      <w:r w:rsidRPr="0024134B">
        <w:rPr>
          <w:rFonts w:cs="Arial"/>
          <w:color w:val="31849B" w:themeColor="accent5" w:themeShade="BF"/>
        </w:rPr>
        <w:t>e are supportive of proposed Articles 5, 7, 8, 9, and 10, as set out in the consultation Chapter II.</w:t>
      </w:r>
    </w:p>
    <w:p w14:paraId="5312C18E" w14:textId="77777777" w:rsidR="008457D7" w:rsidRPr="0024134B" w:rsidRDefault="008457D7" w:rsidP="008457D7">
      <w:pPr>
        <w:jc w:val="both"/>
        <w:rPr>
          <w:rFonts w:cs="Arial"/>
          <w:color w:val="31849B" w:themeColor="accent5" w:themeShade="BF"/>
        </w:rPr>
      </w:pPr>
      <w:r w:rsidRPr="0024134B">
        <w:rPr>
          <w:rFonts w:cs="Arial"/>
          <w:color w:val="31849B" w:themeColor="accent5" w:themeShade="BF"/>
        </w:rPr>
        <w:t>For Article 6 and its accompanying tables in Annex I we would propose that a minimum set of environmental and social indicators are mandated with others being optional in relation to the specific asset classes and sectors that are part of the portfolio’s composition.</w:t>
      </w:r>
      <w:r>
        <w:rPr>
          <w:rFonts w:cs="Arial"/>
          <w:color w:val="31849B" w:themeColor="accent5" w:themeShade="BF"/>
        </w:rPr>
        <w:t xml:space="preserve"> This would ensure comparability on universally key indicators but also flexibility for firms to determine which others are principal.</w:t>
      </w:r>
    </w:p>
    <w:p w14:paraId="11985787" w14:textId="77777777" w:rsidR="008457D7" w:rsidRPr="0024134B" w:rsidRDefault="008457D7" w:rsidP="008457D7">
      <w:pPr>
        <w:jc w:val="both"/>
        <w:rPr>
          <w:rFonts w:cs="Arial"/>
          <w:color w:val="31849B" w:themeColor="accent5" w:themeShade="BF"/>
        </w:rPr>
      </w:pPr>
      <w:r w:rsidRPr="0024134B">
        <w:rPr>
          <w:rFonts w:cs="Arial"/>
          <w:color w:val="31849B" w:themeColor="accent5" w:themeShade="BF"/>
        </w:rPr>
        <w:t>We are supportive of the direction of travel however for practical purposes we would propose star</w:t>
      </w:r>
      <w:r>
        <w:rPr>
          <w:rFonts w:cs="Arial"/>
          <w:color w:val="31849B" w:themeColor="accent5" w:themeShade="BF"/>
        </w:rPr>
        <w:t>t</w:t>
      </w:r>
      <w:r w:rsidRPr="0024134B">
        <w:rPr>
          <w:rFonts w:cs="Arial"/>
          <w:color w:val="31849B" w:themeColor="accent5" w:themeShade="BF"/>
        </w:rPr>
        <w:t xml:space="preserve">ing with a set of mandated criteria with a view to moving to a more comprehensive set in future as more data and higher levels of corporate disclosure emerge. </w:t>
      </w:r>
    </w:p>
    <w:p w14:paraId="2756F54D" w14:textId="77777777" w:rsidR="008457D7" w:rsidRDefault="008457D7" w:rsidP="008457D7">
      <w:pPr>
        <w:jc w:val="both"/>
        <w:rPr>
          <w:rFonts w:cs="Arial"/>
          <w:color w:val="31849B" w:themeColor="accent5" w:themeShade="BF"/>
        </w:rPr>
      </w:pPr>
      <w:r w:rsidRPr="0024134B">
        <w:rPr>
          <w:rFonts w:cs="Arial"/>
          <w:color w:val="31849B" w:themeColor="accent5" w:themeShade="BF"/>
        </w:rPr>
        <w:t>We would propose that the following are mandated</w:t>
      </w:r>
    </w:p>
    <w:p w14:paraId="11A86471" w14:textId="0421FC86" w:rsidR="008457D7" w:rsidRPr="008457D7" w:rsidRDefault="008457D7" w:rsidP="008457D7">
      <w:pPr>
        <w:jc w:val="both"/>
        <w:rPr>
          <w:rFonts w:cs="Arial"/>
          <w:b/>
          <w:color w:val="31849B" w:themeColor="accent5" w:themeShade="BF"/>
          <w:u w:val="single"/>
        </w:rPr>
      </w:pPr>
      <w:r w:rsidRPr="008457D7">
        <w:rPr>
          <w:rFonts w:cs="Arial"/>
          <w:b/>
          <w:color w:val="31849B" w:themeColor="accent5" w:themeShade="BF"/>
          <w:u w:val="single"/>
        </w:rPr>
        <w:t xml:space="preserve">Environmental </w:t>
      </w:r>
    </w:p>
    <w:p w14:paraId="7137E45F" w14:textId="77777777" w:rsidR="008457D7" w:rsidRDefault="008457D7" w:rsidP="008457D7">
      <w:pPr>
        <w:jc w:val="both"/>
        <w:rPr>
          <w:rFonts w:cs="Arial"/>
          <w:color w:val="31849B" w:themeColor="accent5" w:themeShade="BF"/>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7513"/>
      </w:tblGrid>
      <w:tr w:rsidR="008457D7" w:rsidRPr="00433852" w14:paraId="3997F90B" w14:textId="77777777" w:rsidTr="00C43898">
        <w:trPr>
          <w:trHeight w:val="513"/>
        </w:trPr>
        <w:tc>
          <w:tcPr>
            <w:tcW w:w="2835" w:type="dxa"/>
            <w:vMerge w:val="restart"/>
          </w:tcPr>
          <w:p w14:paraId="7D661606" w14:textId="77777777" w:rsidR="008457D7" w:rsidRPr="00433852" w:rsidRDefault="008457D7" w:rsidP="00C43898">
            <w:pPr>
              <w:pStyle w:val="TableParagraph"/>
              <w:ind w:left="108" w:right="218"/>
              <w:rPr>
                <w:rFonts w:ascii="Arial" w:hAnsi="Arial" w:cs="Arial"/>
                <w:b/>
                <w:sz w:val="20"/>
                <w:szCs w:val="20"/>
              </w:rPr>
            </w:pPr>
            <w:r w:rsidRPr="00433852">
              <w:rPr>
                <w:rFonts w:ascii="Arial" w:hAnsi="Arial" w:cs="Arial"/>
                <w:b/>
                <w:sz w:val="20"/>
                <w:szCs w:val="20"/>
              </w:rPr>
              <w:lastRenderedPageBreak/>
              <w:t>Greenhouse Gas Emissions</w:t>
            </w:r>
          </w:p>
        </w:tc>
        <w:tc>
          <w:tcPr>
            <w:tcW w:w="7513" w:type="dxa"/>
            <w:tcBorders>
              <w:bottom w:val="nil"/>
            </w:tcBorders>
            <w:shd w:val="clear" w:color="auto" w:fill="FBD4B4" w:themeFill="accent6" w:themeFillTint="66"/>
          </w:tcPr>
          <w:p w14:paraId="5067CFB3" w14:textId="77777777" w:rsidR="008457D7" w:rsidRPr="00433852" w:rsidRDefault="008457D7" w:rsidP="00C43898">
            <w:pPr>
              <w:pStyle w:val="TableParagraph"/>
              <w:rPr>
                <w:rFonts w:ascii="Arial" w:hAnsi="Arial" w:cs="Arial"/>
                <w:sz w:val="18"/>
                <w:szCs w:val="20"/>
              </w:rPr>
            </w:pPr>
            <w:r w:rsidRPr="00433852">
              <w:rPr>
                <w:rFonts w:ascii="Arial" w:hAnsi="Arial" w:cs="Arial"/>
                <w:sz w:val="18"/>
                <w:szCs w:val="20"/>
              </w:rPr>
              <w:t>1. Carbon emissions (broken down by scope 1, and 2 carbon emissions (</w:t>
            </w:r>
            <w:r w:rsidRPr="00433852">
              <w:rPr>
                <w:rFonts w:ascii="Arial" w:hAnsi="Arial" w:cs="Arial"/>
                <w:i/>
                <w:color w:val="FF0000"/>
                <w:sz w:val="18"/>
                <w:szCs w:val="20"/>
              </w:rPr>
              <w:t>not scope 3</w:t>
            </w:r>
            <w:r w:rsidRPr="00433852">
              <w:rPr>
                <w:rFonts w:ascii="Arial" w:hAnsi="Arial" w:cs="Arial"/>
                <w:sz w:val="18"/>
                <w:szCs w:val="20"/>
              </w:rPr>
              <w:t>) including agriculture, forestry</w:t>
            </w:r>
            <w:r>
              <w:rPr>
                <w:rFonts w:ascii="Arial" w:hAnsi="Arial" w:cs="Arial"/>
                <w:sz w:val="18"/>
                <w:szCs w:val="20"/>
              </w:rPr>
              <w:t xml:space="preserve"> </w:t>
            </w:r>
            <w:r w:rsidRPr="00433852">
              <w:rPr>
                <w:rFonts w:ascii="Arial" w:hAnsi="Arial" w:cs="Arial"/>
                <w:sz w:val="18"/>
                <w:szCs w:val="20"/>
              </w:rPr>
              <w:t>and other land use (AFOLU) emissions - and in total)</w:t>
            </w:r>
          </w:p>
        </w:tc>
      </w:tr>
      <w:tr w:rsidR="008457D7" w:rsidRPr="00433852" w14:paraId="5D2D4F10" w14:textId="77777777" w:rsidTr="00C43898">
        <w:trPr>
          <w:trHeight w:val="268"/>
        </w:trPr>
        <w:tc>
          <w:tcPr>
            <w:tcW w:w="2835" w:type="dxa"/>
            <w:vMerge/>
            <w:tcBorders>
              <w:top w:val="nil"/>
            </w:tcBorders>
          </w:tcPr>
          <w:p w14:paraId="1639EDDF" w14:textId="77777777" w:rsidR="008457D7" w:rsidRPr="00433852" w:rsidRDefault="008457D7" w:rsidP="00C43898">
            <w:pPr>
              <w:rPr>
                <w:rFonts w:cs="Arial"/>
                <w:szCs w:val="20"/>
              </w:rPr>
            </w:pPr>
          </w:p>
        </w:tc>
        <w:tc>
          <w:tcPr>
            <w:tcW w:w="7513" w:type="dxa"/>
            <w:tcBorders>
              <w:top w:val="nil"/>
              <w:bottom w:val="nil"/>
            </w:tcBorders>
            <w:shd w:val="clear" w:color="auto" w:fill="FBD4B4" w:themeFill="accent6" w:themeFillTint="66"/>
          </w:tcPr>
          <w:p w14:paraId="47673371" w14:textId="77777777" w:rsidR="008457D7" w:rsidRPr="00433852" w:rsidRDefault="008457D7" w:rsidP="00C43898">
            <w:pPr>
              <w:pStyle w:val="TableParagraph"/>
              <w:spacing w:line="249" w:lineRule="exact"/>
              <w:rPr>
                <w:rFonts w:ascii="Arial" w:hAnsi="Arial" w:cs="Arial"/>
                <w:sz w:val="18"/>
                <w:szCs w:val="20"/>
              </w:rPr>
            </w:pPr>
            <w:r w:rsidRPr="00433852">
              <w:rPr>
                <w:rFonts w:ascii="Arial" w:hAnsi="Arial" w:cs="Arial"/>
                <w:sz w:val="18"/>
                <w:szCs w:val="20"/>
              </w:rPr>
              <w:t>2. Carbon footprint</w:t>
            </w:r>
          </w:p>
        </w:tc>
      </w:tr>
      <w:tr w:rsidR="008457D7" w:rsidRPr="00433852" w14:paraId="731E78D2" w14:textId="77777777" w:rsidTr="00C43898">
        <w:trPr>
          <w:trHeight w:val="268"/>
        </w:trPr>
        <w:tc>
          <w:tcPr>
            <w:tcW w:w="2835" w:type="dxa"/>
            <w:vMerge/>
            <w:tcBorders>
              <w:top w:val="nil"/>
            </w:tcBorders>
          </w:tcPr>
          <w:p w14:paraId="2E3F10ED" w14:textId="77777777" w:rsidR="008457D7" w:rsidRPr="00433852" w:rsidRDefault="008457D7" w:rsidP="00C43898">
            <w:pPr>
              <w:rPr>
                <w:rFonts w:cs="Arial"/>
                <w:szCs w:val="20"/>
              </w:rPr>
            </w:pPr>
          </w:p>
        </w:tc>
        <w:tc>
          <w:tcPr>
            <w:tcW w:w="7513" w:type="dxa"/>
            <w:tcBorders>
              <w:top w:val="nil"/>
              <w:bottom w:val="nil"/>
            </w:tcBorders>
            <w:shd w:val="clear" w:color="auto" w:fill="FBD4B4" w:themeFill="accent6" w:themeFillTint="66"/>
          </w:tcPr>
          <w:p w14:paraId="44790E18" w14:textId="77777777" w:rsidR="008457D7" w:rsidRPr="00433852" w:rsidRDefault="008457D7" w:rsidP="00C43898">
            <w:pPr>
              <w:pStyle w:val="TableParagraph"/>
              <w:spacing w:line="248" w:lineRule="exact"/>
              <w:rPr>
                <w:rFonts w:ascii="Arial" w:hAnsi="Arial" w:cs="Arial"/>
                <w:sz w:val="18"/>
                <w:szCs w:val="20"/>
              </w:rPr>
            </w:pPr>
            <w:r w:rsidRPr="00433852">
              <w:rPr>
                <w:rFonts w:ascii="Arial" w:hAnsi="Arial" w:cs="Arial"/>
                <w:sz w:val="18"/>
                <w:szCs w:val="20"/>
              </w:rPr>
              <w:t>3. Weighted average carbon intensity</w:t>
            </w:r>
          </w:p>
        </w:tc>
      </w:tr>
      <w:tr w:rsidR="008457D7" w:rsidRPr="00433852" w14:paraId="36A588E7" w14:textId="77777777" w:rsidTr="00C43898">
        <w:trPr>
          <w:trHeight w:val="292"/>
        </w:trPr>
        <w:tc>
          <w:tcPr>
            <w:tcW w:w="2835" w:type="dxa"/>
            <w:vMerge/>
            <w:tcBorders>
              <w:top w:val="nil"/>
            </w:tcBorders>
          </w:tcPr>
          <w:p w14:paraId="730E02C7" w14:textId="77777777" w:rsidR="008457D7" w:rsidRPr="00433852" w:rsidRDefault="008457D7" w:rsidP="00C43898">
            <w:pPr>
              <w:rPr>
                <w:rFonts w:cs="Arial"/>
                <w:szCs w:val="20"/>
              </w:rPr>
            </w:pPr>
          </w:p>
        </w:tc>
        <w:tc>
          <w:tcPr>
            <w:tcW w:w="7513" w:type="dxa"/>
            <w:tcBorders>
              <w:top w:val="nil"/>
            </w:tcBorders>
            <w:shd w:val="clear" w:color="auto" w:fill="FBD4B4" w:themeFill="accent6" w:themeFillTint="66"/>
          </w:tcPr>
          <w:p w14:paraId="7B8D7B1C" w14:textId="77777777" w:rsidR="008457D7" w:rsidRDefault="008457D7" w:rsidP="00C43898">
            <w:pPr>
              <w:pStyle w:val="TableParagraph"/>
              <w:spacing w:line="268" w:lineRule="exact"/>
              <w:rPr>
                <w:rFonts w:ascii="Arial" w:hAnsi="Arial" w:cs="Arial"/>
                <w:sz w:val="18"/>
                <w:szCs w:val="20"/>
              </w:rPr>
            </w:pPr>
            <w:r w:rsidRPr="00433852">
              <w:rPr>
                <w:rFonts w:ascii="Arial" w:hAnsi="Arial" w:cs="Arial"/>
                <w:sz w:val="18"/>
                <w:szCs w:val="20"/>
              </w:rPr>
              <w:t xml:space="preserve">4. Solid </w:t>
            </w:r>
            <w:r w:rsidRPr="00433852">
              <w:rPr>
                <w:rFonts w:ascii="Arial" w:hAnsi="Arial" w:cs="Arial"/>
                <w:i/>
                <w:color w:val="FF0000"/>
                <w:sz w:val="18"/>
                <w:szCs w:val="20"/>
              </w:rPr>
              <w:t>and non solid</w:t>
            </w:r>
            <w:r w:rsidRPr="00433852">
              <w:rPr>
                <w:rFonts w:ascii="Arial" w:hAnsi="Arial" w:cs="Arial"/>
                <w:color w:val="FF0000"/>
                <w:sz w:val="18"/>
                <w:szCs w:val="20"/>
              </w:rPr>
              <w:t xml:space="preserve"> </w:t>
            </w:r>
            <w:r w:rsidRPr="00433852">
              <w:rPr>
                <w:rFonts w:ascii="Arial" w:hAnsi="Arial" w:cs="Arial"/>
                <w:sz w:val="18"/>
                <w:szCs w:val="20"/>
              </w:rPr>
              <w:t>fossil fuel sector exposure</w:t>
            </w:r>
          </w:p>
          <w:p w14:paraId="7DB8D3E2" w14:textId="77777777" w:rsidR="008457D7" w:rsidRPr="00433852" w:rsidRDefault="008457D7" w:rsidP="00C43898">
            <w:pPr>
              <w:pStyle w:val="TableParagraph"/>
              <w:spacing w:line="268" w:lineRule="exact"/>
              <w:rPr>
                <w:rFonts w:ascii="Arial" w:hAnsi="Arial" w:cs="Arial"/>
                <w:sz w:val="18"/>
                <w:szCs w:val="20"/>
              </w:rPr>
            </w:pPr>
            <w:r w:rsidRPr="002D008E">
              <w:rPr>
                <w:rFonts w:ascii="Arial" w:hAnsi="Arial" w:cs="Arial"/>
                <w:color w:val="FF0000"/>
                <w:sz w:val="18"/>
                <w:szCs w:val="20"/>
              </w:rPr>
              <w:t>Propose</w:t>
            </w:r>
            <w:r>
              <w:rPr>
                <w:rFonts w:ascii="Arial" w:hAnsi="Arial" w:cs="Arial"/>
                <w:color w:val="FF0000"/>
                <w:sz w:val="18"/>
                <w:szCs w:val="20"/>
              </w:rPr>
              <w:t>:</w:t>
            </w:r>
            <w:r w:rsidRPr="002D008E">
              <w:rPr>
                <w:rFonts w:ascii="Arial" w:hAnsi="Arial" w:cs="Arial"/>
                <w:color w:val="FF0000"/>
                <w:sz w:val="18"/>
                <w:szCs w:val="20"/>
              </w:rPr>
              <w:t xml:space="preserve"> Climate Scenario Analysis</w:t>
            </w:r>
            <w:r>
              <w:rPr>
                <w:rFonts w:ascii="Arial" w:hAnsi="Arial" w:cs="Arial"/>
                <w:color w:val="FF0000"/>
                <w:sz w:val="18"/>
                <w:szCs w:val="20"/>
              </w:rPr>
              <w:t xml:space="preserve"> – Paris Agreement alignment</w:t>
            </w:r>
          </w:p>
        </w:tc>
      </w:tr>
      <w:tr w:rsidR="008457D7" w:rsidRPr="004D4C05" w14:paraId="4B6D39BF" w14:textId="77777777" w:rsidTr="00C43898">
        <w:trPr>
          <w:trHeight w:val="648"/>
        </w:trPr>
        <w:tc>
          <w:tcPr>
            <w:tcW w:w="2835" w:type="dxa"/>
            <w:tcBorders>
              <w:bottom w:val="single" w:sz="8" w:space="0" w:color="000000"/>
            </w:tcBorders>
          </w:tcPr>
          <w:p w14:paraId="0781CCE1" w14:textId="77777777" w:rsidR="008457D7" w:rsidRPr="00433852" w:rsidRDefault="008457D7" w:rsidP="00C43898">
            <w:pPr>
              <w:pStyle w:val="TableParagraph"/>
              <w:ind w:left="108" w:right="278"/>
              <w:rPr>
                <w:rFonts w:ascii="Arial" w:hAnsi="Arial" w:cs="Arial"/>
                <w:b/>
                <w:sz w:val="20"/>
                <w:szCs w:val="20"/>
              </w:rPr>
            </w:pPr>
            <w:r w:rsidRPr="00433852">
              <w:rPr>
                <w:rFonts w:ascii="Arial" w:hAnsi="Arial" w:cs="Arial"/>
                <w:b/>
                <w:sz w:val="20"/>
                <w:szCs w:val="20"/>
              </w:rPr>
              <w:t>Energy Performance</w:t>
            </w:r>
          </w:p>
        </w:tc>
        <w:tc>
          <w:tcPr>
            <w:tcW w:w="7513" w:type="dxa"/>
            <w:tcBorders>
              <w:bottom w:val="single" w:sz="8" w:space="0" w:color="000000"/>
            </w:tcBorders>
            <w:shd w:val="clear" w:color="auto" w:fill="CCC0D9" w:themeFill="accent4" w:themeFillTint="66"/>
          </w:tcPr>
          <w:p w14:paraId="199D87BE" w14:textId="77777777" w:rsidR="008457D7" w:rsidRPr="004D4C05" w:rsidRDefault="008457D7" w:rsidP="00C43898">
            <w:pPr>
              <w:pStyle w:val="TableParagraph"/>
              <w:spacing w:line="268" w:lineRule="exact"/>
              <w:rPr>
                <w:rFonts w:ascii="Arial" w:hAnsi="Arial" w:cs="Arial"/>
                <w:sz w:val="18"/>
                <w:szCs w:val="20"/>
              </w:rPr>
            </w:pPr>
            <w:r w:rsidRPr="00433852">
              <w:rPr>
                <w:rFonts w:ascii="Arial" w:hAnsi="Arial" w:cs="Arial"/>
                <w:sz w:val="18"/>
                <w:szCs w:val="20"/>
              </w:rPr>
              <w:t>5. Total energy consumption from non-renewable sources and share of non-renewable energy consumption</w:t>
            </w:r>
          </w:p>
        </w:tc>
      </w:tr>
      <w:tr w:rsidR="008457D7" w:rsidRPr="004D4C05" w14:paraId="1CAC5B45" w14:textId="77777777" w:rsidTr="00C43898">
        <w:trPr>
          <w:trHeight w:val="406"/>
        </w:trPr>
        <w:tc>
          <w:tcPr>
            <w:tcW w:w="2835" w:type="dxa"/>
          </w:tcPr>
          <w:p w14:paraId="384D374B" w14:textId="77777777" w:rsidR="008457D7" w:rsidRPr="004D4C05" w:rsidRDefault="008457D7" w:rsidP="00C43898">
            <w:pPr>
              <w:pStyle w:val="TableParagraph"/>
              <w:spacing w:line="268" w:lineRule="exact"/>
              <w:ind w:left="108"/>
              <w:rPr>
                <w:rFonts w:ascii="Arial" w:hAnsi="Arial" w:cs="Arial"/>
                <w:b/>
                <w:sz w:val="20"/>
                <w:szCs w:val="20"/>
              </w:rPr>
            </w:pPr>
            <w:r w:rsidRPr="004D4C05">
              <w:rPr>
                <w:rFonts w:ascii="Arial" w:hAnsi="Arial" w:cs="Arial"/>
                <w:b/>
                <w:sz w:val="20"/>
                <w:szCs w:val="20"/>
              </w:rPr>
              <w:t>Biodiversity</w:t>
            </w:r>
          </w:p>
        </w:tc>
        <w:tc>
          <w:tcPr>
            <w:tcW w:w="7513" w:type="dxa"/>
            <w:shd w:val="clear" w:color="auto" w:fill="CCC0D9" w:themeFill="accent4" w:themeFillTint="66"/>
          </w:tcPr>
          <w:p w14:paraId="054F0919" w14:textId="77777777" w:rsidR="008457D7" w:rsidRDefault="008457D7" w:rsidP="00C43898">
            <w:pPr>
              <w:pStyle w:val="TableParagraph"/>
              <w:spacing w:line="268" w:lineRule="exact"/>
              <w:ind w:left="465" w:hanging="465"/>
              <w:rPr>
                <w:rFonts w:ascii="Arial" w:hAnsi="Arial" w:cs="Arial"/>
                <w:sz w:val="18"/>
                <w:szCs w:val="20"/>
              </w:rPr>
            </w:pPr>
            <w:r w:rsidRPr="004D4C05">
              <w:rPr>
                <w:rFonts w:ascii="Arial" w:hAnsi="Arial" w:cs="Arial"/>
                <w:sz w:val="18"/>
                <w:szCs w:val="20"/>
              </w:rPr>
              <w:t>9. Biodiversity and ecosystem preservation practices</w:t>
            </w:r>
          </w:p>
          <w:p w14:paraId="441CB72F" w14:textId="77777777" w:rsidR="008457D7" w:rsidRPr="004D4C05" w:rsidRDefault="008457D7" w:rsidP="00C43898">
            <w:pPr>
              <w:pStyle w:val="TableParagraph"/>
              <w:spacing w:line="268" w:lineRule="exact"/>
              <w:ind w:left="465" w:hanging="465"/>
              <w:rPr>
                <w:rFonts w:ascii="Arial" w:hAnsi="Arial" w:cs="Arial"/>
                <w:sz w:val="18"/>
                <w:szCs w:val="20"/>
              </w:rPr>
            </w:pPr>
            <w:r>
              <w:rPr>
                <w:rFonts w:ascii="Arial" w:hAnsi="Arial" w:cs="Arial"/>
                <w:sz w:val="18"/>
                <w:szCs w:val="20"/>
              </w:rPr>
              <w:t>11. Deforestation</w:t>
            </w:r>
          </w:p>
        </w:tc>
      </w:tr>
      <w:tr w:rsidR="008457D7" w:rsidRPr="004D4C05" w14:paraId="2AF199DC" w14:textId="77777777" w:rsidTr="00C43898">
        <w:trPr>
          <w:trHeight w:val="406"/>
        </w:trPr>
        <w:tc>
          <w:tcPr>
            <w:tcW w:w="2835" w:type="dxa"/>
            <w:tcBorders>
              <w:bottom w:val="double" w:sz="1" w:space="0" w:color="000000"/>
            </w:tcBorders>
          </w:tcPr>
          <w:p w14:paraId="1B362DB3" w14:textId="77777777" w:rsidR="008457D7" w:rsidRPr="004D4C05" w:rsidRDefault="008457D7" w:rsidP="00C43898">
            <w:pPr>
              <w:pStyle w:val="TableParagraph"/>
              <w:spacing w:line="268" w:lineRule="exact"/>
              <w:ind w:left="108"/>
              <w:rPr>
                <w:rFonts w:ascii="Arial" w:hAnsi="Arial" w:cs="Arial"/>
                <w:b/>
                <w:sz w:val="20"/>
                <w:szCs w:val="20"/>
              </w:rPr>
            </w:pPr>
            <w:r>
              <w:rPr>
                <w:rFonts w:ascii="Arial" w:hAnsi="Arial" w:cs="Arial"/>
                <w:b/>
                <w:sz w:val="20"/>
                <w:szCs w:val="20"/>
              </w:rPr>
              <w:t>Water</w:t>
            </w:r>
          </w:p>
        </w:tc>
        <w:tc>
          <w:tcPr>
            <w:tcW w:w="7513" w:type="dxa"/>
            <w:tcBorders>
              <w:bottom w:val="double" w:sz="1" w:space="0" w:color="000000"/>
            </w:tcBorders>
            <w:shd w:val="clear" w:color="auto" w:fill="CCC0D9" w:themeFill="accent4" w:themeFillTint="66"/>
          </w:tcPr>
          <w:p w14:paraId="0883F862" w14:textId="77777777" w:rsidR="008457D7" w:rsidRDefault="008457D7" w:rsidP="00C43898">
            <w:pPr>
              <w:pStyle w:val="TableParagraph"/>
              <w:spacing w:line="268" w:lineRule="exact"/>
              <w:ind w:left="465" w:hanging="465"/>
              <w:rPr>
                <w:rFonts w:ascii="Arial" w:hAnsi="Arial" w:cs="Arial"/>
                <w:sz w:val="18"/>
                <w:szCs w:val="20"/>
              </w:rPr>
            </w:pPr>
            <w:r>
              <w:rPr>
                <w:rFonts w:ascii="Arial" w:hAnsi="Arial" w:cs="Arial"/>
                <w:sz w:val="18"/>
                <w:szCs w:val="20"/>
              </w:rPr>
              <w:t>12. Water Emissions</w:t>
            </w:r>
          </w:p>
          <w:p w14:paraId="49DC7E99" w14:textId="77777777" w:rsidR="008457D7" w:rsidRPr="004D4C05" w:rsidRDefault="008457D7" w:rsidP="00C43898">
            <w:pPr>
              <w:pStyle w:val="TableParagraph"/>
              <w:spacing w:line="268" w:lineRule="exact"/>
              <w:ind w:left="465" w:hanging="465"/>
              <w:rPr>
                <w:rFonts w:ascii="Arial" w:hAnsi="Arial" w:cs="Arial"/>
                <w:sz w:val="18"/>
                <w:szCs w:val="20"/>
              </w:rPr>
            </w:pPr>
            <w:r>
              <w:rPr>
                <w:rFonts w:ascii="Arial" w:hAnsi="Arial" w:cs="Arial"/>
                <w:sz w:val="18"/>
                <w:szCs w:val="20"/>
              </w:rPr>
              <w:t>13. Exposure to areas of high water stress</w:t>
            </w:r>
          </w:p>
        </w:tc>
      </w:tr>
    </w:tbl>
    <w:p w14:paraId="08410C5F" w14:textId="77777777" w:rsidR="008457D7" w:rsidRDefault="008457D7" w:rsidP="008457D7">
      <w:pPr>
        <w:jc w:val="both"/>
        <w:rPr>
          <w:rFonts w:cs="Arial"/>
          <w:color w:val="31849B" w:themeColor="accent5" w:themeShade="BF"/>
        </w:rPr>
      </w:pPr>
    </w:p>
    <w:p w14:paraId="2F3ADF20" w14:textId="77777777" w:rsidR="008457D7" w:rsidRPr="00062599" w:rsidRDefault="008457D7" w:rsidP="008457D7">
      <w:pPr>
        <w:jc w:val="both"/>
        <w:rPr>
          <w:rFonts w:cs="Arial"/>
          <w:b/>
          <w:u w:val="single"/>
        </w:rPr>
      </w:pPr>
      <w:r w:rsidRPr="00062599">
        <w:rPr>
          <w:rFonts w:cs="Arial"/>
          <w:b/>
          <w:u w:val="single"/>
        </w:rPr>
        <w:t>Social</w:t>
      </w:r>
    </w:p>
    <w:p w14:paraId="428455BA" w14:textId="77777777" w:rsidR="008457D7" w:rsidRDefault="008457D7" w:rsidP="008457D7">
      <w:pPr>
        <w:jc w:val="both"/>
        <w:rPr>
          <w:rFonts w:cs="Arial"/>
          <w:color w:val="31849B" w:themeColor="accent5" w:themeShade="BF"/>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7"/>
        <w:gridCol w:w="7451"/>
      </w:tblGrid>
      <w:tr w:rsidR="008457D7" w:rsidRPr="004D4C05" w14:paraId="249A3E8E" w14:textId="77777777" w:rsidTr="00C43898">
        <w:trPr>
          <w:trHeight w:val="282"/>
        </w:trPr>
        <w:tc>
          <w:tcPr>
            <w:tcW w:w="2897" w:type="dxa"/>
            <w:tcBorders>
              <w:bottom w:val="nil"/>
            </w:tcBorders>
          </w:tcPr>
          <w:p w14:paraId="7B5D09C9" w14:textId="77777777" w:rsidR="008457D7" w:rsidRPr="004D4C05" w:rsidRDefault="008457D7" w:rsidP="00C43898">
            <w:pPr>
              <w:pStyle w:val="TableParagraph"/>
              <w:spacing w:line="263" w:lineRule="exact"/>
              <w:ind w:left="108"/>
              <w:rPr>
                <w:rFonts w:ascii="Arial" w:hAnsi="Arial" w:cs="Arial"/>
                <w:b/>
                <w:sz w:val="20"/>
                <w:szCs w:val="20"/>
              </w:rPr>
            </w:pPr>
            <w:r w:rsidRPr="004D4C05">
              <w:rPr>
                <w:rFonts w:ascii="Arial" w:hAnsi="Arial" w:cs="Arial"/>
                <w:b/>
                <w:sz w:val="20"/>
                <w:szCs w:val="20"/>
              </w:rPr>
              <w:t>Social and</w:t>
            </w:r>
            <w:r>
              <w:rPr>
                <w:rFonts w:ascii="Arial" w:hAnsi="Arial" w:cs="Arial"/>
                <w:b/>
                <w:sz w:val="20"/>
                <w:szCs w:val="20"/>
              </w:rPr>
              <w:t xml:space="preserve"> Employee</w:t>
            </w:r>
          </w:p>
        </w:tc>
        <w:tc>
          <w:tcPr>
            <w:tcW w:w="7451" w:type="dxa"/>
            <w:tcBorders>
              <w:bottom w:val="nil"/>
            </w:tcBorders>
            <w:shd w:val="clear" w:color="auto" w:fill="CCC0D9" w:themeFill="accent4" w:themeFillTint="66"/>
          </w:tcPr>
          <w:p w14:paraId="3B4D6EA3" w14:textId="77777777" w:rsidR="008457D7" w:rsidRPr="004D4C05" w:rsidRDefault="008457D7" w:rsidP="00C43898">
            <w:pPr>
              <w:pStyle w:val="TableParagraph"/>
              <w:spacing w:line="263" w:lineRule="exact"/>
              <w:rPr>
                <w:rFonts w:ascii="Arial" w:hAnsi="Arial" w:cs="Arial"/>
                <w:sz w:val="18"/>
                <w:szCs w:val="20"/>
              </w:rPr>
            </w:pPr>
            <w:r w:rsidRPr="004D4C05">
              <w:rPr>
                <w:rFonts w:ascii="Arial" w:hAnsi="Arial" w:cs="Arial"/>
                <w:sz w:val="18"/>
                <w:szCs w:val="20"/>
              </w:rPr>
              <w:t>17. Implementation of fundamental ILO Conventions</w:t>
            </w:r>
          </w:p>
        </w:tc>
      </w:tr>
      <w:tr w:rsidR="008457D7" w:rsidRPr="004D4C05" w14:paraId="0E219C83" w14:textId="77777777" w:rsidTr="00C43898">
        <w:trPr>
          <w:trHeight w:val="282"/>
        </w:trPr>
        <w:tc>
          <w:tcPr>
            <w:tcW w:w="2897" w:type="dxa"/>
            <w:tcBorders>
              <w:top w:val="nil"/>
              <w:bottom w:val="single" w:sz="4" w:space="0" w:color="auto"/>
            </w:tcBorders>
          </w:tcPr>
          <w:p w14:paraId="4C5E912C" w14:textId="77777777" w:rsidR="008457D7" w:rsidRPr="004D4C05" w:rsidRDefault="008457D7" w:rsidP="00C43898">
            <w:pPr>
              <w:pStyle w:val="TableParagraph"/>
              <w:spacing w:line="263" w:lineRule="exact"/>
              <w:ind w:left="108"/>
              <w:rPr>
                <w:rFonts w:ascii="Arial" w:hAnsi="Arial" w:cs="Arial"/>
                <w:b/>
                <w:sz w:val="20"/>
                <w:szCs w:val="20"/>
              </w:rPr>
            </w:pPr>
          </w:p>
        </w:tc>
        <w:tc>
          <w:tcPr>
            <w:tcW w:w="7451" w:type="dxa"/>
            <w:tcBorders>
              <w:top w:val="nil"/>
              <w:bottom w:val="single" w:sz="4" w:space="0" w:color="000000"/>
            </w:tcBorders>
            <w:shd w:val="clear" w:color="auto" w:fill="CCC0D9" w:themeFill="accent4" w:themeFillTint="66"/>
          </w:tcPr>
          <w:p w14:paraId="62F418AD" w14:textId="77777777" w:rsidR="008457D7" w:rsidRDefault="008457D7" w:rsidP="00C43898">
            <w:pPr>
              <w:pStyle w:val="TableParagraph"/>
              <w:spacing w:line="263" w:lineRule="exact"/>
              <w:rPr>
                <w:rFonts w:ascii="Arial" w:hAnsi="Arial" w:cs="Arial"/>
                <w:sz w:val="18"/>
                <w:szCs w:val="20"/>
              </w:rPr>
            </w:pPr>
            <w:r>
              <w:rPr>
                <w:rFonts w:ascii="Arial" w:hAnsi="Arial" w:cs="Arial"/>
                <w:sz w:val="18"/>
                <w:szCs w:val="20"/>
              </w:rPr>
              <w:t>20. Board gender diversity CEO Pay Ratio</w:t>
            </w:r>
          </w:p>
          <w:p w14:paraId="4963A0EE" w14:textId="77777777" w:rsidR="008457D7" w:rsidRPr="004D4C05" w:rsidRDefault="008457D7" w:rsidP="00C43898">
            <w:pPr>
              <w:pStyle w:val="TableParagraph"/>
              <w:spacing w:line="263" w:lineRule="exact"/>
              <w:rPr>
                <w:rFonts w:ascii="Arial" w:hAnsi="Arial" w:cs="Arial"/>
                <w:sz w:val="18"/>
                <w:szCs w:val="20"/>
              </w:rPr>
            </w:pPr>
            <w:r>
              <w:rPr>
                <w:rFonts w:ascii="Arial" w:hAnsi="Arial" w:cs="Arial"/>
                <w:sz w:val="18"/>
                <w:szCs w:val="20"/>
              </w:rPr>
              <w:t>Plus: Workplace accident rates data</w:t>
            </w:r>
          </w:p>
        </w:tc>
      </w:tr>
      <w:tr w:rsidR="008457D7" w:rsidRPr="004D4C05" w14:paraId="15A80405" w14:textId="77777777" w:rsidTr="00C43898">
        <w:trPr>
          <w:trHeight w:val="282"/>
        </w:trPr>
        <w:tc>
          <w:tcPr>
            <w:tcW w:w="2897" w:type="dxa"/>
            <w:tcBorders>
              <w:top w:val="single" w:sz="4" w:space="0" w:color="auto"/>
              <w:bottom w:val="nil"/>
            </w:tcBorders>
          </w:tcPr>
          <w:p w14:paraId="3A7DFD18" w14:textId="77777777" w:rsidR="008457D7" w:rsidRPr="004D4C05" w:rsidRDefault="008457D7" w:rsidP="00C43898">
            <w:pPr>
              <w:pStyle w:val="TableParagraph"/>
              <w:spacing w:line="263" w:lineRule="exact"/>
              <w:ind w:left="108"/>
              <w:rPr>
                <w:rFonts w:ascii="Arial" w:hAnsi="Arial" w:cs="Arial"/>
                <w:b/>
                <w:sz w:val="20"/>
                <w:szCs w:val="20"/>
              </w:rPr>
            </w:pPr>
            <w:r>
              <w:rPr>
                <w:rFonts w:ascii="Arial" w:hAnsi="Arial" w:cs="Arial"/>
                <w:b/>
                <w:sz w:val="20"/>
                <w:szCs w:val="20"/>
              </w:rPr>
              <w:t>Human Rights</w:t>
            </w:r>
          </w:p>
        </w:tc>
        <w:tc>
          <w:tcPr>
            <w:tcW w:w="7451" w:type="dxa"/>
            <w:tcBorders>
              <w:bottom w:val="nil"/>
            </w:tcBorders>
            <w:shd w:val="clear" w:color="auto" w:fill="CCC0D9" w:themeFill="accent4" w:themeFillTint="66"/>
          </w:tcPr>
          <w:p w14:paraId="0E6361B5" w14:textId="77777777" w:rsidR="008457D7" w:rsidRDefault="008457D7" w:rsidP="00C43898">
            <w:pPr>
              <w:pStyle w:val="TableParagraph"/>
              <w:spacing w:line="263" w:lineRule="exact"/>
              <w:rPr>
                <w:rFonts w:ascii="Arial" w:hAnsi="Arial" w:cs="Arial"/>
                <w:sz w:val="18"/>
                <w:szCs w:val="20"/>
              </w:rPr>
            </w:pPr>
            <w:r>
              <w:rPr>
                <w:rFonts w:ascii="Arial" w:hAnsi="Arial" w:cs="Arial"/>
                <w:sz w:val="18"/>
                <w:szCs w:val="20"/>
              </w:rPr>
              <w:t>23. Human rights policy</w:t>
            </w:r>
          </w:p>
        </w:tc>
      </w:tr>
      <w:tr w:rsidR="008457D7" w:rsidRPr="004D4C05" w14:paraId="3FDE95BF" w14:textId="77777777" w:rsidTr="00C43898">
        <w:trPr>
          <w:trHeight w:val="282"/>
        </w:trPr>
        <w:tc>
          <w:tcPr>
            <w:tcW w:w="2897" w:type="dxa"/>
            <w:tcBorders>
              <w:top w:val="nil"/>
              <w:bottom w:val="single" w:sz="4" w:space="0" w:color="auto"/>
            </w:tcBorders>
          </w:tcPr>
          <w:p w14:paraId="69AEEE2F" w14:textId="77777777" w:rsidR="008457D7" w:rsidRDefault="008457D7" w:rsidP="00C43898">
            <w:pPr>
              <w:pStyle w:val="TableParagraph"/>
              <w:spacing w:line="263" w:lineRule="exact"/>
              <w:ind w:left="108"/>
              <w:rPr>
                <w:rFonts w:ascii="Arial" w:hAnsi="Arial" w:cs="Arial"/>
                <w:b/>
                <w:sz w:val="20"/>
                <w:szCs w:val="20"/>
              </w:rPr>
            </w:pPr>
          </w:p>
        </w:tc>
        <w:tc>
          <w:tcPr>
            <w:tcW w:w="7451" w:type="dxa"/>
            <w:tcBorders>
              <w:top w:val="nil"/>
              <w:bottom w:val="single" w:sz="4" w:space="0" w:color="auto"/>
            </w:tcBorders>
            <w:shd w:val="clear" w:color="auto" w:fill="CCC0D9" w:themeFill="accent4" w:themeFillTint="66"/>
          </w:tcPr>
          <w:p w14:paraId="76F46E04" w14:textId="77777777" w:rsidR="008457D7" w:rsidRDefault="008457D7" w:rsidP="00C43898">
            <w:pPr>
              <w:pStyle w:val="TableParagraph"/>
              <w:spacing w:line="263" w:lineRule="exact"/>
              <w:rPr>
                <w:rFonts w:ascii="Arial" w:hAnsi="Arial" w:cs="Arial"/>
                <w:sz w:val="18"/>
                <w:szCs w:val="20"/>
              </w:rPr>
            </w:pPr>
            <w:r>
              <w:rPr>
                <w:rFonts w:ascii="Arial" w:hAnsi="Arial" w:cs="Arial"/>
                <w:sz w:val="18"/>
                <w:szCs w:val="20"/>
              </w:rPr>
              <w:t xml:space="preserve">26. </w:t>
            </w:r>
            <w:r w:rsidRPr="004D4C05">
              <w:rPr>
                <w:rFonts w:ascii="Arial" w:hAnsi="Arial" w:cs="Arial"/>
                <w:sz w:val="18"/>
                <w:szCs w:val="20"/>
              </w:rPr>
              <w:t>Operations and suppliers at significant risk of incidents of child l</w:t>
            </w:r>
            <w:r w:rsidRPr="00414F59">
              <w:rPr>
                <w:rFonts w:ascii="Arial" w:hAnsi="Arial" w:cs="Arial"/>
                <w:sz w:val="18"/>
                <w:szCs w:val="20"/>
                <w:shd w:val="clear" w:color="auto" w:fill="CCC0D9" w:themeFill="accent4" w:themeFillTint="66"/>
              </w:rPr>
              <w:t>a</w:t>
            </w:r>
            <w:r w:rsidRPr="004D4C05">
              <w:rPr>
                <w:rFonts w:ascii="Arial" w:hAnsi="Arial" w:cs="Arial"/>
                <w:sz w:val="18"/>
                <w:szCs w:val="20"/>
              </w:rPr>
              <w:t>bour</w:t>
            </w:r>
          </w:p>
          <w:p w14:paraId="1A2D93B4" w14:textId="77777777" w:rsidR="008457D7" w:rsidRDefault="008457D7" w:rsidP="00C43898">
            <w:pPr>
              <w:pStyle w:val="TableParagraph"/>
              <w:spacing w:line="263" w:lineRule="exact"/>
              <w:rPr>
                <w:rFonts w:ascii="Arial" w:hAnsi="Arial" w:cs="Arial"/>
                <w:sz w:val="18"/>
                <w:szCs w:val="20"/>
              </w:rPr>
            </w:pPr>
            <w:r>
              <w:rPr>
                <w:rFonts w:ascii="Arial" w:hAnsi="Arial" w:cs="Arial"/>
                <w:sz w:val="18"/>
                <w:szCs w:val="20"/>
              </w:rPr>
              <w:t xml:space="preserve">27. </w:t>
            </w:r>
            <w:r w:rsidRPr="004D4C05">
              <w:rPr>
                <w:rFonts w:ascii="Arial" w:hAnsi="Arial" w:cs="Arial"/>
                <w:sz w:val="18"/>
                <w:szCs w:val="20"/>
              </w:rPr>
              <w:t>Operations and suppliers at significant risk of incidents of forced or compulsory</w:t>
            </w:r>
            <w:r w:rsidRPr="00414F59">
              <w:rPr>
                <w:rFonts w:ascii="Arial" w:hAnsi="Arial" w:cs="Arial"/>
                <w:sz w:val="18"/>
                <w:szCs w:val="20"/>
                <w:shd w:val="clear" w:color="auto" w:fill="CCC0D9" w:themeFill="accent4" w:themeFillTint="66"/>
              </w:rPr>
              <w:t xml:space="preserve"> </w:t>
            </w:r>
            <w:r w:rsidRPr="004D4C05">
              <w:rPr>
                <w:rFonts w:ascii="Arial" w:hAnsi="Arial" w:cs="Arial"/>
                <w:sz w:val="18"/>
                <w:szCs w:val="20"/>
              </w:rPr>
              <w:t>labour</w:t>
            </w:r>
            <w:r>
              <w:rPr>
                <w:rFonts w:ascii="Arial" w:hAnsi="Arial" w:cs="Arial"/>
                <w:sz w:val="18"/>
                <w:szCs w:val="20"/>
              </w:rPr>
              <w:t xml:space="preserve"> </w:t>
            </w:r>
          </w:p>
          <w:p w14:paraId="61882ACB" w14:textId="77777777" w:rsidR="008457D7" w:rsidRDefault="008457D7" w:rsidP="00C43898">
            <w:pPr>
              <w:pStyle w:val="TableParagraph"/>
              <w:spacing w:line="263" w:lineRule="exact"/>
              <w:rPr>
                <w:rFonts w:ascii="Arial" w:hAnsi="Arial" w:cs="Arial"/>
                <w:sz w:val="18"/>
                <w:szCs w:val="20"/>
              </w:rPr>
            </w:pPr>
            <w:r>
              <w:rPr>
                <w:rFonts w:ascii="Arial" w:hAnsi="Arial" w:cs="Arial"/>
                <w:sz w:val="18"/>
                <w:szCs w:val="20"/>
              </w:rPr>
              <w:t>28. Exposure to controversial weapons</w:t>
            </w:r>
          </w:p>
        </w:tc>
      </w:tr>
      <w:tr w:rsidR="008457D7" w:rsidRPr="004D4C05" w14:paraId="000D5AE7" w14:textId="77777777" w:rsidTr="00C43898">
        <w:trPr>
          <w:trHeight w:val="282"/>
        </w:trPr>
        <w:tc>
          <w:tcPr>
            <w:tcW w:w="2897" w:type="dxa"/>
            <w:tcBorders>
              <w:top w:val="single" w:sz="4" w:space="0" w:color="auto"/>
              <w:bottom w:val="single" w:sz="4" w:space="0" w:color="auto"/>
            </w:tcBorders>
          </w:tcPr>
          <w:p w14:paraId="59239EB8" w14:textId="77777777" w:rsidR="008457D7" w:rsidRDefault="008457D7" w:rsidP="00C43898">
            <w:pPr>
              <w:pStyle w:val="TableParagraph"/>
              <w:spacing w:line="263" w:lineRule="exact"/>
              <w:ind w:left="108"/>
              <w:rPr>
                <w:rFonts w:ascii="Arial" w:hAnsi="Arial" w:cs="Arial"/>
                <w:b/>
                <w:sz w:val="20"/>
                <w:szCs w:val="20"/>
              </w:rPr>
            </w:pPr>
            <w:r>
              <w:rPr>
                <w:rFonts w:ascii="Arial" w:hAnsi="Arial" w:cs="Arial"/>
                <w:b/>
                <w:sz w:val="20"/>
                <w:szCs w:val="20"/>
              </w:rPr>
              <w:t>Bribery &amp; Corruption</w:t>
            </w:r>
          </w:p>
        </w:tc>
        <w:tc>
          <w:tcPr>
            <w:tcW w:w="7451" w:type="dxa"/>
            <w:tcBorders>
              <w:top w:val="single" w:sz="4" w:space="0" w:color="auto"/>
              <w:bottom w:val="single" w:sz="4" w:space="0" w:color="auto"/>
            </w:tcBorders>
            <w:shd w:val="clear" w:color="auto" w:fill="CCC0D9" w:themeFill="accent4" w:themeFillTint="66"/>
          </w:tcPr>
          <w:p w14:paraId="468CECFC" w14:textId="77777777" w:rsidR="008457D7" w:rsidRDefault="008457D7" w:rsidP="00C43898">
            <w:pPr>
              <w:pStyle w:val="TableParagraph"/>
              <w:spacing w:line="263" w:lineRule="exact"/>
              <w:rPr>
                <w:rFonts w:ascii="Arial" w:hAnsi="Arial" w:cs="Arial"/>
                <w:sz w:val="18"/>
                <w:szCs w:val="20"/>
              </w:rPr>
            </w:pPr>
            <w:r w:rsidRPr="004D4C05">
              <w:rPr>
                <w:rFonts w:ascii="Arial" w:hAnsi="Arial" w:cs="Arial"/>
                <w:sz w:val="18"/>
                <w:szCs w:val="20"/>
              </w:rPr>
              <w:t>30. Anti-corruption and anti-bribery policies</w:t>
            </w:r>
          </w:p>
          <w:p w14:paraId="276C47DB" w14:textId="77777777" w:rsidR="008457D7" w:rsidRDefault="008457D7" w:rsidP="00C43898">
            <w:pPr>
              <w:pStyle w:val="TableParagraph"/>
              <w:spacing w:line="263" w:lineRule="exact"/>
              <w:rPr>
                <w:rFonts w:ascii="Arial" w:hAnsi="Arial" w:cs="Arial"/>
                <w:sz w:val="18"/>
                <w:szCs w:val="20"/>
              </w:rPr>
            </w:pPr>
            <w:r w:rsidRPr="004D4C05">
              <w:rPr>
                <w:rFonts w:ascii="Arial" w:hAnsi="Arial" w:cs="Arial"/>
                <w:sz w:val="18"/>
                <w:szCs w:val="20"/>
              </w:rPr>
              <w:t>32. Number of convictions and amount of fines for violation of anti-corruption and anti-bribery laws</w:t>
            </w:r>
          </w:p>
        </w:tc>
      </w:tr>
    </w:tbl>
    <w:p w14:paraId="69D9A9C4" w14:textId="77777777" w:rsidR="008457D7" w:rsidRDefault="008457D7" w:rsidP="008457D7">
      <w:pPr>
        <w:jc w:val="both"/>
        <w:rPr>
          <w:rFonts w:cs="Arial"/>
          <w:color w:val="31849B" w:themeColor="accent5" w:themeShade="BF"/>
        </w:rPr>
      </w:pPr>
    </w:p>
    <w:p w14:paraId="54D6583E" w14:textId="4DDBC42A" w:rsidR="003E573C" w:rsidRDefault="008457D7" w:rsidP="003E573C">
      <w:pPr>
        <w:rPr>
          <w:rFonts w:cs="Arial"/>
        </w:rPr>
      </w:pPr>
      <w:r w:rsidRPr="0024134B">
        <w:rPr>
          <w:rFonts w:cs="Arial"/>
          <w:color w:val="31849B" w:themeColor="accent5" w:themeShade="BF"/>
        </w:rPr>
        <w:t>We would also propose that the disclosure allows a narrative disclosure to explain a firm</w:t>
      </w:r>
      <w:r>
        <w:rPr>
          <w:rFonts w:cs="Arial"/>
          <w:color w:val="31849B" w:themeColor="accent5" w:themeShade="BF"/>
        </w:rPr>
        <w:t>’</w:t>
      </w:r>
      <w:r w:rsidRPr="0024134B">
        <w:rPr>
          <w:rFonts w:cs="Arial"/>
          <w:color w:val="31849B" w:themeColor="accent5" w:themeShade="BF"/>
        </w:rPr>
        <w:t>s view on such issues where data is insufficient or not available</w:t>
      </w:r>
      <w:proofErr w:type="gramStart"/>
      <w:r w:rsidRPr="0024134B">
        <w:rPr>
          <w:rFonts w:cs="Arial"/>
          <w:color w:val="31849B" w:themeColor="accent5" w:themeShade="BF"/>
        </w:rPr>
        <w:t>.</w:t>
      </w:r>
      <w:permEnd w:id="677205538"/>
      <w:r w:rsidR="003E573C">
        <w:rPr>
          <w:rFonts w:cs="Arial"/>
        </w:rPr>
        <w:t>&lt;</w:t>
      </w:r>
      <w:proofErr w:type="gramEnd"/>
      <w:r w:rsidR="003E573C">
        <w:rPr>
          <w:rFonts w:cs="Arial"/>
        </w:rPr>
        <w:t>ESA_QUESTION_</w:t>
      </w:r>
      <w:r w:rsidR="00C86E1C">
        <w:rPr>
          <w:rFonts w:cs="Arial"/>
        </w:rPr>
        <w:t>ESG</w:t>
      </w:r>
      <w:r w:rsidR="003E573C">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67FD0C25" w14:textId="77777777" w:rsidR="008457D7" w:rsidRPr="0024134B" w:rsidRDefault="008457D7" w:rsidP="008457D7">
      <w:pPr>
        <w:jc w:val="both"/>
        <w:rPr>
          <w:rFonts w:cs="Arial"/>
          <w:bCs/>
          <w:color w:val="31849B" w:themeColor="accent5" w:themeShade="BF"/>
          <w:szCs w:val="20"/>
        </w:rPr>
      </w:pPr>
      <w:permStart w:id="1220688604" w:edGrp="everyone"/>
      <w:r w:rsidRPr="0024134B">
        <w:rPr>
          <w:rFonts w:cs="Arial"/>
          <w:bCs/>
          <w:color w:val="31849B" w:themeColor="accent5" w:themeShade="BF"/>
          <w:szCs w:val="20"/>
        </w:rPr>
        <w:t>Please see response to Question 3.</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AC0268A" w14:textId="77777777" w:rsidR="008457D7" w:rsidRDefault="008457D7" w:rsidP="008457D7">
      <w:pPr>
        <w:jc w:val="both"/>
        <w:rPr>
          <w:rFonts w:cs="Arial"/>
          <w:color w:val="31849B" w:themeColor="accent5" w:themeShade="BF"/>
          <w:szCs w:val="20"/>
        </w:rPr>
      </w:pPr>
      <w:permStart w:id="209390932" w:edGrp="everyone"/>
      <w:r w:rsidRPr="0024134B">
        <w:rPr>
          <w:rFonts w:cs="Arial"/>
          <w:color w:val="31849B" w:themeColor="accent5" w:themeShade="BF"/>
          <w:szCs w:val="20"/>
        </w:rPr>
        <w:t xml:space="preserve">Forward-looking science based indicators, or targets, are emerging as a part of asset managers’ views of the long term risks and value at risk for portfolios.  We would support the mandatory disclosure of such information along with a caveat statement that the models used are imperfect and such be viewed in such a context however this information would not sit comfortably as an “Adverse Impact” as it </w:t>
      </w:r>
      <w:r>
        <w:rPr>
          <w:rFonts w:cs="Arial"/>
          <w:color w:val="31849B" w:themeColor="accent5" w:themeShade="BF"/>
          <w:szCs w:val="20"/>
        </w:rPr>
        <w:t xml:space="preserve">is </w:t>
      </w:r>
      <w:r w:rsidRPr="0024134B">
        <w:rPr>
          <w:rFonts w:cs="Arial"/>
          <w:color w:val="31849B" w:themeColor="accent5" w:themeShade="BF"/>
          <w:szCs w:val="20"/>
        </w:rPr>
        <w:t xml:space="preserve">future looking and all other disclosure metrics are backward looking. </w:t>
      </w:r>
    </w:p>
    <w:p w14:paraId="489368EE" w14:textId="77777777" w:rsidR="008457D7" w:rsidRPr="00A60CD6" w:rsidRDefault="008457D7" w:rsidP="008457D7">
      <w:pPr>
        <w:pStyle w:val="CommentText"/>
        <w:rPr>
          <w:rFonts w:cs="Arial"/>
          <w:lang w:val="en-AU"/>
        </w:rPr>
      </w:pPr>
      <w:r>
        <w:rPr>
          <w:rFonts w:cs="Arial"/>
          <w:color w:val="31849B" w:themeColor="accent5" w:themeShade="BF"/>
        </w:rPr>
        <w:br/>
        <w:t>We would suggest adding</w:t>
      </w:r>
      <w:r w:rsidRPr="00A60CD6">
        <w:rPr>
          <w:rFonts w:cs="Arial"/>
          <w:color w:val="31849B" w:themeColor="accent5" w:themeShade="BF"/>
        </w:rPr>
        <w:t xml:space="preserve">: </w:t>
      </w:r>
      <w:r w:rsidRPr="00A60CD6">
        <w:rPr>
          <w:rFonts w:cs="Arial"/>
          <w:lang w:val="en-AU"/>
        </w:rPr>
        <w:t xml:space="preserve">forward looking narrative would be really useful – companies that have committed to net zero, narrative around 2 degree scenario </w:t>
      </w:r>
      <w:r>
        <w:rPr>
          <w:rFonts w:cs="Arial"/>
          <w:lang w:val="en-AU"/>
        </w:rPr>
        <w:t>and a</w:t>
      </w:r>
      <w:r w:rsidRPr="00A60CD6">
        <w:rPr>
          <w:rFonts w:cs="Arial"/>
          <w:lang w:val="en-AU"/>
        </w:rPr>
        <w:t xml:space="preserve"> company’s narrative around emission reduction and </w:t>
      </w:r>
      <w:r w:rsidRPr="00A60CD6">
        <w:rPr>
          <w:rFonts w:cs="Arial"/>
        </w:rPr>
        <w:t>exposure to climate change/emissions reduction solutions.</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29E77975" w14:textId="611DCF0E" w:rsidR="003E573C" w:rsidRDefault="008457D7" w:rsidP="003E573C">
      <w:pPr>
        <w:rPr>
          <w:rFonts w:cs="Arial"/>
        </w:rPr>
      </w:pPr>
      <w:permStart w:id="418122716" w:edGrp="everyone"/>
      <w:r w:rsidRPr="0024134B">
        <w:rPr>
          <w:rFonts w:cs="Arial"/>
          <w:color w:val="31849B" w:themeColor="accent5" w:themeShade="BF"/>
          <w:szCs w:val="20"/>
        </w:rPr>
        <w:t xml:space="preserve">Whilst this might be helpful in theory, existing methodologies for such calculations would be too underdeveloped to form mandatory disclosures at this stage. </w:t>
      </w:r>
      <w:permEnd w:id="418122716"/>
      <w:r w:rsidR="003E573C">
        <w:rPr>
          <w:rFonts w:cs="Arial"/>
        </w:rPr>
        <w:t>&lt;ESA_QUESTION_</w:t>
      </w:r>
      <w:r w:rsidR="00C86E1C">
        <w:rPr>
          <w:rFonts w:cs="Arial"/>
        </w:rPr>
        <w:t>ESG</w:t>
      </w:r>
      <w:r w:rsidR="003E573C">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F3C2F1B" w14:textId="77777777" w:rsidR="008457D7" w:rsidRPr="0024134B" w:rsidRDefault="008457D7" w:rsidP="008457D7">
      <w:pPr>
        <w:jc w:val="both"/>
        <w:rPr>
          <w:rFonts w:cs="Arial"/>
          <w:color w:val="31849B" w:themeColor="accent5" w:themeShade="BF"/>
          <w:szCs w:val="20"/>
        </w:rPr>
      </w:pPr>
      <w:permStart w:id="569465455" w:edGrp="everyone"/>
      <w:r w:rsidRPr="0024134B">
        <w:rPr>
          <w:rFonts w:cs="Arial"/>
          <w:color w:val="31849B" w:themeColor="accent5" w:themeShade="BF"/>
          <w:szCs w:val="20"/>
        </w:rPr>
        <w:t xml:space="preserve">Some investors may be interested in such a measure, but its overly simple nature runs the risk of misrepresenting the ways in which asset managers are contributing to sustainability. </w:t>
      </w:r>
    </w:p>
    <w:p w14:paraId="42E82408" w14:textId="77777777" w:rsidR="008457D7" w:rsidRPr="0024134B" w:rsidRDefault="008457D7" w:rsidP="008457D7">
      <w:pPr>
        <w:jc w:val="both"/>
        <w:rPr>
          <w:rFonts w:cs="Arial"/>
          <w:color w:val="31849B" w:themeColor="accent5" w:themeShade="BF"/>
          <w:szCs w:val="20"/>
        </w:rPr>
      </w:pPr>
      <w:r w:rsidRPr="0024134B">
        <w:rPr>
          <w:rFonts w:cs="Arial"/>
          <w:color w:val="31849B" w:themeColor="accent5" w:themeShade="BF"/>
          <w:szCs w:val="20"/>
        </w:rPr>
        <w:t xml:space="preserve">For example, a portfolio may have a large share of its investments in companies that are in transition to a low carbon, Paris aligned business model.  A simple representation of this would miss the transition story without the opportunity to provide an explanatory narrative. </w:t>
      </w:r>
    </w:p>
    <w:p w14:paraId="2267AC0F" w14:textId="4BAA93A5" w:rsidR="003E573C" w:rsidRDefault="008457D7" w:rsidP="003E573C">
      <w:pPr>
        <w:rPr>
          <w:rFonts w:cs="Arial"/>
        </w:rPr>
      </w:pPr>
      <w:r w:rsidRPr="0024134B">
        <w:rPr>
          <w:rFonts w:cs="Arial"/>
          <w:color w:val="31849B" w:themeColor="accent5" w:themeShade="BF"/>
          <w:szCs w:val="20"/>
        </w:rPr>
        <w:t xml:space="preserve">We are seriously concerned that the inclusion of further granularity in the proposed disclosures runs the risk of overloading investors with information and disengaging them. </w:t>
      </w:r>
      <w:permEnd w:id="569465455"/>
      <w:r w:rsidR="003E573C">
        <w:rPr>
          <w:rFonts w:cs="Arial"/>
        </w:rPr>
        <w:t>&lt;ESA_QUESTION_</w:t>
      </w:r>
      <w:r w:rsidR="00C86E1C">
        <w:rPr>
          <w:rFonts w:cs="Arial"/>
        </w:rPr>
        <w:t>ESG</w:t>
      </w:r>
      <w:r w:rsidR="003E573C">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10E0D347" w14:textId="77777777" w:rsidR="008457D7" w:rsidRPr="0024134B" w:rsidRDefault="008457D7" w:rsidP="008457D7">
      <w:pPr>
        <w:jc w:val="both"/>
        <w:rPr>
          <w:rFonts w:cs="Arial"/>
          <w:b/>
          <w:bCs/>
          <w:color w:val="31849B" w:themeColor="accent5" w:themeShade="BF"/>
        </w:rPr>
      </w:pPr>
      <w:permStart w:id="1713528049" w:edGrp="everyone"/>
      <w:r w:rsidRPr="0024134B">
        <w:rPr>
          <w:rFonts w:cs="Arial"/>
          <w:color w:val="31849B" w:themeColor="accent5" w:themeShade="BF"/>
        </w:rPr>
        <w:t xml:space="preserve">Advanced indicators to help assess whether a company is on a path to a Paris aligned low carbon transition would be helpful, but it is unclear exactly what these are. It will be important that methodologies to develop </w:t>
      </w:r>
      <w:r>
        <w:rPr>
          <w:rFonts w:cs="Arial"/>
          <w:color w:val="31849B" w:themeColor="accent5" w:themeShade="BF"/>
        </w:rPr>
        <w:t xml:space="preserve">as </w:t>
      </w:r>
      <w:r w:rsidRPr="0024134B">
        <w:rPr>
          <w:rFonts w:cs="Arial"/>
          <w:color w:val="31849B" w:themeColor="accent5" w:themeShade="BF"/>
        </w:rPr>
        <w:t xml:space="preserve">such advanced indicators are given time to develop and gain market acceptance before any mandatory application. </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157A4FB4" w14:textId="77777777" w:rsidR="008457D7" w:rsidRPr="0024134B" w:rsidRDefault="008457D7" w:rsidP="008457D7">
      <w:pPr>
        <w:jc w:val="both"/>
        <w:rPr>
          <w:rFonts w:cs="Arial"/>
          <w:bCs/>
          <w:color w:val="31849B" w:themeColor="accent5" w:themeShade="BF"/>
          <w:szCs w:val="20"/>
        </w:rPr>
      </w:pPr>
      <w:permStart w:id="221670941" w:edGrp="everyone"/>
      <w:r w:rsidRPr="0024134B">
        <w:rPr>
          <w:rFonts w:cs="Arial"/>
          <w:bCs/>
          <w:color w:val="31849B" w:themeColor="accent5" w:themeShade="BF"/>
          <w:szCs w:val="20"/>
        </w:rPr>
        <w:t>FSI support this goal.</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0D123A9D" w14:textId="77777777" w:rsidR="008457D7" w:rsidRPr="0024134B" w:rsidRDefault="008457D7" w:rsidP="008457D7">
      <w:pPr>
        <w:jc w:val="both"/>
        <w:rPr>
          <w:rFonts w:cs="Arial"/>
          <w:bCs/>
          <w:color w:val="31849B" w:themeColor="accent5" w:themeShade="BF"/>
          <w:szCs w:val="20"/>
        </w:rPr>
      </w:pPr>
      <w:permStart w:id="610013876" w:edGrp="everyone"/>
      <w:r w:rsidRPr="0024134B">
        <w:rPr>
          <w:rFonts w:cs="Arial"/>
          <w:bCs/>
          <w:color w:val="31849B" w:themeColor="accent5" w:themeShade="BF"/>
          <w:szCs w:val="20"/>
        </w:rPr>
        <w:t xml:space="preserve">We do not believe that a 10 year history is relevant from an investor’s perspective and that the generally accepted view of what constitutes a long term investment horizon is between 5 and 7 years. We would refer the ESA’s to Cambridge University’s Investment Leaders Groups publication “Taking the Long View – A </w:t>
      </w:r>
      <w:r w:rsidRPr="0024134B">
        <w:rPr>
          <w:rFonts w:cs="Arial"/>
          <w:bCs/>
          <w:color w:val="31849B" w:themeColor="accent5" w:themeShade="BF"/>
          <w:szCs w:val="20"/>
        </w:rPr>
        <w:lastRenderedPageBreak/>
        <w:t xml:space="preserve">toolkit for long term sustainable investment mandates” </w:t>
      </w:r>
      <w:r w:rsidRPr="0024134B">
        <w:rPr>
          <w:rStyle w:val="FootnoteReference"/>
          <w:rFonts w:cs="Arial"/>
          <w:bCs/>
          <w:color w:val="31849B" w:themeColor="accent5" w:themeShade="BF"/>
          <w:szCs w:val="20"/>
        </w:rPr>
        <w:footnoteReference w:id="3"/>
      </w:r>
      <w:r w:rsidRPr="0024134B">
        <w:rPr>
          <w:rFonts w:cs="Arial"/>
          <w:bCs/>
          <w:color w:val="31849B" w:themeColor="accent5" w:themeShade="BF"/>
          <w:szCs w:val="20"/>
        </w:rPr>
        <w:t xml:space="preserve"> which was co-authored by FSI and found that as part of this research, that 5 years was generally held as a widely accepted long term view.</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6722DD12" w14:textId="77777777" w:rsidR="008457D7" w:rsidRPr="0024134B" w:rsidRDefault="008457D7" w:rsidP="008457D7">
      <w:pPr>
        <w:jc w:val="both"/>
        <w:rPr>
          <w:rFonts w:cs="Arial"/>
          <w:color w:val="31849B" w:themeColor="accent5" w:themeShade="BF"/>
          <w:szCs w:val="20"/>
        </w:rPr>
      </w:pPr>
      <w:permStart w:id="790175202" w:edGrp="everyone"/>
      <w:r w:rsidRPr="0024134B">
        <w:rPr>
          <w:rFonts w:cs="Arial"/>
          <w:color w:val="31849B" w:themeColor="accent5" w:themeShade="BF"/>
          <w:szCs w:val="20"/>
        </w:rPr>
        <w:t>We would not encourage methods targeted at discouraging</w:t>
      </w:r>
      <w:r w:rsidRPr="0024134B">
        <w:rPr>
          <w:rFonts w:cs="Arial"/>
          <w:b/>
          <w:bCs/>
          <w:color w:val="31849B" w:themeColor="accent5" w:themeShade="BF"/>
          <w:szCs w:val="20"/>
        </w:rPr>
        <w:t xml:space="preserve"> “</w:t>
      </w:r>
      <w:r w:rsidRPr="0024134B">
        <w:rPr>
          <w:rFonts w:cs="Arial"/>
          <w:color w:val="31849B" w:themeColor="accent5" w:themeShade="BF"/>
          <w:szCs w:val="20"/>
        </w:rPr>
        <w:t>window dressing”. Investment managers have duties to act in the best interests of their clients. It would a serious breach of investment objectives and limits to buy and sell investments to manipulate how sustainable a portfolio looks at a particular point in time.  This is at odds with fiduciaries stewardship obligations and creates a conflict of interest by putting the reputation of the firm ahead of the interests of the client.</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67C4E3C8" w14:textId="77777777" w:rsidR="008457D7" w:rsidRPr="0024134B" w:rsidRDefault="008457D7" w:rsidP="008457D7">
      <w:pPr>
        <w:jc w:val="both"/>
        <w:rPr>
          <w:rFonts w:cs="Arial"/>
          <w:color w:val="31849B" w:themeColor="accent5" w:themeShade="BF"/>
          <w:szCs w:val="20"/>
        </w:rPr>
      </w:pPr>
      <w:permStart w:id="800330460" w:edGrp="everyone"/>
      <w:r w:rsidRPr="0024134B">
        <w:rPr>
          <w:rFonts w:cs="Arial"/>
          <w:color w:val="31849B" w:themeColor="accent5" w:themeShade="BF"/>
          <w:szCs w:val="20"/>
        </w:rPr>
        <w:t xml:space="preserve">We </w:t>
      </w:r>
      <w:r>
        <w:rPr>
          <w:rFonts w:cs="Arial"/>
          <w:color w:val="31849B" w:themeColor="accent5" w:themeShade="BF"/>
          <w:szCs w:val="20"/>
        </w:rPr>
        <w:t xml:space="preserve">agree with the approach and </w:t>
      </w:r>
      <w:r w:rsidRPr="0024134B">
        <w:rPr>
          <w:rFonts w:cs="Arial"/>
          <w:color w:val="31849B" w:themeColor="accent5" w:themeShade="BF"/>
          <w:szCs w:val="20"/>
        </w:rPr>
        <w:t xml:space="preserve">are supportive of efforts to improve the comparability of products through more consistent disclosures where they are </w:t>
      </w:r>
      <w:r w:rsidRPr="0024134B">
        <w:rPr>
          <w:rFonts w:cs="Arial"/>
          <w:color w:val="31849B" w:themeColor="accent5" w:themeShade="BF"/>
          <w:szCs w:val="20"/>
          <w:u w:val="single"/>
        </w:rPr>
        <w:t>meaningful</w:t>
      </w:r>
      <w:r w:rsidRPr="0024134B">
        <w:rPr>
          <w:rFonts w:cs="Arial"/>
          <w:color w:val="31849B" w:themeColor="accent5" w:themeShade="BF"/>
          <w:szCs w:val="20"/>
        </w:rPr>
        <w:t xml:space="preserve"> and add value to clients and their advisers in choosing between different financial products.  </w:t>
      </w:r>
    </w:p>
    <w:p w14:paraId="07636C31" w14:textId="77777777" w:rsidR="008457D7" w:rsidRPr="0024134B" w:rsidRDefault="008457D7" w:rsidP="008457D7">
      <w:pPr>
        <w:jc w:val="both"/>
        <w:rPr>
          <w:rFonts w:cs="Arial"/>
          <w:color w:val="31849B" w:themeColor="accent5" w:themeShade="BF"/>
          <w:szCs w:val="20"/>
        </w:rPr>
      </w:pPr>
      <w:r w:rsidRPr="0024134B">
        <w:rPr>
          <w:rFonts w:cs="Arial"/>
          <w:color w:val="31849B" w:themeColor="accent5" w:themeShade="BF"/>
          <w:szCs w:val="20"/>
        </w:rPr>
        <w:t xml:space="preserve">Although templates are helpful, by their nature they may hamper the necessary flexibility to make disclosures that are relevant to the full range of responsible and sustainable investment products that are on offer. This has practical implications for “Umbrella Prospectuses” where are number of funds sit within a single </w:t>
      </w:r>
      <w:proofErr w:type="gramStart"/>
      <w:r w:rsidRPr="0024134B">
        <w:rPr>
          <w:rFonts w:cs="Arial"/>
          <w:color w:val="31849B" w:themeColor="accent5" w:themeShade="BF"/>
          <w:szCs w:val="20"/>
        </w:rPr>
        <w:t>prospectus .</w:t>
      </w:r>
      <w:proofErr w:type="gramEnd"/>
      <w:r w:rsidRPr="0024134B">
        <w:rPr>
          <w:rFonts w:cs="Arial"/>
          <w:color w:val="31849B" w:themeColor="accent5" w:themeShade="BF"/>
          <w:szCs w:val="20"/>
        </w:rPr>
        <w:t xml:space="preserve">  Different investors will have a wide range of sustainability preferences, and any mandatory templates need to help these investors choose the right products for their particular needs and goals. </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03215AED" w14:textId="77777777" w:rsidR="008457D7" w:rsidRDefault="008457D7" w:rsidP="008457D7">
      <w:pPr>
        <w:jc w:val="both"/>
        <w:rPr>
          <w:rFonts w:cs="Arial"/>
          <w:color w:val="31849B" w:themeColor="accent5" w:themeShade="BF"/>
          <w:szCs w:val="20"/>
        </w:rPr>
      </w:pPr>
      <w:permStart w:id="1179406826" w:edGrp="everyone"/>
      <w:r w:rsidRPr="000206C8">
        <w:rPr>
          <w:rFonts w:cs="Arial"/>
          <w:color w:val="31849B" w:themeColor="accent5" w:themeShade="BF"/>
          <w:szCs w:val="20"/>
        </w:rPr>
        <w:t>We</w:t>
      </w:r>
      <w:r>
        <w:rPr>
          <w:rFonts w:cs="Arial"/>
          <w:color w:val="31849B" w:themeColor="accent5" w:themeShade="BF"/>
          <w:szCs w:val="20"/>
        </w:rPr>
        <w:t xml:space="preserve"> support the UK Investment Association’s feedback on this point (set-out below for convenience).</w:t>
      </w:r>
    </w:p>
    <w:p w14:paraId="31A9E5E7" w14:textId="77777777" w:rsidR="008457D7" w:rsidRPr="00937574" w:rsidRDefault="008457D7" w:rsidP="008457D7">
      <w:pPr>
        <w:pStyle w:val="CommentText"/>
        <w:rPr>
          <w:rFonts w:cs="Arial"/>
        </w:rPr>
      </w:pPr>
      <w:r>
        <w:rPr>
          <w:rFonts w:cs="Arial"/>
          <w:color w:val="31849B" w:themeColor="accent5" w:themeShade="BF"/>
        </w:rPr>
        <w:t xml:space="preserve">The requirement to only refer to “binding” elements of the investment process is problematical – managers can always be expected to exercise discretion. So a process is binding, but the choices within it are discretionary. It is then difficult to see what aspects to the process can’t be referred to.  We would like to ability to </w:t>
      </w:r>
      <w:r w:rsidRPr="00937574">
        <w:rPr>
          <w:rFonts w:cs="Arial"/>
        </w:rPr>
        <w:t xml:space="preserve">able to disclose non-binding strategies as long as </w:t>
      </w:r>
      <w:r>
        <w:rPr>
          <w:rFonts w:cs="Arial"/>
        </w:rPr>
        <w:t>it is clearly stated that they are</w:t>
      </w:r>
      <w:r w:rsidRPr="00937574">
        <w:rPr>
          <w:rFonts w:cs="Arial"/>
        </w:rPr>
        <w:t xml:space="preserve"> </w:t>
      </w:r>
      <w:proofErr w:type="spellStart"/>
      <w:r w:rsidRPr="00937574">
        <w:rPr>
          <w:rFonts w:cs="Arial"/>
        </w:rPr>
        <w:t>non binding</w:t>
      </w:r>
      <w:proofErr w:type="spellEnd"/>
    </w:p>
    <w:p w14:paraId="5DE5A469" w14:textId="77777777" w:rsidR="008457D7" w:rsidRDefault="008457D7" w:rsidP="008457D7">
      <w:pPr>
        <w:jc w:val="both"/>
        <w:rPr>
          <w:rFonts w:cs="Arial"/>
          <w:color w:val="31849B" w:themeColor="accent5" w:themeShade="BF"/>
          <w:szCs w:val="20"/>
        </w:rPr>
      </w:pPr>
    </w:p>
    <w:p w14:paraId="4DE14AA7" w14:textId="77777777" w:rsidR="008457D7" w:rsidRDefault="008457D7" w:rsidP="008457D7">
      <w:pPr>
        <w:jc w:val="both"/>
        <w:rPr>
          <w:rFonts w:cs="Arial"/>
          <w:color w:val="31849B" w:themeColor="accent5" w:themeShade="BF"/>
          <w:szCs w:val="20"/>
        </w:rPr>
      </w:pPr>
      <w:r>
        <w:rPr>
          <w:rFonts w:cs="Arial"/>
          <w:color w:val="31849B" w:themeColor="accent5" w:themeShade="BF"/>
          <w:szCs w:val="20"/>
        </w:rPr>
        <w:t xml:space="preserve">The Article 8 statement: “This product does not have as its objective sustainable investment” is also problematic. It won’t be understood by the retail market. An A8 fund which pursues environmental characteristics and reports on them would be understood by the retail market in general terms as a sustainable fund. A different formulation of this sentence should be made to state something to the effect that “This product does not have as its objective an environmental or social impact”. </w:t>
      </w:r>
    </w:p>
    <w:p w14:paraId="56F9C1D5" w14:textId="77777777" w:rsidR="008457D7" w:rsidRDefault="008457D7" w:rsidP="008457D7">
      <w:pPr>
        <w:jc w:val="both"/>
        <w:rPr>
          <w:rFonts w:cs="Arial"/>
          <w:color w:val="31849B" w:themeColor="accent5" w:themeShade="BF"/>
          <w:szCs w:val="20"/>
        </w:rPr>
      </w:pPr>
      <w:r>
        <w:rPr>
          <w:rFonts w:cs="Arial"/>
          <w:color w:val="31849B" w:themeColor="accent5" w:themeShade="BF"/>
          <w:szCs w:val="20"/>
        </w:rPr>
        <w:t>Also, the references to “”sustainable investment objectives” in Article 16(2) in relation to Article 8 funds seems incorrect – these funds don’t have this objective (just ES characteristic being promoted).</w:t>
      </w:r>
    </w:p>
    <w:p w14:paraId="468DE810" w14:textId="77777777" w:rsidR="008457D7" w:rsidRPr="00937574" w:rsidRDefault="008457D7" w:rsidP="008457D7">
      <w:pPr>
        <w:jc w:val="both"/>
        <w:rPr>
          <w:rFonts w:cs="Arial"/>
        </w:rPr>
      </w:pPr>
      <w:r w:rsidRPr="00937574">
        <w:rPr>
          <w:rFonts w:cs="Arial"/>
        </w:rPr>
        <w:t xml:space="preserve"> </w:t>
      </w:r>
      <w:r w:rsidRPr="00937574">
        <w:rPr>
          <w:rFonts w:cs="Arial"/>
        </w:rPr>
        <w:t xml:space="preserve">Any mandatory pre-contractual or periodic disclosures should focus on facilitating disclosures in line with the </w:t>
      </w:r>
      <w:r>
        <w:rPr>
          <w:rFonts w:cs="Arial"/>
        </w:rPr>
        <w:t>below</w:t>
      </w:r>
      <w:r w:rsidRPr="00937574">
        <w:rPr>
          <w:rFonts w:cs="Arial"/>
        </w:rPr>
        <w:t xml:space="preserve">. </w:t>
      </w:r>
    </w:p>
    <w:p w14:paraId="4D0C85ED" w14:textId="77777777" w:rsidR="008457D7" w:rsidRPr="00937574" w:rsidRDefault="008457D7" w:rsidP="00725ECA">
      <w:pPr>
        <w:pStyle w:val="ListParagraph"/>
        <w:numPr>
          <w:ilvl w:val="0"/>
          <w:numId w:val="41"/>
        </w:numPr>
        <w:spacing w:after="160" w:line="259" w:lineRule="auto"/>
        <w:jc w:val="both"/>
        <w:rPr>
          <w:rFonts w:cs="Arial"/>
        </w:rPr>
      </w:pPr>
      <w:r w:rsidRPr="00937574">
        <w:rPr>
          <w:rFonts w:cs="Arial"/>
        </w:rPr>
        <w:lastRenderedPageBreak/>
        <w:t xml:space="preserve">In what way a product has environmental or social characteristics and/or pursues sustainability objectives to generate positive impact alongside financial return. </w:t>
      </w:r>
    </w:p>
    <w:p w14:paraId="747AC650" w14:textId="77777777" w:rsidR="008457D7" w:rsidRPr="00937574" w:rsidRDefault="008457D7" w:rsidP="00725ECA">
      <w:pPr>
        <w:pStyle w:val="ListParagraph"/>
        <w:numPr>
          <w:ilvl w:val="0"/>
          <w:numId w:val="41"/>
        </w:numPr>
        <w:spacing w:after="160" w:line="259" w:lineRule="auto"/>
        <w:jc w:val="both"/>
        <w:rPr>
          <w:rFonts w:cs="Arial"/>
        </w:rPr>
      </w:pPr>
      <w:r w:rsidRPr="00937574">
        <w:rPr>
          <w:rFonts w:cs="Arial"/>
        </w:rPr>
        <w:t xml:space="preserve">How this is reflected in investment objective, if at all </w:t>
      </w:r>
    </w:p>
    <w:p w14:paraId="2516D683" w14:textId="77777777" w:rsidR="008457D7" w:rsidRPr="00937574" w:rsidRDefault="008457D7" w:rsidP="00725ECA">
      <w:pPr>
        <w:pStyle w:val="ListParagraph"/>
        <w:numPr>
          <w:ilvl w:val="0"/>
          <w:numId w:val="41"/>
        </w:numPr>
        <w:spacing w:after="160" w:line="259" w:lineRule="auto"/>
        <w:jc w:val="both"/>
        <w:rPr>
          <w:rFonts w:cs="Arial"/>
        </w:rPr>
      </w:pPr>
      <w:r w:rsidRPr="00937574">
        <w:rPr>
          <w:rFonts w:cs="Arial"/>
        </w:rPr>
        <w:t xml:space="preserve">How the investment strategy intends to achieve the objective </w:t>
      </w:r>
    </w:p>
    <w:p w14:paraId="78302558" w14:textId="77777777" w:rsidR="008457D7" w:rsidRPr="00937574" w:rsidRDefault="008457D7" w:rsidP="00725ECA">
      <w:pPr>
        <w:pStyle w:val="ListParagraph"/>
        <w:numPr>
          <w:ilvl w:val="0"/>
          <w:numId w:val="41"/>
        </w:numPr>
        <w:spacing w:after="160" w:line="259" w:lineRule="auto"/>
        <w:jc w:val="both"/>
        <w:rPr>
          <w:rFonts w:cs="Arial"/>
        </w:rPr>
      </w:pPr>
      <w:r w:rsidRPr="00937574">
        <w:rPr>
          <w:rFonts w:cs="Arial"/>
        </w:rPr>
        <w:t xml:space="preserve">A description of the investment process, including an explanation of how manager discretion is applied, i.e. whether sustainable investment constraints on the fund are binding or otherwise </w:t>
      </w:r>
    </w:p>
    <w:p w14:paraId="6A15A54A" w14:textId="77777777" w:rsidR="008457D7" w:rsidRPr="00937574" w:rsidRDefault="008457D7" w:rsidP="00725ECA">
      <w:pPr>
        <w:pStyle w:val="ListParagraph"/>
        <w:numPr>
          <w:ilvl w:val="0"/>
          <w:numId w:val="41"/>
        </w:numPr>
        <w:spacing w:after="160" w:line="259" w:lineRule="auto"/>
        <w:jc w:val="both"/>
        <w:rPr>
          <w:rFonts w:cs="Arial"/>
          <w:b/>
          <w:bCs/>
        </w:rPr>
      </w:pPr>
      <w:r w:rsidRPr="00937574">
        <w:rPr>
          <w:rFonts w:cs="Arial"/>
        </w:rPr>
        <w:t xml:space="preserve">Any third-party framework(s) that have been used if they have genuinely been used to achieve the objective and are part of the process, and where a product has been designed on an ex-ante basis specifically with the framework in mind and dictating the universe of investments. </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7B9D065" w14:textId="77777777" w:rsidR="008457D7" w:rsidRPr="00937574" w:rsidRDefault="008457D7" w:rsidP="008457D7">
      <w:pPr>
        <w:jc w:val="both"/>
        <w:rPr>
          <w:rFonts w:cs="Arial"/>
          <w:szCs w:val="20"/>
        </w:rPr>
      </w:pPr>
      <w:permStart w:id="1646396141" w:edGrp="everyone"/>
      <w:r w:rsidRPr="00937574">
        <w:rPr>
          <w:rFonts w:cs="Arial"/>
          <w:szCs w:val="20"/>
        </w:rPr>
        <w:t>We support the UK’s Investment Association response on this question set out below:</w:t>
      </w:r>
    </w:p>
    <w:p w14:paraId="3E7C7D52" w14:textId="77777777" w:rsidR="008457D7" w:rsidRPr="00937574" w:rsidRDefault="008457D7" w:rsidP="008457D7">
      <w:pPr>
        <w:jc w:val="both"/>
        <w:rPr>
          <w:rFonts w:cs="Arial"/>
        </w:rPr>
      </w:pPr>
      <w:r w:rsidRPr="00937574">
        <w:rPr>
          <w:rFonts w:cs="Arial"/>
        </w:rPr>
        <w:t xml:space="preserve">We understand that the templates are intended to be inserted into existing documentation but to sit separately from existing disclosures.  As per our response to Question 13, we would prefer sustainability information to be integrated into existing disclosures, including in the investment objective and investment policy. </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2AE3451B" w14:textId="77777777" w:rsidR="00725ECA" w:rsidRPr="0024134B" w:rsidRDefault="00725ECA" w:rsidP="00725ECA">
      <w:pPr>
        <w:jc w:val="both"/>
        <w:rPr>
          <w:rFonts w:cs="Arial"/>
          <w:color w:val="31849B" w:themeColor="accent5" w:themeShade="BF"/>
        </w:rPr>
      </w:pPr>
      <w:permStart w:id="1271138379" w:edGrp="everyone"/>
      <w:r w:rsidRPr="0024134B">
        <w:rPr>
          <w:rFonts w:cs="Arial"/>
          <w:color w:val="31849B" w:themeColor="accent5" w:themeShade="BF"/>
        </w:rPr>
        <w:t>Pre-contractual disclosures should be kept clear and meaningful. They should refer to what is binding for that particular fund. They should include only the information that is most relevant to investors to enable informed decision making.</w:t>
      </w:r>
    </w:p>
    <w:p w14:paraId="6BDEF599" w14:textId="77777777" w:rsidR="00725ECA" w:rsidRDefault="00725ECA" w:rsidP="00725ECA">
      <w:pPr>
        <w:jc w:val="both"/>
        <w:rPr>
          <w:rFonts w:cs="Arial"/>
          <w:color w:val="31849B" w:themeColor="accent5" w:themeShade="BF"/>
        </w:rPr>
      </w:pPr>
      <w:r w:rsidRPr="0024134B">
        <w:rPr>
          <w:rFonts w:cs="Arial"/>
          <w:color w:val="31849B" w:themeColor="accent5" w:themeShade="BF"/>
        </w:rPr>
        <w:t xml:space="preserve">We support the approach whereby extensive disclosures at product-level are on the firm’s website, provided that other documents refer to the link where such information can be found including sustainability related policies. </w:t>
      </w:r>
    </w:p>
    <w:p w14:paraId="6380D1C9" w14:textId="77777777" w:rsidR="00725ECA" w:rsidRPr="003321C0" w:rsidRDefault="00725ECA" w:rsidP="00725ECA">
      <w:pPr>
        <w:jc w:val="both"/>
        <w:rPr>
          <w:rFonts w:cs="Arial"/>
        </w:rPr>
      </w:pPr>
      <w:r>
        <w:rPr>
          <w:rFonts w:cs="Arial"/>
          <w:color w:val="31849B" w:themeColor="accent5" w:themeShade="BF"/>
        </w:rPr>
        <w:t>We would suggest removal of the graph and narrative from the pre-contractual disclosures – these are better kept on a website.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6A0161A7" w14:textId="77777777" w:rsidR="00725ECA" w:rsidRPr="0024134B" w:rsidRDefault="00725ECA" w:rsidP="00725ECA">
      <w:pPr>
        <w:jc w:val="both"/>
        <w:rPr>
          <w:rFonts w:cs="Arial"/>
          <w:color w:val="31849B" w:themeColor="accent5" w:themeShade="BF"/>
        </w:rPr>
      </w:pPr>
      <w:permStart w:id="739535953" w:edGrp="everyone"/>
      <w:r w:rsidRPr="0024134B">
        <w:rPr>
          <w:rFonts w:cs="Arial"/>
          <w:color w:val="31849B" w:themeColor="accent5" w:themeShade="BF"/>
        </w:rPr>
        <w:t xml:space="preserve">The distinctions between Articles 8 and 9 is unclear and not helped by poor drafting in the consultation paper which mixes terms between Article 8 and Article 9 products.  </w:t>
      </w:r>
    </w:p>
    <w:p w14:paraId="520C2513" w14:textId="77777777" w:rsidR="00725ECA" w:rsidRDefault="00725ECA" w:rsidP="00725ECA">
      <w:pPr>
        <w:jc w:val="both"/>
        <w:rPr>
          <w:rFonts w:cs="Arial"/>
          <w:color w:val="31849B" w:themeColor="accent5" w:themeShade="BF"/>
        </w:rPr>
      </w:pPr>
      <w:r>
        <w:rPr>
          <w:rFonts w:cs="Arial"/>
          <w:color w:val="31849B" w:themeColor="accent5" w:themeShade="BF"/>
        </w:rPr>
        <w:t>The concept of an environmental or social characteristic promoted by an A8 product / strategy is not clear. Does this mean the characteristics of the companies invested in (not the characteristics promoted by the fund)?</w:t>
      </w:r>
    </w:p>
    <w:p w14:paraId="36F728D6" w14:textId="77777777" w:rsidR="00725ECA" w:rsidRPr="0024134B" w:rsidRDefault="00725ECA" w:rsidP="00725ECA">
      <w:pPr>
        <w:jc w:val="both"/>
        <w:rPr>
          <w:rFonts w:cs="Arial"/>
          <w:color w:val="31849B" w:themeColor="accent5" w:themeShade="BF"/>
        </w:rPr>
      </w:pPr>
      <w:r w:rsidRPr="0024134B">
        <w:rPr>
          <w:rFonts w:cs="Arial"/>
          <w:color w:val="31849B" w:themeColor="accent5" w:themeShade="BF"/>
        </w:rPr>
        <w:t xml:space="preserve">We would propose that Article 9 funds should include products with a </w:t>
      </w:r>
      <w:r>
        <w:rPr>
          <w:rFonts w:cs="Arial"/>
          <w:color w:val="31849B" w:themeColor="accent5" w:themeShade="BF"/>
        </w:rPr>
        <w:t xml:space="preserve">demonstrable </w:t>
      </w:r>
      <w:r w:rsidRPr="0024134B">
        <w:rPr>
          <w:rFonts w:cs="Arial"/>
          <w:color w:val="31849B" w:themeColor="accent5" w:themeShade="BF"/>
        </w:rPr>
        <w:t>sustainability objective but not be limited to Impact Funds which is the current legal and industry interpretation.</w:t>
      </w:r>
    </w:p>
    <w:p w14:paraId="42E678E7" w14:textId="77777777" w:rsidR="00725ECA" w:rsidRDefault="00725ECA" w:rsidP="00725ECA">
      <w:pPr>
        <w:jc w:val="both"/>
        <w:rPr>
          <w:rFonts w:cs="Arial"/>
          <w:color w:val="31849B" w:themeColor="accent5" w:themeShade="BF"/>
        </w:rPr>
      </w:pPr>
      <w:r w:rsidRPr="0024134B">
        <w:rPr>
          <w:rFonts w:cs="Arial"/>
          <w:color w:val="31849B" w:themeColor="accent5" w:themeShade="BF"/>
        </w:rPr>
        <w:t xml:space="preserve">We also believe that Article 8 products should not qualify if they are subject to a firm wide exclusion policy (or a legal requirement in a certain jurisdiction) without any binding ESG integration exhibited in the investment process.  </w:t>
      </w:r>
    </w:p>
    <w:p w14:paraId="1EB9039F" w14:textId="77777777" w:rsidR="00725ECA" w:rsidRDefault="00725ECA" w:rsidP="00725ECA">
      <w:pPr>
        <w:jc w:val="both"/>
        <w:rPr>
          <w:rFonts w:cs="Arial"/>
          <w:color w:val="31849B" w:themeColor="accent5" w:themeShade="BF"/>
        </w:rPr>
      </w:pPr>
      <w:r>
        <w:rPr>
          <w:rFonts w:cs="Arial"/>
          <w:color w:val="31849B" w:themeColor="accent5" w:themeShade="BF"/>
        </w:rPr>
        <w:lastRenderedPageBreak/>
        <w:t>It is also not clear whether ESG integration alone is sufficient to make a fund Article 8 and we are concerned that A8 funds that are marketed with “sustainable” in the name will further confuse end investors.</w:t>
      </w:r>
    </w:p>
    <w:p w14:paraId="3ACCAC1A" w14:textId="77777777" w:rsidR="00725ECA" w:rsidRPr="0024134B" w:rsidRDefault="00725ECA" w:rsidP="00725ECA">
      <w:pPr>
        <w:jc w:val="both"/>
        <w:rPr>
          <w:rFonts w:cs="Arial"/>
          <w:color w:val="31849B" w:themeColor="accent5" w:themeShade="BF"/>
        </w:rPr>
      </w:pPr>
      <w:r w:rsidRPr="0024134B">
        <w:rPr>
          <w:rFonts w:cs="Arial"/>
          <w:color w:val="31849B" w:themeColor="accent5" w:themeShade="BF"/>
        </w:rPr>
        <w:t xml:space="preserve">We would welcome </w:t>
      </w:r>
      <w:r>
        <w:rPr>
          <w:rFonts w:cs="Arial"/>
          <w:color w:val="31849B" w:themeColor="accent5" w:themeShade="BF"/>
        </w:rPr>
        <w:t xml:space="preserve">further </w:t>
      </w:r>
      <w:r w:rsidRPr="0024134B">
        <w:rPr>
          <w:rFonts w:cs="Arial"/>
          <w:color w:val="31849B" w:themeColor="accent5" w:themeShade="BF"/>
        </w:rPr>
        <w:t xml:space="preserve">clarity on </w:t>
      </w:r>
      <w:r>
        <w:rPr>
          <w:rFonts w:cs="Arial"/>
          <w:color w:val="31849B" w:themeColor="accent5" w:themeShade="BF"/>
        </w:rPr>
        <w:t>these</w:t>
      </w:r>
      <w:r w:rsidRPr="0024134B">
        <w:rPr>
          <w:rFonts w:cs="Arial"/>
          <w:color w:val="31849B" w:themeColor="accent5" w:themeShade="BF"/>
        </w:rPr>
        <w:t xml:space="preserve"> points.</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5D67ACC3" w14:textId="77777777" w:rsidR="00725ECA" w:rsidRPr="0024134B" w:rsidRDefault="00725ECA" w:rsidP="00725ECA">
      <w:pPr>
        <w:jc w:val="both"/>
        <w:rPr>
          <w:rFonts w:cs="Arial"/>
          <w:color w:val="31849B" w:themeColor="accent5" w:themeShade="BF"/>
        </w:rPr>
      </w:pPr>
      <w:permStart w:id="225396737" w:edGrp="everyone"/>
      <w:r w:rsidRPr="0024134B">
        <w:rPr>
          <w:rFonts w:cs="Arial"/>
          <w:color w:val="31849B" w:themeColor="accent5" w:themeShade="BF"/>
        </w:rPr>
        <w:t>We have concerns that this information may not be particularly clear or meaningful for investors as they may not be well versed with the differences and descriptions between sustainable and non sustainable.</w:t>
      </w:r>
    </w:p>
    <w:p w14:paraId="6D5BB02A" w14:textId="77777777" w:rsidR="00725ECA" w:rsidRPr="0024134B" w:rsidRDefault="00725ECA" w:rsidP="00725ECA">
      <w:pPr>
        <w:jc w:val="both"/>
        <w:rPr>
          <w:rFonts w:cs="Arial"/>
          <w:color w:val="31849B" w:themeColor="accent5" w:themeShade="BF"/>
        </w:rPr>
      </w:pPr>
      <w:r w:rsidRPr="0024134B">
        <w:rPr>
          <w:rFonts w:cs="Arial"/>
          <w:color w:val="31849B" w:themeColor="accent5" w:themeShade="BF"/>
        </w:rPr>
        <w:t xml:space="preserve">Dividing an investment product into segments that are deemed sustainable, as having social or environmental characteristics, and others does not help to communicate the overall objective and strategy of the fund and where that fund is towards delivering that objective. </w:t>
      </w:r>
      <w:r>
        <w:rPr>
          <w:rFonts w:cs="Arial"/>
          <w:color w:val="31849B" w:themeColor="accent5" w:themeShade="BF"/>
        </w:rPr>
        <w:t>For most A8 funds for instance, they may simply intend to invest 100% on investments which contribute to the characteristics.</w:t>
      </w:r>
    </w:p>
    <w:p w14:paraId="78DF26C5" w14:textId="6D55FB4A" w:rsidR="003E573C" w:rsidRDefault="00725ECA" w:rsidP="003E573C">
      <w:pPr>
        <w:rPr>
          <w:rFonts w:cs="Arial"/>
        </w:rPr>
      </w:pPr>
      <w:r w:rsidRPr="0024134B">
        <w:rPr>
          <w:rFonts w:cs="Arial"/>
          <w:color w:val="31849B" w:themeColor="accent5" w:themeShade="BF"/>
        </w:rPr>
        <w:t xml:space="preserve">It will be more helpful to describe the objective and investment process of the fund as a whole as opposed to breaking it down into these categorisations. </w:t>
      </w:r>
      <w:permEnd w:id="225396737"/>
      <w:r w:rsidR="003E573C">
        <w:rPr>
          <w:rFonts w:cs="Arial"/>
        </w:rPr>
        <w:t>&lt;ESA_QUESTION_</w:t>
      </w:r>
      <w:r w:rsidR="00C86E1C">
        <w:rPr>
          <w:rFonts w:cs="Arial"/>
        </w:rPr>
        <w:t>ESG</w:t>
      </w:r>
      <w:r w:rsidR="003E573C">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31FFA9B2" w14:textId="77777777" w:rsidR="00725ECA" w:rsidRPr="0024134B" w:rsidRDefault="00725ECA" w:rsidP="00725ECA">
      <w:pPr>
        <w:jc w:val="both"/>
        <w:rPr>
          <w:rFonts w:cs="Arial"/>
          <w:color w:val="31849B" w:themeColor="accent5" w:themeShade="BF"/>
        </w:rPr>
      </w:pPr>
      <w:permStart w:id="1687822303" w:edGrp="everyone"/>
      <w:r w:rsidRPr="0024134B">
        <w:rPr>
          <w:rFonts w:cs="Arial"/>
          <w:color w:val="31849B" w:themeColor="accent5" w:themeShade="BF"/>
        </w:rPr>
        <w:t xml:space="preserve">We agree that a prescriptive approach for graphical representations in that context will be misleading to investors. </w:t>
      </w:r>
    </w:p>
    <w:p w14:paraId="381DF0E6" w14:textId="77777777" w:rsidR="00725ECA" w:rsidRPr="0024134B" w:rsidRDefault="00725ECA" w:rsidP="00725ECA">
      <w:pPr>
        <w:jc w:val="both"/>
        <w:rPr>
          <w:rFonts w:cs="Arial"/>
          <w:color w:val="31849B" w:themeColor="accent5" w:themeShade="BF"/>
          <w:sz w:val="16"/>
        </w:rPr>
      </w:pPr>
      <w:r w:rsidRPr="0024134B">
        <w:rPr>
          <w:rFonts w:cs="Arial"/>
          <w:color w:val="31849B" w:themeColor="accent5" w:themeShade="BF"/>
        </w:rPr>
        <w:t>We are therefore against the establishment of a standard graphical representation but would welcome a flexible approach in using this type of disclosure supplemented by less prescriptive narrative explanations with an emphasis on meaningfulness rather than comparability.</w:t>
      </w:r>
    </w:p>
    <w:p w14:paraId="6FAF7C39" w14:textId="77777777" w:rsidR="00725ECA" w:rsidRPr="00937574" w:rsidRDefault="00725ECA" w:rsidP="00725ECA">
      <w:pPr>
        <w:jc w:val="both"/>
        <w:rPr>
          <w:rFonts w:cs="Arial"/>
        </w:rPr>
      </w:pPr>
      <w:r w:rsidRPr="00937574">
        <w:rPr>
          <w:rFonts w:cs="Arial"/>
        </w:rPr>
        <w:t>Potentially the requirement will produce meaningless disclosures - an Article 8 fund would simply be planning to invest 100% in assets selected in accordance with the investment process which integrates ES factors. The periodic report would report that 100% of the investments have been selected in accordance with that process.</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63892BCB" w14:textId="77777777" w:rsidR="00725ECA" w:rsidRPr="0024134B" w:rsidRDefault="00725ECA" w:rsidP="00725ECA">
      <w:pPr>
        <w:jc w:val="both"/>
        <w:rPr>
          <w:rFonts w:cs="Arial"/>
          <w:color w:val="31849B" w:themeColor="accent5" w:themeShade="BF"/>
          <w:sz w:val="16"/>
        </w:rPr>
      </w:pPr>
      <w:permStart w:id="669663577" w:edGrp="everyone"/>
      <w:r w:rsidRPr="0024134B">
        <w:rPr>
          <w:rFonts w:cs="Arial"/>
          <w:color w:val="31849B" w:themeColor="accent5" w:themeShade="BF"/>
        </w:rPr>
        <w:t xml:space="preserve">We strongly favour the disclosure requirements </w:t>
      </w:r>
      <w:r>
        <w:rPr>
          <w:rFonts w:cs="Arial"/>
          <w:color w:val="31849B" w:themeColor="accent5" w:themeShade="BF"/>
        </w:rPr>
        <w:t xml:space="preserve">(with appropriate narrative) </w:t>
      </w:r>
      <w:r w:rsidRPr="0024134B">
        <w:rPr>
          <w:rFonts w:cs="Arial"/>
          <w:color w:val="31849B" w:themeColor="accent5" w:themeShade="BF"/>
        </w:rPr>
        <w:t xml:space="preserve">capture exposure to </w:t>
      </w:r>
      <w:r w:rsidRPr="0024134B">
        <w:rPr>
          <w:rFonts w:cs="Arial"/>
          <w:iCs/>
          <w:color w:val="31849B" w:themeColor="accent5" w:themeShade="BF"/>
          <w:u w:val="single"/>
        </w:rPr>
        <w:t>all</w:t>
      </w:r>
      <w:r w:rsidRPr="0024134B">
        <w:rPr>
          <w:rFonts w:cs="Arial"/>
          <w:color w:val="31849B" w:themeColor="accent5" w:themeShade="BF"/>
        </w:rPr>
        <w:t xml:space="preserve"> fossil fuel sectors (not limited to solid).</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67B8F295" w14:textId="77777777" w:rsidR="00725ECA" w:rsidRDefault="00725ECA" w:rsidP="00725ECA">
      <w:pPr>
        <w:jc w:val="both"/>
        <w:rPr>
          <w:rFonts w:cs="Arial"/>
          <w:bCs/>
          <w:color w:val="31849B" w:themeColor="accent5" w:themeShade="BF"/>
        </w:rPr>
      </w:pPr>
      <w:permStart w:id="806708611" w:edGrp="everyone"/>
      <w:r>
        <w:rPr>
          <w:rFonts w:cs="Arial"/>
          <w:bCs/>
          <w:color w:val="31849B" w:themeColor="accent5" w:themeShade="BF"/>
        </w:rPr>
        <w:t>We have confidentiality concerns regarding the required disclosures for segregated accounts – the details should not be made public since there is no purpose in anyone other than the particular client seeing the disclosures.</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3C9AC7D2" w14:textId="77777777" w:rsidR="00725ECA" w:rsidRPr="0024134B" w:rsidRDefault="00725ECA" w:rsidP="00725ECA">
      <w:pPr>
        <w:jc w:val="both"/>
        <w:rPr>
          <w:rFonts w:cs="Arial"/>
          <w:color w:val="31849B" w:themeColor="accent5" w:themeShade="BF"/>
        </w:rPr>
      </w:pPr>
      <w:permStart w:id="2245015" w:edGrp="everyone"/>
      <w:r w:rsidRPr="0024134B">
        <w:rPr>
          <w:rFonts w:cs="Arial"/>
          <w:color w:val="31849B" w:themeColor="accent5" w:themeShade="BF"/>
        </w:rPr>
        <w:t>FSI believe that an understanding of and implementation of investment approaches supporting good governance should not differ between Article 8 and Article 9 products.  The rules should be the same for both Article 8 and Article 9 products.</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6919DFC4" w14:textId="4ABAE426" w:rsidR="00725ECA" w:rsidRPr="0024134B" w:rsidRDefault="00725ECA" w:rsidP="00725ECA">
      <w:pPr>
        <w:jc w:val="both"/>
        <w:rPr>
          <w:rFonts w:cs="Arial"/>
          <w:color w:val="31849B" w:themeColor="accent5" w:themeShade="BF"/>
        </w:rPr>
      </w:pPr>
      <w:permStart w:id="1182486711" w:edGrp="everyone"/>
      <w:r w:rsidRPr="00725ECA">
        <w:rPr>
          <w:rFonts w:cs="Arial"/>
          <w:color w:val="31849B" w:themeColor="accent5" w:themeShade="BF"/>
        </w:rPr>
        <w:t xml:space="preserve"> </w:t>
      </w:r>
      <w:r w:rsidRPr="0024134B">
        <w:rPr>
          <w:rFonts w:cs="Arial"/>
          <w:color w:val="31849B" w:themeColor="accent5" w:themeShade="BF"/>
        </w:rPr>
        <w:t>We have concerns around the “do not significantly harm” principle as proposed.  It is unclear as to what additional value this requirement adds over and above the disclosure requirements in the draft RTS in relation to the binding sustainability characteristics</w:t>
      </w:r>
      <w:r>
        <w:rPr>
          <w:rFonts w:cs="Arial"/>
          <w:color w:val="31849B" w:themeColor="accent5" w:themeShade="BF"/>
        </w:rPr>
        <w:t xml:space="preserve"> and adverse impacts</w:t>
      </w:r>
      <w:r w:rsidRPr="0024134B">
        <w:rPr>
          <w:rFonts w:cs="Arial"/>
          <w:color w:val="31849B" w:themeColor="accent5" w:themeShade="BF"/>
        </w:rPr>
        <w:t xml:space="preserve">. </w:t>
      </w:r>
    </w:p>
    <w:p w14:paraId="20AA433D" w14:textId="77777777" w:rsidR="00725ECA" w:rsidRPr="0024134B" w:rsidRDefault="00725ECA" w:rsidP="00725ECA">
      <w:pPr>
        <w:rPr>
          <w:rFonts w:cs="Arial"/>
          <w:color w:val="31849B" w:themeColor="accent5" w:themeShade="BF"/>
        </w:rPr>
      </w:pPr>
      <w:r w:rsidRPr="0024134B">
        <w:rPr>
          <w:rFonts w:cs="Arial"/>
          <w:color w:val="31849B" w:themeColor="accent5" w:themeShade="BF"/>
        </w:rPr>
        <w:t>Moreover, article 16 (2) imposes a significant statement requirement on funds in the Article 8 category that they do not have a sustainable investment objective.  We therefore do not understand why a requirement to state “how investments that significantly harm the sustainable investments objectives are excluded” is required for a product that doesn’t not have a sustainable investment objective.</w:t>
      </w:r>
    </w:p>
    <w:p w14:paraId="3EE23741" w14:textId="77777777" w:rsidR="00725ECA" w:rsidRPr="0024134B" w:rsidRDefault="00725ECA" w:rsidP="00725ECA">
      <w:pPr>
        <w:rPr>
          <w:rFonts w:cs="Arial"/>
          <w:color w:val="31849B" w:themeColor="accent5" w:themeShade="BF"/>
        </w:rPr>
      </w:pPr>
      <w:r w:rsidRPr="0024134B">
        <w:rPr>
          <w:rFonts w:cs="Arial"/>
          <w:color w:val="31849B" w:themeColor="accent5" w:themeShade="BF"/>
        </w:rPr>
        <w:t>For Article 9 products, this is a significant disincentive to invest in and support companies that are demonstrably on a transition path to a low carbon or sustainability centric business model in a sustainability oriented product.</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45287B7D" w14:textId="77777777" w:rsidR="00091040" w:rsidRPr="0024134B" w:rsidRDefault="00091040" w:rsidP="00091040">
      <w:pPr>
        <w:jc w:val="both"/>
        <w:rPr>
          <w:rFonts w:cs="Arial"/>
          <w:color w:val="31849B" w:themeColor="accent5" w:themeShade="BF"/>
        </w:rPr>
      </w:pPr>
      <w:permStart w:id="1634935588" w:edGrp="everyone"/>
      <w:r w:rsidRPr="0024134B">
        <w:rPr>
          <w:rFonts w:cs="Arial"/>
          <w:color w:val="31849B" w:themeColor="accent5" w:themeShade="BF"/>
        </w:rPr>
        <w:t xml:space="preserve">We agree that it can be confusing for investors (and market commentators) to understand the diverse range of sustainable and responsible investment approaches that exist in the market today, but we would not advocate for the ESAs to define these approaches but adopt as acceptable references industry standards that have emerged such as from Eurosif and the UK’s Investment Associations RI Framework. </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79B37835" w14:textId="77777777" w:rsidR="00091040" w:rsidRPr="00D97054" w:rsidRDefault="00091040" w:rsidP="00091040">
      <w:pPr>
        <w:jc w:val="both"/>
        <w:rPr>
          <w:rFonts w:cs="Arial"/>
          <w:color w:val="31849B" w:themeColor="accent5" w:themeShade="BF"/>
          <w:szCs w:val="20"/>
        </w:rPr>
      </w:pPr>
      <w:permStart w:id="872961277" w:edGrp="everyone"/>
      <w:r w:rsidRPr="00D97054">
        <w:rPr>
          <w:rFonts w:cs="Arial"/>
          <w:color w:val="31849B" w:themeColor="accent5" w:themeShade="BF"/>
          <w:szCs w:val="20"/>
        </w:rPr>
        <w:t xml:space="preserve">We support the UK’s Investment Association response on this question </w:t>
      </w:r>
      <w:r>
        <w:rPr>
          <w:rFonts w:cs="Arial"/>
          <w:color w:val="31849B" w:themeColor="accent5" w:themeShade="BF"/>
          <w:szCs w:val="20"/>
        </w:rPr>
        <w:t xml:space="preserve">as </w:t>
      </w:r>
      <w:r w:rsidRPr="00D97054">
        <w:rPr>
          <w:rFonts w:cs="Arial"/>
          <w:color w:val="31849B" w:themeColor="accent5" w:themeShade="BF"/>
          <w:szCs w:val="20"/>
        </w:rPr>
        <w:t>set out below:</w:t>
      </w:r>
    </w:p>
    <w:p w14:paraId="751784CF" w14:textId="77777777" w:rsidR="00091040" w:rsidRPr="00937574" w:rsidRDefault="00091040" w:rsidP="00091040">
      <w:pPr>
        <w:jc w:val="both"/>
        <w:rPr>
          <w:rFonts w:cs="Arial"/>
        </w:rPr>
      </w:pPr>
      <w:r w:rsidRPr="00937574">
        <w:rPr>
          <w:rFonts w:cs="Arial"/>
        </w:rPr>
        <w:t xml:space="preserve">We understand the reasoning behind asking for average holdings and appreciate the risk of “window dressing”, should a financial market participant seek to manipulate how their holdings look at a point of time. </w:t>
      </w:r>
    </w:p>
    <w:p w14:paraId="224EE745" w14:textId="77777777" w:rsidR="00091040" w:rsidRPr="00937574" w:rsidRDefault="00091040" w:rsidP="00091040">
      <w:pPr>
        <w:jc w:val="both"/>
        <w:rPr>
          <w:rFonts w:cs="Arial"/>
        </w:rPr>
      </w:pPr>
      <w:r w:rsidRPr="00937574">
        <w:rPr>
          <w:rFonts w:cs="Arial"/>
        </w:rPr>
        <w:lastRenderedPageBreak/>
        <w:t xml:space="preserve">However, we do not think that the action proposed to prevent this risk is justified, given the confusion it would cause to investors. </w:t>
      </w:r>
    </w:p>
    <w:p w14:paraId="480B1576" w14:textId="77777777" w:rsidR="00091040" w:rsidRPr="00937574" w:rsidRDefault="00091040" w:rsidP="00091040">
      <w:pPr>
        <w:jc w:val="both"/>
        <w:rPr>
          <w:rFonts w:cs="Arial"/>
        </w:rPr>
      </w:pPr>
      <w:r w:rsidRPr="00937574">
        <w:rPr>
          <w:rFonts w:cs="Arial"/>
        </w:rPr>
        <w:t xml:space="preserve">The proposed calculations would appear in a report alongside the portfolio statement as prescribed, within periodic reports required under UCITS and AIFMD, which is based on holdings at the year-end. Moreover, many different marketing materials also list largest holdings at a point in time. This confusing picture is only exacerbated by the figures having to be calculated for holdings that make up 50% of the portfolio on average over the year. </w:t>
      </w:r>
    </w:p>
    <w:p w14:paraId="6C433013" w14:textId="77777777" w:rsidR="00091040" w:rsidRPr="00937574" w:rsidRDefault="00091040" w:rsidP="00091040">
      <w:pPr>
        <w:jc w:val="both"/>
        <w:rPr>
          <w:rFonts w:cs="Arial"/>
        </w:rPr>
      </w:pPr>
      <w:r w:rsidRPr="00937574">
        <w:rPr>
          <w:rFonts w:cs="Arial"/>
        </w:rPr>
        <w:t xml:space="preserve">These calculations must be changed to a snapshot at the balance sheet date. </w:t>
      </w:r>
    </w:p>
    <w:p w14:paraId="68982B6E" w14:textId="77777777" w:rsidR="00091040" w:rsidRPr="00937574" w:rsidRDefault="00091040" w:rsidP="00091040">
      <w:pPr>
        <w:jc w:val="both"/>
        <w:rPr>
          <w:rFonts w:cs="Arial"/>
        </w:rPr>
      </w:pPr>
      <w:r w:rsidRPr="00937574">
        <w:rPr>
          <w:rFonts w:cs="Arial"/>
        </w:rPr>
        <w:t xml:space="preserve">If any financial market participant were to seek to manipulate a particular view of their underlying holdings, that particular individual should be called out as and when it occurs. It should not serve to change things for all market participants and investors before the situation has even arisen.  We would suggest that disclosures be made for any material changes in the top 25 holdings during the year in place of using a weighted average. This alternative solution would address window-dressing concerns whilst being practical from an operational perspective as well as informative. </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457104D2" w14:textId="77777777" w:rsidR="00091040" w:rsidRPr="0024134B" w:rsidRDefault="00091040" w:rsidP="00091040">
      <w:pPr>
        <w:pStyle w:val="ListParagraph"/>
        <w:numPr>
          <w:ilvl w:val="0"/>
          <w:numId w:val="42"/>
        </w:numPr>
        <w:spacing w:after="160" w:line="259" w:lineRule="auto"/>
        <w:jc w:val="both"/>
        <w:rPr>
          <w:rFonts w:cs="Arial"/>
          <w:bCs/>
          <w:color w:val="31849B" w:themeColor="accent5" w:themeShade="BF"/>
        </w:rPr>
      </w:pPr>
      <w:permStart w:id="374105505" w:edGrp="everyone"/>
      <w:r w:rsidRPr="0024134B">
        <w:rPr>
          <w:rFonts w:cs="Arial"/>
          <w:bCs/>
          <w:color w:val="31849B" w:themeColor="accent5" w:themeShade="BF"/>
        </w:rPr>
        <w:t>Pre-contractual</w:t>
      </w:r>
    </w:p>
    <w:p w14:paraId="1BD2CF6C" w14:textId="77777777" w:rsidR="00091040" w:rsidRPr="0024134B" w:rsidRDefault="00091040" w:rsidP="00091040">
      <w:pPr>
        <w:pStyle w:val="ListParagraph"/>
        <w:numPr>
          <w:ilvl w:val="0"/>
          <w:numId w:val="42"/>
        </w:numPr>
        <w:spacing w:after="160" w:line="259" w:lineRule="auto"/>
        <w:jc w:val="both"/>
        <w:rPr>
          <w:rFonts w:cs="Arial"/>
          <w:bCs/>
          <w:color w:val="31849B" w:themeColor="accent5" w:themeShade="BF"/>
        </w:rPr>
      </w:pPr>
      <w:r w:rsidRPr="0024134B">
        <w:rPr>
          <w:rFonts w:cs="Arial"/>
          <w:bCs/>
          <w:color w:val="31849B" w:themeColor="accent5" w:themeShade="BF"/>
        </w:rPr>
        <w:t>Website</w:t>
      </w:r>
    </w:p>
    <w:p w14:paraId="016C21A1" w14:textId="77777777" w:rsidR="00091040" w:rsidRPr="0024134B" w:rsidRDefault="00091040" w:rsidP="00091040">
      <w:pPr>
        <w:pStyle w:val="ListParagraph"/>
        <w:numPr>
          <w:ilvl w:val="0"/>
          <w:numId w:val="42"/>
        </w:numPr>
        <w:spacing w:after="160" w:line="259" w:lineRule="auto"/>
        <w:jc w:val="both"/>
        <w:rPr>
          <w:rFonts w:cs="Arial"/>
          <w:bCs/>
          <w:color w:val="31849B" w:themeColor="accent5" w:themeShade="BF"/>
        </w:rPr>
      </w:pPr>
      <w:r>
        <w:rPr>
          <w:rFonts w:cs="Arial"/>
          <w:bCs/>
          <w:color w:val="31849B" w:themeColor="accent5" w:themeShade="BF"/>
        </w:rPr>
        <w:t xml:space="preserve">Website </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7E3EBB63" w14:textId="77777777" w:rsidR="00091040" w:rsidRPr="0024134B" w:rsidRDefault="00091040" w:rsidP="00091040">
      <w:pPr>
        <w:jc w:val="both"/>
        <w:rPr>
          <w:rFonts w:cs="Arial"/>
          <w:color w:val="31849B" w:themeColor="accent5" w:themeShade="BF"/>
        </w:rPr>
      </w:pPr>
      <w:permStart w:id="624894902" w:edGrp="everyone"/>
      <w:r w:rsidRPr="0024134B">
        <w:rPr>
          <w:rFonts w:cs="Arial"/>
          <w:color w:val="31849B" w:themeColor="accent5" w:themeShade="BF"/>
        </w:rPr>
        <w:t xml:space="preserve">FSI have no strong view on this question </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lastRenderedPageBreak/>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309116EF" w14:textId="77777777" w:rsidR="00091040" w:rsidRPr="0024134B" w:rsidRDefault="00091040" w:rsidP="00091040">
      <w:pPr>
        <w:jc w:val="both"/>
        <w:rPr>
          <w:rFonts w:cs="Arial"/>
          <w:bCs/>
          <w:color w:val="31849B" w:themeColor="accent5" w:themeShade="BF"/>
        </w:rPr>
      </w:pPr>
      <w:permStart w:id="1007688109" w:edGrp="everyone"/>
      <w:r w:rsidRPr="0024134B">
        <w:rPr>
          <w:rFonts w:cs="Arial"/>
          <w:bCs/>
          <w:color w:val="31849B" w:themeColor="accent5" w:themeShade="BF"/>
        </w:rPr>
        <w:t>FSI have looked at the potential costs to meet the requirements as described in the draft RTS which will include legal services, marketing related, ESG data related and administrative fees and have estimated that this will be a minimum of GBP 250,000.</w:t>
      </w:r>
    </w:p>
    <w:p w14:paraId="60AE9CFD" w14:textId="1CEF26AE" w:rsidR="003E573C" w:rsidRDefault="003E573C" w:rsidP="003E573C">
      <w:pPr>
        <w:rPr>
          <w:rFonts w:cs="Arial"/>
        </w:rPr>
      </w:pPr>
      <w:bookmarkStart w:id="2" w:name="_GoBack"/>
      <w:bookmarkEnd w:id="2"/>
      <w:permEnd w:id="1007688109"/>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0E59" w14:textId="77777777" w:rsidR="008F65D5" w:rsidRDefault="008F6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91040">
            <w:rPr>
              <w:rFonts w:cs="Arial"/>
              <w:noProof/>
              <w:sz w:val="22"/>
              <w:szCs w:val="22"/>
            </w:rPr>
            <w:t>14</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D7D7" w14:textId="77777777" w:rsidR="008F65D5" w:rsidRDefault="008F65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
    <w:p w14:paraId="0F5F5F19" w14:textId="77777777" w:rsidR="008457D7" w:rsidRDefault="008457D7" w:rsidP="008457D7">
      <w:pPr>
        <w:pStyle w:val="FootnoteText"/>
      </w:pPr>
      <w:r>
        <w:rPr>
          <w:rStyle w:val="FootnoteReference"/>
        </w:rPr>
        <w:footnoteRef/>
      </w:r>
      <w:r>
        <w:t xml:space="preserve"> </w:t>
      </w:r>
      <w:hyperlink r:id="rId1" w:history="1">
        <w:r w:rsidRPr="004A0EA0">
          <w:rPr>
            <w:color w:val="0000FF"/>
            <w:sz w:val="14"/>
            <w:szCs w:val="22"/>
            <w:u w:val="single"/>
            <w:lang w:val="en-US"/>
          </w:rPr>
          <w:t>https://www.cisl.cam.ac.uk/resources/sustainable-finance-publications/taking-the-long-view-a-toolkit-for-long-term-sustainable-investment-mandates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DCD1" w14:textId="77777777" w:rsidR="008F65D5" w:rsidRDefault="008F6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896DB7"/>
    <w:multiLevelType w:val="hybridMultilevel"/>
    <w:tmpl w:val="AAC499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7365199"/>
    <w:multiLevelType w:val="hybridMultilevel"/>
    <w:tmpl w:val="3A30B9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5"/>
  </w:num>
  <w:num w:numId="18">
    <w:abstractNumId w:val="16"/>
  </w:num>
  <w:num w:numId="19">
    <w:abstractNumId w:val="18"/>
  </w:num>
  <w:num w:numId="20">
    <w:abstractNumId w:val="29"/>
  </w:num>
  <w:num w:numId="21">
    <w:abstractNumId w:val="40"/>
  </w:num>
  <w:num w:numId="22">
    <w:abstractNumId w:val="27"/>
  </w:num>
  <w:num w:numId="23">
    <w:abstractNumId w:val="8"/>
  </w:num>
  <w:num w:numId="24">
    <w:abstractNumId w:val="32"/>
  </w:num>
  <w:num w:numId="25">
    <w:abstractNumId w:val="31"/>
  </w:num>
  <w:num w:numId="26">
    <w:abstractNumId w:val="20"/>
  </w:num>
  <w:num w:numId="27">
    <w:abstractNumId w:val="36"/>
  </w:num>
  <w:num w:numId="28">
    <w:abstractNumId w:val="42"/>
  </w:num>
  <w:num w:numId="29">
    <w:abstractNumId w:val="6"/>
  </w:num>
  <w:num w:numId="30">
    <w:abstractNumId w:val="3"/>
  </w:num>
  <w:num w:numId="31">
    <w:abstractNumId w:val="23"/>
  </w:num>
  <w:num w:numId="32">
    <w:abstractNumId w:val="21"/>
  </w:num>
  <w:num w:numId="33">
    <w:abstractNumId w:val="39"/>
  </w:num>
  <w:num w:numId="34">
    <w:abstractNumId w:val="38"/>
  </w:num>
  <w:num w:numId="35">
    <w:abstractNumId w:val="10"/>
  </w:num>
  <w:num w:numId="36">
    <w:abstractNumId w:val="11"/>
  </w:num>
  <w:num w:numId="37">
    <w:abstractNumId w:val="13"/>
  </w:num>
  <w:num w:numId="38">
    <w:abstractNumId w:val="26"/>
  </w:num>
  <w:num w:numId="39">
    <w:abstractNumId w:val="22"/>
  </w:num>
  <w:num w:numId="40">
    <w:abstractNumId w:val="37"/>
  </w:num>
  <w:num w:numId="41">
    <w:abstractNumId w:val="35"/>
  </w:num>
  <w:num w:numId="42">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1040"/>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ECA"/>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7D7"/>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TableParagraph">
    <w:name w:val="Table Paragraph"/>
    <w:basedOn w:val="Normal"/>
    <w:uiPriority w:val="1"/>
    <w:qFormat/>
    <w:rsid w:val="008457D7"/>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isl.cam.ac.uk/resources/sustainable-finance-publications/taking-the-long-view-a-toolkit-for-long-term-sustainable-investment-manda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c8e399-07b8-49e4-91bf-01a20105d4df"/>
    <ds:schemaRef ds:uri="http://www.w3.org/XML/1998/namespace"/>
    <ds:schemaRef ds:uri="http://purl.org/dc/dcmitype/"/>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19A891-512C-4ECD-9D2A-4026834FB27B}">
  <ds:schemaRefs>
    <ds:schemaRef ds:uri="http://schemas.openxmlformats.org/officeDocument/2006/bibliography"/>
  </ds:schemaRefs>
</ds:datastoreItem>
</file>

<file path=customXml/itemProps6.xml><?xml version="1.0" encoding="utf-8"?>
<ds:datastoreItem xmlns:ds="http://schemas.openxmlformats.org/officeDocument/2006/customXml" ds:itemID="{B6A64777-8AF3-4932-B397-C6CCE3DB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4749</Words>
  <Characters>27077</Characters>
  <Application>Microsoft Office Word</Application>
  <DocSecurity>8</DocSecurity>
  <Lines>225</Lines>
  <Paragraphs>63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31763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Oulton, Will (UK)</cp:lastModifiedBy>
  <cp:revision>4</cp:revision>
  <cp:lastPrinted>2015-02-18T11:01:00Z</cp:lastPrinted>
  <dcterms:created xsi:type="dcterms:W3CDTF">2020-04-23T07:26:00Z</dcterms:created>
  <dcterms:modified xsi:type="dcterms:W3CDTF">2020-09-01T12:48:00Z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