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4"/>
          <w:headerReference w:type="default" r:id="rId15"/>
          <w:footerReference w:type="even" r:id="rId16"/>
          <w:footerReference w:type="default" r:id="rId17"/>
          <w:headerReference w:type="first" r:id="rId18"/>
          <w:footerReference w:type="first" r:id="rId19"/>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chwacheHervorhebung"/>
          <w:b w:val="0"/>
          <w:bCs/>
          <w:sz w:val="22"/>
        </w:rPr>
      </w:pPr>
      <w:r w:rsidRPr="00754AC4">
        <w:rPr>
          <w:rStyle w:val="SchwacheHervorhebung"/>
          <w:b w:val="0"/>
          <w:bCs/>
          <w:sz w:val="22"/>
        </w:rPr>
        <w:t>The European Supervisory Authorities (ESAs) invite comments on all matters in this consultation paper</w:t>
      </w:r>
      <w:r>
        <w:rPr>
          <w:rStyle w:val="SchwacheHervorhebung"/>
          <w:b w:val="0"/>
          <w:bCs/>
          <w:sz w:val="22"/>
        </w:rPr>
        <w:t xml:space="preserve"> on ESG disclosures under Regulation (EU) 2019/2088</w:t>
      </w:r>
      <w:r w:rsidRPr="00754AC4">
        <w:rPr>
          <w:rStyle w:val="SchwacheHervorhebung"/>
          <w:b w:val="0"/>
          <w:bCs/>
          <w:sz w:val="22"/>
        </w:rPr>
        <w:t xml:space="preserve"> </w:t>
      </w:r>
      <w:r>
        <w:rPr>
          <w:rStyle w:val="SchwacheHervorhebung"/>
          <w:b w:val="0"/>
          <w:bCs/>
          <w:sz w:val="22"/>
        </w:rPr>
        <w:t xml:space="preserve">on sustainability-related </w:t>
      </w:r>
      <w:r w:rsidR="00BE7C87">
        <w:rPr>
          <w:rStyle w:val="SchwacheHervorhebung"/>
          <w:b w:val="0"/>
          <w:bCs/>
          <w:sz w:val="22"/>
        </w:rPr>
        <w:t>discl</w:t>
      </w:r>
      <w:r w:rsidR="00BE7C87">
        <w:rPr>
          <w:rStyle w:val="SchwacheHervorhebung"/>
          <w:b w:val="0"/>
          <w:bCs/>
          <w:sz w:val="22"/>
        </w:rPr>
        <w:t>o</w:t>
      </w:r>
      <w:r w:rsidR="00BE7C87">
        <w:rPr>
          <w:rStyle w:val="SchwacheHervorhebung"/>
          <w:b w:val="0"/>
          <w:bCs/>
          <w:sz w:val="22"/>
        </w:rPr>
        <w:t>sures</w:t>
      </w:r>
      <w:r>
        <w:rPr>
          <w:rStyle w:val="SchwacheHervorhebung"/>
          <w:b w:val="0"/>
          <w:bCs/>
          <w:sz w:val="22"/>
        </w:rPr>
        <w:t xml:space="preserve"> in the financial sector (hereinafter “SFDR”) </w:t>
      </w:r>
      <w:r w:rsidRPr="00754AC4">
        <w:rPr>
          <w:rStyle w:val="SchwacheHervorhebung"/>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chwacheHervorhebung"/>
          <w:b w:val="0"/>
          <w:bCs/>
          <w:sz w:val="22"/>
        </w:rPr>
      </w:pPr>
      <w:r w:rsidRPr="00754AC4">
        <w:rPr>
          <w:rStyle w:val="SchwacheHervorhebung"/>
          <w:b w:val="0"/>
          <w:bCs/>
          <w:sz w:val="22"/>
        </w:rPr>
        <w:t>Comments are most helpful if they:</w:t>
      </w:r>
    </w:p>
    <w:p w14:paraId="443F1C2C" w14:textId="77777777" w:rsidR="00754AC4" w:rsidRPr="00754AC4" w:rsidRDefault="00754AC4" w:rsidP="00754AC4">
      <w:pPr>
        <w:pStyle w:val="Listenabsatz"/>
        <w:numPr>
          <w:ilvl w:val="0"/>
          <w:numId w:val="49"/>
        </w:numPr>
        <w:spacing w:after="240"/>
        <w:jc w:val="both"/>
        <w:rPr>
          <w:rStyle w:val="SchwacheHervorhebung"/>
          <w:b w:val="0"/>
          <w:bCs/>
          <w:sz w:val="22"/>
        </w:rPr>
      </w:pPr>
      <w:r w:rsidRPr="00754AC4">
        <w:rPr>
          <w:rStyle w:val="SchwacheHervorhebung"/>
          <w:b w:val="0"/>
          <w:bCs/>
          <w:sz w:val="22"/>
        </w:rPr>
        <w:t>contain a clear rationale; and</w:t>
      </w:r>
    </w:p>
    <w:p w14:paraId="44288AF1" w14:textId="77777777" w:rsidR="00754AC4" w:rsidRPr="00754AC4" w:rsidRDefault="00754AC4" w:rsidP="00754AC4">
      <w:pPr>
        <w:pStyle w:val="Listenabsatz"/>
        <w:numPr>
          <w:ilvl w:val="0"/>
          <w:numId w:val="49"/>
        </w:numPr>
        <w:spacing w:after="240"/>
        <w:jc w:val="both"/>
        <w:rPr>
          <w:rStyle w:val="SchwacheHervorhebung"/>
          <w:b w:val="0"/>
          <w:bCs/>
          <w:sz w:val="22"/>
        </w:rPr>
      </w:pPr>
      <w:r w:rsidRPr="00754AC4">
        <w:rPr>
          <w:rStyle w:val="SchwacheHervorhebung"/>
          <w:b w:val="0"/>
          <w:bCs/>
          <w:sz w:val="22"/>
        </w:rPr>
        <w:t>describe any alternatives the ESAs should consider.</w:t>
      </w:r>
    </w:p>
    <w:p w14:paraId="122FDDB2" w14:textId="5647B0AF" w:rsidR="00C86E1C" w:rsidRDefault="00C86E1C" w:rsidP="00754AC4">
      <w:pPr>
        <w:spacing w:after="240"/>
        <w:jc w:val="both"/>
        <w:rPr>
          <w:rStyle w:val="SchwacheHervorhebung"/>
          <w:b w:val="0"/>
          <w:bCs/>
          <w:sz w:val="22"/>
        </w:rPr>
      </w:pPr>
      <w:r>
        <w:rPr>
          <w:rStyle w:val="SchwacheHervorhebung"/>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chwacheHervorhebung"/>
          <w:b w:val="0"/>
          <w:sz w:val="22"/>
        </w:rPr>
      </w:pPr>
    </w:p>
    <w:p w14:paraId="6A3CB03F"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6A3CB040"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A3CB042" w14:textId="7681A708"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&lt;ESA_QUESTION_</w:t>
      </w:r>
      <w:r w:rsidR="00C86E1C">
        <w:rPr>
          <w:rStyle w:val="SchwacheHervorhebung"/>
          <w:b w:val="0"/>
          <w:sz w:val="22"/>
        </w:rPr>
        <w:t>ESG</w:t>
      </w:r>
      <w:r w:rsidRPr="00E40A5C">
        <w:rPr>
          <w:rStyle w:val="SchwacheHervorhebung"/>
          <w:b w:val="0"/>
          <w:sz w:val="22"/>
        </w:rPr>
        <w:t>_1&gt;. Your response to each question has to be framed by the two tags corresponding to the question.</w:t>
      </w:r>
    </w:p>
    <w:p w14:paraId="6A3CB043"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t>
      </w:r>
      <w:r w:rsidRPr="00E40A5C">
        <w:rPr>
          <w:rStyle w:val="SchwacheHervorhebung"/>
          <w:b w:val="0"/>
          <w:sz w:val="22"/>
        </w:rPr>
        <w:t>w</w:t>
      </w:r>
      <w:r w:rsidRPr="00E40A5C">
        <w:rPr>
          <w:rStyle w:val="SchwacheHervorhebung"/>
          <w:b w:val="0"/>
          <w:sz w:val="22"/>
        </w:rPr>
        <w:t>ing convention: ESA_</w:t>
      </w:r>
      <w:r w:rsidR="00C86E1C">
        <w:rPr>
          <w:rStyle w:val="SchwacheHervorhebung"/>
          <w:b w:val="0"/>
          <w:sz w:val="22"/>
        </w:rPr>
        <w:t>ESG</w:t>
      </w:r>
      <w:r w:rsidRPr="00E40A5C">
        <w:rPr>
          <w:rStyle w:val="SchwacheHervorhebung"/>
          <w:b w:val="0"/>
          <w:sz w:val="22"/>
        </w:rPr>
        <w:t>_nameofrespondent_RESPONSEFORM. For example, for a r</w:t>
      </w:r>
      <w:r w:rsidRPr="00E40A5C">
        <w:rPr>
          <w:rStyle w:val="SchwacheHervorhebung"/>
          <w:b w:val="0"/>
          <w:sz w:val="22"/>
        </w:rPr>
        <w:t>e</w:t>
      </w:r>
      <w:r w:rsidRPr="00E40A5C">
        <w:rPr>
          <w:rStyle w:val="SchwacheHervorhebung"/>
          <w:b w:val="0"/>
          <w:sz w:val="22"/>
        </w:rPr>
        <w:t>spondent named ABCD, the response form would be entitled ESA_</w:t>
      </w:r>
      <w:r w:rsidR="00C86E1C">
        <w:rPr>
          <w:rStyle w:val="SchwacheHervorhebung"/>
          <w:b w:val="0"/>
          <w:sz w:val="22"/>
        </w:rPr>
        <w:t>ESG</w:t>
      </w:r>
      <w:r w:rsidRPr="00E40A5C">
        <w:rPr>
          <w:rStyle w:val="SchwacheHervorhebung"/>
          <w:b w:val="0"/>
          <w:sz w:val="22"/>
        </w:rPr>
        <w:t>_ABCD_RESPONSEFORM.</w:t>
      </w:r>
    </w:p>
    <w:p w14:paraId="180C2205" w14:textId="19B88CA2" w:rsidR="00197794" w:rsidRP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t>The consultation paper is available on the websites of the three ESAs</w:t>
      </w:r>
      <w:r w:rsidR="00764042">
        <w:rPr>
          <w:rStyle w:val="SchwacheHervorhebung"/>
          <w:b w:val="0"/>
          <w:sz w:val="22"/>
        </w:rPr>
        <w:t xml:space="preserve"> and the Joint Co</w:t>
      </w:r>
      <w:r w:rsidR="00764042">
        <w:rPr>
          <w:rStyle w:val="SchwacheHervorhebung"/>
          <w:b w:val="0"/>
          <w:sz w:val="22"/>
        </w:rPr>
        <w:t>m</w:t>
      </w:r>
      <w:r w:rsidR="00764042">
        <w:rPr>
          <w:rStyle w:val="SchwacheHervorhebung"/>
          <w:b w:val="0"/>
          <w:sz w:val="22"/>
        </w:rPr>
        <w:t>mittee</w:t>
      </w:r>
      <w:r w:rsidRPr="00197794">
        <w:rPr>
          <w:rStyle w:val="SchwacheHervorhebung"/>
          <w:b w:val="0"/>
          <w:sz w:val="22"/>
        </w:rPr>
        <w:t xml:space="preserve">. Comments on this consultation paper can be sent using the response form, via the </w:t>
      </w:r>
      <w:hyperlink r:id="rId20" w:history="1">
        <w:r w:rsidRPr="00197794">
          <w:rPr>
            <w:rStyle w:val="Hyperlink"/>
            <w:rFonts w:cs="Arial"/>
            <w:sz w:val="22"/>
          </w:rPr>
          <w:t>ESMA website</w:t>
        </w:r>
      </w:hyperlink>
      <w:r w:rsidRPr="00197794">
        <w:rPr>
          <w:rStyle w:val="SchwacheHervorhebung"/>
          <w:b w:val="0"/>
          <w:sz w:val="24"/>
        </w:rPr>
        <w:t xml:space="preserve"> </w:t>
      </w:r>
      <w:r w:rsidRPr="00197794">
        <w:rPr>
          <w:rStyle w:val="SchwacheHervorhebung"/>
          <w:b w:val="0"/>
          <w:sz w:val="22"/>
        </w:rPr>
        <w:t xml:space="preserve">under the heading ‘Your input - Consultations’ </w:t>
      </w:r>
      <w:r w:rsidRPr="001C240F">
        <w:rPr>
          <w:rStyle w:val="SchwacheHervorhebung"/>
          <w:b w:val="0"/>
          <w:sz w:val="22"/>
        </w:rPr>
        <w:t xml:space="preserve">by </w:t>
      </w:r>
      <w:r w:rsidR="00D5594A" w:rsidRPr="001C240F">
        <w:rPr>
          <w:rStyle w:val="SchwacheHervorhebung"/>
          <w:sz w:val="22"/>
        </w:rPr>
        <w:t>1 September</w:t>
      </w:r>
      <w:r w:rsidRPr="001C240F">
        <w:rPr>
          <w:rStyle w:val="SchwacheHervorhebung"/>
          <w:sz w:val="22"/>
        </w:rPr>
        <w:t xml:space="preserve"> 2020</w:t>
      </w:r>
      <w:r w:rsidRPr="00197794">
        <w:rPr>
          <w:rStyle w:val="SchwacheHervorhebung"/>
          <w:b w:val="0"/>
          <w:sz w:val="22"/>
        </w:rPr>
        <w:t>.</w:t>
      </w:r>
    </w:p>
    <w:p w14:paraId="2481E1E6" w14:textId="67CDDA3F" w:rsid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chwacheHervorhebung"/>
          <w:b w:val="0"/>
          <w:sz w:val="22"/>
        </w:rPr>
      </w:pPr>
    </w:p>
    <w:p w14:paraId="5E94D042" w14:textId="77777777" w:rsidR="00D5594A" w:rsidRPr="00197794" w:rsidRDefault="00D5594A" w:rsidP="00197794">
      <w:pPr>
        <w:spacing w:after="240" w:line="276" w:lineRule="auto"/>
        <w:jc w:val="both"/>
        <w:rPr>
          <w:rStyle w:val="SchwacheHervorhebung"/>
          <w:b w:val="0"/>
          <w:sz w:val="22"/>
        </w:rPr>
      </w:pPr>
    </w:p>
    <w:p w14:paraId="6A3CB046" w14:textId="77777777" w:rsidR="00210E59" w:rsidRPr="00210E59" w:rsidRDefault="00210E59" w:rsidP="00210E59">
      <w:pPr>
        <w:spacing w:after="120"/>
        <w:jc w:val="both"/>
        <w:rPr>
          <w:rStyle w:val="SchwacheHervorhebung"/>
          <w:sz w:val="22"/>
        </w:rPr>
      </w:pPr>
      <w:r w:rsidRPr="00210E59">
        <w:rPr>
          <w:rStyle w:val="SchwacheHervorhebung"/>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w:t>
      </w:r>
      <w:r w:rsidRPr="00197794">
        <w:rPr>
          <w:sz w:val="22"/>
          <w:szCs w:val="22"/>
        </w:rPr>
        <w:t>u</w:t>
      </w:r>
      <w:r w:rsidRPr="00197794">
        <w:rPr>
          <w:sz w:val="22"/>
          <w:szCs w:val="22"/>
        </w:rPr>
        <w:t>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chwacheHervorhebung"/>
          <w:sz w:val="22"/>
          <w:lang w:eastAsia="en-GB"/>
        </w:rPr>
      </w:pPr>
    </w:p>
    <w:p w14:paraId="3561D6A6" w14:textId="77777777" w:rsidR="00197794" w:rsidRDefault="00197794" w:rsidP="004E6AE4">
      <w:pPr>
        <w:rPr>
          <w:rStyle w:val="SchwacheHervorhebung"/>
          <w:sz w:val="22"/>
          <w:lang w:eastAsia="en-GB"/>
        </w:rPr>
      </w:pPr>
    </w:p>
    <w:p w14:paraId="6A3CB048" w14:textId="1D432EA9" w:rsidR="009A3017" w:rsidRPr="00E40A5C" w:rsidRDefault="009A3017" w:rsidP="004E6AE4">
      <w:pPr>
        <w:rPr>
          <w:rStyle w:val="SchwacheHervorhebung"/>
          <w:sz w:val="22"/>
          <w:lang w:eastAsia="en-GB"/>
        </w:rPr>
      </w:pPr>
      <w:r w:rsidRPr="00E40A5C">
        <w:rPr>
          <w:rStyle w:val="SchwacheHervorhebung"/>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unotenzeichen"/>
          <w:rFonts w:cs="Arial"/>
          <w:sz w:val="22"/>
        </w:rPr>
        <w:footnoteReference w:id="2"/>
      </w:r>
      <w:r w:rsidRPr="00197794">
        <w:rPr>
          <w:rFonts w:cs="Arial"/>
          <w:sz w:val="22"/>
        </w:rPr>
        <w:t xml:space="preserve">. Further information on data protection can be found under the </w:t>
      </w:r>
      <w:hyperlink r:id="rId21" w:history="1">
        <w:r w:rsidRPr="00197794">
          <w:rPr>
            <w:rStyle w:val="Hyperlink"/>
            <w:rFonts w:cs="Arial"/>
            <w:sz w:val="22"/>
          </w:rPr>
          <w:t>Legal notice</w:t>
        </w:r>
      </w:hyperlink>
      <w:r w:rsidRPr="00197794">
        <w:rPr>
          <w:rFonts w:cs="Arial"/>
          <w:sz w:val="22"/>
        </w:rPr>
        <w:t xml:space="preserve"> section of the EBA website and under the </w:t>
      </w:r>
      <w:hyperlink r:id="rId22" w:history="1">
        <w:r w:rsidRPr="00197794">
          <w:rPr>
            <w:rStyle w:val="Hyperlink"/>
            <w:rFonts w:cs="Arial"/>
            <w:sz w:val="22"/>
          </w:rPr>
          <w:t>Legal notice</w:t>
        </w:r>
      </w:hyperlink>
      <w:r w:rsidRPr="00197794">
        <w:rPr>
          <w:rFonts w:cs="Arial"/>
          <w:sz w:val="22"/>
        </w:rPr>
        <w:t xml:space="preserve"> section of the EIOPA website and under the </w:t>
      </w:r>
      <w:hyperlink r:id="rId23"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chwacheHervorhebung"/>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berschrift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6A3CB051" w14:textId="098187E6" w:rsidR="00B327E9" w:rsidRPr="00AB6D88" w:rsidRDefault="008C022D" w:rsidP="00F136AD">
                <w:pPr>
                  <w:rPr>
                    <w:rStyle w:val="Platzhaltertext"/>
                    <w:rFonts w:cs="Arial"/>
                  </w:rPr>
                </w:pPr>
                <w:r>
                  <w:rPr>
                    <w:rStyle w:val="Platzhaltertext"/>
                    <w:rFonts w:cs="Arial"/>
                  </w:rPr>
                  <w:t>RWE AG</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43ECA58A" w:rsidR="00B327E9" w:rsidRPr="00AB6D88" w:rsidRDefault="00C442D1"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C022D">
                  <w:rPr>
                    <w:rFonts w:cs="Arial"/>
                  </w:rPr>
                  <w:t>Regulated markets/Exchanges/Trading Systems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5D0D7D91" w:rsidR="00B327E9" w:rsidRPr="00AB6D88" w:rsidRDefault="008C022D" w:rsidP="00F136AD">
                <w:pPr>
                  <w:rPr>
                    <w:rFonts w:cs="Arial"/>
                  </w:rPr>
                </w:pPr>
                <w:r>
                  <w:rPr>
                    <w:rFonts w:cs="Arial"/>
                  </w:rPr>
                  <w:t>Germany</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berschrift1"/>
        <w:numPr>
          <w:ilvl w:val="0"/>
          <w:numId w:val="0"/>
        </w:numPr>
        <w:ind w:left="431" w:hanging="431"/>
      </w:pPr>
      <w:r>
        <w:t>Introduction</w:t>
      </w:r>
    </w:p>
    <w:p w14:paraId="6A3CB05E"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chwacheHervorhebung"/>
          <w:b w:val="0"/>
          <w:sz w:val="22"/>
        </w:rPr>
        <w:t>ESG</w:t>
      </w:r>
      <w:r w:rsidRPr="006F4535">
        <w:t>_1&gt;</w:t>
      </w:r>
    </w:p>
    <w:p w14:paraId="6A3CB061" w14:textId="77777777" w:rsidR="00B327E9" w:rsidRDefault="00B327E9" w:rsidP="00B327E9">
      <w:permStart w:id="411981036" w:edGrp="everyone"/>
      <w:r>
        <w:t>TYPE YOUR TEXT HERE</w:t>
      </w:r>
    </w:p>
    <w:permEnd w:id="411981036"/>
    <w:p w14:paraId="6A3CB062" w14:textId="67968787" w:rsidR="00B327E9" w:rsidRPr="00BF28DA" w:rsidRDefault="00B327E9" w:rsidP="00B327E9">
      <w:r w:rsidRPr="00BF28DA">
        <w:t>&lt;ESA_COMMENT_</w:t>
      </w:r>
      <w:r w:rsidR="00C86E1C">
        <w:rPr>
          <w:rStyle w:val="SchwacheHervorhebung"/>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w:t>
      </w:r>
      <w:r w:rsidR="00D5594A" w:rsidRPr="00D5594A">
        <w:t>e</w:t>
      </w:r>
      <w:r w:rsidR="00D5594A" w:rsidRPr="00D5594A">
        <w:t>quiring consistent disclosure, and the indicators in Table 2 and 3 are subject to an “opt-in” r</w:t>
      </w:r>
      <w:r w:rsidR="00D5594A" w:rsidRPr="00D5594A">
        <w:t>e</w:t>
      </w:r>
      <w:r w:rsidR="00D5594A" w:rsidRPr="00D5594A">
        <w:t>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081246EF" w14:textId="13DC964D" w:rsidR="00A669C8" w:rsidRPr="00A669C8" w:rsidRDefault="00A669C8" w:rsidP="00A669C8">
      <w:pPr>
        <w:rPr>
          <w:rFonts w:cs="Arial"/>
          <w:lang w:val="en-US"/>
        </w:rPr>
      </w:pPr>
      <w:permStart w:id="1221819945" w:edGrp="everyone"/>
      <w:r w:rsidRPr="00A669C8">
        <w:rPr>
          <w:rFonts w:cs="Arial"/>
          <w:lang w:val="en-US"/>
        </w:rPr>
        <w:t xml:space="preserve">RWE welcomes the sustainable finance approach, as there is certainly a need for transparent information in order to be able to </w:t>
      </w:r>
      <w:r w:rsidR="0032643E">
        <w:rPr>
          <w:rFonts w:cs="Arial"/>
          <w:lang w:val="en-US"/>
        </w:rPr>
        <w:t>steer</w:t>
      </w:r>
      <w:r w:rsidRPr="00A669C8">
        <w:rPr>
          <w:rFonts w:cs="Arial"/>
          <w:lang w:val="en-US"/>
        </w:rPr>
        <w:t xml:space="preserve"> financial flows appropriately in sustainable investments.</w:t>
      </w:r>
    </w:p>
    <w:p w14:paraId="4037F659" w14:textId="03EB83E7" w:rsidR="00A669C8" w:rsidRPr="00A669C8" w:rsidRDefault="00A669C8" w:rsidP="00A669C8">
      <w:pPr>
        <w:rPr>
          <w:rFonts w:cs="Arial"/>
          <w:lang w:val="en-US"/>
        </w:rPr>
      </w:pPr>
      <w:r w:rsidRPr="00A669C8">
        <w:rPr>
          <w:rFonts w:cs="Arial"/>
          <w:lang w:val="en-US"/>
        </w:rPr>
        <w:t xml:space="preserve">In particular, we see </w:t>
      </w:r>
      <w:r w:rsidR="0032643E">
        <w:rPr>
          <w:rFonts w:cs="Arial"/>
          <w:lang w:val="en-US"/>
        </w:rPr>
        <w:t>the energy sector</w:t>
      </w:r>
      <w:r w:rsidRPr="00A669C8">
        <w:rPr>
          <w:rFonts w:cs="Arial"/>
          <w:lang w:val="en-US"/>
        </w:rPr>
        <w:t xml:space="preserve"> as fundamental to a sustainable future, but other sectors must follow suit. Similarly, sustainability is a global concern that cannot be successfully managed by any </w:t>
      </w:r>
      <w:r w:rsidR="0032643E">
        <w:rPr>
          <w:rFonts w:cs="Arial"/>
          <w:lang w:val="en-US"/>
        </w:rPr>
        <w:t>cou</w:t>
      </w:r>
      <w:r w:rsidR="0032643E">
        <w:rPr>
          <w:rFonts w:cs="Arial"/>
          <w:lang w:val="en-US"/>
        </w:rPr>
        <w:t>n</w:t>
      </w:r>
      <w:r w:rsidR="0032643E">
        <w:rPr>
          <w:rFonts w:cs="Arial"/>
          <w:lang w:val="en-US"/>
        </w:rPr>
        <w:t>try</w:t>
      </w:r>
      <w:r w:rsidRPr="00A669C8">
        <w:rPr>
          <w:rFonts w:cs="Arial"/>
          <w:lang w:val="en-US"/>
        </w:rPr>
        <w:t xml:space="preserve"> alone. Therefore, we are also clearly in </w:t>
      </w:r>
      <w:proofErr w:type="spellStart"/>
      <w:r w:rsidRPr="00A669C8">
        <w:rPr>
          <w:rFonts w:cs="Arial"/>
          <w:lang w:val="en-US"/>
        </w:rPr>
        <w:t>favour</w:t>
      </w:r>
      <w:proofErr w:type="spellEnd"/>
      <w:r w:rsidRPr="00A669C8">
        <w:rPr>
          <w:rFonts w:cs="Arial"/>
          <w:lang w:val="en-US"/>
        </w:rPr>
        <w:t xml:space="preserve"> of EU-wide (not national) regulation, which should define the criteria of sustainability. This would also prevent competitive disadvantages. Ideally, the EU-wide a</w:t>
      </w:r>
      <w:r w:rsidRPr="00A669C8">
        <w:rPr>
          <w:rFonts w:cs="Arial"/>
          <w:lang w:val="en-US"/>
        </w:rPr>
        <w:t>p</w:t>
      </w:r>
      <w:r w:rsidRPr="00A669C8">
        <w:rPr>
          <w:rFonts w:cs="Arial"/>
          <w:lang w:val="en-US"/>
        </w:rPr>
        <w:t>proach would then be applied globally.</w:t>
      </w:r>
    </w:p>
    <w:p w14:paraId="0F1F4245" w14:textId="355D4475" w:rsidR="003E573C" w:rsidRDefault="00A669C8" w:rsidP="003E573C">
      <w:pPr>
        <w:rPr>
          <w:rFonts w:cs="Arial"/>
        </w:rPr>
      </w:pPr>
      <w:r w:rsidRPr="00A669C8">
        <w:rPr>
          <w:rFonts w:cs="Arial"/>
          <w:lang w:val="en-US"/>
        </w:rPr>
        <w:t xml:space="preserve">In order to provide planning security for companies subject to reporting requirements, it would </w:t>
      </w:r>
      <w:r w:rsidR="0032643E">
        <w:rPr>
          <w:rFonts w:cs="Arial"/>
          <w:lang w:val="en-US"/>
        </w:rPr>
        <w:t>be reaso</w:t>
      </w:r>
      <w:r w:rsidR="0032643E">
        <w:rPr>
          <w:rFonts w:cs="Arial"/>
          <w:lang w:val="en-US"/>
        </w:rPr>
        <w:t>n</w:t>
      </w:r>
      <w:r w:rsidR="0032643E">
        <w:rPr>
          <w:rFonts w:cs="Arial"/>
          <w:lang w:val="en-US"/>
        </w:rPr>
        <w:t>able</w:t>
      </w:r>
      <w:r w:rsidRPr="00A669C8">
        <w:rPr>
          <w:rFonts w:cs="Arial"/>
          <w:lang w:val="en-US"/>
        </w:rPr>
        <w:t xml:space="preserve"> to </w:t>
      </w:r>
      <w:proofErr w:type="spellStart"/>
      <w:r w:rsidRPr="00A669C8">
        <w:rPr>
          <w:rFonts w:cs="Arial"/>
          <w:lang w:val="en-US"/>
        </w:rPr>
        <w:t>harmonise</w:t>
      </w:r>
      <w:proofErr w:type="spellEnd"/>
      <w:r w:rsidRPr="00A669C8">
        <w:rPr>
          <w:rFonts w:cs="Arial"/>
          <w:lang w:val="en-US"/>
        </w:rPr>
        <w:t xml:space="preserve"> the </w:t>
      </w:r>
      <w:r w:rsidR="0032643E">
        <w:rPr>
          <w:rFonts w:cs="Arial"/>
          <w:lang w:val="en-US"/>
        </w:rPr>
        <w:t>ESG disclosures</w:t>
      </w:r>
      <w:r w:rsidRPr="00A669C8">
        <w:rPr>
          <w:rFonts w:cs="Arial"/>
          <w:lang w:val="en-US"/>
        </w:rPr>
        <w:t xml:space="preserve"> with other developments such as the revision of the Non-Financial Reporting Directive. In this course, the "social and environmental indicators" that have not yet been d</w:t>
      </w:r>
      <w:r w:rsidRPr="00A669C8">
        <w:rPr>
          <w:rFonts w:cs="Arial"/>
          <w:lang w:val="en-US"/>
        </w:rPr>
        <w:t>e</w:t>
      </w:r>
      <w:r w:rsidRPr="00A669C8">
        <w:rPr>
          <w:rFonts w:cs="Arial"/>
          <w:lang w:val="en-US"/>
        </w:rPr>
        <w:t>fined could be esta</w:t>
      </w:r>
      <w:r w:rsidRPr="00A669C8">
        <w:rPr>
          <w:rFonts w:cs="Arial"/>
          <w:lang w:val="en-US"/>
        </w:rPr>
        <w:t>b</w:t>
      </w:r>
      <w:r w:rsidRPr="00A669C8">
        <w:rPr>
          <w:rFonts w:cs="Arial"/>
          <w:lang w:val="en-US"/>
        </w:rPr>
        <w:t xml:space="preserve">lished within the framework of the desired EU standard. Finally, the data listed in Table 1 in particular must be critically examined to determine whether they are meaningful. On the one hand, the number of necessary details </w:t>
      </w:r>
      <w:r w:rsidR="0032643E">
        <w:rPr>
          <w:rFonts w:cs="Arial"/>
          <w:lang w:val="en-US"/>
        </w:rPr>
        <w:t>could lead to an</w:t>
      </w:r>
      <w:r w:rsidRPr="00A669C8">
        <w:rPr>
          <w:rFonts w:cs="Arial"/>
          <w:lang w:val="en-US"/>
        </w:rPr>
        <w:t xml:space="preserve"> overambitious and not very target-oriented detai</w:t>
      </w:r>
      <w:r w:rsidRPr="00A669C8">
        <w:rPr>
          <w:rFonts w:cs="Arial"/>
          <w:lang w:val="en-US"/>
        </w:rPr>
        <w:t>l</w:t>
      </w:r>
      <w:r w:rsidRPr="00A669C8">
        <w:rPr>
          <w:rFonts w:cs="Arial"/>
          <w:lang w:val="en-US"/>
        </w:rPr>
        <w:t>ing, on the other hand, some details are not uniformly defined, especially with regard to a preferably EU-wide reporting (e.g. "hazardous waste" is not uniformly regulated in national regulations and this cannot therefore be reported correctly via a single indicator in an internationally operating com</w:t>
      </w:r>
      <w:r>
        <w:rPr>
          <w:rFonts w:cs="Arial"/>
          <w:lang w:val="en-US"/>
        </w:rPr>
        <w:t>p</w:t>
      </w:r>
      <w:r>
        <w:rPr>
          <w:rFonts w:cs="Arial"/>
          <w:lang w:val="en-US"/>
        </w:rPr>
        <w:t>a</w:t>
      </w:r>
      <w:r w:rsidRPr="00A669C8">
        <w:rPr>
          <w:rFonts w:cs="Arial"/>
          <w:lang w:val="en-US"/>
        </w:rPr>
        <w:t>ny).</w:t>
      </w:r>
      <w:permEnd w:id="1221819945"/>
      <w:r w:rsidR="003E573C">
        <w:rPr>
          <w:rFonts w:cs="Arial"/>
        </w:rPr>
        <w:t>&lt;ESA_QUESTION_</w:t>
      </w:r>
      <w:r w:rsidR="00C86E1C">
        <w:rPr>
          <w:rFonts w:cs="Arial"/>
        </w:rPr>
        <w:t>ESG</w:t>
      </w:r>
      <w:r w:rsidR="003E573C">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19AD2E4D" w14:textId="5568DC56" w:rsidR="0032643E" w:rsidRPr="0032643E" w:rsidRDefault="0032643E" w:rsidP="0032643E">
      <w:pPr>
        <w:rPr>
          <w:rFonts w:cs="Arial"/>
          <w:lang w:val="en-US"/>
        </w:rPr>
      </w:pPr>
      <w:permStart w:id="729947415" w:edGrp="everyone"/>
      <w:r w:rsidRPr="0032643E">
        <w:rPr>
          <w:rFonts w:cs="Arial"/>
          <w:lang w:val="en-US"/>
        </w:rPr>
        <w:t xml:space="preserve">See </w:t>
      </w:r>
      <w:r>
        <w:rPr>
          <w:rFonts w:cs="Arial"/>
          <w:lang w:val="en-US"/>
        </w:rPr>
        <w:t>reply</w:t>
      </w:r>
      <w:r w:rsidRPr="0032643E">
        <w:rPr>
          <w:rFonts w:cs="Arial"/>
          <w:lang w:val="en-US"/>
        </w:rPr>
        <w:t xml:space="preserve"> to Q1. In view of the wide range of information </w:t>
      </w:r>
      <w:r>
        <w:rPr>
          <w:rFonts w:cs="Arial"/>
          <w:lang w:val="en-US"/>
        </w:rPr>
        <w:t>asked for</w:t>
      </w:r>
      <w:r w:rsidRPr="0032643E">
        <w:rPr>
          <w:rFonts w:cs="Arial"/>
          <w:lang w:val="en-US"/>
        </w:rPr>
        <w:t xml:space="preserve"> in the report, we see the </w:t>
      </w:r>
      <w:r>
        <w:rPr>
          <w:rFonts w:cs="Arial"/>
          <w:lang w:val="en-US"/>
        </w:rPr>
        <w:t>need to focus on less details which are especially relevant for investors.</w:t>
      </w:r>
    </w:p>
    <w:p w14:paraId="6415E03C" w14:textId="019680C1" w:rsidR="003E573C" w:rsidRDefault="0032643E" w:rsidP="003E573C">
      <w:pPr>
        <w:rPr>
          <w:rFonts w:cs="Arial"/>
        </w:rPr>
      </w:pPr>
      <w:r w:rsidRPr="0032643E">
        <w:rPr>
          <w:rFonts w:cs="Arial"/>
          <w:lang w:val="en-US"/>
        </w:rPr>
        <w:t xml:space="preserve">Investors and companies need planning security </w:t>
      </w:r>
      <w:r>
        <w:rPr>
          <w:rFonts w:cs="Arial"/>
          <w:lang w:val="en-US"/>
        </w:rPr>
        <w:t>for</w:t>
      </w:r>
      <w:r w:rsidRPr="0032643E">
        <w:rPr>
          <w:rFonts w:cs="Arial"/>
          <w:lang w:val="en-US"/>
        </w:rPr>
        <w:t xml:space="preserve"> their investment decisions. </w:t>
      </w:r>
      <w:r w:rsidR="001115B5">
        <w:rPr>
          <w:rFonts w:cs="Arial"/>
          <w:lang w:val="en-US"/>
        </w:rPr>
        <w:t>The ESG path of a co</w:t>
      </w:r>
      <w:r w:rsidR="001115B5">
        <w:rPr>
          <w:rFonts w:cs="Arial"/>
          <w:lang w:val="en-US"/>
        </w:rPr>
        <w:t>m</w:t>
      </w:r>
      <w:r w:rsidR="001115B5">
        <w:rPr>
          <w:rFonts w:cs="Arial"/>
          <w:lang w:val="en-US"/>
        </w:rPr>
        <w:t>pany is mainly defined by its investments. The key figure for investments is capex, thus</w:t>
      </w:r>
      <w:r w:rsidRPr="0032643E">
        <w:rPr>
          <w:rFonts w:cs="Arial"/>
          <w:lang w:val="en-US"/>
        </w:rPr>
        <w:t xml:space="preserve"> this indicator must be anchored in the reporting oblig</w:t>
      </w:r>
      <w:r w:rsidRPr="0032643E">
        <w:rPr>
          <w:rFonts w:cs="Arial"/>
          <w:lang w:val="en-US"/>
        </w:rPr>
        <w:t>a</w:t>
      </w:r>
      <w:r w:rsidRPr="0032643E">
        <w:rPr>
          <w:rFonts w:cs="Arial"/>
          <w:lang w:val="en-US"/>
        </w:rPr>
        <w:t xml:space="preserve">tion. In order to </w:t>
      </w:r>
      <w:proofErr w:type="spellStart"/>
      <w:r w:rsidRPr="0032643E">
        <w:rPr>
          <w:rFonts w:cs="Arial"/>
          <w:lang w:val="en-US"/>
        </w:rPr>
        <w:t>minimise</w:t>
      </w:r>
      <w:proofErr w:type="spellEnd"/>
      <w:r w:rsidRPr="0032643E">
        <w:rPr>
          <w:rFonts w:cs="Arial"/>
          <w:lang w:val="en-US"/>
        </w:rPr>
        <w:t xml:space="preserve"> further additional effort, </w:t>
      </w:r>
      <w:r w:rsidR="001115B5">
        <w:rPr>
          <w:rFonts w:cs="Arial"/>
          <w:lang w:val="en-US"/>
        </w:rPr>
        <w:t>capex</w:t>
      </w:r>
      <w:r w:rsidRPr="0032643E">
        <w:rPr>
          <w:rFonts w:cs="Arial"/>
          <w:lang w:val="en-US"/>
        </w:rPr>
        <w:t xml:space="preserve"> should be used as a KPI wherever possible. </w:t>
      </w:r>
      <w:permEnd w:id="729947415"/>
      <w:r w:rsidR="003E573C">
        <w:rPr>
          <w:rFonts w:cs="Arial"/>
        </w:rPr>
        <w:t>&lt;ESA_QUESTION_</w:t>
      </w:r>
      <w:r w:rsidR="00C86E1C">
        <w:rPr>
          <w:rFonts w:cs="Arial"/>
        </w:rPr>
        <w:t>ESG</w:t>
      </w:r>
      <w:r w:rsidR="003E573C">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w:t>
      </w:r>
      <w:r w:rsidR="00D5594A" w:rsidRPr="00D5594A">
        <w:t>n</w:t>
      </w:r>
      <w:r w:rsidR="00D5594A" w:rsidRPr="00D5594A">
        <w:t>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528B63A2" w:rsidR="003E573C" w:rsidRPr="001115B5" w:rsidRDefault="001115B5" w:rsidP="003E573C">
      <w:pPr>
        <w:rPr>
          <w:rFonts w:cs="Arial"/>
          <w:lang w:val="en-US"/>
        </w:rPr>
      </w:pPr>
      <w:permStart w:id="677205538" w:edGrp="everyone"/>
      <w:r w:rsidRPr="0032643E">
        <w:rPr>
          <w:rFonts w:cs="Arial"/>
          <w:lang w:val="en-US"/>
        </w:rPr>
        <w:t xml:space="preserve">See </w:t>
      </w:r>
      <w:r>
        <w:rPr>
          <w:rFonts w:cs="Arial"/>
          <w:lang w:val="en-US"/>
        </w:rPr>
        <w:t>reply</w:t>
      </w:r>
      <w:r w:rsidRPr="0032643E">
        <w:rPr>
          <w:rFonts w:cs="Arial"/>
          <w:lang w:val="en-US"/>
        </w:rPr>
        <w:t xml:space="preserve"> to Q1. In view of the wide range of information </w:t>
      </w:r>
      <w:r>
        <w:rPr>
          <w:rFonts w:cs="Arial"/>
          <w:lang w:val="en-US"/>
        </w:rPr>
        <w:t>asked for</w:t>
      </w:r>
      <w:r w:rsidRPr="0032643E">
        <w:rPr>
          <w:rFonts w:cs="Arial"/>
          <w:lang w:val="en-US"/>
        </w:rPr>
        <w:t xml:space="preserve"> in the report, we see the </w:t>
      </w:r>
      <w:r>
        <w:rPr>
          <w:rFonts w:cs="Arial"/>
          <w:lang w:val="en-US"/>
        </w:rPr>
        <w:t>need to focus on less details which are especially relevant for investors.</w:t>
      </w:r>
      <w:r>
        <w:rPr>
          <w:rFonts w:cs="Arial"/>
          <w:lang w:val="en-US"/>
        </w:rPr>
        <w:t xml:space="preserve"> </w:t>
      </w:r>
      <w:r w:rsidRPr="001115B5">
        <w:rPr>
          <w:rFonts w:cs="Arial"/>
          <w:lang w:val="en-US"/>
        </w:rPr>
        <w:t>In addition, reporting companies should of course also fulfil their responsibilities under transparent reporting. This could usefully be done by means of sector-specific standards, so that there is better comparability between sectors.</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D9858" w14:textId="2CBF82B3" w:rsidR="003E573C" w:rsidRPr="001115B5" w:rsidRDefault="001115B5" w:rsidP="003E573C">
      <w:pPr>
        <w:rPr>
          <w:rFonts w:cs="Arial"/>
          <w:lang w:val="en-US"/>
        </w:rPr>
      </w:pPr>
      <w:permStart w:id="1220688604" w:edGrp="everyone"/>
      <w:r w:rsidRPr="001115B5">
        <w:rPr>
          <w:rFonts w:cs="Arial"/>
          <w:lang w:val="en-US"/>
        </w:rPr>
        <w:t>See replies to</w:t>
      </w:r>
      <w:r w:rsidR="00EB68A5" w:rsidRPr="001115B5">
        <w:rPr>
          <w:rFonts w:cs="Arial"/>
          <w:lang w:val="en-US"/>
        </w:rPr>
        <w:t xml:space="preserve"> Q1</w:t>
      </w:r>
      <w:r w:rsidRPr="001115B5">
        <w:rPr>
          <w:rFonts w:cs="Arial"/>
          <w:lang w:val="en-US"/>
        </w:rPr>
        <w:t xml:space="preserve"> and</w:t>
      </w:r>
      <w:r w:rsidR="00EB68A5" w:rsidRPr="001115B5">
        <w:rPr>
          <w:rFonts w:cs="Arial"/>
          <w:lang w:val="en-US"/>
        </w:rPr>
        <w:t xml:space="preserve"> Q3.</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lastRenderedPageBreak/>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3E7D10AF" w14:textId="77777777" w:rsidR="00C00C6F" w:rsidRDefault="009E6E32" w:rsidP="003E573C">
      <w:pPr>
        <w:rPr>
          <w:rFonts w:cs="Arial"/>
          <w:lang w:val="en-US"/>
        </w:rPr>
      </w:pPr>
      <w:permStart w:id="209390932" w:edGrp="everyone"/>
      <w:r w:rsidRPr="0032643E">
        <w:rPr>
          <w:rFonts w:cs="Arial"/>
          <w:lang w:val="en-US"/>
        </w:rPr>
        <w:t xml:space="preserve">See </w:t>
      </w:r>
      <w:r>
        <w:rPr>
          <w:rFonts w:cs="Arial"/>
          <w:lang w:val="en-US"/>
        </w:rPr>
        <w:t>reply</w:t>
      </w:r>
      <w:r w:rsidRPr="0032643E">
        <w:rPr>
          <w:rFonts w:cs="Arial"/>
          <w:lang w:val="en-US"/>
        </w:rPr>
        <w:t xml:space="preserve"> to Q1. In view of the wide range of information </w:t>
      </w:r>
      <w:r>
        <w:rPr>
          <w:rFonts w:cs="Arial"/>
          <w:lang w:val="en-US"/>
        </w:rPr>
        <w:t>asked for</w:t>
      </w:r>
      <w:r w:rsidRPr="0032643E">
        <w:rPr>
          <w:rFonts w:cs="Arial"/>
          <w:lang w:val="en-US"/>
        </w:rPr>
        <w:t xml:space="preserve"> in the report, we see the </w:t>
      </w:r>
      <w:r>
        <w:rPr>
          <w:rFonts w:cs="Arial"/>
          <w:lang w:val="en-US"/>
        </w:rPr>
        <w:t>need to focus on less details which are especially relevant for investors</w:t>
      </w:r>
      <w:r>
        <w:rPr>
          <w:rFonts w:cs="Arial"/>
          <w:lang w:val="en-US"/>
        </w:rPr>
        <w:t>.</w:t>
      </w:r>
      <w:r w:rsidRPr="009E6E32">
        <w:rPr>
          <w:rFonts w:cs="Arial"/>
          <w:lang w:val="en-US"/>
        </w:rPr>
        <w:t xml:space="preserve"> In our view, the KPIs listed in the table are too detailed to be used as a basis for "general" investment decisions. Instead, the number of KPIs queried should be within a reasonable and manageable range. More detailed KPIs could be integrated in a sector-specific questionnaire. In addition, provisions on future reporting obligations should also be laid down with regard to the added value of reporting without causing disproportionate additional work for the reporting companies.</w:t>
      </w:r>
      <w:r>
        <w:rPr>
          <w:rFonts w:cs="Arial"/>
          <w:lang w:val="en-US"/>
        </w:rPr>
        <w:t xml:space="preserve"> Forward-looking indicators, based on the investments of a company are the most relevant information for investment decisions. As the aim of the whole sustainable finance age</w:t>
      </w:r>
      <w:r>
        <w:rPr>
          <w:rFonts w:cs="Arial"/>
          <w:lang w:val="en-US"/>
        </w:rPr>
        <w:t>n</w:t>
      </w:r>
      <w:r>
        <w:rPr>
          <w:rFonts w:cs="Arial"/>
          <w:lang w:val="en-US"/>
        </w:rPr>
        <w:t xml:space="preserve">da is, to steer investments into the projects which contribute most to </w:t>
      </w:r>
      <w:proofErr w:type="spellStart"/>
      <w:r>
        <w:rPr>
          <w:rFonts w:cs="Arial"/>
          <w:lang w:val="en-US"/>
        </w:rPr>
        <w:t>decarbonisation</w:t>
      </w:r>
      <w:proofErr w:type="spellEnd"/>
      <w:r>
        <w:rPr>
          <w:rFonts w:cs="Arial"/>
          <w:lang w:val="en-US"/>
        </w:rPr>
        <w:t>, forward-looking indicators are very valuable for investors.</w:t>
      </w:r>
    </w:p>
    <w:permEnd w:id="209390932"/>
    <w:p w14:paraId="61BD6C84" w14:textId="5EF5D5D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w:t>
      </w:r>
      <w:r w:rsidR="002A73F1" w:rsidRPr="002A73F1">
        <w:t>l</w:t>
      </w:r>
      <w:r w:rsidR="002A73F1" w:rsidRPr="002A73F1">
        <w:t>so requesting a) a relative measure of carbon emissions relative to the EU 2030 climate and energy framework target and b) a relative measure of carbon emissions relative to the prevai</w:t>
      </w:r>
      <w:r w:rsidR="002A73F1" w:rsidRPr="002A73F1">
        <w:t>l</w:t>
      </w:r>
      <w:r w:rsidR="002A73F1" w:rsidRPr="002A73F1">
        <w:t>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6BF09F0F" w:rsidR="003E573C" w:rsidRPr="007670FD" w:rsidRDefault="007670FD" w:rsidP="003E573C">
      <w:pPr>
        <w:rPr>
          <w:rFonts w:cs="Arial"/>
          <w:lang w:val="en-US"/>
        </w:rPr>
      </w:pPr>
      <w:permStart w:id="418122716" w:edGrp="everyone"/>
      <w:r w:rsidRPr="007670FD">
        <w:rPr>
          <w:rFonts w:cs="Arial"/>
          <w:lang w:val="en-US"/>
        </w:rPr>
        <w:t xml:space="preserve">In principle, relative measures could possibly be a part of the ESG disclosures. </w:t>
      </w:r>
      <w:r>
        <w:rPr>
          <w:rFonts w:cs="Arial"/>
          <w:lang w:val="en-US"/>
        </w:rPr>
        <w:t>However, a lot of que</w:t>
      </w:r>
      <w:r>
        <w:rPr>
          <w:rFonts w:cs="Arial"/>
          <w:lang w:val="en-US"/>
        </w:rPr>
        <w:t>s</w:t>
      </w:r>
      <w:r>
        <w:rPr>
          <w:rFonts w:cs="Arial"/>
          <w:lang w:val="en-US"/>
        </w:rPr>
        <w:t>tions remain open at this point. Generally, a transparent, scientific and harmonized framework would be nee</w:t>
      </w:r>
      <w:r>
        <w:rPr>
          <w:rFonts w:cs="Arial"/>
          <w:lang w:val="en-US"/>
        </w:rPr>
        <w:t>d</w:t>
      </w:r>
      <w:r>
        <w:rPr>
          <w:rFonts w:cs="Arial"/>
          <w:lang w:val="en-US"/>
        </w:rPr>
        <w:t>ed in order to implement such indicators</w:t>
      </w:r>
      <w:bookmarkStart w:id="1" w:name="_GoBack"/>
      <w:bookmarkEnd w:id="1"/>
      <w:r>
        <w:rPr>
          <w:rFonts w:cs="Arial"/>
          <w:lang w:val="en-US"/>
        </w:rPr>
        <w:t>.</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w:t>
      </w:r>
      <w:r w:rsidR="002A73F1" w:rsidRPr="002A73F1">
        <w:t>a</w:t>
      </w:r>
      <w:r w:rsidR="002A73F1" w:rsidRPr="002A73F1">
        <w:t>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enabsatz"/>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w:t>
      </w:r>
      <w:r w:rsidR="002A73F1" w:rsidRPr="002A73F1">
        <w:rPr>
          <w:rFonts w:asciiTheme="minorHAnsi" w:eastAsiaTheme="minorEastAsia" w:hAnsiTheme="minorHAnsi" w:cstheme="minorBidi"/>
          <w:b/>
          <w:sz w:val="22"/>
          <w:szCs w:val="20"/>
          <w:lang w:eastAsia="en-US"/>
        </w:rPr>
        <w:t>r</w:t>
      </w:r>
      <w:r w:rsidR="002A73F1" w:rsidRPr="002A73F1">
        <w:rPr>
          <w:rFonts w:asciiTheme="minorHAnsi" w:eastAsiaTheme="minorEastAsia" w:hAnsiTheme="minorHAnsi" w:cstheme="minorBidi"/>
          <w:b/>
          <w:sz w:val="22"/>
          <w:szCs w:val="20"/>
          <w:lang w:eastAsia="en-US"/>
        </w:rPr>
        <w:t>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enabsatz"/>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7FE8D1E5" w14:textId="23280D97" w:rsidR="00C00C6F" w:rsidRDefault="00C00C6F" w:rsidP="003E573C">
      <w:pPr>
        <w:rPr>
          <w:rFonts w:cs="Arial"/>
          <w:lang w:val="en-US"/>
        </w:rPr>
      </w:pPr>
      <w:permStart w:id="1713528049" w:edGrp="everyone"/>
      <w:r w:rsidRPr="00C00C6F">
        <w:rPr>
          <w:rFonts w:cs="Arial"/>
          <w:lang w:val="en-US"/>
        </w:rPr>
        <w:t xml:space="preserve">Investors, analysts and other stakeholders consider RWE's current reporting to be very balanced and transparent </w:t>
      </w:r>
      <w:r>
        <w:rPr>
          <w:rFonts w:cs="Arial"/>
          <w:lang w:val="en-US"/>
        </w:rPr>
        <w:t>based on the</w:t>
      </w:r>
      <w:r w:rsidRPr="00C00C6F">
        <w:rPr>
          <w:rFonts w:cs="Arial"/>
          <w:lang w:val="en-US"/>
        </w:rPr>
        <w:t xml:space="preserve"> received feedback. We therefore consider the current reporting requir</w:t>
      </w:r>
      <w:r w:rsidRPr="00C00C6F">
        <w:rPr>
          <w:rFonts w:cs="Arial"/>
          <w:lang w:val="en-US"/>
        </w:rPr>
        <w:t>e</w:t>
      </w:r>
      <w:r w:rsidRPr="00C00C6F">
        <w:rPr>
          <w:rFonts w:cs="Arial"/>
          <w:lang w:val="en-US"/>
        </w:rPr>
        <w:t>ments to be sufficient. Supplementing them with information from Sustainable Finance will also be useful. In our view, no further additions/detailing is currently necessary.</w:t>
      </w:r>
    </w:p>
    <w:permEnd w:id="1713528049"/>
    <w:p w14:paraId="6DB9AF7D" w14:textId="21C93182"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w:t>
      </w:r>
      <w:r w:rsidR="002A73F1" w:rsidRPr="002A73F1">
        <w:t>e</w:t>
      </w:r>
      <w:r w:rsidR="002A73F1" w:rsidRPr="002A73F1">
        <w:t>spect for human rights, anti-corruption and anti-bribery matters at the same time as the env</w:t>
      </w:r>
      <w:r w:rsidR="002A73F1" w:rsidRPr="002A73F1">
        <w:t>i</w:t>
      </w:r>
      <w:r w:rsidR="002A73F1" w:rsidRPr="002A73F1">
        <w:t>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6F68FCB6" w14:textId="61550CCC" w:rsidR="00C00C6F" w:rsidRDefault="00C00C6F" w:rsidP="003E573C">
      <w:pPr>
        <w:rPr>
          <w:rFonts w:cs="Arial"/>
          <w:lang w:val="en-US"/>
        </w:rPr>
      </w:pPr>
      <w:permStart w:id="221670941" w:edGrp="everyone"/>
      <w:r w:rsidRPr="00C00C6F">
        <w:rPr>
          <w:rFonts w:cs="Arial"/>
          <w:lang w:val="en-US"/>
        </w:rPr>
        <w:lastRenderedPageBreak/>
        <w:t xml:space="preserve">The current </w:t>
      </w:r>
      <w:proofErr w:type="spellStart"/>
      <w:r w:rsidRPr="00C00C6F">
        <w:rPr>
          <w:rFonts w:cs="Arial"/>
          <w:lang w:val="en-US"/>
        </w:rPr>
        <w:t>prioritisation</w:t>
      </w:r>
      <w:proofErr w:type="spellEnd"/>
      <w:r w:rsidRPr="00C00C6F">
        <w:rPr>
          <w:rFonts w:cs="Arial"/>
          <w:lang w:val="en-US"/>
        </w:rPr>
        <w:t xml:space="preserve"> of environmental indicators resulted from the understanding </w:t>
      </w:r>
      <w:r>
        <w:rPr>
          <w:rFonts w:cs="Arial"/>
          <w:lang w:val="en-US"/>
        </w:rPr>
        <w:t>of climate change as the most urgent global challenge</w:t>
      </w:r>
      <w:r w:rsidRPr="00C00C6F">
        <w:rPr>
          <w:rFonts w:cs="Arial"/>
          <w:lang w:val="en-US"/>
        </w:rPr>
        <w:t xml:space="preserve"> (measures derived on the basis of indicators). Since environmental indic</w:t>
      </w:r>
      <w:r w:rsidRPr="00C00C6F">
        <w:rPr>
          <w:rFonts w:cs="Arial"/>
          <w:lang w:val="en-US"/>
        </w:rPr>
        <w:t>a</w:t>
      </w:r>
      <w:r w:rsidRPr="00C00C6F">
        <w:rPr>
          <w:rFonts w:cs="Arial"/>
          <w:lang w:val="en-US"/>
        </w:rPr>
        <w:t>tors are already well covered in reporting, human rights are currently the focus of future reporting. It seems sens</w:t>
      </w:r>
      <w:r w:rsidRPr="00C00C6F">
        <w:rPr>
          <w:rFonts w:cs="Arial"/>
          <w:lang w:val="en-US"/>
        </w:rPr>
        <w:t>i</w:t>
      </w:r>
      <w:r w:rsidRPr="00C00C6F">
        <w:rPr>
          <w:rFonts w:cs="Arial"/>
          <w:lang w:val="en-US"/>
        </w:rPr>
        <w:t>ble to establish suitable indicators, on the basis of which appropriate measures can then be derived. However, the first step is to define which indicators should be collected and reported. Furthe</w:t>
      </w:r>
      <w:r w:rsidRPr="00C00C6F">
        <w:rPr>
          <w:rFonts w:cs="Arial"/>
          <w:lang w:val="en-US"/>
        </w:rPr>
        <w:t>r</w:t>
      </w:r>
      <w:r w:rsidRPr="00C00C6F">
        <w:rPr>
          <w:rFonts w:cs="Arial"/>
          <w:lang w:val="en-US"/>
        </w:rPr>
        <w:t>more, we believe that good reporting standards have a</w:t>
      </w:r>
      <w:r w:rsidRPr="00C00C6F">
        <w:rPr>
          <w:rFonts w:cs="Arial"/>
          <w:lang w:val="en-US"/>
        </w:rPr>
        <w:t>l</w:t>
      </w:r>
      <w:r w:rsidRPr="00C00C6F">
        <w:rPr>
          <w:rFonts w:cs="Arial"/>
          <w:lang w:val="en-US"/>
        </w:rPr>
        <w:t>ready been established for anti-corruption and anti-bribery, so that no acute need for action is currently seen</w:t>
      </w:r>
      <w:r>
        <w:rPr>
          <w:rFonts w:cs="Arial"/>
          <w:lang w:val="en-US"/>
        </w:rPr>
        <w:t xml:space="preserve"> in this field</w:t>
      </w:r>
      <w:r w:rsidRPr="00C00C6F">
        <w:rPr>
          <w:rFonts w:cs="Arial"/>
          <w:lang w:val="en-US"/>
        </w:rPr>
        <w:t>.</w:t>
      </w:r>
    </w:p>
    <w:permEnd w:id="221670941"/>
    <w:p w14:paraId="57161E15" w14:textId="29B3D2EC"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2"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2"/>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40F05C94" w14:textId="7E90A244" w:rsidR="003E573C" w:rsidRDefault="00004DF4" w:rsidP="003E573C">
      <w:pPr>
        <w:rPr>
          <w:rFonts w:cs="Arial"/>
        </w:rPr>
      </w:pPr>
      <w:permStart w:id="610013876" w:edGrp="everyone"/>
      <w:r w:rsidRPr="00004DF4">
        <w:rPr>
          <w:rFonts w:cs="Arial"/>
          <w:lang w:val="en-US"/>
        </w:rPr>
        <w:t xml:space="preserve">It </w:t>
      </w:r>
      <w:r>
        <w:rPr>
          <w:rFonts w:cs="Arial"/>
          <w:lang w:val="en-US"/>
        </w:rPr>
        <w:t>seems reasonable</w:t>
      </w:r>
      <w:r w:rsidRPr="00004DF4">
        <w:rPr>
          <w:rFonts w:cs="Arial"/>
          <w:lang w:val="en-US"/>
        </w:rPr>
        <w:t xml:space="preserve"> to start with an up-to-date report</w:t>
      </w:r>
      <w:r>
        <w:rPr>
          <w:rFonts w:cs="Arial"/>
          <w:lang w:val="en-US"/>
        </w:rPr>
        <w:t xml:space="preserve"> of the current situation</w:t>
      </w:r>
      <w:r w:rsidRPr="00004DF4">
        <w:rPr>
          <w:rFonts w:cs="Arial"/>
          <w:lang w:val="en-US"/>
        </w:rPr>
        <w:t>. This could be expanded over time to a time frame of seve</w:t>
      </w:r>
      <w:r w:rsidRPr="00004DF4">
        <w:rPr>
          <w:rFonts w:cs="Arial"/>
          <w:lang w:val="en-US"/>
        </w:rPr>
        <w:t>r</w:t>
      </w:r>
      <w:r w:rsidRPr="00004DF4">
        <w:rPr>
          <w:rFonts w:cs="Arial"/>
          <w:lang w:val="en-US"/>
        </w:rPr>
        <w:t>al years. However, it would not make sense to require a retrospective period of 10 years in the first year of reporting, since, as a rule, it is almost impossible to collect key fi</w:t>
      </w:r>
      <w:r w:rsidRPr="00004DF4">
        <w:rPr>
          <w:rFonts w:cs="Arial"/>
          <w:lang w:val="en-US"/>
        </w:rPr>
        <w:t>g</w:t>
      </w:r>
      <w:r w:rsidRPr="00004DF4">
        <w:rPr>
          <w:rFonts w:cs="Arial"/>
          <w:lang w:val="en-US"/>
        </w:rPr>
        <w:t>ures retrospectively, which would be highly error-prone and not very meanin</w:t>
      </w:r>
      <w:r w:rsidRPr="00004DF4">
        <w:rPr>
          <w:rFonts w:cs="Arial"/>
          <w:lang w:val="en-US"/>
        </w:rPr>
        <w:t>g</w:t>
      </w:r>
      <w:r w:rsidRPr="00004DF4">
        <w:rPr>
          <w:rFonts w:cs="Arial"/>
          <w:lang w:val="en-US"/>
        </w:rPr>
        <w:t>ful.</w:t>
      </w:r>
      <w:permEnd w:id="610013876"/>
      <w:r w:rsidR="003E573C">
        <w:rPr>
          <w:rFonts w:cs="Arial"/>
        </w:rPr>
        <w:t>&lt;ESA_QUESTION_</w:t>
      </w:r>
      <w:r w:rsidR="00C86E1C">
        <w:rPr>
          <w:rFonts w:cs="Arial"/>
        </w:rPr>
        <w:t>ESG</w:t>
      </w:r>
      <w:r w:rsidR="003E573C">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w:t>
      </w:r>
      <w:r w:rsidR="002A73F1" w:rsidRPr="002A73F1">
        <w:t>n</w:t>
      </w:r>
      <w:r w:rsidR="002A73F1" w:rsidRPr="002A73F1">
        <w:t>cipal adverse impact reporting? Should the ESAs consider harmonising the methodology and timing of reporting across the reference period, e.g. on what dates the composition of inves</w:t>
      </w:r>
      <w:r w:rsidR="002A73F1" w:rsidRPr="002A73F1">
        <w:t>t</w:t>
      </w:r>
      <w:r w:rsidR="002A73F1" w:rsidRPr="002A73F1">
        <w:t>ments must be taken into account? If not, what alternative would you suggest to curtail wi</w:t>
      </w:r>
      <w:r w:rsidR="002A73F1" w:rsidRPr="002A73F1">
        <w:t>n</w:t>
      </w:r>
      <w:r w:rsidR="002A73F1" w:rsidRPr="002A73F1">
        <w:t>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58736628" w:rsidR="003E573C" w:rsidRPr="00343C7E" w:rsidRDefault="00004DF4" w:rsidP="003E573C">
      <w:pPr>
        <w:rPr>
          <w:rFonts w:cs="Arial"/>
          <w:lang w:val="en-US"/>
        </w:rPr>
      </w:pPr>
      <w:permStart w:id="790175202" w:edGrp="everyone"/>
      <w:proofErr w:type="spellStart"/>
      <w:r w:rsidRPr="00343C7E">
        <w:rPr>
          <w:rFonts w:cs="Arial"/>
          <w:lang w:val="en-US"/>
        </w:rPr>
        <w:t>Harmonising</w:t>
      </w:r>
      <w:proofErr w:type="spellEnd"/>
      <w:r w:rsidRPr="00343C7E">
        <w:rPr>
          <w:rFonts w:cs="Arial"/>
          <w:lang w:val="en-US"/>
        </w:rPr>
        <w:t xml:space="preserve"> the different reporting requirements </w:t>
      </w:r>
      <w:r w:rsidR="00343C7E" w:rsidRPr="00343C7E">
        <w:rPr>
          <w:rFonts w:cs="Arial"/>
          <w:lang w:val="en-US"/>
        </w:rPr>
        <w:t>deriving from the Taxonomy Regulation and the NFRD is very reasonable</w:t>
      </w:r>
      <w:r w:rsidR="00F93611">
        <w:rPr>
          <w:rFonts w:cs="Arial"/>
          <w:lang w:val="en-US"/>
        </w:rPr>
        <w:t xml:space="preserve"> In general, </w:t>
      </w:r>
      <w:r w:rsidR="00343C7E" w:rsidRPr="00343C7E">
        <w:rPr>
          <w:rFonts w:cs="Arial"/>
          <w:lang w:val="en-US"/>
        </w:rPr>
        <w:t>.</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w:t>
      </w:r>
      <w:r w:rsidR="002A73F1" w:rsidRPr="002A73F1">
        <w:t>i</w:t>
      </w:r>
      <w:r w:rsidR="002A73F1" w:rsidRPr="002A73F1">
        <w:t>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1CE2E220" w:rsidR="003E573C" w:rsidRPr="00F45114" w:rsidRDefault="00343C7E" w:rsidP="003E573C">
      <w:pPr>
        <w:rPr>
          <w:rFonts w:cs="Arial"/>
          <w:lang w:val="de-DE"/>
        </w:rPr>
      </w:pPr>
      <w:permStart w:id="800330460" w:edGrp="everyone"/>
      <w:r>
        <w:rPr>
          <w:rFonts w:cs="Arial"/>
          <w:lang w:val="de-DE"/>
        </w:rPr>
        <w:t>TYPE YOUR TEXT HERE</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w:t>
      </w:r>
      <w:r w:rsidR="002A73F1" w:rsidRPr="002A73F1">
        <w:t>e</w:t>
      </w:r>
      <w:r w:rsidR="002A73F1" w:rsidRPr="002A73F1">
        <w:t>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w:t>
      </w:r>
      <w:r w:rsidR="002A73F1" w:rsidRPr="002A73F1">
        <w:t>n</w:t>
      </w:r>
      <w:r w:rsidR="002A73F1" w:rsidRPr="002A73F1">
        <w:t>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w:t>
      </w:r>
      <w:r w:rsidR="002A73F1" w:rsidRPr="002A73F1">
        <w:t>i</w:t>
      </w:r>
      <w:r w:rsidR="002A73F1" w:rsidRPr="002A73F1">
        <w:t>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w:t>
      </w:r>
      <w:r w:rsidR="002A73F1" w:rsidRPr="002A73F1">
        <w:t>a</w:t>
      </w:r>
      <w:r w:rsidR="002A73F1" w:rsidRPr="002A73F1">
        <w:t>tions illustrate the proportion of investments screened against the environmental or social characteristics of the financial product. However, as characteristics can widely vary from pro</w:t>
      </w:r>
      <w:r w:rsidR="002A73F1" w:rsidRPr="002A73F1">
        <w:t>d</w:t>
      </w:r>
      <w:r w:rsidR="002A73F1" w:rsidRPr="002A73F1">
        <w:t>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25C28A62" w:rsidR="003E573C" w:rsidRPr="00F45114" w:rsidRDefault="00F45114" w:rsidP="003E573C">
      <w:pPr>
        <w:rPr>
          <w:rFonts w:cs="Arial"/>
          <w:lang w:val="en-US"/>
        </w:rPr>
      </w:pPr>
      <w:permStart w:id="1687822303" w:edGrp="everyone"/>
      <w:r>
        <w:rPr>
          <w:rFonts w:cs="Arial"/>
        </w:rPr>
        <w:t>The highest aim must be simplicity</w:t>
      </w:r>
      <w:r w:rsidR="00F93611">
        <w:rPr>
          <w:rFonts w:cs="Arial"/>
        </w:rPr>
        <w:t xml:space="preserve"> and comparability</w:t>
      </w:r>
      <w:r>
        <w:rPr>
          <w:rFonts w:cs="Arial"/>
        </w:rPr>
        <w:t xml:space="preserve">. </w:t>
      </w:r>
      <w:r w:rsidR="00337BDE">
        <w:rPr>
          <w:rFonts w:cs="Arial"/>
          <w:lang w:val="en-US"/>
        </w:rPr>
        <w:t>T</w:t>
      </w:r>
      <w:r>
        <w:rPr>
          <w:rFonts w:cs="Arial"/>
          <w:lang w:val="en-US"/>
        </w:rPr>
        <w:t>he risk for using the same or similar graphical d</w:t>
      </w:r>
      <w:r>
        <w:rPr>
          <w:rFonts w:cs="Arial"/>
          <w:lang w:val="en-US"/>
        </w:rPr>
        <w:t>e</w:t>
      </w:r>
      <w:r>
        <w:rPr>
          <w:rFonts w:cs="Arial"/>
          <w:lang w:val="en-US"/>
        </w:rPr>
        <w:t xml:space="preserve">sign for different content is </w:t>
      </w:r>
      <w:r w:rsidR="00337BDE">
        <w:rPr>
          <w:rFonts w:cs="Arial"/>
          <w:lang w:val="en-US"/>
        </w:rPr>
        <w:t>very</w:t>
      </w:r>
      <w:r>
        <w:rPr>
          <w:rFonts w:cs="Arial"/>
          <w:lang w:val="en-US"/>
        </w:rPr>
        <w:t xml:space="preserve"> high.</w:t>
      </w:r>
      <w:r w:rsidR="006A527B">
        <w:rPr>
          <w:rFonts w:cs="Arial"/>
          <w:lang w:val="en-US"/>
        </w:rPr>
        <w:t xml:space="preserve"> A description in concrete and clear terms – maybe in clusters or categ</w:t>
      </w:r>
      <w:r w:rsidR="006A527B">
        <w:rPr>
          <w:rFonts w:cs="Arial"/>
          <w:lang w:val="en-US"/>
        </w:rPr>
        <w:t>o</w:t>
      </w:r>
      <w:r w:rsidR="006A527B">
        <w:rPr>
          <w:rFonts w:cs="Arial"/>
          <w:lang w:val="en-US"/>
        </w:rPr>
        <w:t>ries – would be more useful rather than graphic representation</w:t>
      </w:r>
      <w:r w:rsidR="007670FD">
        <w:rPr>
          <w:rFonts w:cs="Arial"/>
          <w:lang w:val="en-US"/>
        </w:rPr>
        <w:t>.</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0D57B610" w:rsidR="003E573C" w:rsidRPr="00337BDE" w:rsidRDefault="00337BDE" w:rsidP="003E573C">
      <w:pPr>
        <w:rPr>
          <w:rFonts w:cs="Arial"/>
          <w:lang w:val="en-US"/>
        </w:rPr>
      </w:pPr>
      <w:permStart w:id="669663577" w:edGrp="everyone"/>
      <w:r w:rsidRPr="00337BDE">
        <w:rPr>
          <w:rFonts w:cs="Arial"/>
          <w:lang w:val="en-US"/>
        </w:rPr>
        <w:t xml:space="preserve">We think that focusing only on solid fossil-fuels is very problematic. </w:t>
      </w:r>
      <w:r>
        <w:rPr>
          <w:rFonts w:cs="Arial"/>
          <w:lang w:val="en-US"/>
        </w:rPr>
        <w:t>This discriminates against specific technologies instead of giving a technology-neutral picture of CO2 emissions and especially the emissions reduction path of a company. Why other fossil fuels aren’t covered remains unclear.</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3C035481" w:rsidR="003E573C" w:rsidRPr="00F6495A" w:rsidRDefault="00337BDE" w:rsidP="003E573C">
      <w:pPr>
        <w:rPr>
          <w:rFonts w:cs="Arial"/>
          <w:lang w:val="de-DE"/>
        </w:rPr>
      </w:pPr>
      <w:permStart w:id="806708611" w:edGrp="everyone"/>
      <w:r>
        <w:rPr>
          <w:rFonts w:cs="Arial"/>
          <w:lang w:val="de-DE"/>
        </w:rPr>
        <w:t xml:space="preserve">See </w:t>
      </w:r>
      <w:proofErr w:type="spellStart"/>
      <w:r>
        <w:rPr>
          <w:rFonts w:cs="Arial"/>
          <w:lang w:val="de-DE"/>
        </w:rPr>
        <w:t>reply</w:t>
      </w:r>
      <w:proofErr w:type="spellEnd"/>
      <w:r>
        <w:rPr>
          <w:rFonts w:cs="Arial"/>
          <w:lang w:val="de-DE"/>
        </w:rPr>
        <w:t xml:space="preserve"> </w:t>
      </w:r>
      <w:proofErr w:type="spellStart"/>
      <w:r>
        <w:rPr>
          <w:rFonts w:cs="Arial"/>
          <w:lang w:val="de-DE"/>
        </w:rPr>
        <w:t>to</w:t>
      </w:r>
      <w:proofErr w:type="spellEnd"/>
      <w:r>
        <w:rPr>
          <w:rFonts w:cs="Arial"/>
          <w:lang w:val="de-DE"/>
        </w:rPr>
        <w:t xml:space="preserve"> Q19</w:t>
      </w:r>
    </w:p>
    <w:permEnd w:id="806708611"/>
    <w:p w14:paraId="7AC72B75" w14:textId="2DB44768" w:rsidR="003E573C" w:rsidRDefault="003E573C" w:rsidP="003E573C">
      <w:pPr>
        <w:rPr>
          <w:rFonts w:cs="Arial"/>
        </w:rPr>
      </w:pPr>
      <w:r>
        <w:rPr>
          <w:rFonts w:cs="Arial"/>
        </w:rPr>
        <w:lastRenderedPageBreak/>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w:t>
      </w:r>
      <w:r w:rsidR="002A73F1" w:rsidRPr="002A73F1">
        <w:t>s</w:t>
      </w:r>
      <w:r w:rsidR="002A73F1" w:rsidRPr="002A73F1">
        <w:t>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62DF990B" w:rsidR="003E573C" w:rsidRPr="007670FD" w:rsidRDefault="007670FD" w:rsidP="003E573C">
      <w:pPr>
        <w:rPr>
          <w:rFonts w:cs="Arial"/>
          <w:lang w:val="en-US"/>
        </w:rPr>
      </w:pPr>
      <w:permStart w:id="2245015" w:edGrp="everyone"/>
      <w:r>
        <w:rPr>
          <w:rFonts w:cs="Arial"/>
          <w:lang w:val="en-US"/>
        </w:rPr>
        <w:t>TYPE YOUR TEXT HERE</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w:t>
      </w:r>
      <w:r w:rsidR="002A73F1" w:rsidRPr="002A73F1">
        <w:t>p</w:t>
      </w:r>
      <w:r w:rsidR="002A73F1" w:rsidRPr="002A73F1">
        <w:t>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13C29AF" w14:textId="1DAD1C4A" w:rsidR="003E573C" w:rsidRPr="00AB55F5" w:rsidRDefault="0075424E" w:rsidP="003E573C">
      <w:pPr>
        <w:rPr>
          <w:rFonts w:cs="Arial"/>
          <w:lang w:val="en-US"/>
        </w:rPr>
      </w:pPr>
      <w:permStart w:id="1634935588" w:edGrp="everyone"/>
      <w:r>
        <w:rPr>
          <w:rFonts w:cs="Arial"/>
          <w:lang w:val="en-US"/>
        </w:rPr>
        <w:t xml:space="preserve">We are hesitant </w:t>
      </w:r>
      <w:r w:rsidR="00AB55F5" w:rsidRPr="00AB55F5">
        <w:rPr>
          <w:rFonts w:cs="Arial"/>
          <w:lang w:val="en-US"/>
        </w:rPr>
        <w:t xml:space="preserve"> w</w:t>
      </w:r>
      <w:r w:rsidR="00AB55F5">
        <w:rPr>
          <w:rFonts w:cs="Arial"/>
          <w:lang w:val="en-US"/>
        </w:rPr>
        <w:t xml:space="preserve">hether </w:t>
      </w:r>
      <w:r w:rsidR="00A17E9F">
        <w:rPr>
          <w:rFonts w:cs="Arial"/>
          <w:lang w:val="en-US"/>
        </w:rPr>
        <w:t>definitions</w:t>
      </w:r>
      <w:r w:rsidR="00AB55F5">
        <w:rPr>
          <w:rFonts w:cs="Arial"/>
          <w:lang w:val="en-US"/>
        </w:rPr>
        <w:t xml:space="preserve"> like best-in-class are helpful and what is more important, really co</w:t>
      </w:r>
      <w:r w:rsidR="00AB55F5">
        <w:rPr>
          <w:rFonts w:cs="Arial"/>
          <w:lang w:val="en-US"/>
        </w:rPr>
        <w:t>m</w:t>
      </w:r>
      <w:r w:rsidR="00AB55F5">
        <w:rPr>
          <w:rFonts w:cs="Arial"/>
          <w:lang w:val="en-US"/>
        </w:rPr>
        <w:t xml:space="preserve">parable even within the sector. </w:t>
      </w:r>
      <w:r w:rsidR="00A17E9F">
        <w:rPr>
          <w:rFonts w:cs="Arial"/>
          <w:lang w:val="en-US"/>
        </w:rPr>
        <w:t>Thus we can’t give advice how to define these strategies</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w:t>
      </w:r>
      <w:r w:rsidR="006920C8" w:rsidRPr="006920C8">
        <w:t>t</w:t>
      </w:r>
      <w:r w:rsidR="006920C8" w:rsidRPr="006920C8">
        <w: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7D80D703" w:rsidR="003E573C" w:rsidRDefault="00A17E9F" w:rsidP="003E573C">
      <w:pPr>
        <w:rPr>
          <w:rFonts w:cs="Arial"/>
        </w:rPr>
      </w:pPr>
      <w:permStart w:id="872961277" w:edGrp="everyone"/>
      <w:r>
        <w:rPr>
          <w:rFonts w:cs="Arial"/>
        </w:rPr>
        <w:t>See reply</w:t>
      </w:r>
      <w:r w:rsidR="00AB55F5">
        <w:rPr>
          <w:rFonts w:cs="Arial"/>
        </w:rPr>
        <w:t xml:space="preserve"> on Q23</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w:t>
      </w:r>
      <w:r w:rsidR="006920C8">
        <w:t>t</w:t>
      </w:r>
      <w:r w:rsidR="006920C8">
        <w:t xml:space="preserve">ter to include the item in the </w:t>
      </w:r>
      <w:bookmarkStart w:id="3" w:name="_Hlk48726133"/>
      <w:r w:rsidR="006920C8">
        <w:t>pre-contractual or the website disclosures for financial products</w:t>
      </w:r>
      <w:bookmarkEnd w:id="3"/>
      <w:r w:rsidR="006920C8">
        <w:t>?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w:t>
      </w:r>
      <w:r>
        <w:t>a</w:t>
      </w:r>
      <w:r>
        <w:t>tion of the investment strategy - in the draft RTS below it is in the pre-contractual di</w:t>
      </w:r>
      <w:r>
        <w:t>s</w:t>
      </w:r>
      <w:r>
        <w:t>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lastRenderedPageBreak/>
        <w:t>a description of the limitations to (1) methodologies and (2) data sources and how such limitations do not affect the attainment of any environmental or social characte</w:t>
      </w:r>
      <w:r>
        <w:t>r</w:t>
      </w:r>
      <w:r>
        <w:t>istics or sustainable investment objective of the financial product - in the draft RTS b</w:t>
      </w:r>
      <w:r>
        <w:t>e</w:t>
      </w:r>
      <w:r>
        <w:t>low it is in the website disclosure under Article 34(1)(k) and Article 35(1)(k); and</w:t>
      </w:r>
    </w:p>
    <w:p w14:paraId="29EEC46C" w14:textId="77777777" w:rsidR="006920C8" w:rsidRDefault="006920C8" w:rsidP="006920C8">
      <w:pPr>
        <w:pStyle w:val="Questionstyle"/>
        <w:numPr>
          <w:ilvl w:val="0"/>
          <w:numId w:val="50"/>
        </w:numPr>
      </w:pPr>
      <w:r>
        <w:t>a reference to whether data sources are external or internal and in what proportions - not currently reflected in the draft RTS but could complement the pre-contractual di</w:t>
      </w:r>
      <w:r>
        <w:t>s</w:t>
      </w:r>
      <w:r>
        <w:t xml:space="preserve">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77777777" w:rsidR="003E573C" w:rsidRDefault="003E573C" w:rsidP="003E573C">
      <w:pPr>
        <w:rPr>
          <w:rFonts w:cs="Arial"/>
        </w:rPr>
      </w:pPr>
      <w:permStart w:id="624894902" w:edGrp="everyone"/>
      <w:r>
        <w:rPr>
          <w:rFonts w:cs="Arial"/>
        </w:rPr>
        <w:t>TYPE YOUR TEXT HERE</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w:t>
      </w:r>
      <w:r w:rsidR="006920C8" w:rsidRPr="006920C8">
        <w:t>o</w:t>
      </w:r>
      <w:r w:rsidR="006920C8" w:rsidRPr="006920C8">
        <w:t>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55232A" w15:done="0"/>
  <w15:commentEx w15:paraId="4C1EBDD8" w15:done="0"/>
  <w15:commentEx w15:paraId="25B470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55232A" w16cid:durableId="22E7E221"/>
  <w16cid:commentId w16cid:paraId="4C1EBDD8" w16cid:durableId="22E7E3CB"/>
  <w16cid:commentId w16cid:paraId="25B47032" w16cid:durableId="22E7E5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D5765" w14:textId="77777777" w:rsidR="00C442D1" w:rsidRDefault="00C442D1">
      <w:r>
        <w:separator/>
      </w:r>
    </w:p>
    <w:p w14:paraId="74DE78CF" w14:textId="77777777" w:rsidR="00C442D1" w:rsidRDefault="00C442D1"/>
  </w:endnote>
  <w:endnote w:type="continuationSeparator" w:id="0">
    <w:p w14:paraId="082B577D" w14:textId="77777777" w:rsidR="00C442D1" w:rsidRDefault="00C442D1">
      <w:r>
        <w:continuationSeparator/>
      </w:r>
    </w:p>
    <w:p w14:paraId="01C7FE20" w14:textId="77777777" w:rsidR="00C442D1" w:rsidRDefault="00C442D1"/>
  </w:endnote>
  <w:endnote w:type="continuationNotice" w:id="1">
    <w:p w14:paraId="195EF646" w14:textId="77777777" w:rsidR="00C442D1" w:rsidRDefault="00C44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80E59" w14:textId="77777777" w:rsidR="008F65D5" w:rsidRDefault="008F65D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70FD">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AD7D7" w14:textId="77777777" w:rsidR="008F65D5" w:rsidRDefault="008F65D5">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100" w14:textId="77777777"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28B1D" w14:textId="77777777" w:rsidR="00C442D1" w:rsidRDefault="00C442D1">
      <w:r>
        <w:separator/>
      </w:r>
    </w:p>
    <w:p w14:paraId="6DEF7953" w14:textId="77777777" w:rsidR="00C442D1" w:rsidRDefault="00C442D1"/>
  </w:footnote>
  <w:footnote w:type="continuationSeparator" w:id="0">
    <w:p w14:paraId="1DDD5693" w14:textId="77777777" w:rsidR="00C442D1" w:rsidRDefault="00C442D1">
      <w:r>
        <w:continuationSeparator/>
      </w:r>
    </w:p>
    <w:p w14:paraId="4F4F06E4" w14:textId="77777777" w:rsidR="00C442D1" w:rsidRDefault="00C442D1"/>
  </w:footnote>
  <w:footnote w:type="continuationNotice" w:id="1">
    <w:p w14:paraId="0AE26C17" w14:textId="77777777" w:rsidR="00C442D1" w:rsidRDefault="00C442D1"/>
  </w:footnote>
  <w:footnote w:id="2">
    <w:p w14:paraId="52F26208" w14:textId="77777777" w:rsidR="00197794" w:rsidRDefault="00197794" w:rsidP="00197794">
      <w:pPr>
        <w:pStyle w:val="Funotentext"/>
      </w:pPr>
      <w:r>
        <w:rPr>
          <w:rStyle w:val="Funotenzeichen"/>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5DCD1" w14:textId="77777777" w:rsidR="008F65D5" w:rsidRDefault="008F65D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EC" w14:textId="0B1FCCA2" w:rsidR="00811EDA" w:rsidRDefault="008F65D5">
    <w:pPr>
      <w:pStyle w:val="Kopfzeile"/>
    </w:pPr>
    <w:r>
      <w:rPr>
        <w:noProof/>
        <w:lang w:val="de-DE"/>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val="de-DE"/>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F3E75E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1" w14:textId="57FA93C8" w:rsidR="00811EDA" w:rsidRDefault="008F65D5" w:rsidP="00013CCE">
    <w:pPr>
      <w:pStyle w:val="Kopfzeile"/>
      <w:jc w:val="right"/>
    </w:pPr>
    <w:r>
      <w:rPr>
        <w:noProof/>
        <w:lang w:val="de-DE"/>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val="de-DE"/>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2" w14:textId="77777777" w:rsidR="00811EDA" w:rsidRDefault="00811ED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Kopfzeile"/>
      <w:rPr>
        <w:lang w:val="fr-FR"/>
      </w:rPr>
    </w:pPr>
  </w:p>
  <w:p w14:paraId="6A3CB0F8" w14:textId="77777777" w:rsidR="00811EDA" w:rsidRPr="002F4496" w:rsidRDefault="00811EDA" w:rsidP="000C06C9">
    <w:pPr>
      <w:pStyle w:val="Kopfzeile"/>
      <w:tabs>
        <w:tab w:val="clear" w:pos="4536"/>
        <w:tab w:val="clear" w:pos="9072"/>
        <w:tab w:val="left" w:pos="8227"/>
      </w:tabs>
      <w:rPr>
        <w:lang w:val="fr-FR"/>
      </w:rPr>
    </w:pPr>
  </w:p>
  <w:p w14:paraId="6A3CB0F9" w14:textId="77777777" w:rsidR="00811EDA" w:rsidRPr="002F4496" w:rsidRDefault="00811EDA" w:rsidP="000C06C9">
    <w:pPr>
      <w:pStyle w:val="Kopfzeile"/>
      <w:tabs>
        <w:tab w:val="clear" w:pos="4536"/>
        <w:tab w:val="clear" w:pos="9072"/>
        <w:tab w:val="left" w:pos="8227"/>
      </w:tabs>
      <w:rPr>
        <w:lang w:val="fr-FR"/>
      </w:rPr>
    </w:pPr>
  </w:p>
  <w:p w14:paraId="6A3CB0FA" w14:textId="77777777" w:rsidR="00811EDA" w:rsidRPr="002F4496" w:rsidRDefault="00811EDA">
    <w:pPr>
      <w:pStyle w:val="Kopfzeile"/>
      <w:rPr>
        <w:lang w:val="fr-FR"/>
      </w:rPr>
    </w:pPr>
  </w:p>
  <w:p w14:paraId="6A3CB0FB" w14:textId="77777777" w:rsidR="00811EDA" w:rsidRPr="002F4496" w:rsidRDefault="00811EDA">
    <w:pPr>
      <w:pStyle w:val="Kopfzeile"/>
      <w:rPr>
        <w:lang w:val="fr-FR"/>
      </w:rPr>
    </w:pPr>
  </w:p>
  <w:p w14:paraId="6A3CB0FC" w14:textId="77777777" w:rsidR="00811EDA" w:rsidRPr="002F4496" w:rsidRDefault="00811EDA">
    <w:pPr>
      <w:pStyle w:val="Kopfzeile"/>
      <w:rPr>
        <w:lang w:val="fr-FR"/>
      </w:rPr>
    </w:pPr>
  </w:p>
  <w:p w14:paraId="6A3CB0FD" w14:textId="77777777" w:rsidR="00811EDA" w:rsidRPr="002F4496" w:rsidRDefault="00811EDA">
    <w:pPr>
      <w:pStyle w:val="Kopfzeile"/>
      <w:rPr>
        <w:lang w:val="fr-FR"/>
      </w:rPr>
    </w:pPr>
  </w:p>
  <w:p w14:paraId="6A3CB0FE" w14:textId="77777777" w:rsidR="00811EDA" w:rsidRPr="002F4496" w:rsidRDefault="00811EDA">
    <w:pPr>
      <w:pStyle w:val="Kopfzeile"/>
      <w:rPr>
        <w:highlight w:val="yellow"/>
        <w:lang w:val="fr-FR"/>
      </w:rPr>
    </w:pPr>
  </w:p>
  <w:p w14:paraId="6A3CB0FF" w14:textId="05D5FF53"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27BC53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val="de-DE"/>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2">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41">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30"/>
  </w:num>
  <w:num w:numId="5">
    <w:abstractNumId w:val="33"/>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27"/>
  </w:num>
  <w:num w:numId="15">
    <w:abstractNumId w:val="10"/>
  </w:num>
  <w:num w:numId="16">
    <w:abstractNumId w:val="2"/>
  </w:num>
  <w:num w:numId="17">
    <w:abstractNumId w:val="17"/>
  </w:num>
  <w:num w:numId="18">
    <w:abstractNumId w:val="18"/>
  </w:num>
  <w:num w:numId="19">
    <w:abstractNumId w:val="20"/>
  </w:num>
  <w:num w:numId="20">
    <w:abstractNumId w:val="34"/>
  </w:num>
  <w:num w:numId="21">
    <w:abstractNumId w:val="46"/>
  </w:num>
  <w:num w:numId="22">
    <w:abstractNumId w:val="32"/>
  </w:num>
  <w:num w:numId="23">
    <w:abstractNumId w:val="9"/>
  </w:num>
  <w:num w:numId="24">
    <w:abstractNumId w:val="38"/>
  </w:num>
  <w:num w:numId="25">
    <w:abstractNumId w:val="37"/>
  </w:num>
  <w:num w:numId="26">
    <w:abstractNumId w:val="23"/>
  </w:num>
  <w:num w:numId="27">
    <w:abstractNumId w:val="42"/>
  </w:num>
  <w:num w:numId="28">
    <w:abstractNumId w:val="48"/>
  </w:num>
  <w:num w:numId="29">
    <w:abstractNumId w:val="6"/>
  </w:num>
  <w:num w:numId="30">
    <w:abstractNumId w:val="3"/>
  </w:num>
  <w:num w:numId="31">
    <w:abstractNumId w:val="26"/>
  </w:num>
  <w:num w:numId="32">
    <w:abstractNumId w:val="24"/>
  </w:num>
  <w:num w:numId="33">
    <w:abstractNumId w:val="45"/>
  </w:num>
  <w:num w:numId="34">
    <w:abstractNumId w:val="44"/>
  </w:num>
  <w:num w:numId="35">
    <w:abstractNumId w:val="1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8"/>
  </w:num>
  <w:num w:numId="39">
    <w:abstractNumId w:val="15"/>
  </w:num>
  <w:num w:numId="40">
    <w:abstractNumId w:val="12"/>
  </w:num>
  <w:num w:numId="41">
    <w:abstractNumId w:val="21"/>
  </w:num>
  <w:num w:numId="42">
    <w:abstractNumId w:val="41"/>
  </w:num>
  <w:num w:numId="43">
    <w:abstractNumId w:val="31"/>
  </w:num>
  <w:num w:numId="44">
    <w:abstractNumId w:val="31"/>
    <w:lvlOverride w:ilvl="0">
      <w:startOverride w:val="1"/>
    </w:lvlOverride>
  </w:num>
  <w:num w:numId="45">
    <w:abstractNumId w:val="29"/>
  </w:num>
  <w:num w:numId="46">
    <w:abstractNumId w:val="8"/>
  </w:num>
  <w:num w:numId="47">
    <w:abstractNumId w:val="35"/>
  </w:num>
  <w:num w:numId="48">
    <w:abstractNumId w:val="0"/>
  </w:num>
  <w:num w:numId="49">
    <w:abstractNumId w:val="25"/>
  </w:num>
  <w:num w:numId="50">
    <w:abstractNumId w:val="4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kat, Kevin">
    <w15:presenceInfo w15:providerId="AD" w15:userId="S-1-5-21-2342993494-2613889227-2915372978-9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4DF4"/>
    <w:rsid w:val="00005BBA"/>
    <w:rsid w:val="00005C2A"/>
    <w:rsid w:val="00005D8C"/>
    <w:rsid w:val="00006C2B"/>
    <w:rsid w:val="00007014"/>
    <w:rsid w:val="00007968"/>
    <w:rsid w:val="0001067A"/>
    <w:rsid w:val="0001282C"/>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3DCB"/>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B715F"/>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5B5"/>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643E"/>
    <w:rsid w:val="003273FE"/>
    <w:rsid w:val="0033194F"/>
    <w:rsid w:val="00332304"/>
    <w:rsid w:val="00332406"/>
    <w:rsid w:val="00332D8D"/>
    <w:rsid w:val="00336420"/>
    <w:rsid w:val="00336B56"/>
    <w:rsid w:val="00337A3F"/>
    <w:rsid w:val="00337BDE"/>
    <w:rsid w:val="00341B25"/>
    <w:rsid w:val="00341EC0"/>
    <w:rsid w:val="0034240C"/>
    <w:rsid w:val="00343C7E"/>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26AA"/>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30D2"/>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407B"/>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90C"/>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1A9D"/>
    <w:rsid w:val="005825F2"/>
    <w:rsid w:val="00582AAD"/>
    <w:rsid w:val="005860AF"/>
    <w:rsid w:val="00587F1D"/>
    <w:rsid w:val="00590348"/>
    <w:rsid w:val="00591161"/>
    <w:rsid w:val="00592318"/>
    <w:rsid w:val="00593133"/>
    <w:rsid w:val="0059575D"/>
    <w:rsid w:val="00596825"/>
    <w:rsid w:val="00597599"/>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A527B"/>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375"/>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1532"/>
    <w:rsid w:val="00752D4F"/>
    <w:rsid w:val="00752DC8"/>
    <w:rsid w:val="0075409F"/>
    <w:rsid w:val="0075424E"/>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670F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0C64"/>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28D"/>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22D"/>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AC6"/>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490"/>
    <w:rsid w:val="009D0D55"/>
    <w:rsid w:val="009D2295"/>
    <w:rsid w:val="009D2511"/>
    <w:rsid w:val="009D291D"/>
    <w:rsid w:val="009D3E7C"/>
    <w:rsid w:val="009D55CA"/>
    <w:rsid w:val="009D5EF0"/>
    <w:rsid w:val="009D6401"/>
    <w:rsid w:val="009E0711"/>
    <w:rsid w:val="009E1917"/>
    <w:rsid w:val="009E2FDB"/>
    <w:rsid w:val="009E3594"/>
    <w:rsid w:val="009E6B77"/>
    <w:rsid w:val="009E6E32"/>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17E9F"/>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9C8"/>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55F5"/>
    <w:rsid w:val="00AB6B5E"/>
    <w:rsid w:val="00AC047F"/>
    <w:rsid w:val="00AC1A82"/>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403"/>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C6F"/>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2D1"/>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64C9"/>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3DF"/>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17F1"/>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AF3"/>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8A5"/>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114"/>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95A"/>
    <w:rsid w:val="00F64C45"/>
    <w:rsid w:val="00F6502B"/>
    <w:rsid w:val="00F65811"/>
    <w:rsid w:val="00F6612A"/>
    <w:rsid w:val="00F66724"/>
    <w:rsid w:val="00F67F04"/>
    <w:rsid w:val="00F70207"/>
    <w:rsid w:val="00F702CB"/>
    <w:rsid w:val="00F70F4A"/>
    <w:rsid w:val="00F71AC2"/>
    <w:rsid w:val="00F739D4"/>
    <w:rsid w:val="00F74E7E"/>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611"/>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5A6"/>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uiPriority w:val="99"/>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enabsatz"/>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Standard"/>
    <w:link w:val="Funotenzeichen"/>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uiPriority w:val="99"/>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enabsatz"/>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Standard"/>
    <w:link w:val="Funotenzeichen"/>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84013885">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ba.europa.eu/legal-notice"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press-news/consult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sma.europa.eu/legal-notice"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31"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s://eiopa.europa.eu/Pages/Links/Legal-notice.aspx" TargetMode="External"/><Relationship Id="rId27" Type="http://schemas.openxmlformats.org/officeDocument/2006/relationships/fontTable" Target="fontTable.xml"/><Relationship Id="rId30"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5.xml><?xml version="1.0" encoding="utf-8"?>
<ds:datastoreItem xmlns:ds="http://schemas.openxmlformats.org/officeDocument/2006/customXml" ds:itemID="{63821ADF-4DCB-46FC-9C1D-37D6C947A24C}">
  <ds:schemaRefs>
    <ds:schemaRef ds:uri="http://schemas.openxmlformats.org/officeDocument/2006/bibliography"/>
  </ds:schemaRefs>
</ds:datastoreItem>
</file>

<file path=customXml/itemProps6.xml><?xml version="1.0" encoding="utf-8"?>
<ds:datastoreItem xmlns:ds="http://schemas.openxmlformats.org/officeDocument/2006/customXml" ds:itemID="{763B781F-2280-49DE-8D7A-07F1997A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F37D5662</Template>
  <TotalTime>0</TotalTime>
  <Pages>10</Pages>
  <Words>2545</Words>
  <Characters>16038</Characters>
  <Application>Microsoft Office Word</Application>
  <DocSecurity>8</DocSecurity>
  <Lines>133</Lines>
  <Paragraphs>37</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18546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Schmitz, Stefan Thomas</cp:lastModifiedBy>
  <cp:revision>2</cp:revision>
  <cp:lastPrinted>2015-02-18T11:01:00Z</cp:lastPrinted>
  <dcterms:created xsi:type="dcterms:W3CDTF">2020-08-28T11:30:00Z</dcterms:created>
  <dcterms:modified xsi:type="dcterms:W3CDTF">2020-08-28T11:30:00Z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