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219582F5" w:rsidR="00B327E9" w:rsidRPr="00AB6D88" w:rsidRDefault="00506180" w:rsidP="00F136AD">
                <w:pPr>
                  <w:rPr>
                    <w:rStyle w:val="PlaceholderText"/>
                    <w:rFonts w:cs="Arial"/>
                  </w:rPr>
                </w:pPr>
                <w:r>
                  <w:rPr>
                    <w:rStyle w:val="PlaceholderText"/>
                    <w:rFonts w:cs="Arial"/>
                  </w:rPr>
                  <w:t>PensionsEurope</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6511DB75" w:rsidR="00B327E9" w:rsidRPr="00AB6D88" w:rsidRDefault="00E7154F"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06180">
                  <w:rPr>
                    <w:rFonts w:cs="Arial"/>
                  </w:rPr>
                  <w:t>Insurance and Pension</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008AE744" w:rsidR="00B327E9" w:rsidRPr="00AB6D88" w:rsidRDefault="00506180"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50AFCCF2" w:rsidR="00B327E9" w:rsidRPr="00AB6D88" w:rsidRDefault="00506180" w:rsidP="00F136AD">
                <w:pPr>
                  <w:rPr>
                    <w:rFonts w:cs="Arial"/>
                  </w:rPr>
                </w:pPr>
                <w:r>
                  <w:rPr>
                    <w:rFonts w:cs="Arial"/>
                  </w:rPr>
                  <w:t>Belgium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76B4061D" w14:textId="77777777" w:rsidR="00506180" w:rsidRPr="00F408E1" w:rsidRDefault="00506180" w:rsidP="00506180">
      <w:pPr>
        <w:pStyle w:val="BodyText"/>
        <w:numPr>
          <w:ilvl w:val="0"/>
          <w:numId w:val="0"/>
        </w:numPr>
        <w:spacing w:before="1"/>
        <w:ind w:right="318"/>
        <w:rPr>
          <w:rFonts w:asciiTheme="minorHAnsi" w:hAnsiTheme="minorHAnsi" w:cstheme="minorHAnsi"/>
          <w:b/>
          <w:color w:val="4F81BD"/>
          <w:sz w:val="22"/>
          <w:szCs w:val="22"/>
        </w:rPr>
      </w:pPr>
      <w:permStart w:id="411981036" w:edGrp="everyone"/>
      <w:r w:rsidRPr="00F408E1">
        <w:rPr>
          <w:rFonts w:asciiTheme="minorHAnsi" w:hAnsiTheme="minorHAnsi" w:cstheme="minorHAnsi"/>
          <w:b/>
          <w:color w:val="4F81BD"/>
          <w:sz w:val="22"/>
          <w:szCs w:val="22"/>
        </w:rPr>
        <w:t>Introduction and general considerations</w:t>
      </w:r>
    </w:p>
    <w:p w14:paraId="19F0AAF7" w14:textId="77777777" w:rsidR="00506180" w:rsidRDefault="00506180" w:rsidP="00506180">
      <w:pPr>
        <w:jc w:val="both"/>
        <w:rPr>
          <w:szCs w:val="20"/>
          <w:lang w:val="en-US"/>
        </w:rPr>
      </w:pPr>
      <w:r>
        <w:rPr>
          <w:szCs w:val="20"/>
          <w:lang w:val="en-US"/>
        </w:rPr>
        <w:t>PensionsEurope</w:t>
      </w:r>
      <w:r w:rsidRPr="002824B5">
        <w:rPr>
          <w:szCs w:val="20"/>
          <w:lang w:val="en-US"/>
        </w:rPr>
        <w:t xml:space="preserve"> welcomes the opportunity to comment on the </w:t>
      </w:r>
      <w:r>
        <w:rPr>
          <w:szCs w:val="20"/>
          <w:lang w:val="en-US"/>
        </w:rPr>
        <w:t>ESAs joint consultation on ESG disclosures</w:t>
      </w:r>
      <w:r w:rsidRPr="00881EF1">
        <w:rPr>
          <w:vertAlign w:val="superscript"/>
        </w:rPr>
        <w:footnoteReference w:id="3"/>
      </w:r>
      <w:r>
        <w:rPr>
          <w:szCs w:val="20"/>
          <w:lang w:val="en-US"/>
        </w:rPr>
        <w:t xml:space="preserve"> and supports the </w:t>
      </w:r>
      <w:r w:rsidRPr="0076365A">
        <w:rPr>
          <w:szCs w:val="20"/>
          <w:lang w:val="en-US"/>
        </w:rPr>
        <w:t xml:space="preserve">purpose and rationale for </w:t>
      </w:r>
      <w:r>
        <w:rPr>
          <w:szCs w:val="20"/>
          <w:lang w:val="en-US"/>
        </w:rPr>
        <w:t xml:space="preserve">the </w:t>
      </w:r>
      <w:r w:rsidRPr="0076365A">
        <w:rPr>
          <w:szCs w:val="20"/>
          <w:lang w:val="en-US"/>
        </w:rPr>
        <w:t>new ESG related disclosures</w:t>
      </w:r>
      <w:r>
        <w:rPr>
          <w:szCs w:val="20"/>
          <w:lang w:val="en-US"/>
        </w:rPr>
        <w:t>, as stated in the Sustainable Finance Disclosure Regulation (SFDR).</w:t>
      </w:r>
      <w:r w:rsidRPr="00881EF1">
        <w:rPr>
          <w:szCs w:val="20"/>
          <w:lang w:val="en-US"/>
        </w:rPr>
        <w:t xml:space="preserve"> </w:t>
      </w:r>
      <w:r>
        <w:rPr>
          <w:szCs w:val="20"/>
          <w:lang w:val="en-US"/>
        </w:rPr>
        <w:t>We recognise there is a need</w:t>
      </w:r>
      <w:r w:rsidRPr="002824B5">
        <w:rPr>
          <w:szCs w:val="20"/>
          <w:lang w:val="en-US"/>
        </w:rPr>
        <w:t xml:space="preserve"> to </w:t>
      </w:r>
      <w:r w:rsidRPr="00881EF1">
        <w:rPr>
          <w:szCs w:val="20"/>
          <w:lang w:val="en-US"/>
        </w:rPr>
        <w:t>increase transparency in</w:t>
      </w:r>
      <w:r>
        <w:rPr>
          <w:szCs w:val="20"/>
          <w:lang w:val="en-US"/>
        </w:rPr>
        <w:t xml:space="preserve"> </w:t>
      </w:r>
      <w:r w:rsidRPr="00881EF1">
        <w:rPr>
          <w:szCs w:val="20"/>
          <w:lang w:val="en-US"/>
        </w:rPr>
        <w:t>the field of sustainability risks and sustainable investment opportunities</w:t>
      </w:r>
      <w:r>
        <w:rPr>
          <w:szCs w:val="20"/>
          <w:lang w:val="en-US"/>
        </w:rPr>
        <w:t xml:space="preserve"> </w:t>
      </w:r>
      <w:proofErr w:type="gramStart"/>
      <w:r>
        <w:rPr>
          <w:szCs w:val="20"/>
          <w:lang w:val="en-US"/>
        </w:rPr>
        <w:t>in order to</w:t>
      </w:r>
      <w:proofErr w:type="gramEnd"/>
      <w:r>
        <w:rPr>
          <w:szCs w:val="20"/>
          <w:lang w:val="en-US"/>
        </w:rPr>
        <w:t xml:space="preserve"> mobilise capital from the </w:t>
      </w:r>
      <w:r w:rsidRPr="00881EF1">
        <w:rPr>
          <w:szCs w:val="20"/>
          <w:lang w:val="en-US"/>
        </w:rPr>
        <w:t>financial services sector</w:t>
      </w:r>
      <w:r>
        <w:rPr>
          <w:szCs w:val="20"/>
          <w:lang w:val="en-US"/>
        </w:rPr>
        <w:t xml:space="preserve"> and foster the green transition.</w:t>
      </w:r>
    </w:p>
    <w:p w14:paraId="40DB741D" w14:textId="77777777" w:rsidR="00506180" w:rsidRDefault="00506180" w:rsidP="00506180">
      <w:pPr>
        <w:jc w:val="both"/>
        <w:rPr>
          <w:szCs w:val="20"/>
          <w:lang w:val="en-US"/>
        </w:rPr>
      </w:pPr>
    </w:p>
    <w:p w14:paraId="3E0240B8" w14:textId="77777777" w:rsidR="00506180" w:rsidRDefault="00506180" w:rsidP="00506180">
      <w:pPr>
        <w:jc w:val="both"/>
        <w:rPr>
          <w:szCs w:val="20"/>
          <w:lang w:val="en-US"/>
        </w:rPr>
      </w:pPr>
      <w:r>
        <w:rPr>
          <w:szCs w:val="20"/>
          <w:lang w:val="en-US"/>
        </w:rPr>
        <w:t>Notwithstanding this, the lack of flexibility of the new disclosure requirements raises concerns as a “one-size fits all” approach does not always reflect market realities and would not fit the information needs of pension funds’ members and beneficiaries. In many countries, pension funds’ members and beneficiaries have no investment choice and can be automatically or mandatorily enrolled. We urge the ESAs to take into consideration their perspective on the disclosures, which differs significantly from that of retail clients proactively seeking to buy a responsible or sustainable financial product.</w:t>
      </w:r>
    </w:p>
    <w:p w14:paraId="7779B7EB" w14:textId="77777777" w:rsidR="00506180" w:rsidRDefault="00506180" w:rsidP="00506180">
      <w:pPr>
        <w:jc w:val="both"/>
        <w:rPr>
          <w:szCs w:val="20"/>
          <w:lang w:val="en-US"/>
        </w:rPr>
      </w:pPr>
    </w:p>
    <w:p w14:paraId="1391B3DA" w14:textId="77777777" w:rsidR="00506180" w:rsidRPr="00F408E1" w:rsidRDefault="00506180" w:rsidP="00506180">
      <w:pPr>
        <w:pStyle w:val="BodyText"/>
        <w:spacing w:before="1"/>
        <w:ind w:right="318"/>
        <w:rPr>
          <w:rFonts w:asciiTheme="minorHAnsi" w:hAnsiTheme="minorHAnsi" w:cstheme="minorHAnsi"/>
          <w:bCs/>
          <w:color w:val="4F81BD"/>
          <w:sz w:val="20"/>
        </w:rPr>
      </w:pPr>
      <w:r w:rsidRPr="00F408E1">
        <w:rPr>
          <w:rFonts w:asciiTheme="minorHAnsi" w:hAnsiTheme="minorHAnsi" w:cstheme="minorHAnsi"/>
          <w:bCs/>
          <w:color w:val="4F81BD"/>
          <w:sz w:val="20"/>
        </w:rPr>
        <w:t>Principal Adverse Impact (PAI) disclosures (article 4 SFDR)</w:t>
      </w:r>
    </w:p>
    <w:p w14:paraId="316A516F" w14:textId="77777777" w:rsidR="00506180" w:rsidRDefault="00506180" w:rsidP="00506180">
      <w:pPr>
        <w:jc w:val="both"/>
        <w:rPr>
          <w:szCs w:val="20"/>
          <w:lang w:val="en-US"/>
        </w:rPr>
      </w:pPr>
      <w:r>
        <w:rPr>
          <w:szCs w:val="20"/>
          <w:lang w:val="en-US"/>
        </w:rPr>
        <w:t xml:space="preserve">Referring to the Principal Adverse Impacts (PAIs) disclosures, </w:t>
      </w:r>
      <w:r w:rsidRPr="002971D2">
        <w:rPr>
          <w:szCs w:val="20"/>
          <w:lang w:val="en-US"/>
        </w:rPr>
        <w:t xml:space="preserve">PensionsEurope recommends the ESAs to allow </w:t>
      </w:r>
      <w:r>
        <w:rPr>
          <w:szCs w:val="20"/>
          <w:lang w:val="en-US"/>
        </w:rPr>
        <w:t>financial market participants (FMPs)</w:t>
      </w:r>
      <w:r w:rsidRPr="002971D2">
        <w:rPr>
          <w:szCs w:val="20"/>
          <w:lang w:val="en-US"/>
        </w:rPr>
        <w:t xml:space="preserve"> to prioriti</w:t>
      </w:r>
      <w:r>
        <w:rPr>
          <w:szCs w:val="20"/>
          <w:lang w:val="en-US"/>
        </w:rPr>
        <w:t>s</w:t>
      </w:r>
      <w:r w:rsidRPr="002971D2">
        <w:rPr>
          <w:szCs w:val="20"/>
          <w:lang w:val="en-US"/>
        </w:rPr>
        <w:t xml:space="preserve">e the adverse impacts and select the relevant indicators </w:t>
      </w:r>
      <w:proofErr w:type="gramStart"/>
      <w:r w:rsidRPr="002971D2">
        <w:rPr>
          <w:szCs w:val="20"/>
          <w:lang w:val="en-US"/>
        </w:rPr>
        <w:t>on the basis of</w:t>
      </w:r>
      <w:proofErr w:type="gramEnd"/>
      <w:r w:rsidRPr="002971D2">
        <w:rPr>
          <w:szCs w:val="20"/>
          <w:lang w:val="en-US"/>
        </w:rPr>
        <w:t xml:space="preserve"> their materiality.</w:t>
      </w:r>
      <w:r w:rsidRPr="005E4CCD">
        <w:rPr>
          <w:lang w:val="en-US"/>
        </w:rPr>
        <w:t xml:space="preserve"> </w:t>
      </w:r>
      <w:r>
        <w:rPr>
          <w:szCs w:val="20"/>
          <w:lang w:val="en-US"/>
        </w:rPr>
        <w:t>T</w:t>
      </w:r>
      <w:r w:rsidRPr="00C5712F">
        <w:rPr>
          <w:szCs w:val="20"/>
          <w:lang w:val="en-US"/>
        </w:rPr>
        <w:t>he implementation of mandatory PAI disclosure requirements</w:t>
      </w:r>
      <w:r>
        <w:rPr>
          <w:szCs w:val="20"/>
          <w:lang w:val="en-US"/>
        </w:rPr>
        <w:t xml:space="preserve"> should a</w:t>
      </w:r>
      <w:r w:rsidRPr="00C5712F">
        <w:rPr>
          <w:szCs w:val="20"/>
          <w:lang w:val="en-US"/>
        </w:rPr>
        <w:t>dopt a transitional phase-in approach, in line with the availability of necessary ESG data on investee companies and the review of the NFRD.</w:t>
      </w:r>
    </w:p>
    <w:p w14:paraId="56C2E3EB" w14:textId="77777777" w:rsidR="00506180" w:rsidRDefault="00506180" w:rsidP="00506180">
      <w:pPr>
        <w:rPr>
          <w:szCs w:val="20"/>
          <w:lang w:val="en-US"/>
        </w:rPr>
      </w:pPr>
    </w:p>
    <w:p w14:paraId="0DAE8AFC" w14:textId="77777777" w:rsidR="00506180" w:rsidRDefault="00506180" w:rsidP="00506180">
      <w:pPr>
        <w:rPr>
          <w:szCs w:val="20"/>
          <w:lang w:val="en-US"/>
        </w:rPr>
      </w:pPr>
      <w:r>
        <w:rPr>
          <w:szCs w:val="20"/>
          <w:lang w:val="en-US"/>
        </w:rPr>
        <w:t>We</w:t>
      </w:r>
      <w:r w:rsidRPr="002971D2">
        <w:rPr>
          <w:szCs w:val="20"/>
          <w:lang w:val="en-US"/>
        </w:rPr>
        <w:t xml:space="preserve"> support the proportionality considerations adopted in the application of the </w:t>
      </w:r>
      <w:r>
        <w:rPr>
          <w:szCs w:val="20"/>
          <w:lang w:val="en-US"/>
        </w:rPr>
        <w:t xml:space="preserve">PAI </w:t>
      </w:r>
      <w:r w:rsidRPr="002971D2">
        <w:rPr>
          <w:szCs w:val="20"/>
          <w:lang w:val="en-US"/>
        </w:rPr>
        <w:t xml:space="preserve">disclosure requirements. </w:t>
      </w:r>
      <w:r>
        <w:rPr>
          <w:szCs w:val="20"/>
          <w:lang w:val="en-US"/>
        </w:rPr>
        <w:t xml:space="preserve">Most </w:t>
      </w:r>
      <w:r w:rsidRPr="00146B03">
        <w:rPr>
          <w:szCs w:val="20"/>
          <w:lang w:val="en-US"/>
        </w:rPr>
        <w:t>pension fund</w:t>
      </w:r>
      <w:r>
        <w:rPr>
          <w:szCs w:val="20"/>
          <w:lang w:val="en-US"/>
        </w:rPr>
        <w:t>s</w:t>
      </w:r>
      <w:r w:rsidRPr="00146B03">
        <w:rPr>
          <w:szCs w:val="20"/>
          <w:lang w:val="en-US"/>
        </w:rPr>
        <w:t xml:space="preserve"> </w:t>
      </w:r>
      <w:r>
        <w:rPr>
          <w:szCs w:val="20"/>
          <w:lang w:val="en-US"/>
        </w:rPr>
        <w:t xml:space="preserve">are small entities </w:t>
      </w:r>
      <w:r w:rsidRPr="00146B03">
        <w:rPr>
          <w:szCs w:val="20"/>
          <w:lang w:val="en-US"/>
        </w:rPr>
        <w:t xml:space="preserve">and </w:t>
      </w:r>
      <w:r>
        <w:rPr>
          <w:szCs w:val="20"/>
          <w:lang w:val="en-US"/>
        </w:rPr>
        <w:t xml:space="preserve">they may not have the capacities to implement in full the PAI disclosures. </w:t>
      </w:r>
      <w:r w:rsidRPr="002971D2">
        <w:rPr>
          <w:szCs w:val="20"/>
          <w:lang w:val="en-US"/>
        </w:rPr>
        <w:t>Below the threshold of 500 employees, the voluntary application of due diligence for adverse impacts should not imply mandatory disclosure against the full set of 32 indicators.</w:t>
      </w:r>
      <w:r>
        <w:rPr>
          <w:szCs w:val="20"/>
          <w:lang w:val="en-US"/>
        </w:rPr>
        <w:t xml:space="preserve"> Otherwise, financial market participants (FMPs) with less than 500 employees would be strongly disincentivised to do any due diligence, as it would imply immediately full reporting against the indicators.</w:t>
      </w:r>
    </w:p>
    <w:p w14:paraId="7C16AC80" w14:textId="77777777" w:rsidR="00506180" w:rsidRPr="002971D2" w:rsidRDefault="00506180" w:rsidP="00506180">
      <w:pPr>
        <w:rPr>
          <w:szCs w:val="20"/>
          <w:lang w:val="en-US"/>
        </w:rPr>
      </w:pPr>
    </w:p>
    <w:p w14:paraId="3B89AC4F" w14:textId="072EE863" w:rsidR="00506180" w:rsidRPr="00506180" w:rsidRDefault="00506180" w:rsidP="00506180">
      <w:pPr>
        <w:pStyle w:val="BodyText"/>
        <w:spacing w:before="1"/>
        <w:ind w:right="318"/>
        <w:rPr>
          <w:rFonts w:asciiTheme="minorHAnsi" w:hAnsiTheme="minorHAnsi" w:cstheme="minorHAnsi"/>
          <w:bCs/>
          <w:color w:val="4F81BD"/>
          <w:sz w:val="20"/>
        </w:rPr>
      </w:pPr>
      <w:r w:rsidRPr="00F408E1">
        <w:rPr>
          <w:rFonts w:asciiTheme="minorHAnsi" w:hAnsiTheme="minorHAnsi" w:cstheme="minorHAnsi"/>
          <w:bCs/>
          <w:color w:val="4F81BD"/>
          <w:sz w:val="20"/>
        </w:rPr>
        <w:t>Pre-contractual product disclosures (article 8 and article 9 SFDR)</w:t>
      </w:r>
    </w:p>
    <w:p w14:paraId="2BA41D2E" w14:textId="77777777" w:rsidR="00506180" w:rsidRDefault="00506180" w:rsidP="00506180">
      <w:pPr>
        <w:jc w:val="both"/>
        <w:rPr>
          <w:rFonts w:cstheme="minorHAnsi"/>
          <w:iCs/>
          <w:szCs w:val="20"/>
        </w:rPr>
      </w:pPr>
      <w:r>
        <w:rPr>
          <w:rFonts w:cstheme="minorHAnsi"/>
          <w:iCs/>
          <w:szCs w:val="20"/>
        </w:rPr>
        <w:t xml:space="preserve">The scope of article 8 and article 9 products must be clarified. Uncertainty on the scope of article 8 and article 9 should be minimised as it creates legal risk for FMPs. </w:t>
      </w:r>
    </w:p>
    <w:p w14:paraId="52003651" w14:textId="77777777" w:rsidR="00506180" w:rsidRDefault="00506180" w:rsidP="00506180">
      <w:pPr>
        <w:jc w:val="both"/>
        <w:rPr>
          <w:szCs w:val="20"/>
          <w:lang w:val="en-US"/>
        </w:rPr>
      </w:pPr>
    </w:p>
    <w:p w14:paraId="6D309BA3" w14:textId="77777777" w:rsidR="00506180" w:rsidRDefault="00506180" w:rsidP="00506180">
      <w:pPr>
        <w:jc w:val="both"/>
        <w:rPr>
          <w:szCs w:val="20"/>
          <w:lang w:val="en-US"/>
        </w:rPr>
      </w:pPr>
      <w:r>
        <w:rPr>
          <w:szCs w:val="20"/>
          <w:lang w:val="en-US"/>
        </w:rPr>
        <w:t>The disclosures proposed under article 8 and article 9 should fit with the information needs of pension funds’ m</w:t>
      </w:r>
      <w:r w:rsidRPr="00471E7D">
        <w:rPr>
          <w:szCs w:val="20"/>
          <w:lang w:val="en-US"/>
        </w:rPr>
        <w:t>embers and beneficiaries</w:t>
      </w:r>
      <w:r>
        <w:rPr>
          <w:szCs w:val="20"/>
          <w:lang w:val="en-US"/>
        </w:rPr>
        <w:t>. It is important to stress that individuals face behavioural barriers and potentially lack financial literacy</w:t>
      </w:r>
      <w:proofErr w:type="gramStart"/>
      <w:r>
        <w:rPr>
          <w:szCs w:val="20"/>
          <w:lang w:val="en-US"/>
        </w:rPr>
        <w:t>.</w:t>
      </w:r>
      <w:r w:rsidDel="001604A7">
        <w:rPr>
          <w:szCs w:val="20"/>
          <w:lang w:val="en-US"/>
        </w:rPr>
        <w:t xml:space="preserve"> </w:t>
      </w:r>
      <w:r w:rsidRPr="00995A8A">
        <w:rPr>
          <w:rFonts w:cstheme="minorHAnsi"/>
          <w:iCs/>
          <w:szCs w:val="20"/>
        </w:rPr>
        <w:t>.</w:t>
      </w:r>
      <w:proofErr w:type="gramEnd"/>
      <w:r w:rsidRPr="005E4CCD">
        <w:rPr>
          <w:rFonts w:cstheme="minorHAnsi"/>
          <w:iCs/>
          <w:szCs w:val="20"/>
          <w:lang w:val="en-US"/>
        </w:rPr>
        <w:t xml:space="preserve"> I</w:t>
      </w:r>
      <w:r>
        <w:rPr>
          <w:szCs w:val="20"/>
          <w:lang w:val="en-US"/>
        </w:rPr>
        <w:t>nformation overload in pensions disclosures should be minimised</w:t>
      </w:r>
      <w:r w:rsidRPr="00E52D43">
        <w:rPr>
          <w:szCs w:val="20"/>
          <w:lang w:val="en-US"/>
        </w:rPr>
        <w:t xml:space="preserve"> </w:t>
      </w:r>
      <w:r>
        <w:rPr>
          <w:szCs w:val="20"/>
          <w:lang w:val="en-US"/>
        </w:rPr>
        <w:t xml:space="preserve">as it may </w:t>
      </w:r>
      <w:r w:rsidRPr="00F353E4">
        <w:rPr>
          <w:szCs w:val="20"/>
          <w:lang w:val="en-US"/>
        </w:rPr>
        <w:t xml:space="preserve">further </w:t>
      </w:r>
      <w:r w:rsidRPr="00F353E4">
        <w:rPr>
          <w:szCs w:val="20"/>
          <w:lang w:val="en-US"/>
        </w:rPr>
        <w:lastRenderedPageBreak/>
        <w:t>disenfranchis</w:t>
      </w:r>
      <w:r>
        <w:rPr>
          <w:szCs w:val="20"/>
          <w:lang w:val="en-US"/>
        </w:rPr>
        <w:t xml:space="preserve">e </w:t>
      </w:r>
      <w:r w:rsidRPr="00F353E4">
        <w:rPr>
          <w:szCs w:val="20"/>
          <w:lang w:val="en-US"/>
        </w:rPr>
        <w:t>individuals from their pensions</w:t>
      </w:r>
      <w:r>
        <w:rPr>
          <w:szCs w:val="20"/>
          <w:lang w:val="en-US"/>
        </w:rPr>
        <w:t>. For this reason, d</w:t>
      </w:r>
      <w:r w:rsidRPr="00995A8A">
        <w:rPr>
          <w:rFonts w:cstheme="minorHAnsi"/>
          <w:iCs/>
          <w:szCs w:val="20"/>
        </w:rPr>
        <w:t>isclosures should be made much simpler</w:t>
      </w:r>
      <w:r>
        <w:rPr>
          <w:rFonts w:cstheme="minorHAnsi"/>
          <w:iCs/>
          <w:szCs w:val="20"/>
        </w:rPr>
        <w:t>,</w:t>
      </w:r>
      <w:r w:rsidRPr="00995A8A">
        <w:rPr>
          <w:rFonts w:cstheme="minorHAnsi"/>
          <w:iCs/>
          <w:szCs w:val="20"/>
        </w:rPr>
        <w:t xml:space="preserve"> allowing as much as possible the layering of information.</w:t>
      </w:r>
      <w:r w:rsidRPr="00F353E4">
        <w:rPr>
          <w:szCs w:val="20"/>
          <w:lang w:val="en-US"/>
        </w:rPr>
        <w:t xml:space="preserve"> </w:t>
      </w:r>
    </w:p>
    <w:p w14:paraId="7CCFB0BA" w14:textId="77777777" w:rsidR="00506180" w:rsidRDefault="00506180" w:rsidP="00506180">
      <w:pPr>
        <w:jc w:val="both"/>
        <w:rPr>
          <w:szCs w:val="20"/>
          <w:lang w:val="en-US"/>
        </w:rPr>
      </w:pPr>
    </w:p>
    <w:p w14:paraId="46BBBACB" w14:textId="77777777" w:rsidR="00506180" w:rsidRPr="00636DD5" w:rsidRDefault="00506180" w:rsidP="00506180">
      <w:pPr>
        <w:jc w:val="both"/>
        <w:rPr>
          <w:szCs w:val="20"/>
          <w:lang w:val="en-US"/>
        </w:rPr>
      </w:pPr>
      <w:r>
        <w:rPr>
          <w:szCs w:val="20"/>
          <w:lang w:val="en-US"/>
        </w:rPr>
        <w:t>T</w:t>
      </w:r>
      <w:r w:rsidRPr="00636DD5">
        <w:rPr>
          <w:szCs w:val="20"/>
          <w:lang w:val="en-US"/>
        </w:rPr>
        <w:t xml:space="preserve">he application of an investment policy which </w:t>
      </w:r>
      <w:proofErr w:type="gramStart"/>
      <w:r w:rsidRPr="00636DD5">
        <w:rPr>
          <w:szCs w:val="20"/>
          <w:lang w:val="en-US"/>
        </w:rPr>
        <w:t>takes into account</w:t>
      </w:r>
      <w:proofErr w:type="gramEnd"/>
      <w:r w:rsidRPr="00636DD5">
        <w:rPr>
          <w:szCs w:val="20"/>
          <w:lang w:val="en-US"/>
        </w:rPr>
        <w:t xml:space="preserve"> ESG elements simply from a governance, a prudential or a risk perspective should not </w:t>
      </w:r>
      <w:r>
        <w:rPr>
          <w:szCs w:val="20"/>
          <w:lang w:val="en-US"/>
        </w:rPr>
        <w:t>automatically</w:t>
      </w:r>
      <w:r w:rsidRPr="00636DD5">
        <w:rPr>
          <w:szCs w:val="20"/>
          <w:lang w:val="en-US"/>
        </w:rPr>
        <w:t xml:space="preserve"> lead to excessive </w:t>
      </w:r>
      <w:r>
        <w:rPr>
          <w:szCs w:val="20"/>
          <w:lang w:val="en-US"/>
        </w:rPr>
        <w:t xml:space="preserve">product </w:t>
      </w:r>
      <w:r w:rsidRPr="00636DD5">
        <w:rPr>
          <w:szCs w:val="20"/>
          <w:lang w:val="en-US"/>
        </w:rPr>
        <w:t>disclosure</w:t>
      </w:r>
      <w:r>
        <w:rPr>
          <w:szCs w:val="20"/>
          <w:lang w:val="en-US"/>
        </w:rPr>
        <w:t>s</w:t>
      </w:r>
      <w:r w:rsidRPr="00636DD5">
        <w:rPr>
          <w:szCs w:val="20"/>
          <w:lang w:val="en-US"/>
        </w:rPr>
        <w:t>.</w:t>
      </w:r>
      <w:r>
        <w:rPr>
          <w:szCs w:val="20"/>
          <w:lang w:val="en-US"/>
        </w:rPr>
        <w:t xml:space="preserve"> In many countries, pension funds’ members and beneficiaries do not have the possibility to make an investment choice. In this case, </w:t>
      </w:r>
      <w:r>
        <w:rPr>
          <w:rFonts w:cstheme="minorHAnsi"/>
          <w:iCs/>
          <w:szCs w:val="20"/>
        </w:rPr>
        <w:t>t</w:t>
      </w:r>
      <w:r w:rsidRPr="00995A8A">
        <w:rPr>
          <w:rFonts w:cstheme="minorHAnsi"/>
          <w:iCs/>
          <w:szCs w:val="20"/>
        </w:rPr>
        <w:t>he ‘greenwashing’ objective of the Regulation is irrelevant as ESG is n</w:t>
      </w:r>
      <w:r>
        <w:rPr>
          <w:rFonts w:cstheme="minorHAnsi"/>
          <w:iCs/>
          <w:szCs w:val="20"/>
        </w:rPr>
        <w:t>ever</w:t>
      </w:r>
      <w:r w:rsidRPr="00995A8A">
        <w:rPr>
          <w:rFonts w:cstheme="minorHAnsi"/>
          <w:iCs/>
          <w:szCs w:val="20"/>
        </w:rPr>
        <w:t xml:space="preserve"> used as a selling point</w:t>
      </w:r>
      <w:r w:rsidRPr="00F60ED9">
        <w:rPr>
          <w:szCs w:val="20"/>
          <w:lang w:val="en-US"/>
        </w:rPr>
        <w:t xml:space="preserve"> </w:t>
      </w:r>
      <w:r>
        <w:rPr>
          <w:szCs w:val="20"/>
          <w:lang w:val="en-US"/>
        </w:rPr>
        <w:t xml:space="preserve">and </w:t>
      </w:r>
      <w:r w:rsidRPr="00636DD5">
        <w:rPr>
          <w:szCs w:val="20"/>
          <w:lang w:val="en-US"/>
        </w:rPr>
        <w:t xml:space="preserve">the </w:t>
      </w:r>
      <w:r>
        <w:rPr>
          <w:szCs w:val="20"/>
          <w:lang w:val="en-US"/>
        </w:rPr>
        <w:t>pension fund</w:t>
      </w:r>
      <w:r w:rsidRPr="00636DD5">
        <w:rPr>
          <w:szCs w:val="20"/>
          <w:lang w:val="en-US"/>
        </w:rPr>
        <w:t xml:space="preserve"> itself </w:t>
      </w:r>
      <w:r>
        <w:rPr>
          <w:szCs w:val="20"/>
          <w:lang w:val="en-US"/>
        </w:rPr>
        <w:t>must be considered as the</w:t>
      </w:r>
      <w:r w:rsidRPr="00636DD5">
        <w:rPr>
          <w:szCs w:val="20"/>
          <w:lang w:val="en-US"/>
        </w:rPr>
        <w:t xml:space="preserve"> end investor.</w:t>
      </w:r>
      <w:r>
        <w:rPr>
          <w:szCs w:val="20"/>
          <w:lang w:val="en-US"/>
        </w:rPr>
        <w:t xml:space="preserve"> Therefore, i</w:t>
      </w:r>
      <w:r w:rsidRPr="00610217">
        <w:rPr>
          <w:szCs w:val="20"/>
          <w:lang w:val="en-US"/>
        </w:rPr>
        <w:t xml:space="preserve">t would be inappropriate to impose to </w:t>
      </w:r>
      <w:r>
        <w:rPr>
          <w:szCs w:val="20"/>
          <w:lang w:val="en-US"/>
        </w:rPr>
        <w:t>these pension funds</w:t>
      </w:r>
      <w:r w:rsidRPr="00610217">
        <w:rPr>
          <w:szCs w:val="20"/>
          <w:lang w:val="en-US"/>
        </w:rPr>
        <w:t xml:space="preserve"> the same transparency requirements than those applying to big commercial financial entities.</w:t>
      </w:r>
    </w:p>
    <w:p w14:paraId="2AF9D4E4" w14:textId="77777777" w:rsidR="00506180" w:rsidRPr="005E4CCD" w:rsidRDefault="00506180" w:rsidP="00506180">
      <w:pPr>
        <w:rPr>
          <w:rFonts w:cstheme="minorHAnsi"/>
          <w:iCs/>
          <w:szCs w:val="20"/>
          <w:lang w:val="en-US"/>
        </w:rPr>
      </w:pPr>
      <w:r>
        <w:rPr>
          <w:rFonts w:cstheme="minorHAnsi"/>
          <w:iCs/>
          <w:szCs w:val="20"/>
        </w:rPr>
        <w:t>We do not expect p</w:t>
      </w:r>
      <w:r w:rsidRPr="00514A02">
        <w:rPr>
          <w:rFonts w:cstheme="minorHAnsi"/>
          <w:iCs/>
          <w:szCs w:val="20"/>
        </w:rPr>
        <w:t xml:space="preserve">ension funds </w:t>
      </w:r>
      <w:r>
        <w:rPr>
          <w:rFonts w:cstheme="minorHAnsi"/>
          <w:iCs/>
          <w:szCs w:val="20"/>
        </w:rPr>
        <w:t>to</w:t>
      </w:r>
      <w:r w:rsidRPr="00514A02">
        <w:rPr>
          <w:rFonts w:cstheme="minorHAnsi"/>
          <w:iCs/>
          <w:szCs w:val="20"/>
        </w:rPr>
        <w:t xml:space="preserve"> </w:t>
      </w:r>
      <w:r>
        <w:rPr>
          <w:rFonts w:cstheme="minorHAnsi"/>
          <w:iCs/>
          <w:szCs w:val="20"/>
        </w:rPr>
        <w:t>offer</w:t>
      </w:r>
      <w:r w:rsidRPr="00514A02">
        <w:rPr>
          <w:rFonts w:cstheme="minorHAnsi"/>
          <w:iCs/>
          <w:szCs w:val="20"/>
        </w:rPr>
        <w:t xml:space="preserve"> Article 9 products, as the </w:t>
      </w:r>
      <w:r>
        <w:rPr>
          <w:rFonts w:cstheme="minorHAnsi"/>
          <w:iCs/>
          <w:szCs w:val="20"/>
        </w:rPr>
        <w:t xml:space="preserve">primary </w:t>
      </w:r>
      <w:r w:rsidRPr="00514A02">
        <w:rPr>
          <w:rFonts w:cstheme="minorHAnsi"/>
          <w:iCs/>
          <w:szCs w:val="20"/>
        </w:rPr>
        <w:t xml:space="preserve">objective of a pension fund </w:t>
      </w:r>
      <w:r>
        <w:rPr>
          <w:rFonts w:cstheme="minorHAnsi"/>
          <w:iCs/>
          <w:szCs w:val="20"/>
        </w:rPr>
        <w:t>will always be</w:t>
      </w:r>
      <w:r w:rsidRPr="00514A02">
        <w:rPr>
          <w:rFonts w:cstheme="minorHAnsi"/>
          <w:iCs/>
          <w:szCs w:val="20"/>
        </w:rPr>
        <w:t xml:space="preserve"> to deliver good risk-weighted returns for </w:t>
      </w:r>
      <w:r w:rsidRPr="005E4CCD">
        <w:rPr>
          <w:rFonts w:cstheme="minorHAnsi"/>
          <w:iCs/>
          <w:szCs w:val="20"/>
          <w:lang w:val="en-US"/>
        </w:rPr>
        <w:t xml:space="preserve">its </w:t>
      </w:r>
      <w:r w:rsidRPr="00514A02">
        <w:rPr>
          <w:rFonts w:cstheme="minorHAnsi"/>
          <w:iCs/>
          <w:szCs w:val="20"/>
        </w:rPr>
        <w:t>members</w:t>
      </w:r>
      <w:r w:rsidRPr="005E4CCD">
        <w:rPr>
          <w:rFonts w:cstheme="minorHAnsi"/>
          <w:iCs/>
          <w:szCs w:val="20"/>
          <w:lang w:val="en-US"/>
        </w:rPr>
        <w:t xml:space="preserve"> and beneficiaries</w:t>
      </w:r>
      <w:r w:rsidRPr="00514A02">
        <w:rPr>
          <w:rFonts w:cstheme="minorHAnsi"/>
          <w:iCs/>
          <w:szCs w:val="20"/>
        </w:rPr>
        <w:t>.</w:t>
      </w:r>
    </w:p>
    <w:p w14:paraId="4D68EBD2" w14:textId="77777777" w:rsidR="00506180" w:rsidRDefault="00506180" w:rsidP="00506180">
      <w:pPr>
        <w:jc w:val="both"/>
        <w:rPr>
          <w:b/>
          <w:bCs/>
          <w:szCs w:val="20"/>
          <w:lang w:val="en-US"/>
        </w:rPr>
      </w:pPr>
    </w:p>
    <w:p w14:paraId="4D2BAB95" w14:textId="77777777" w:rsidR="00506180" w:rsidRPr="00F408E1" w:rsidRDefault="00506180" w:rsidP="00506180">
      <w:pPr>
        <w:pStyle w:val="BodyText"/>
        <w:spacing w:before="1"/>
        <w:ind w:right="318"/>
        <w:rPr>
          <w:rFonts w:asciiTheme="minorHAnsi" w:hAnsiTheme="minorHAnsi" w:cstheme="minorHAnsi"/>
          <w:bCs/>
          <w:color w:val="4F81BD"/>
          <w:sz w:val="20"/>
        </w:rPr>
      </w:pPr>
      <w:r w:rsidRPr="00F408E1">
        <w:rPr>
          <w:rFonts w:asciiTheme="minorHAnsi" w:hAnsiTheme="minorHAnsi" w:cstheme="minorHAnsi"/>
          <w:bCs/>
          <w:color w:val="4F81BD"/>
          <w:sz w:val="20"/>
        </w:rPr>
        <w:t>Data challenges</w:t>
      </w:r>
    </w:p>
    <w:p w14:paraId="1F625A3C" w14:textId="77777777" w:rsidR="00506180" w:rsidRDefault="00506180" w:rsidP="00506180">
      <w:pPr>
        <w:jc w:val="both"/>
        <w:rPr>
          <w:szCs w:val="20"/>
          <w:lang w:val="en-US"/>
        </w:rPr>
      </w:pPr>
    </w:p>
    <w:p w14:paraId="1B2C60E1" w14:textId="77777777" w:rsidR="00506180" w:rsidRDefault="00506180" w:rsidP="00506180">
      <w:pPr>
        <w:jc w:val="both"/>
        <w:rPr>
          <w:szCs w:val="20"/>
          <w:lang w:val="en-US"/>
        </w:rPr>
      </w:pPr>
      <w:r>
        <w:rPr>
          <w:szCs w:val="20"/>
          <w:lang w:val="en-US"/>
        </w:rPr>
        <w:t>P</w:t>
      </w:r>
      <w:r w:rsidRPr="00F504DF">
        <w:rPr>
          <w:szCs w:val="20"/>
          <w:lang w:val="en-US"/>
        </w:rPr>
        <w:t xml:space="preserve">ensionsEurope draws attention to the need to ensure all indicators required for the purpose of ESG disclosures are technically feasible. The availability of ESG data at the level of investee companies is currently rather insufficient to enable FMPs to comply with the new disclosure requirements with the level of precision required by the draft RTS. </w:t>
      </w:r>
      <w:r>
        <w:rPr>
          <w:szCs w:val="20"/>
          <w:lang w:val="en-US"/>
        </w:rPr>
        <w:t>T</w:t>
      </w:r>
      <w:r w:rsidRPr="00F504DF">
        <w:rPr>
          <w:szCs w:val="20"/>
          <w:lang w:val="en-US"/>
        </w:rPr>
        <w:t xml:space="preserve">he </w:t>
      </w:r>
      <w:r>
        <w:rPr>
          <w:szCs w:val="20"/>
          <w:lang w:val="en-US"/>
        </w:rPr>
        <w:t xml:space="preserve">draft </w:t>
      </w:r>
      <w:r w:rsidRPr="00F504DF">
        <w:rPr>
          <w:szCs w:val="20"/>
          <w:lang w:val="en-US"/>
        </w:rPr>
        <w:t xml:space="preserve">RTS seem to be designed for </w:t>
      </w:r>
      <w:proofErr w:type="gramStart"/>
      <w:r w:rsidRPr="00F504DF">
        <w:rPr>
          <w:szCs w:val="20"/>
          <w:lang w:val="en-US"/>
        </w:rPr>
        <w:t>fairly simple</w:t>
      </w:r>
      <w:proofErr w:type="gramEnd"/>
      <w:r w:rsidRPr="00F504DF">
        <w:rPr>
          <w:szCs w:val="20"/>
          <w:lang w:val="en-US"/>
        </w:rPr>
        <w:t xml:space="preserve"> retail funds, consisting mainly of listed equity and fixed income securities, for which a lot of data is already available. Pension funds’ portfolios are more complex and encompass all types of (lon</w:t>
      </w:r>
      <w:r>
        <w:rPr>
          <w:szCs w:val="20"/>
          <w:lang w:val="en-US"/>
        </w:rPr>
        <w:t>g-dated</w:t>
      </w:r>
      <w:r w:rsidRPr="00F504DF">
        <w:rPr>
          <w:szCs w:val="20"/>
          <w:lang w:val="en-US"/>
        </w:rPr>
        <w:t>, non-leveraged) assets, including private equity, real estate, infrastructure, private debt, securiti</w:t>
      </w:r>
      <w:r>
        <w:rPr>
          <w:szCs w:val="20"/>
          <w:lang w:val="en-US"/>
        </w:rPr>
        <w:t>s</w:t>
      </w:r>
      <w:r w:rsidRPr="00F504DF">
        <w:rPr>
          <w:szCs w:val="20"/>
          <w:lang w:val="en-US"/>
        </w:rPr>
        <w:t xml:space="preserve">ed assets and commodities. While these alternative assets only represent a minor part of the portfolio, reporting is required against all assets. </w:t>
      </w:r>
      <w:r>
        <w:rPr>
          <w:szCs w:val="20"/>
          <w:lang w:val="en-US"/>
        </w:rPr>
        <w:t>Although we</w:t>
      </w:r>
      <w:r w:rsidRPr="00F504DF">
        <w:rPr>
          <w:szCs w:val="20"/>
          <w:lang w:val="en-US"/>
        </w:rPr>
        <w:t xml:space="preserve"> recogni</w:t>
      </w:r>
      <w:r>
        <w:rPr>
          <w:szCs w:val="20"/>
          <w:lang w:val="en-US"/>
        </w:rPr>
        <w:t>s</w:t>
      </w:r>
      <w:r w:rsidRPr="00F504DF">
        <w:rPr>
          <w:szCs w:val="20"/>
          <w:lang w:val="en-US"/>
        </w:rPr>
        <w:t>e the benefit</w:t>
      </w:r>
      <w:r>
        <w:rPr>
          <w:szCs w:val="20"/>
          <w:lang w:val="en-US"/>
        </w:rPr>
        <w:t>s</w:t>
      </w:r>
      <w:r w:rsidRPr="00F504DF">
        <w:rPr>
          <w:szCs w:val="20"/>
          <w:lang w:val="en-US"/>
        </w:rPr>
        <w:t xml:space="preserve"> of considering the social and environmental impact of some of these categories of assets, </w:t>
      </w:r>
      <w:r>
        <w:rPr>
          <w:szCs w:val="20"/>
          <w:lang w:val="en-US"/>
        </w:rPr>
        <w:t xml:space="preserve">it is noteworthy that </w:t>
      </w:r>
      <w:r w:rsidRPr="00F504DF">
        <w:rPr>
          <w:szCs w:val="20"/>
          <w:lang w:val="en-US"/>
        </w:rPr>
        <w:t xml:space="preserve">data is often completely missing. </w:t>
      </w:r>
      <w:r>
        <w:rPr>
          <w:szCs w:val="20"/>
          <w:lang w:val="en-US"/>
        </w:rPr>
        <w:t>For these reasons</w:t>
      </w:r>
      <w:r w:rsidRPr="00F504DF">
        <w:rPr>
          <w:szCs w:val="20"/>
          <w:lang w:val="en-US"/>
        </w:rPr>
        <w:t>, the administrative burden of full compliance against t</w:t>
      </w:r>
      <w:r>
        <w:rPr>
          <w:szCs w:val="20"/>
          <w:lang w:val="en-US"/>
        </w:rPr>
        <w:t>he draft</w:t>
      </w:r>
      <w:r w:rsidRPr="00F504DF">
        <w:rPr>
          <w:szCs w:val="20"/>
          <w:lang w:val="en-US"/>
        </w:rPr>
        <w:t xml:space="preserve"> RTS may be much higher for a pension funds than e.g. retail fund managers.  </w:t>
      </w:r>
    </w:p>
    <w:p w14:paraId="108D4A3E" w14:textId="77777777" w:rsidR="00506180" w:rsidRDefault="00506180" w:rsidP="00506180">
      <w:pPr>
        <w:jc w:val="both"/>
        <w:rPr>
          <w:szCs w:val="20"/>
          <w:lang w:val="en-US"/>
        </w:rPr>
      </w:pPr>
    </w:p>
    <w:p w14:paraId="1765F056" w14:textId="77777777" w:rsidR="00506180" w:rsidRDefault="00506180" w:rsidP="00506180">
      <w:pPr>
        <w:jc w:val="both"/>
        <w:rPr>
          <w:szCs w:val="20"/>
          <w:lang w:val="en-US"/>
        </w:rPr>
      </w:pPr>
      <w:r w:rsidRPr="00F504DF">
        <w:rPr>
          <w:szCs w:val="20"/>
          <w:lang w:val="en-US"/>
        </w:rPr>
        <w:t xml:space="preserve">The best effort approach to obtain data from companies does not reflect the operational realities of pension funds. Article 7(2)a implies that financial market participants should first aim to obtain any missing data on the adverse impact indicators from investee companies. </w:t>
      </w:r>
      <w:proofErr w:type="gramStart"/>
      <w:r w:rsidRPr="00F504DF">
        <w:rPr>
          <w:szCs w:val="20"/>
          <w:lang w:val="en-US"/>
        </w:rPr>
        <w:t>In reality, financial</w:t>
      </w:r>
      <w:proofErr w:type="gramEnd"/>
      <w:r w:rsidRPr="00F504DF">
        <w:rPr>
          <w:szCs w:val="20"/>
          <w:lang w:val="en-US"/>
        </w:rPr>
        <w:t xml:space="preserve"> market participants will rely on external data suppliers that will collect data directly from investee companies or conduct their own research to arrive at reasonable estimates. It is simply inefficient to require every single asset manager, </w:t>
      </w:r>
      <w:proofErr w:type="gramStart"/>
      <w:r w:rsidRPr="00F504DF">
        <w:rPr>
          <w:szCs w:val="20"/>
          <w:lang w:val="en-US"/>
        </w:rPr>
        <w:t>insurer</w:t>
      </w:r>
      <w:proofErr w:type="gramEnd"/>
      <w:r w:rsidRPr="00F504DF">
        <w:rPr>
          <w:szCs w:val="20"/>
          <w:lang w:val="en-US"/>
        </w:rPr>
        <w:t xml:space="preserve"> and pension fund to reach out on their own. Some pension funds have over 10 000 investee companies in their portfolio considering only listed equity and fixed income, which makes it too burdensome to engage with every single company for which </w:t>
      </w:r>
      <w:r>
        <w:rPr>
          <w:szCs w:val="20"/>
          <w:lang w:val="en-US"/>
        </w:rPr>
        <w:t>some of the required indicators are missing</w:t>
      </w:r>
      <w:r w:rsidRPr="00F504DF">
        <w:rPr>
          <w:szCs w:val="20"/>
          <w:lang w:val="en-US"/>
        </w:rPr>
        <w:t>.</w:t>
      </w:r>
    </w:p>
    <w:p w14:paraId="3CC1D57B" w14:textId="77777777" w:rsidR="00506180" w:rsidRDefault="00506180" w:rsidP="00506180">
      <w:pPr>
        <w:jc w:val="both"/>
        <w:rPr>
          <w:szCs w:val="20"/>
          <w:lang w:val="en-US"/>
        </w:rPr>
      </w:pPr>
    </w:p>
    <w:p w14:paraId="73279909" w14:textId="77777777" w:rsidR="00506180" w:rsidRPr="00F408E1" w:rsidRDefault="00506180" w:rsidP="00506180">
      <w:pPr>
        <w:pStyle w:val="BodyText"/>
        <w:spacing w:before="1"/>
        <w:ind w:right="318"/>
        <w:rPr>
          <w:rFonts w:asciiTheme="minorHAnsi" w:hAnsiTheme="minorHAnsi" w:cstheme="minorHAnsi"/>
          <w:bCs/>
          <w:color w:val="4F81BD"/>
          <w:sz w:val="20"/>
        </w:rPr>
      </w:pPr>
      <w:r w:rsidRPr="00F408E1">
        <w:rPr>
          <w:rFonts w:asciiTheme="minorHAnsi" w:hAnsiTheme="minorHAnsi" w:cstheme="minorHAnsi"/>
          <w:bCs/>
          <w:color w:val="4F81BD"/>
          <w:sz w:val="20"/>
        </w:rPr>
        <w:t>Implementation timeline</w:t>
      </w:r>
    </w:p>
    <w:p w14:paraId="5C97954A" w14:textId="77777777" w:rsidR="00506180" w:rsidRDefault="00506180" w:rsidP="00506180">
      <w:pPr>
        <w:jc w:val="both"/>
        <w:rPr>
          <w:szCs w:val="20"/>
          <w:lang w:val="en-US"/>
        </w:rPr>
      </w:pPr>
      <w:r w:rsidRPr="00F408E1">
        <w:rPr>
          <w:szCs w:val="20"/>
          <w:lang w:val="en-US"/>
        </w:rPr>
        <w:t xml:space="preserve">We appreciate the action of the ESAs to highlight to the European Commission the extremely tight implementation timeline. We urge the ESAs to continue to put forward this message, as no action to mitigate this issue has been taken so far. We are very concerned that our members will not be able to achieve compliance with SFDR within the timespan as SFDR will apply from 10 March 2021 while It is expected that the draft RTS will be finalised by end of January 2021. </w:t>
      </w:r>
    </w:p>
    <w:p w14:paraId="3E470E5A" w14:textId="77777777" w:rsidR="00506180" w:rsidRPr="00F408E1" w:rsidRDefault="00506180" w:rsidP="00506180">
      <w:pPr>
        <w:jc w:val="both"/>
        <w:rPr>
          <w:szCs w:val="20"/>
          <w:lang w:val="en-US"/>
        </w:rPr>
      </w:pPr>
    </w:p>
    <w:p w14:paraId="46FE5DB3" w14:textId="77777777" w:rsidR="00506180" w:rsidRPr="00F408E1" w:rsidRDefault="00506180" w:rsidP="00506180">
      <w:pPr>
        <w:jc w:val="both"/>
        <w:rPr>
          <w:szCs w:val="20"/>
          <w:lang w:val="en-US"/>
        </w:rPr>
      </w:pPr>
      <w:r w:rsidRPr="00F408E1">
        <w:rPr>
          <w:szCs w:val="20"/>
          <w:lang w:val="en-US"/>
        </w:rPr>
        <w:t>In addition, we also identified important practical issues related to the reporting calendar. If the first PAI report has to be issued by June 2022, FMPs will have to start monitoring the indicators for PAI from June 2021, while the necessary information on investee companies is not expected to be readily available in the medium run and the draft RTS is expected to be finalised by end January 2021, leaving very little time for FMPs to develop their reporting systems. We would recommend requiring the first PAI report to be released by Q2 2023, covering a period from January 2022 to December 2022.</w:t>
      </w:r>
    </w:p>
    <w:p w14:paraId="275D6F0D" w14:textId="77777777" w:rsidR="00506180" w:rsidRDefault="00506180" w:rsidP="00506180">
      <w:pPr>
        <w:jc w:val="both"/>
        <w:rPr>
          <w:szCs w:val="20"/>
          <w:lang w:val="en-US"/>
        </w:rPr>
      </w:pPr>
    </w:p>
    <w:p w14:paraId="6A3CB061" w14:textId="1FCAA79B" w:rsidR="00B327E9" w:rsidRPr="005A3EFC" w:rsidRDefault="00506180" w:rsidP="005A3EFC">
      <w:pPr>
        <w:jc w:val="both"/>
        <w:rPr>
          <w:szCs w:val="20"/>
          <w:lang w:val="en-US"/>
        </w:rPr>
      </w:pPr>
      <w:r w:rsidRPr="00F408E1">
        <w:rPr>
          <w:szCs w:val="20"/>
          <w:lang w:val="en-US"/>
        </w:rPr>
        <w:t xml:space="preserve">Referring to pre-contractual product disclosures, we identify important practical issues if the disclosure requirements apply for the first time to those annual reports that will be issued from 01 January 2022 (pension funds with 31 December year-end) and from 1 October 2021 (pension funds with 30 September year-end) </w:t>
      </w:r>
      <w:r w:rsidRPr="00F408E1">
        <w:rPr>
          <w:szCs w:val="20"/>
          <w:lang w:val="en-US"/>
        </w:rPr>
        <w:lastRenderedPageBreak/>
        <w:t xml:space="preserve">as these annual reports would cover a period prior to the implementation date of SFDR. It is noteworthy the draft RTS will be not finalised before end of January 2021, which leaves very little time to FMPs to adapt their reporting systems. Moreover, for those annual reports with year-end on 30 September 2021, the disclosures would have to cover a period starting in October 2020, much before the release of the final draft RTS. For this reason, we would recommend applying the disclosure requirements for the first time to those annual reports covering a reference period starting in January 2022, i.e. annual reports that will be issued in Q1 2023 or Q3 2023. </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187031ED" w14:textId="77777777" w:rsidR="005A3EFC" w:rsidRDefault="005A3EFC" w:rsidP="005A3EFC">
      <w:pPr>
        <w:jc w:val="both"/>
        <w:rPr>
          <w:szCs w:val="20"/>
          <w:lang w:val="en-US"/>
        </w:rPr>
      </w:pPr>
      <w:bookmarkStart w:id="1" w:name="_Hlk49499233"/>
      <w:permStart w:id="1221819945" w:edGrp="everyone"/>
      <w:r w:rsidRPr="00410785">
        <w:rPr>
          <w:b/>
          <w:bCs/>
          <w:szCs w:val="20"/>
          <w:lang w:val="en-US"/>
        </w:rPr>
        <w:t>PensionsEurope supports the proportionality considerations adopted in the application of the disclosure requirements set up under article 4 of the Sustainable Finance Disclosure Regulation (SFDR).</w:t>
      </w:r>
      <w:r w:rsidRPr="001C1ED5">
        <w:rPr>
          <w:szCs w:val="20"/>
          <w:lang w:val="en-US"/>
        </w:rPr>
        <w:t xml:space="preserve"> </w:t>
      </w:r>
      <w:bookmarkEnd w:id="1"/>
      <w:r w:rsidRPr="001C1ED5">
        <w:rPr>
          <w:szCs w:val="20"/>
          <w:lang w:val="en-US"/>
        </w:rPr>
        <w:t xml:space="preserve">The implementation of the </w:t>
      </w:r>
      <w:r>
        <w:rPr>
          <w:szCs w:val="20"/>
          <w:lang w:val="en-US"/>
        </w:rPr>
        <w:t>Principal Adverse Impacts (PAIs) disclosure</w:t>
      </w:r>
      <w:r w:rsidRPr="001C1ED5">
        <w:rPr>
          <w:szCs w:val="20"/>
          <w:lang w:val="en-US"/>
        </w:rPr>
        <w:t xml:space="preserve"> requirements will be costly and burdensome, in particular for small</w:t>
      </w:r>
      <w:r>
        <w:rPr>
          <w:szCs w:val="20"/>
          <w:lang w:val="en-US"/>
        </w:rPr>
        <w:t>er</w:t>
      </w:r>
      <w:r w:rsidRPr="001C1ED5">
        <w:rPr>
          <w:szCs w:val="20"/>
          <w:lang w:val="en-US"/>
        </w:rPr>
        <w:t xml:space="preserve"> entities</w:t>
      </w:r>
      <w:r>
        <w:rPr>
          <w:szCs w:val="20"/>
          <w:lang w:val="en-US"/>
        </w:rPr>
        <w:t xml:space="preserve"> - 34 indicators </w:t>
      </w:r>
      <w:proofErr w:type="gramStart"/>
      <w:r>
        <w:rPr>
          <w:szCs w:val="20"/>
          <w:lang w:val="en-US"/>
        </w:rPr>
        <w:t>is</w:t>
      </w:r>
      <w:proofErr w:type="gramEnd"/>
      <w:r>
        <w:rPr>
          <w:szCs w:val="20"/>
          <w:lang w:val="en-US"/>
        </w:rPr>
        <w:t xml:space="preserve"> too many</w:t>
      </w:r>
      <w:r w:rsidRPr="001C1ED5">
        <w:rPr>
          <w:szCs w:val="20"/>
          <w:lang w:val="en-US"/>
        </w:rPr>
        <w:t xml:space="preserve">. </w:t>
      </w:r>
      <w:r>
        <w:rPr>
          <w:szCs w:val="20"/>
          <w:lang w:val="en-US"/>
        </w:rPr>
        <w:t>Without any proportionality consideration in the application of the requirements, t</w:t>
      </w:r>
      <w:r w:rsidRPr="001C1ED5">
        <w:rPr>
          <w:szCs w:val="20"/>
          <w:lang w:val="en-US"/>
        </w:rPr>
        <w:t>here is a risk</w:t>
      </w:r>
      <w:r>
        <w:rPr>
          <w:szCs w:val="20"/>
          <w:lang w:val="en-US"/>
        </w:rPr>
        <w:t xml:space="preserve"> that</w:t>
      </w:r>
      <w:r w:rsidRPr="001C1ED5">
        <w:rPr>
          <w:szCs w:val="20"/>
          <w:lang w:val="en-US"/>
        </w:rPr>
        <w:t xml:space="preserve"> </w:t>
      </w:r>
      <w:r>
        <w:rPr>
          <w:szCs w:val="20"/>
          <w:lang w:val="en-US"/>
        </w:rPr>
        <w:t>smaller entities will not be able to fully comply with the requirements. In this sense, PensionsEurope welcomes the proportionality considerations adopted under article 4 of SFDR and emphasised under recital 9 of the draft RTS on ESG disclosures according to which f</w:t>
      </w:r>
      <w:r w:rsidRPr="00DE09F8">
        <w:rPr>
          <w:szCs w:val="20"/>
          <w:lang w:val="en-US"/>
        </w:rPr>
        <w:t>inancial market participants</w:t>
      </w:r>
      <w:r>
        <w:rPr>
          <w:szCs w:val="20"/>
          <w:lang w:val="en-US"/>
        </w:rPr>
        <w:t xml:space="preserve"> (FMPs)</w:t>
      </w:r>
      <w:r w:rsidRPr="00DE09F8">
        <w:rPr>
          <w:szCs w:val="20"/>
          <w:lang w:val="en-US"/>
        </w:rPr>
        <w:t xml:space="preserve"> below </w:t>
      </w:r>
      <w:r>
        <w:rPr>
          <w:szCs w:val="20"/>
          <w:lang w:val="en-US"/>
        </w:rPr>
        <w:t>a</w:t>
      </w:r>
      <w:r w:rsidRPr="00DE09F8">
        <w:rPr>
          <w:szCs w:val="20"/>
          <w:lang w:val="en-US"/>
        </w:rPr>
        <w:t xml:space="preserve"> threshold of 500 employees </w:t>
      </w:r>
      <w:bookmarkStart w:id="2" w:name="_Hlk49499333"/>
      <w:r>
        <w:rPr>
          <w:szCs w:val="20"/>
          <w:lang w:val="en-US"/>
        </w:rPr>
        <w:t xml:space="preserve">would not be subject to mandatory PAI disclosures at entity level against the full list of 32 indicators but </w:t>
      </w:r>
      <w:r w:rsidRPr="00DE09F8">
        <w:rPr>
          <w:szCs w:val="20"/>
          <w:lang w:val="en-US"/>
        </w:rPr>
        <w:t>should</w:t>
      </w:r>
      <w:r>
        <w:rPr>
          <w:szCs w:val="20"/>
          <w:lang w:val="en-US"/>
        </w:rPr>
        <w:t xml:space="preserve"> </w:t>
      </w:r>
      <w:r w:rsidRPr="00DE09F8">
        <w:rPr>
          <w:szCs w:val="20"/>
          <w:lang w:val="en-US"/>
        </w:rPr>
        <w:t>at least explain where they do not consider adverse impacts of investments decisions</w:t>
      </w:r>
      <w:r>
        <w:rPr>
          <w:szCs w:val="20"/>
          <w:lang w:val="en-US"/>
        </w:rPr>
        <w:t xml:space="preserve"> </w:t>
      </w:r>
      <w:r w:rsidRPr="00DE09F8">
        <w:rPr>
          <w:szCs w:val="20"/>
          <w:lang w:val="en-US"/>
        </w:rPr>
        <w:t xml:space="preserve">on sustainability factors </w:t>
      </w:r>
      <w:r>
        <w:rPr>
          <w:szCs w:val="20"/>
          <w:lang w:val="en-US"/>
        </w:rPr>
        <w:t xml:space="preserve">and </w:t>
      </w:r>
      <w:r w:rsidRPr="00DE09F8">
        <w:rPr>
          <w:szCs w:val="20"/>
          <w:lang w:val="en-US"/>
        </w:rPr>
        <w:t xml:space="preserve">the reasons </w:t>
      </w:r>
      <w:r>
        <w:rPr>
          <w:szCs w:val="20"/>
          <w:lang w:val="en-US"/>
        </w:rPr>
        <w:t>for</w:t>
      </w:r>
      <w:r w:rsidRPr="00DE09F8">
        <w:rPr>
          <w:szCs w:val="20"/>
          <w:lang w:val="en-US"/>
        </w:rPr>
        <w:t xml:space="preserve"> not consider</w:t>
      </w:r>
      <w:r>
        <w:rPr>
          <w:szCs w:val="20"/>
          <w:lang w:val="en-US"/>
        </w:rPr>
        <w:t>ing</w:t>
      </w:r>
      <w:r w:rsidRPr="00DE09F8">
        <w:rPr>
          <w:szCs w:val="20"/>
          <w:lang w:val="en-US"/>
        </w:rPr>
        <w:t xml:space="preserve"> them.</w:t>
      </w:r>
      <w:r>
        <w:rPr>
          <w:szCs w:val="20"/>
          <w:lang w:val="en-US"/>
        </w:rPr>
        <w:t xml:space="preserve"> We would also recommend the European Commission to maintain the reference </w:t>
      </w:r>
      <w:r w:rsidRPr="00EE33D8">
        <w:rPr>
          <w:szCs w:val="20"/>
          <w:lang w:val="en-US"/>
        </w:rPr>
        <w:t>to the average number of employees in Article 4(3) and (4)</w:t>
      </w:r>
      <w:r>
        <w:rPr>
          <w:szCs w:val="20"/>
          <w:lang w:val="en-US"/>
        </w:rPr>
        <w:t xml:space="preserve"> through the evaluation of SFDR planned by December 2022, under article 19 of SFDR. </w:t>
      </w:r>
      <w:bookmarkEnd w:id="2"/>
      <w:r w:rsidRPr="00146B03">
        <w:rPr>
          <w:szCs w:val="20"/>
          <w:lang w:val="en-US"/>
        </w:rPr>
        <w:t xml:space="preserve">It is important to note that </w:t>
      </w:r>
      <w:bookmarkStart w:id="3" w:name="_Hlk49499254"/>
      <w:r>
        <w:rPr>
          <w:szCs w:val="20"/>
          <w:lang w:val="en-US"/>
        </w:rPr>
        <w:t xml:space="preserve">most </w:t>
      </w:r>
      <w:r w:rsidRPr="00146B03">
        <w:rPr>
          <w:szCs w:val="20"/>
          <w:lang w:val="en-US"/>
        </w:rPr>
        <w:t>pension fund</w:t>
      </w:r>
      <w:r>
        <w:rPr>
          <w:szCs w:val="20"/>
          <w:lang w:val="en-US"/>
        </w:rPr>
        <w:t>s</w:t>
      </w:r>
      <w:r w:rsidRPr="00146B03">
        <w:rPr>
          <w:szCs w:val="20"/>
          <w:lang w:val="en-US"/>
        </w:rPr>
        <w:t xml:space="preserve"> have less than 500 employees and </w:t>
      </w:r>
      <w:r>
        <w:rPr>
          <w:szCs w:val="20"/>
          <w:lang w:val="en-US"/>
        </w:rPr>
        <w:t xml:space="preserve">they may not have the capacities to implement in full the disclosures required under article 4 and specified in the draft RTS. </w:t>
      </w:r>
      <w:bookmarkEnd w:id="3"/>
    </w:p>
    <w:p w14:paraId="23380074" w14:textId="77777777" w:rsidR="005A3EFC" w:rsidRDefault="005A3EFC" w:rsidP="005A3EFC">
      <w:pPr>
        <w:jc w:val="both"/>
        <w:rPr>
          <w:szCs w:val="20"/>
          <w:lang w:val="en-US"/>
        </w:rPr>
      </w:pPr>
    </w:p>
    <w:p w14:paraId="36763430" w14:textId="77777777" w:rsidR="005A3EFC" w:rsidRDefault="005A3EFC" w:rsidP="005A3EFC">
      <w:pPr>
        <w:jc w:val="both"/>
        <w:rPr>
          <w:b/>
          <w:bCs/>
          <w:szCs w:val="20"/>
          <w:lang w:val="en-US"/>
        </w:rPr>
      </w:pPr>
      <w:r w:rsidRPr="006D72E0">
        <w:rPr>
          <w:b/>
          <w:bCs/>
          <w:szCs w:val="20"/>
          <w:lang w:val="en-US"/>
        </w:rPr>
        <w:t>PensionsEurope notes the focus on retail investors in the draft RTS and calls for appropriate rules for IORPs.</w:t>
      </w:r>
      <w:r>
        <w:rPr>
          <w:szCs w:val="20"/>
          <w:lang w:val="en-US"/>
        </w:rPr>
        <w:t xml:space="preserve"> </w:t>
      </w:r>
      <w:r w:rsidRPr="00610217">
        <w:rPr>
          <w:szCs w:val="20"/>
          <w:lang w:val="en-US"/>
        </w:rPr>
        <w:t xml:space="preserve"> </w:t>
      </w:r>
      <w:r>
        <w:rPr>
          <w:szCs w:val="20"/>
          <w:lang w:val="en-US"/>
        </w:rPr>
        <w:t>The draft RTS</w:t>
      </w:r>
      <w:r w:rsidRPr="00610217">
        <w:rPr>
          <w:szCs w:val="20"/>
          <w:lang w:val="en-US"/>
        </w:rPr>
        <w:t xml:space="preserve"> must recognise the specificities of IORPs</w:t>
      </w:r>
      <w:r>
        <w:rPr>
          <w:szCs w:val="20"/>
          <w:lang w:val="en-US"/>
        </w:rPr>
        <w:t>’ members and beneficiaries and their i</w:t>
      </w:r>
      <w:r w:rsidRPr="00610217">
        <w:rPr>
          <w:szCs w:val="20"/>
          <w:lang w:val="en-US"/>
        </w:rPr>
        <w:t xml:space="preserve">nformation needs, avoiding stifling </w:t>
      </w:r>
      <w:r>
        <w:rPr>
          <w:szCs w:val="20"/>
          <w:lang w:val="en-US"/>
        </w:rPr>
        <w:t>IORPs w</w:t>
      </w:r>
      <w:r w:rsidRPr="00610217">
        <w:rPr>
          <w:szCs w:val="20"/>
          <w:lang w:val="en-US"/>
        </w:rPr>
        <w:t>ith inappropriate and burdensome rules</w:t>
      </w:r>
      <w:r>
        <w:rPr>
          <w:szCs w:val="20"/>
          <w:lang w:val="en-US"/>
        </w:rPr>
        <w:t xml:space="preserve"> with very little added value in </w:t>
      </w:r>
      <w:r w:rsidRPr="008730EC">
        <w:rPr>
          <w:rFonts w:cstheme="minorHAnsi"/>
          <w:iCs/>
          <w:szCs w:val="20"/>
        </w:rPr>
        <w:t>improving members and beneficiaries’ ESG awareness.</w:t>
      </w:r>
      <w:r>
        <w:rPr>
          <w:rFonts w:cstheme="minorHAnsi"/>
          <w:iCs/>
          <w:szCs w:val="20"/>
        </w:rPr>
        <w:t xml:space="preserve"> </w:t>
      </w:r>
      <w:r w:rsidRPr="00610217">
        <w:rPr>
          <w:szCs w:val="20"/>
          <w:lang w:val="en-US"/>
        </w:rPr>
        <w:t xml:space="preserve">According to the IORP II Directive, IORPs are financial institutions with a social purpose which are often managed by social partners. They are not considered as providers of financial products as such but more as executors of a pension promise by the sponsoring undertaking to its employees. </w:t>
      </w:r>
      <w:r>
        <w:rPr>
          <w:szCs w:val="20"/>
          <w:lang w:val="en-US"/>
        </w:rPr>
        <w:t>In many countries,</w:t>
      </w:r>
      <w:r w:rsidRPr="00610217">
        <w:rPr>
          <w:szCs w:val="20"/>
          <w:lang w:val="en-US"/>
        </w:rPr>
        <w:t xml:space="preserve"> IORPs have no commercial character and there is no competition between them due to </w:t>
      </w:r>
      <w:r>
        <w:rPr>
          <w:szCs w:val="20"/>
          <w:lang w:val="en-US"/>
        </w:rPr>
        <w:t>the rules laid down in national social and labour law</w:t>
      </w:r>
      <w:r w:rsidRPr="00610217">
        <w:rPr>
          <w:szCs w:val="20"/>
          <w:lang w:val="en-US"/>
        </w:rPr>
        <w:t xml:space="preserve">. It would be inappropriate to impose to these IORPs the same transparency requirements than those applying to big commercial financial entities. </w:t>
      </w:r>
      <w:r>
        <w:rPr>
          <w:szCs w:val="20"/>
          <w:lang w:val="en-US"/>
        </w:rPr>
        <w:t xml:space="preserve">It is also worth mentioning </w:t>
      </w:r>
      <w:r w:rsidRPr="00D21486">
        <w:rPr>
          <w:szCs w:val="20"/>
          <w:lang w:val="en-US"/>
        </w:rPr>
        <w:t>IORPs are on the demand side of</w:t>
      </w:r>
      <w:r>
        <w:rPr>
          <w:szCs w:val="20"/>
          <w:lang w:val="en-US"/>
        </w:rPr>
        <w:t xml:space="preserve"> the</w:t>
      </w:r>
      <w:r w:rsidRPr="00D21486">
        <w:rPr>
          <w:szCs w:val="20"/>
          <w:lang w:val="en-US"/>
        </w:rPr>
        <w:t xml:space="preserve"> financial </w:t>
      </w:r>
      <w:r>
        <w:rPr>
          <w:szCs w:val="20"/>
          <w:lang w:val="en-US"/>
        </w:rPr>
        <w:t>markets</w:t>
      </w:r>
      <w:r w:rsidRPr="00D21486">
        <w:rPr>
          <w:szCs w:val="20"/>
          <w:lang w:val="en-US"/>
        </w:rPr>
        <w:t>, e.g. when they invest in a fund</w:t>
      </w:r>
      <w:r>
        <w:rPr>
          <w:szCs w:val="20"/>
          <w:lang w:val="en-US"/>
        </w:rPr>
        <w:t>.</w:t>
      </w:r>
      <w:r w:rsidRPr="00D21486">
        <w:rPr>
          <w:szCs w:val="20"/>
          <w:lang w:val="en-US"/>
        </w:rPr>
        <w:t xml:space="preserve"> </w:t>
      </w:r>
      <w:r>
        <w:rPr>
          <w:szCs w:val="20"/>
          <w:lang w:val="en-US"/>
        </w:rPr>
        <w:t xml:space="preserve">To a certain extent, </w:t>
      </w:r>
      <w:r w:rsidRPr="00D21486">
        <w:rPr>
          <w:szCs w:val="20"/>
          <w:lang w:val="en-US"/>
        </w:rPr>
        <w:t xml:space="preserve">IORPs </w:t>
      </w:r>
      <w:r>
        <w:rPr>
          <w:szCs w:val="20"/>
          <w:lang w:val="en-US"/>
        </w:rPr>
        <w:t xml:space="preserve">should be considered as </w:t>
      </w:r>
      <w:r w:rsidRPr="00D21486">
        <w:rPr>
          <w:szCs w:val="20"/>
          <w:lang w:val="en-US"/>
        </w:rPr>
        <w:t>end-investors</w:t>
      </w:r>
      <w:r>
        <w:rPr>
          <w:szCs w:val="20"/>
          <w:lang w:val="en-US"/>
        </w:rPr>
        <w:t xml:space="preserve">. </w:t>
      </w:r>
      <w:r w:rsidRPr="00610217">
        <w:rPr>
          <w:szCs w:val="20"/>
          <w:lang w:val="en-US"/>
        </w:rPr>
        <w:t>In most M</w:t>
      </w:r>
      <w:r>
        <w:rPr>
          <w:szCs w:val="20"/>
          <w:lang w:val="en-US"/>
        </w:rPr>
        <w:t>ember States</w:t>
      </w:r>
      <w:r w:rsidRPr="00610217">
        <w:rPr>
          <w:szCs w:val="20"/>
          <w:lang w:val="en-US"/>
        </w:rPr>
        <w:t>, IORPs are very small entities, which makes them very sensitive to any additional administrative burden.</w:t>
      </w:r>
      <w:r>
        <w:rPr>
          <w:szCs w:val="20"/>
          <w:lang w:val="en-US"/>
        </w:rPr>
        <w:t xml:space="preserve"> Against this background, </w:t>
      </w:r>
      <w:r w:rsidRPr="00610217">
        <w:rPr>
          <w:b/>
          <w:bCs/>
          <w:szCs w:val="20"/>
          <w:lang w:val="en-US"/>
        </w:rPr>
        <w:t>PensionsEurope welcomes that most IORPs will be allowed to comply with the PAI disclosure requirements on a voluntary basis.</w:t>
      </w:r>
    </w:p>
    <w:p w14:paraId="6FBCEB4E" w14:textId="77777777" w:rsidR="005A3EFC" w:rsidRDefault="005A3EFC" w:rsidP="005A3EFC">
      <w:pPr>
        <w:jc w:val="both"/>
        <w:rPr>
          <w:b/>
          <w:bCs/>
          <w:szCs w:val="20"/>
          <w:lang w:val="en-US"/>
        </w:rPr>
      </w:pPr>
    </w:p>
    <w:p w14:paraId="3D9BEF52" w14:textId="77777777" w:rsidR="005A3EFC" w:rsidRDefault="005A3EFC" w:rsidP="005A3EFC">
      <w:pPr>
        <w:jc w:val="both"/>
        <w:rPr>
          <w:szCs w:val="20"/>
          <w:lang w:val="en-US"/>
        </w:rPr>
      </w:pPr>
      <w:r>
        <w:rPr>
          <w:szCs w:val="20"/>
          <w:lang w:val="en-US"/>
        </w:rPr>
        <w:t xml:space="preserve">It would also be important to specify that </w:t>
      </w:r>
      <w:bookmarkStart w:id="4" w:name="_Hlk49500597"/>
      <w:r w:rsidRPr="00BB0134">
        <w:rPr>
          <w:b/>
          <w:bCs/>
          <w:szCs w:val="20"/>
          <w:lang w:val="en-US"/>
        </w:rPr>
        <w:t>below the threshold of 500 employees, the voluntary application of due diligence for adverse impacts should not imply mandatory disclosure against the full set of 32 indicators.</w:t>
      </w:r>
      <w:r>
        <w:rPr>
          <w:szCs w:val="20"/>
          <w:lang w:val="en-US"/>
        </w:rPr>
        <w:t xml:space="preserve"> Otherwise, FMPs with less than 500 employees would be strongly disincentivised to do any due diligence, as it would imply immediately full reporting against the indicators.</w:t>
      </w:r>
      <w:bookmarkEnd w:id="4"/>
      <w:r>
        <w:rPr>
          <w:szCs w:val="20"/>
          <w:lang w:val="en-US"/>
        </w:rPr>
        <w:t xml:space="preserve"> </w:t>
      </w:r>
      <w:r w:rsidRPr="00BB0134">
        <w:rPr>
          <w:szCs w:val="20"/>
          <w:lang w:val="en-US"/>
        </w:rPr>
        <w:t>Considering that most of the required data on investee companies is not readily available</w:t>
      </w:r>
      <w:r>
        <w:rPr>
          <w:szCs w:val="20"/>
          <w:lang w:val="en-US"/>
        </w:rPr>
        <w:t xml:space="preserve"> (see below)</w:t>
      </w:r>
      <w:r w:rsidRPr="00BB0134">
        <w:rPr>
          <w:szCs w:val="20"/>
          <w:lang w:val="en-US"/>
        </w:rPr>
        <w:t xml:space="preserve">, complying with the new disclosure requirements will require a significant effort with significant costs for </w:t>
      </w:r>
      <w:r>
        <w:rPr>
          <w:szCs w:val="20"/>
          <w:lang w:val="en-US"/>
        </w:rPr>
        <w:t>FMPs</w:t>
      </w:r>
      <w:r w:rsidRPr="00BB0134">
        <w:rPr>
          <w:szCs w:val="20"/>
          <w:lang w:val="en-US"/>
        </w:rPr>
        <w:t xml:space="preserve">. </w:t>
      </w:r>
      <w:r>
        <w:rPr>
          <w:szCs w:val="20"/>
          <w:lang w:val="en-US"/>
        </w:rPr>
        <w:t xml:space="preserve">Moreover, the 32 indicators are too many to practically use in an investment strategy and it is impossible to mitigate impacts along all indicators. </w:t>
      </w:r>
      <w:r w:rsidRPr="00BB0134">
        <w:rPr>
          <w:szCs w:val="20"/>
          <w:lang w:val="en-US"/>
        </w:rPr>
        <w:t xml:space="preserve">As a result, smaller market participants may be driven in the wrong direction as they would be asked to cover all the required information instead of addressing the relevant material </w:t>
      </w:r>
      <w:r>
        <w:rPr>
          <w:szCs w:val="20"/>
          <w:lang w:val="en-US"/>
        </w:rPr>
        <w:t>PAI</w:t>
      </w:r>
      <w:r w:rsidRPr="00BB0134">
        <w:rPr>
          <w:szCs w:val="20"/>
          <w:lang w:val="en-US"/>
        </w:rPr>
        <w:t xml:space="preserve">. </w:t>
      </w:r>
      <w:r>
        <w:rPr>
          <w:szCs w:val="20"/>
          <w:lang w:val="en-US"/>
        </w:rPr>
        <w:t>In case that disclosure is required against the full list of 32 indicators when financial markets participants with less than 500 employees apply due diligence for ESG PAI, t</w:t>
      </w:r>
      <w:r w:rsidRPr="00BB0134">
        <w:rPr>
          <w:szCs w:val="20"/>
          <w:lang w:val="en-US"/>
        </w:rPr>
        <w:t xml:space="preserve">he high costs and efforts needed for the data collection exercise might set incentives for </w:t>
      </w:r>
      <w:r>
        <w:rPr>
          <w:szCs w:val="20"/>
          <w:lang w:val="en-US"/>
        </w:rPr>
        <w:t>those FMPs</w:t>
      </w:r>
      <w:r w:rsidRPr="00BB0134">
        <w:rPr>
          <w:szCs w:val="20"/>
          <w:lang w:val="en-US"/>
        </w:rPr>
        <w:t xml:space="preserve"> to use the “explain” approach and not apply </w:t>
      </w:r>
      <w:r>
        <w:rPr>
          <w:szCs w:val="20"/>
          <w:lang w:val="en-US"/>
        </w:rPr>
        <w:t>due diligence</w:t>
      </w:r>
      <w:r w:rsidRPr="00BB0134">
        <w:rPr>
          <w:szCs w:val="20"/>
          <w:lang w:val="en-US"/>
        </w:rPr>
        <w:t>.</w:t>
      </w:r>
      <w:r>
        <w:rPr>
          <w:szCs w:val="20"/>
          <w:lang w:val="en-US"/>
        </w:rPr>
        <w:t xml:space="preserve"> </w:t>
      </w:r>
      <w:bookmarkStart w:id="5" w:name="_Hlk49238788"/>
      <w:r>
        <w:rPr>
          <w:szCs w:val="20"/>
          <w:lang w:val="en-US"/>
        </w:rPr>
        <w:t xml:space="preserve">Similarly, investment approaches such as e.g. excluding certain assets should not lead to mandatory disclosure against the 34 indicators. </w:t>
      </w:r>
      <w:bookmarkEnd w:id="5"/>
    </w:p>
    <w:p w14:paraId="2238EA7E" w14:textId="77777777" w:rsidR="005A3EFC" w:rsidRDefault="005A3EFC" w:rsidP="005A3EFC">
      <w:pPr>
        <w:jc w:val="both"/>
        <w:rPr>
          <w:szCs w:val="20"/>
          <w:lang w:val="en-US"/>
        </w:rPr>
      </w:pPr>
    </w:p>
    <w:p w14:paraId="7C88A51C" w14:textId="77777777" w:rsidR="005A3EFC" w:rsidRPr="00642DFE" w:rsidRDefault="005A3EFC" w:rsidP="005A3EFC">
      <w:pPr>
        <w:rPr>
          <w:szCs w:val="20"/>
          <w:lang w:val="en-US"/>
        </w:rPr>
      </w:pPr>
      <w:bookmarkStart w:id="6" w:name="_Hlk49500693"/>
      <w:r w:rsidRPr="00DD76F0">
        <w:rPr>
          <w:rFonts w:cstheme="minorHAnsi"/>
          <w:b/>
          <w:bCs/>
          <w:iCs/>
          <w:szCs w:val="20"/>
        </w:rPr>
        <w:t xml:space="preserve">Above the threshold of 500 employees, PensionsEurope recommends the ESAs to allow </w:t>
      </w:r>
      <w:r>
        <w:rPr>
          <w:rFonts w:cstheme="minorHAnsi"/>
          <w:b/>
          <w:bCs/>
          <w:iCs/>
          <w:szCs w:val="20"/>
        </w:rPr>
        <w:t>FMPs</w:t>
      </w:r>
      <w:r w:rsidRPr="00DD76F0">
        <w:rPr>
          <w:rFonts w:cstheme="minorHAnsi"/>
          <w:b/>
          <w:bCs/>
          <w:iCs/>
          <w:szCs w:val="20"/>
        </w:rPr>
        <w:t xml:space="preserve"> to prioritize the adverse impacts and select the relevant indicators </w:t>
      </w:r>
      <w:proofErr w:type="gramStart"/>
      <w:r w:rsidRPr="00DD76F0">
        <w:rPr>
          <w:rFonts w:cstheme="minorHAnsi"/>
          <w:b/>
          <w:bCs/>
          <w:iCs/>
          <w:szCs w:val="20"/>
        </w:rPr>
        <w:t>on the basis of</w:t>
      </w:r>
      <w:proofErr w:type="gramEnd"/>
      <w:r w:rsidRPr="00DD76F0">
        <w:rPr>
          <w:rFonts w:cstheme="minorHAnsi"/>
          <w:b/>
          <w:bCs/>
          <w:iCs/>
          <w:szCs w:val="20"/>
        </w:rPr>
        <w:t xml:space="preserve"> their materiality</w:t>
      </w:r>
      <w:r>
        <w:rPr>
          <w:rFonts w:cstheme="minorHAnsi"/>
          <w:iCs/>
          <w:szCs w:val="20"/>
        </w:rPr>
        <w:t>.</w:t>
      </w:r>
      <w:r w:rsidRPr="00857409">
        <w:rPr>
          <w:rFonts w:cstheme="minorHAnsi"/>
          <w:iCs/>
          <w:szCs w:val="20"/>
        </w:rPr>
        <w:t xml:space="preserve"> </w:t>
      </w:r>
      <w:r>
        <w:rPr>
          <w:lang w:val="en-US"/>
        </w:rPr>
        <w:t xml:space="preserve">We would </w:t>
      </w:r>
      <w:r w:rsidRPr="00642DFE">
        <w:rPr>
          <w:szCs w:val="20"/>
          <w:lang w:val="en-US"/>
        </w:rPr>
        <w:t>recommend:</w:t>
      </w:r>
    </w:p>
    <w:p w14:paraId="21330C00" w14:textId="77777777" w:rsidR="005A3EFC" w:rsidRDefault="005A3EFC" w:rsidP="005A3EFC">
      <w:pPr>
        <w:pStyle w:val="ListParagraph"/>
        <w:numPr>
          <w:ilvl w:val="0"/>
          <w:numId w:val="41"/>
        </w:numPr>
        <w:spacing w:line="264" w:lineRule="auto"/>
        <w:rPr>
          <w:szCs w:val="20"/>
          <w:lang w:val="en-US"/>
        </w:rPr>
      </w:pPr>
      <w:r w:rsidRPr="008C081E">
        <w:rPr>
          <w:szCs w:val="20"/>
          <w:lang w:val="en-US"/>
        </w:rPr>
        <w:lastRenderedPageBreak/>
        <w:t>Adopting a transitional phase-in approach for the implementation of mandatory PAI disclosure requirements, in line with the availability of necessary ESG data on investee companies and the review of the NFRD.</w:t>
      </w:r>
    </w:p>
    <w:p w14:paraId="3E6013F9" w14:textId="77777777" w:rsidR="005A3EFC" w:rsidRPr="00642DFE" w:rsidRDefault="005A3EFC" w:rsidP="005A3EFC">
      <w:pPr>
        <w:pStyle w:val="ListParagraph"/>
        <w:numPr>
          <w:ilvl w:val="0"/>
          <w:numId w:val="41"/>
        </w:numPr>
        <w:spacing w:line="264" w:lineRule="auto"/>
        <w:rPr>
          <w:szCs w:val="20"/>
          <w:lang w:val="en-US"/>
        </w:rPr>
      </w:pPr>
      <w:r w:rsidRPr="00642DFE">
        <w:rPr>
          <w:szCs w:val="20"/>
          <w:lang w:val="en-US"/>
        </w:rPr>
        <w:t>Allowing a materiality assessment to apply or disapply indicators to sectors.</w:t>
      </w:r>
    </w:p>
    <w:p w14:paraId="06EB053D" w14:textId="77777777" w:rsidR="005A3EFC" w:rsidRPr="00642DFE" w:rsidRDefault="005A3EFC" w:rsidP="005A3EFC">
      <w:pPr>
        <w:pStyle w:val="ListParagraph"/>
        <w:numPr>
          <w:ilvl w:val="0"/>
          <w:numId w:val="41"/>
        </w:numPr>
        <w:spacing w:line="264" w:lineRule="auto"/>
        <w:rPr>
          <w:szCs w:val="20"/>
          <w:lang w:val="en-US"/>
        </w:rPr>
      </w:pPr>
      <w:r w:rsidRPr="00642DFE">
        <w:rPr>
          <w:szCs w:val="20"/>
          <w:lang w:val="en-US"/>
        </w:rPr>
        <w:t>Applying mandatory indicators to listed equity portfolios only, as data is lacking for other types of assets.</w:t>
      </w:r>
    </w:p>
    <w:p w14:paraId="0134971B" w14:textId="77777777" w:rsidR="005A3EFC" w:rsidRPr="00642DFE" w:rsidRDefault="005A3EFC" w:rsidP="005A3EFC">
      <w:pPr>
        <w:pStyle w:val="ListParagraph"/>
        <w:numPr>
          <w:ilvl w:val="0"/>
          <w:numId w:val="41"/>
        </w:numPr>
        <w:spacing w:line="264" w:lineRule="auto"/>
        <w:rPr>
          <w:szCs w:val="20"/>
          <w:lang w:val="en-US"/>
        </w:rPr>
      </w:pPr>
      <w:r>
        <w:rPr>
          <w:szCs w:val="20"/>
          <w:lang w:val="en-US"/>
        </w:rPr>
        <w:t>An alternative solution</w:t>
      </w:r>
      <w:r>
        <w:rPr>
          <w:rFonts w:cstheme="minorHAnsi"/>
          <w:iCs/>
          <w:szCs w:val="20"/>
        </w:rPr>
        <w:t xml:space="preserve"> would consist in requiring FMPs to provide a qualitative presentation on how they assess the PAIs at entity level around</w:t>
      </w:r>
      <w:r w:rsidRPr="0079530C">
        <w:rPr>
          <w:rFonts w:cstheme="minorHAnsi"/>
          <w:iCs/>
          <w:szCs w:val="20"/>
        </w:rPr>
        <w:t xml:space="preserve"> 4 pillars: strategy, governance, risk management and indicators.</w:t>
      </w:r>
      <w:r>
        <w:rPr>
          <w:rFonts w:cstheme="minorHAnsi"/>
          <w:iCs/>
          <w:szCs w:val="20"/>
        </w:rPr>
        <w:t xml:space="preserve"> Entities would only be required to provide a quantitative or qualitative assessment of the PAIs based on a set of indicators at product level.</w:t>
      </w:r>
    </w:p>
    <w:bookmarkEnd w:id="6"/>
    <w:p w14:paraId="5995A526" w14:textId="77777777" w:rsidR="005A3EFC" w:rsidRPr="00642DFE" w:rsidRDefault="005A3EFC" w:rsidP="005A3EFC">
      <w:pPr>
        <w:jc w:val="both"/>
        <w:rPr>
          <w:lang w:val="en-US"/>
        </w:rPr>
      </w:pPr>
    </w:p>
    <w:p w14:paraId="5CED8170" w14:textId="77777777" w:rsidR="005A3EFC" w:rsidRDefault="005A3EFC" w:rsidP="005A3EFC">
      <w:pPr>
        <w:jc w:val="both"/>
        <w:rPr>
          <w:rFonts w:cstheme="minorHAnsi"/>
          <w:iCs/>
          <w:szCs w:val="20"/>
        </w:rPr>
      </w:pPr>
      <w:r w:rsidRPr="00165455">
        <w:rPr>
          <w:rFonts w:cstheme="minorHAnsi"/>
          <w:iCs/>
          <w:szCs w:val="20"/>
        </w:rPr>
        <w:t>Materiality</w:t>
      </w:r>
      <w:r>
        <w:rPr>
          <w:rFonts w:cstheme="minorHAnsi"/>
          <w:iCs/>
          <w:szCs w:val="20"/>
        </w:rPr>
        <w:t xml:space="preserve"> based on severity and likelihood of the impacts</w:t>
      </w:r>
      <w:r w:rsidRPr="00165455">
        <w:rPr>
          <w:rFonts w:cstheme="minorHAnsi"/>
          <w:iCs/>
          <w:szCs w:val="20"/>
        </w:rPr>
        <w:t xml:space="preserve"> is crucial</w:t>
      </w:r>
      <w:r>
        <w:rPr>
          <w:rFonts w:cstheme="minorHAnsi"/>
          <w:iCs/>
          <w:szCs w:val="20"/>
        </w:rPr>
        <w:t xml:space="preserve"> and disclosure</w:t>
      </w:r>
      <w:r w:rsidRPr="00165455">
        <w:rPr>
          <w:rFonts w:cstheme="minorHAnsi"/>
          <w:iCs/>
          <w:szCs w:val="20"/>
        </w:rPr>
        <w:t xml:space="preserve"> should be about identifying the relevant material sustainability aspects</w:t>
      </w:r>
      <w:r>
        <w:rPr>
          <w:rFonts w:cstheme="minorHAnsi"/>
          <w:iCs/>
          <w:szCs w:val="20"/>
        </w:rPr>
        <w:t xml:space="preserve"> for FMPs</w:t>
      </w:r>
      <w:r w:rsidRPr="00165455">
        <w:rPr>
          <w:rFonts w:cstheme="minorHAnsi"/>
          <w:iCs/>
          <w:szCs w:val="20"/>
        </w:rPr>
        <w:t xml:space="preserve"> </w:t>
      </w:r>
      <w:r>
        <w:rPr>
          <w:rFonts w:cstheme="minorHAnsi"/>
          <w:iCs/>
          <w:szCs w:val="20"/>
        </w:rPr>
        <w:t>considering</w:t>
      </w:r>
      <w:r w:rsidRPr="00165455">
        <w:rPr>
          <w:rFonts w:cstheme="minorHAnsi"/>
          <w:iCs/>
          <w:szCs w:val="20"/>
        </w:rPr>
        <w:t xml:space="preserve"> </w:t>
      </w:r>
      <w:r>
        <w:rPr>
          <w:rFonts w:cstheme="minorHAnsi"/>
          <w:iCs/>
          <w:szCs w:val="20"/>
        </w:rPr>
        <w:t>their</w:t>
      </w:r>
      <w:r w:rsidRPr="00165455">
        <w:rPr>
          <w:rFonts w:cstheme="minorHAnsi"/>
          <w:iCs/>
          <w:szCs w:val="20"/>
        </w:rPr>
        <w:t xml:space="preserve"> actual asset, sector and company allocation</w:t>
      </w:r>
      <w:r>
        <w:rPr>
          <w:rFonts w:cstheme="minorHAnsi"/>
          <w:iCs/>
          <w:szCs w:val="20"/>
        </w:rPr>
        <w:t>s, which would</w:t>
      </w:r>
      <w:r w:rsidRPr="00165455">
        <w:rPr>
          <w:rFonts w:cstheme="minorHAnsi"/>
          <w:iCs/>
          <w:szCs w:val="20"/>
        </w:rPr>
        <w:t xml:space="preserve"> </w:t>
      </w:r>
      <w:r>
        <w:rPr>
          <w:rFonts w:cstheme="minorHAnsi"/>
          <w:iCs/>
          <w:szCs w:val="20"/>
        </w:rPr>
        <w:t>set the right incentives for investors</w:t>
      </w:r>
      <w:r w:rsidRPr="00165455">
        <w:rPr>
          <w:rFonts w:cstheme="minorHAnsi"/>
          <w:iCs/>
          <w:szCs w:val="20"/>
        </w:rPr>
        <w:t xml:space="preserve"> to act where </w:t>
      </w:r>
      <w:r>
        <w:rPr>
          <w:rFonts w:cstheme="minorHAnsi"/>
          <w:iCs/>
          <w:szCs w:val="20"/>
        </w:rPr>
        <w:t>they</w:t>
      </w:r>
      <w:r w:rsidRPr="00165455">
        <w:rPr>
          <w:rFonts w:cstheme="minorHAnsi"/>
          <w:iCs/>
          <w:szCs w:val="20"/>
        </w:rPr>
        <w:t xml:space="preserve"> can make </w:t>
      </w:r>
      <w:r>
        <w:rPr>
          <w:rFonts w:cstheme="minorHAnsi"/>
          <w:iCs/>
          <w:szCs w:val="20"/>
        </w:rPr>
        <w:t>a</w:t>
      </w:r>
      <w:r w:rsidRPr="00165455">
        <w:rPr>
          <w:rFonts w:cstheme="minorHAnsi"/>
          <w:iCs/>
          <w:szCs w:val="20"/>
        </w:rPr>
        <w:t xml:space="preserve"> difference. </w:t>
      </w:r>
      <w:r>
        <w:rPr>
          <w:rFonts w:cstheme="minorHAnsi"/>
          <w:iCs/>
          <w:szCs w:val="20"/>
        </w:rPr>
        <w:t>Although we agree t</w:t>
      </w:r>
      <w:r w:rsidRPr="00282C0F">
        <w:rPr>
          <w:rFonts w:cstheme="minorHAnsi"/>
          <w:iCs/>
          <w:szCs w:val="20"/>
        </w:rPr>
        <w:t>here are</w:t>
      </w:r>
      <w:r>
        <w:rPr>
          <w:rFonts w:cstheme="minorHAnsi"/>
          <w:iCs/>
          <w:szCs w:val="20"/>
        </w:rPr>
        <w:t xml:space="preserve"> common</w:t>
      </w:r>
      <w:r w:rsidRPr="00282C0F">
        <w:rPr>
          <w:rFonts w:cstheme="minorHAnsi"/>
          <w:iCs/>
          <w:szCs w:val="20"/>
        </w:rPr>
        <w:t xml:space="preserve"> areas of indicators for “principal” adverse impacts for society and ecology</w:t>
      </w:r>
      <w:r>
        <w:rPr>
          <w:rFonts w:cstheme="minorHAnsi"/>
          <w:iCs/>
          <w:szCs w:val="20"/>
        </w:rPr>
        <w:t>,</w:t>
      </w:r>
      <w:r w:rsidRPr="00282C0F">
        <w:rPr>
          <w:rFonts w:cstheme="minorHAnsi"/>
          <w:iCs/>
          <w:szCs w:val="20"/>
        </w:rPr>
        <w:t xml:space="preserve"> </w:t>
      </w:r>
      <w:r>
        <w:rPr>
          <w:rFonts w:cstheme="minorHAnsi"/>
          <w:iCs/>
          <w:szCs w:val="20"/>
        </w:rPr>
        <w:t>a</w:t>
      </w:r>
      <w:r w:rsidRPr="007363C9">
        <w:rPr>
          <w:rFonts w:cstheme="minorHAnsi"/>
          <w:iCs/>
          <w:szCs w:val="20"/>
        </w:rPr>
        <w:t xml:space="preserve">n assessment of the </w:t>
      </w:r>
      <w:r>
        <w:rPr>
          <w:rFonts w:cstheme="minorHAnsi"/>
          <w:iCs/>
          <w:szCs w:val="20"/>
        </w:rPr>
        <w:t>PAIs</w:t>
      </w:r>
      <w:r w:rsidRPr="007363C9">
        <w:rPr>
          <w:rFonts w:cstheme="minorHAnsi"/>
          <w:iCs/>
          <w:szCs w:val="20"/>
        </w:rPr>
        <w:t xml:space="preserve"> should </w:t>
      </w:r>
      <w:r>
        <w:rPr>
          <w:rFonts w:cstheme="minorHAnsi"/>
          <w:iCs/>
          <w:szCs w:val="20"/>
        </w:rPr>
        <w:t>be based on</w:t>
      </w:r>
      <w:r w:rsidRPr="007363C9">
        <w:rPr>
          <w:rFonts w:cstheme="minorHAnsi"/>
          <w:iCs/>
          <w:szCs w:val="20"/>
        </w:rPr>
        <w:t xml:space="preserve"> the</w:t>
      </w:r>
      <w:r>
        <w:rPr>
          <w:rFonts w:cstheme="minorHAnsi"/>
          <w:iCs/>
          <w:szCs w:val="20"/>
        </w:rPr>
        <w:t xml:space="preserve"> </w:t>
      </w:r>
      <w:r w:rsidRPr="007363C9">
        <w:rPr>
          <w:rFonts w:cstheme="minorHAnsi"/>
          <w:iCs/>
          <w:szCs w:val="20"/>
        </w:rPr>
        <w:t>likelihood and the severity of a risk materializing</w:t>
      </w:r>
      <w:r>
        <w:rPr>
          <w:rFonts w:cstheme="minorHAnsi"/>
          <w:iCs/>
          <w:szCs w:val="20"/>
        </w:rPr>
        <w:t xml:space="preserve">, </w:t>
      </w:r>
      <w:r w:rsidRPr="007363C9">
        <w:rPr>
          <w:rFonts w:cstheme="minorHAnsi"/>
          <w:iCs/>
          <w:szCs w:val="20"/>
        </w:rPr>
        <w:t>which is strongly dependent on entity-specific</w:t>
      </w:r>
      <w:r>
        <w:rPr>
          <w:rFonts w:cstheme="minorHAnsi"/>
          <w:iCs/>
          <w:szCs w:val="20"/>
        </w:rPr>
        <w:t xml:space="preserve"> </w:t>
      </w:r>
      <w:r w:rsidRPr="007363C9">
        <w:rPr>
          <w:rFonts w:cstheme="minorHAnsi"/>
          <w:iCs/>
          <w:szCs w:val="20"/>
        </w:rPr>
        <w:t>portfolios.</w:t>
      </w:r>
      <w:r>
        <w:rPr>
          <w:rFonts w:cstheme="minorHAnsi"/>
          <w:iCs/>
          <w:szCs w:val="20"/>
        </w:rPr>
        <w:t xml:space="preserve"> We consider o</w:t>
      </w:r>
      <w:r w:rsidRPr="00282C0F">
        <w:rPr>
          <w:rFonts w:cstheme="minorHAnsi"/>
          <w:iCs/>
          <w:szCs w:val="20"/>
        </w:rPr>
        <w:t xml:space="preserve">nly </w:t>
      </w:r>
      <w:r>
        <w:rPr>
          <w:rFonts w:cstheme="minorHAnsi"/>
          <w:iCs/>
          <w:szCs w:val="20"/>
        </w:rPr>
        <w:t>relevant</w:t>
      </w:r>
      <w:r w:rsidRPr="00282C0F">
        <w:rPr>
          <w:rFonts w:cstheme="minorHAnsi"/>
          <w:iCs/>
          <w:szCs w:val="20"/>
        </w:rPr>
        <w:t xml:space="preserve"> principal adverse sustainability impacts should be counted as such and disclosed. </w:t>
      </w:r>
      <w:r>
        <w:rPr>
          <w:rFonts w:cstheme="minorHAnsi"/>
          <w:iCs/>
          <w:szCs w:val="20"/>
        </w:rPr>
        <w:t>It is worth noting that o</w:t>
      </w:r>
      <w:r w:rsidRPr="00282C0F">
        <w:rPr>
          <w:rFonts w:cstheme="minorHAnsi"/>
          <w:iCs/>
          <w:szCs w:val="20"/>
        </w:rPr>
        <w:t>nly a small percentage of assets from certain sectors (the “5%”) make up for most of the greenhouse gas emissions (the “95%”)</w:t>
      </w:r>
      <w:r>
        <w:rPr>
          <w:rFonts w:cstheme="minorHAnsi"/>
          <w:iCs/>
          <w:szCs w:val="20"/>
        </w:rPr>
        <w:t>. From a</w:t>
      </w:r>
      <w:r w:rsidRPr="00282C0F">
        <w:rPr>
          <w:rFonts w:cstheme="minorHAnsi"/>
          <w:iCs/>
          <w:szCs w:val="20"/>
        </w:rPr>
        <w:t xml:space="preserve"> </w:t>
      </w:r>
      <w:r>
        <w:rPr>
          <w:rFonts w:cstheme="minorHAnsi"/>
          <w:iCs/>
          <w:szCs w:val="20"/>
        </w:rPr>
        <w:t>“</w:t>
      </w:r>
      <w:r w:rsidRPr="00282C0F">
        <w:rPr>
          <w:rFonts w:cstheme="minorHAnsi"/>
          <w:iCs/>
          <w:szCs w:val="20"/>
        </w:rPr>
        <w:t>materiality</w:t>
      </w:r>
      <w:r>
        <w:rPr>
          <w:rFonts w:cstheme="minorHAnsi"/>
          <w:iCs/>
          <w:szCs w:val="20"/>
        </w:rPr>
        <w:t>” perspective,</w:t>
      </w:r>
      <w:r w:rsidRPr="00282C0F">
        <w:rPr>
          <w:rFonts w:cstheme="minorHAnsi"/>
          <w:iCs/>
          <w:szCs w:val="20"/>
        </w:rPr>
        <w:t xml:space="preserve"> </w:t>
      </w:r>
      <w:r>
        <w:rPr>
          <w:rFonts w:cstheme="minorHAnsi"/>
          <w:iCs/>
          <w:szCs w:val="20"/>
        </w:rPr>
        <w:t>disclosure should only cover these assets. The concept</w:t>
      </w:r>
      <w:r w:rsidRPr="00165455">
        <w:rPr>
          <w:rFonts w:cstheme="minorHAnsi"/>
          <w:iCs/>
          <w:szCs w:val="20"/>
        </w:rPr>
        <w:t xml:space="preserve"> </w:t>
      </w:r>
      <w:r>
        <w:rPr>
          <w:rFonts w:cstheme="minorHAnsi"/>
          <w:iCs/>
          <w:szCs w:val="20"/>
        </w:rPr>
        <w:t>of</w:t>
      </w:r>
      <w:r w:rsidRPr="00165455">
        <w:rPr>
          <w:rFonts w:cstheme="minorHAnsi"/>
          <w:iCs/>
          <w:szCs w:val="20"/>
        </w:rPr>
        <w:t xml:space="preserve"> materiality of investments must remain principle</w:t>
      </w:r>
      <w:r>
        <w:rPr>
          <w:rFonts w:cstheme="minorHAnsi"/>
          <w:iCs/>
          <w:szCs w:val="20"/>
        </w:rPr>
        <w:t>-</w:t>
      </w:r>
      <w:r w:rsidRPr="00165455">
        <w:rPr>
          <w:rFonts w:cstheme="minorHAnsi"/>
          <w:iCs/>
          <w:szCs w:val="20"/>
        </w:rPr>
        <w:t xml:space="preserve">based </w:t>
      </w:r>
      <w:r>
        <w:rPr>
          <w:rFonts w:cstheme="minorHAnsi"/>
          <w:iCs/>
          <w:szCs w:val="20"/>
        </w:rPr>
        <w:t xml:space="preserve">and should be defined and </w:t>
      </w:r>
      <w:r w:rsidRPr="00165455">
        <w:rPr>
          <w:rFonts w:cstheme="minorHAnsi"/>
          <w:iCs/>
          <w:szCs w:val="20"/>
        </w:rPr>
        <w:t xml:space="preserve">disclosed by investors. </w:t>
      </w:r>
    </w:p>
    <w:p w14:paraId="1E8B9ACE" w14:textId="77777777" w:rsidR="005A3EFC" w:rsidRDefault="005A3EFC" w:rsidP="005A3EFC">
      <w:pPr>
        <w:jc w:val="both"/>
        <w:rPr>
          <w:rFonts w:cstheme="minorHAnsi"/>
          <w:iCs/>
          <w:szCs w:val="20"/>
        </w:rPr>
      </w:pPr>
    </w:p>
    <w:p w14:paraId="6CBE80A3" w14:textId="77777777" w:rsidR="005A3EFC" w:rsidRDefault="005A3EFC" w:rsidP="005A3EFC">
      <w:pPr>
        <w:jc w:val="both"/>
        <w:rPr>
          <w:rFonts w:cstheme="minorHAnsi"/>
          <w:iCs/>
          <w:szCs w:val="20"/>
        </w:rPr>
      </w:pPr>
      <w:r>
        <w:rPr>
          <w:rFonts w:cstheme="minorHAnsi"/>
          <w:iCs/>
          <w:szCs w:val="20"/>
        </w:rPr>
        <w:t>T</w:t>
      </w:r>
      <w:r w:rsidRPr="00857409">
        <w:rPr>
          <w:rFonts w:cstheme="minorHAnsi"/>
          <w:iCs/>
          <w:szCs w:val="20"/>
        </w:rPr>
        <w:t>he Disclosure Regulation</w:t>
      </w:r>
      <w:r>
        <w:rPr>
          <w:rFonts w:cstheme="minorHAnsi"/>
          <w:iCs/>
          <w:szCs w:val="20"/>
        </w:rPr>
        <w:t xml:space="preserve"> is mostly</w:t>
      </w:r>
      <w:r w:rsidRPr="00857409">
        <w:rPr>
          <w:rFonts w:cstheme="minorHAnsi"/>
          <w:iCs/>
          <w:szCs w:val="20"/>
        </w:rPr>
        <w:t xml:space="preserve"> inspired by the OECD guidelines on responsible business conduct for institutional investors. OECD-style due diligence </w:t>
      </w:r>
      <w:r>
        <w:rPr>
          <w:rFonts w:cstheme="minorHAnsi"/>
          <w:iCs/>
          <w:szCs w:val="20"/>
        </w:rPr>
        <w:t>recognises</w:t>
      </w:r>
      <w:r w:rsidRPr="00857409">
        <w:rPr>
          <w:rFonts w:cstheme="minorHAnsi"/>
          <w:iCs/>
          <w:szCs w:val="20"/>
        </w:rPr>
        <w:t xml:space="preserve"> that it is impossible for institutional investor</w:t>
      </w:r>
      <w:r>
        <w:rPr>
          <w:rFonts w:cstheme="minorHAnsi"/>
          <w:iCs/>
          <w:szCs w:val="20"/>
        </w:rPr>
        <w:t>s</w:t>
      </w:r>
      <w:r w:rsidRPr="00857409">
        <w:rPr>
          <w:rFonts w:cstheme="minorHAnsi"/>
          <w:iCs/>
          <w:szCs w:val="20"/>
        </w:rPr>
        <w:t xml:space="preserve"> to address all adverse impacts of their investments</w:t>
      </w:r>
      <w:r>
        <w:rPr>
          <w:rFonts w:cstheme="minorHAnsi"/>
          <w:iCs/>
          <w:szCs w:val="20"/>
        </w:rPr>
        <w:t>, which implies</w:t>
      </w:r>
      <w:r w:rsidRPr="00857409">
        <w:rPr>
          <w:rFonts w:cstheme="minorHAnsi"/>
          <w:iCs/>
          <w:szCs w:val="20"/>
        </w:rPr>
        <w:t xml:space="preserve"> there is a need for prioritization</w:t>
      </w:r>
      <w:r>
        <w:rPr>
          <w:rFonts w:cstheme="minorHAnsi"/>
          <w:iCs/>
          <w:szCs w:val="20"/>
        </w:rPr>
        <w:t xml:space="preserve"> of adverse impacts. T</w:t>
      </w:r>
      <w:r w:rsidRPr="00857409">
        <w:rPr>
          <w:rFonts w:cstheme="minorHAnsi"/>
          <w:iCs/>
          <w:szCs w:val="20"/>
        </w:rPr>
        <w:t>he notion of materiality for non-financial reporting under the NFRD</w:t>
      </w:r>
      <w:r>
        <w:rPr>
          <w:rFonts w:cstheme="minorHAnsi"/>
          <w:iCs/>
          <w:szCs w:val="20"/>
        </w:rPr>
        <w:t xml:space="preserve"> also reflects this need for prioritization. It is also noteworthy that n</w:t>
      </w:r>
      <w:r w:rsidRPr="00857409">
        <w:rPr>
          <w:rFonts w:cstheme="minorHAnsi"/>
          <w:iCs/>
          <w:szCs w:val="20"/>
        </w:rPr>
        <w:t xml:space="preserve">ot all </w:t>
      </w:r>
      <w:r>
        <w:rPr>
          <w:rFonts w:cstheme="minorHAnsi"/>
          <w:iCs/>
          <w:szCs w:val="20"/>
        </w:rPr>
        <w:t xml:space="preserve">the proposed </w:t>
      </w:r>
      <w:r w:rsidRPr="00857409">
        <w:rPr>
          <w:rFonts w:cstheme="minorHAnsi"/>
          <w:iCs/>
          <w:szCs w:val="20"/>
        </w:rPr>
        <w:t>indicators are relevant for all sectors</w:t>
      </w:r>
      <w:r>
        <w:rPr>
          <w:rFonts w:cstheme="minorHAnsi"/>
          <w:iCs/>
          <w:szCs w:val="20"/>
        </w:rPr>
        <w:t xml:space="preserve">. </w:t>
      </w:r>
      <w:r w:rsidRPr="00857409">
        <w:rPr>
          <w:rFonts w:cstheme="minorHAnsi"/>
          <w:iCs/>
          <w:szCs w:val="20"/>
        </w:rPr>
        <w:t xml:space="preserve">For example, many of the environmental indicators will be less relevant for services industries and will de facto not lead to mitigation through engagement or divestments. </w:t>
      </w:r>
      <w:r>
        <w:rPr>
          <w:rFonts w:cstheme="minorHAnsi"/>
          <w:iCs/>
          <w:szCs w:val="20"/>
        </w:rPr>
        <w:t>Considering</w:t>
      </w:r>
      <w:r w:rsidRPr="00857409">
        <w:rPr>
          <w:rFonts w:cstheme="minorHAnsi"/>
          <w:iCs/>
          <w:szCs w:val="20"/>
        </w:rPr>
        <w:t xml:space="preserve"> the Regulation only requires reporting on policies and not </w:t>
      </w:r>
      <w:r>
        <w:rPr>
          <w:rFonts w:cstheme="minorHAnsi"/>
          <w:iCs/>
          <w:szCs w:val="20"/>
        </w:rPr>
        <w:t xml:space="preserve">on </w:t>
      </w:r>
      <w:r w:rsidRPr="00857409">
        <w:rPr>
          <w:rFonts w:cstheme="minorHAnsi"/>
          <w:iCs/>
          <w:szCs w:val="20"/>
        </w:rPr>
        <w:t>actual actions for mitigation, requir</w:t>
      </w:r>
      <w:r>
        <w:rPr>
          <w:rFonts w:cstheme="minorHAnsi"/>
          <w:iCs/>
          <w:szCs w:val="20"/>
        </w:rPr>
        <w:t>ing</w:t>
      </w:r>
      <w:r w:rsidRPr="00857409">
        <w:rPr>
          <w:rFonts w:cstheme="minorHAnsi"/>
          <w:iCs/>
          <w:szCs w:val="20"/>
        </w:rPr>
        <w:t xml:space="preserve"> such a comprehensive set of indicators to be reported for the entire portfolio</w:t>
      </w:r>
      <w:r>
        <w:rPr>
          <w:rFonts w:cstheme="minorHAnsi"/>
          <w:iCs/>
          <w:szCs w:val="20"/>
        </w:rPr>
        <w:t xml:space="preserve"> goes too far. </w:t>
      </w:r>
    </w:p>
    <w:p w14:paraId="6359E912" w14:textId="77777777" w:rsidR="005A3EFC" w:rsidRDefault="005A3EFC" w:rsidP="005A3EFC">
      <w:pPr>
        <w:jc w:val="both"/>
        <w:rPr>
          <w:rFonts w:cstheme="minorHAnsi"/>
          <w:iCs/>
          <w:szCs w:val="20"/>
        </w:rPr>
      </w:pPr>
    </w:p>
    <w:p w14:paraId="0B4F3B1F" w14:textId="77777777" w:rsidR="005A3EFC" w:rsidRPr="007B203D" w:rsidRDefault="005A3EFC" w:rsidP="005A3EFC">
      <w:pPr>
        <w:jc w:val="both"/>
        <w:rPr>
          <w:rFonts w:cstheme="minorHAnsi"/>
          <w:iCs/>
          <w:szCs w:val="20"/>
        </w:rPr>
      </w:pPr>
      <w:r>
        <w:rPr>
          <w:rFonts w:cstheme="minorHAnsi"/>
          <w:iCs/>
          <w:szCs w:val="20"/>
        </w:rPr>
        <w:t>T</w:t>
      </w:r>
      <w:r w:rsidRPr="00857409">
        <w:rPr>
          <w:rFonts w:cstheme="minorHAnsi"/>
          <w:iCs/>
          <w:szCs w:val="20"/>
        </w:rPr>
        <w:t xml:space="preserve">he Disclosure Regulation does not </w:t>
      </w:r>
      <w:r>
        <w:rPr>
          <w:rFonts w:cstheme="minorHAnsi"/>
          <w:iCs/>
          <w:szCs w:val="20"/>
        </w:rPr>
        <w:t>provide a definition of</w:t>
      </w:r>
      <w:r w:rsidRPr="00857409">
        <w:rPr>
          <w:rFonts w:cstheme="minorHAnsi"/>
          <w:iCs/>
          <w:szCs w:val="20"/>
        </w:rPr>
        <w:t xml:space="preserve"> adverse impact. While Article 4(6) empower</w:t>
      </w:r>
      <w:r>
        <w:rPr>
          <w:rFonts w:cstheme="minorHAnsi"/>
          <w:iCs/>
          <w:szCs w:val="20"/>
        </w:rPr>
        <w:t>s</w:t>
      </w:r>
      <w:r w:rsidRPr="00857409">
        <w:rPr>
          <w:rFonts w:cstheme="minorHAnsi"/>
          <w:iCs/>
          <w:szCs w:val="20"/>
        </w:rPr>
        <w:t xml:space="preserve"> the ESAs to specify the details of the indicators in relation to adverse impacts, it can be questioned whether this mandate implies mandatory reporting against a full set of 32 indicators. This would entail filling in a central, but undefined, concept through a regulatory technical standard. Provided the choice of the legislator not to define the concept, there should remain choice for </w:t>
      </w:r>
      <w:r>
        <w:rPr>
          <w:rFonts w:cstheme="minorHAnsi"/>
          <w:iCs/>
          <w:szCs w:val="20"/>
        </w:rPr>
        <w:t>FMPs</w:t>
      </w:r>
      <w:r w:rsidRPr="00857409">
        <w:rPr>
          <w:rFonts w:cstheme="minorHAnsi"/>
          <w:iCs/>
          <w:szCs w:val="20"/>
        </w:rPr>
        <w:t xml:space="preserve"> to select indicators most material for their portfolio</w:t>
      </w:r>
      <w:r>
        <w:rPr>
          <w:rFonts w:cstheme="minorHAnsi"/>
          <w:iCs/>
          <w:szCs w:val="20"/>
        </w:rPr>
        <w:t>.</w:t>
      </w:r>
    </w:p>
    <w:p w14:paraId="799BD718" w14:textId="77777777" w:rsidR="005A3EFC" w:rsidRDefault="005A3EFC" w:rsidP="005A3EFC">
      <w:pPr>
        <w:jc w:val="both"/>
        <w:rPr>
          <w:rFonts w:cstheme="minorHAnsi"/>
          <w:iCs/>
          <w:szCs w:val="20"/>
        </w:rPr>
      </w:pPr>
    </w:p>
    <w:p w14:paraId="6A97B4D1" w14:textId="77777777" w:rsidR="005A3EFC" w:rsidRDefault="005A3EFC" w:rsidP="005A3EFC">
      <w:pPr>
        <w:jc w:val="both"/>
        <w:rPr>
          <w:rFonts w:cstheme="minorHAnsi"/>
          <w:iCs/>
          <w:szCs w:val="20"/>
        </w:rPr>
      </w:pPr>
      <w:r>
        <w:rPr>
          <w:rFonts w:cstheme="minorHAnsi"/>
          <w:iCs/>
          <w:szCs w:val="20"/>
        </w:rPr>
        <w:t>The proposed approach</w:t>
      </w:r>
      <w:r w:rsidRPr="00282C0F">
        <w:rPr>
          <w:rFonts w:cstheme="minorHAnsi"/>
          <w:iCs/>
          <w:szCs w:val="20"/>
        </w:rPr>
        <w:t xml:space="preserve"> </w:t>
      </w:r>
      <w:r>
        <w:rPr>
          <w:rFonts w:cstheme="minorHAnsi"/>
          <w:iCs/>
          <w:szCs w:val="20"/>
        </w:rPr>
        <w:t>implies that any positive value in a specific indicator triggers adverse impact (whether principal or not) which is not appropriate for some of the proposed indicators such as those based on</w:t>
      </w:r>
      <w:r w:rsidRPr="00857409">
        <w:rPr>
          <w:rFonts w:cstheme="minorHAnsi"/>
          <w:iCs/>
          <w:szCs w:val="20"/>
        </w:rPr>
        <w:t xml:space="preserve"> ratios</w:t>
      </w:r>
      <w:r>
        <w:rPr>
          <w:rFonts w:cstheme="minorHAnsi"/>
          <w:iCs/>
          <w:szCs w:val="20"/>
        </w:rPr>
        <w:t xml:space="preserve"> (</w:t>
      </w:r>
      <w:r w:rsidRPr="00857409">
        <w:rPr>
          <w:rFonts w:cstheme="minorHAnsi"/>
          <w:iCs/>
          <w:szCs w:val="20"/>
        </w:rPr>
        <w:t>executive pay or board diversity</w:t>
      </w:r>
      <w:r>
        <w:rPr>
          <w:rFonts w:cstheme="minorHAnsi"/>
          <w:iCs/>
          <w:szCs w:val="20"/>
        </w:rPr>
        <w:t xml:space="preserve">, for example). </w:t>
      </w:r>
    </w:p>
    <w:p w14:paraId="5900B4EE" w14:textId="77777777" w:rsidR="005A3EFC" w:rsidRDefault="005A3EFC" w:rsidP="005A3EFC">
      <w:pPr>
        <w:jc w:val="both"/>
        <w:rPr>
          <w:rFonts w:cstheme="minorHAnsi"/>
          <w:iCs/>
          <w:szCs w:val="20"/>
        </w:rPr>
      </w:pPr>
    </w:p>
    <w:p w14:paraId="0B29E3BC" w14:textId="77777777" w:rsidR="005A3EFC" w:rsidRPr="00857409" w:rsidRDefault="005A3EFC" w:rsidP="005A3EFC">
      <w:pPr>
        <w:jc w:val="both"/>
        <w:rPr>
          <w:rFonts w:cstheme="minorHAnsi"/>
          <w:iCs/>
          <w:szCs w:val="20"/>
        </w:rPr>
      </w:pPr>
      <w:r w:rsidRPr="001F069A">
        <w:rPr>
          <w:rFonts w:cstheme="minorHAnsi"/>
          <w:iCs/>
          <w:szCs w:val="20"/>
        </w:rPr>
        <w:t xml:space="preserve">The aggregation of principal adverse impact indicators at entity level is not going to be helpful for end-investors and is </w:t>
      </w:r>
      <w:proofErr w:type="gramStart"/>
      <w:r w:rsidRPr="001F069A">
        <w:rPr>
          <w:rFonts w:cstheme="minorHAnsi"/>
          <w:iCs/>
          <w:szCs w:val="20"/>
        </w:rPr>
        <w:t>actually misleading</w:t>
      </w:r>
      <w:proofErr w:type="gramEnd"/>
      <w:r w:rsidRPr="001F069A">
        <w:rPr>
          <w:rFonts w:cstheme="minorHAnsi"/>
          <w:iCs/>
          <w:szCs w:val="20"/>
        </w:rPr>
        <w:t xml:space="preserve"> since it does not take into account the variety of impacts that investee companies can create. Aggregating th</w:t>
      </w:r>
      <w:r>
        <w:rPr>
          <w:rFonts w:cstheme="minorHAnsi"/>
          <w:iCs/>
          <w:szCs w:val="20"/>
        </w:rPr>
        <w:t>is data</w:t>
      </w:r>
      <w:r w:rsidRPr="001F069A">
        <w:rPr>
          <w:rFonts w:cstheme="minorHAnsi"/>
          <w:iCs/>
          <w:szCs w:val="20"/>
        </w:rPr>
        <w:t xml:space="preserve"> would be against providing a clear, </w:t>
      </w:r>
      <w:proofErr w:type="gramStart"/>
      <w:r w:rsidRPr="001F069A">
        <w:rPr>
          <w:rFonts w:cstheme="minorHAnsi"/>
          <w:iCs/>
          <w:szCs w:val="20"/>
        </w:rPr>
        <w:t>exact</w:t>
      </w:r>
      <w:proofErr w:type="gramEnd"/>
      <w:r w:rsidRPr="001F069A">
        <w:rPr>
          <w:rFonts w:cstheme="minorHAnsi"/>
          <w:iCs/>
          <w:szCs w:val="20"/>
        </w:rPr>
        <w:t xml:space="preserve"> and not misleading information.</w:t>
      </w:r>
    </w:p>
    <w:p w14:paraId="61124B88" w14:textId="77777777" w:rsidR="005A3EFC" w:rsidRDefault="005A3EFC" w:rsidP="005A3EFC">
      <w:pPr>
        <w:jc w:val="both"/>
        <w:rPr>
          <w:rFonts w:cstheme="minorHAnsi"/>
          <w:iCs/>
          <w:szCs w:val="20"/>
          <w:highlight w:val="yellow"/>
        </w:rPr>
      </w:pPr>
    </w:p>
    <w:p w14:paraId="15E88F01" w14:textId="77777777" w:rsidR="005A3EFC" w:rsidRPr="00857409" w:rsidRDefault="005A3EFC" w:rsidP="005A3EFC">
      <w:pPr>
        <w:jc w:val="both"/>
        <w:rPr>
          <w:rFonts w:cstheme="minorHAnsi"/>
          <w:iCs/>
          <w:szCs w:val="20"/>
        </w:rPr>
      </w:pPr>
      <w:r>
        <w:rPr>
          <w:rFonts w:cstheme="minorHAnsi"/>
          <w:iCs/>
          <w:szCs w:val="20"/>
        </w:rPr>
        <w:t xml:space="preserve">As a first </w:t>
      </w:r>
      <w:r w:rsidRPr="005810B6">
        <w:rPr>
          <w:rFonts w:cstheme="minorHAnsi"/>
          <w:iCs/>
          <w:szCs w:val="20"/>
        </w:rPr>
        <w:t>step</w:t>
      </w:r>
      <w:r>
        <w:rPr>
          <w:rFonts w:cstheme="minorHAnsi"/>
          <w:iCs/>
          <w:szCs w:val="20"/>
        </w:rPr>
        <w:t xml:space="preserve"> of an optimal PAI assessment process</w:t>
      </w:r>
      <w:r w:rsidRPr="005810B6">
        <w:rPr>
          <w:rFonts w:cstheme="minorHAnsi"/>
          <w:iCs/>
          <w:szCs w:val="20"/>
        </w:rPr>
        <w:t xml:space="preserve">, </w:t>
      </w:r>
      <w:r>
        <w:rPr>
          <w:rFonts w:cstheme="minorHAnsi"/>
          <w:iCs/>
          <w:szCs w:val="20"/>
        </w:rPr>
        <w:t xml:space="preserve">FMPs would undertake </w:t>
      </w:r>
      <w:r w:rsidRPr="005810B6">
        <w:rPr>
          <w:rFonts w:cstheme="minorHAnsi"/>
          <w:iCs/>
          <w:szCs w:val="20"/>
        </w:rPr>
        <w:t xml:space="preserve">a general assessment or plausibility check of sustainability indicators with </w:t>
      </w:r>
      <w:r>
        <w:rPr>
          <w:rFonts w:cstheme="minorHAnsi"/>
          <w:iCs/>
          <w:szCs w:val="20"/>
        </w:rPr>
        <w:t xml:space="preserve">the purpose to </w:t>
      </w:r>
      <w:r w:rsidRPr="005810B6">
        <w:rPr>
          <w:rFonts w:cstheme="minorHAnsi"/>
          <w:iCs/>
          <w:szCs w:val="20"/>
        </w:rPr>
        <w:t>identif</w:t>
      </w:r>
      <w:r>
        <w:rPr>
          <w:rFonts w:cstheme="minorHAnsi"/>
          <w:iCs/>
          <w:szCs w:val="20"/>
        </w:rPr>
        <w:t xml:space="preserve">y </w:t>
      </w:r>
      <w:r w:rsidRPr="005810B6">
        <w:rPr>
          <w:rFonts w:cstheme="minorHAnsi"/>
          <w:iCs/>
          <w:szCs w:val="20"/>
        </w:rPr>
        <w:t>the main</w:t>
      </w:r>
      <w:r>
        <w:rPr>
          <w:rFonts w:cstheme="minorHAnsi"/>
          <w:iCs/>
          <w:szCs w:val="20"/>
        </w:rPr>
        <w:t xml:space="preserve"> PAI</w:t>
      </w:r>
      <w:r w:rsidRPr="005810B6">
        <w:rPr>
          <w:rFonts w:cstheme="minorHAnsi"/>
          <w:iCs/>
          <w:szCs w:val="20"/>
        </w:rPr>
        <w:t xml:space="preserve"> indicators. </w:t>
      </w:r>
      <w:r>
        <w:rPr>
          <w:rFonts w:cstheme="minorHAnsi"/>
          <w:iCs/>
          <w:szCs w:val="20"/>
        </w:rPr>
        <w:t>As a</w:t>
      </w:r>
      <w:r w:rsidRPr="005810B6">
        <w:rPr>
          <w:rFonts w:cstheme="minorHAnsi"/>
          <w:iCs/>
          <w:szCs w:val="20"/>
        </w:rPr>
        <w:t xml:space="preserve"> second step</w:t>
      </w:r>
      <w:r>
        <w:rPr>
          <w:rFonts w:cstheme="minorHAnsi"/>
          <w:iCs/>
          <w:szCs w:val="20"/>
        </w:rPr>
        <w:t>,</w:t>
      </w:r>
      <w:r w:rsidRPr="005810B6">
        <w:rPr>
          <w:rFonts w:cstheme="minorHAnsi"/>
          <w:iCs/>
          <w:szCs w:val="20"/>
        </w:rPr>
        <w:t xml:space="preserve"> a detailed quantitative analysis of the key </w:t>
      </w:r>
      <w:r>
        <w:rPr>
          <w:rFonts w:cstheme="minorHAnsi"/>
          <w:iCs/>
          <w:szCs w:val="20"/>
        </w:rPr>
        <w:t xml:space="preserve">PAI </w:t>
      </w:r>
      <w:r w:rsidRPr="005810B6">
        <w:rPr>
          <w:rFonts w:cstheme="minorHAnsi"/>
          <w:iCs/>
          <w:szCs w:val="20"/>
        </w:rPr>
        <w:t xml:space="preserve">indicators </w:t>
      </w:r>
      <w:r>
        <w:rPr>
          <w:rFonts w:cstheme="minorHAnsi"/>
          <w:iCs/>
          <w:szCs w:val="20"/>
        </w:rPr>
        <w:t>would be carried out. The results of this analysis would also be</w:t>
      </w:r>
      <w:r w:rsidRPr="005810B6">
        <w:rPr>
          <w:rFonts w:cstheme="minorHAnsi"/>
          <w:iCs/>
          <w:szCs w:val="20"/>
        </w:rPr>
        <w:t xml:space="preserve"> relevant to the investment </w:t>
      </w:r>
      <w:r>
        <w:rPr>
          <w:rFonts w:cstheme="minorHAnsi"/>
          <w:iCs/>
          <w:szCs w:val="20"/>
        </w:rPr>
        <w:t xml:space="preserve">decision </w:t>
      </w:r>
      <w:r w:rsidRPr="005810B6">
        <w:rPr>
          <w:rFonts w:cstheme="minorHAnsi"/>
          <w:iCs/>
          <w:szCs w:val="20"/>
        </w:rPr>
        <w:t xml:space="preserve">process. </w:t>
      </w:r>
      <w:r>
        <w:rPr>
          <w:rFonts w:cstheme="minorHAnsi"/>
          <w:iCs/>
          <w:szCs w:val="20"/>
        </w:rPr>
        <w:t>This approach would be compatible with a</w:t>
      </w:r>
      <w:r w:rsidRPr="005810B6">
        <w:rPr>
          <w:rFonts w:cstheme="minorHAnsi"/>
          <w:iCs/>
          <w:szCs w:val="20"/>
        </w:rPr>
        <w:t xml:space="preserve"> </w:t>
      </w:r>
      <w:r>
        <w:rPr>
          <w:rFonts w:cstheme="minorHAnsi"/>
          <w:iCs/>
          <w:szCs w:val="20"/>
        </w:rPr>
        <w:t>common</w:t>
      </w:r>
      <w:r w:rsidRPr="005810B6">
        <w:rPr>
          <w:rFonts w:cstheme="minorHAnsi"/>
          <w:iCs/>
          <w:szCs w:val="20"/>
        </w:rPr>
        <w:t xml:space="preserve"> due diligence</w:t>
      </w:r>
      <w:r>
        <w:rPr>
          <w:rFonts w:cstheme="minorHAnsi"/>
          <w:iCs/>
          <w:szCs w:val="20"/>
        </w:rPr>
        <w:t xml:space="preserve"> process as this would </w:t>
      </w:r>
      <w:r w:rsidRPr="005810B6">
        <w:rPr>
          <w:rFonts w:cstheme="minorHAnsi"/>
          <w:iCs/>
          <w:szCs w:val="20"/>
        </w:rPr>
        <w:t>not i</w:t>
      </w:r>
      <w:r>
        <w:rPr>
          <w:rFonts w:cstheme="minorHAnsi"/>
          <w:iCs/>
          <w:szCs w:val="20"/>
        </w:rPr>
        <w:t>mply, for example,</w:t>
      </w:r>
      <w:r w:rsidRPr="005810B6">
        <w:rPr>
          <w:rFonts w:cstheme="minorHAnsi"/>
          <w:iCs/>
          <w:szCs w:val="20"/>
        </w:rPr>
        <w:t xml:space="preserve"> checking the exact quantitative data of CO2 emissions of every company in "non-critical" sectors. </w:t>
      </w:r>
      <w:r>
        <w:rPr>
          <w:rFonts w:cstheme="minorHAnsi"/>
          <w:iCs/>
          <w:szCs w:val="20"/>
        </w:rPr>
        <w:t>It is noteworthy that a</w:t>
      </w:r>
      <w:r w:rsidRPr="005810B6">
        <w:rPr>
          <w:rFonts w:cstheme="minorHAnsi"/>
          <w:iCs/>
          <w:szCs w:val="20"/>
        </w:rPr>
        <w:t>ccording to the TEG report from March 2020</w:t>
      </w:r>
      <w:r>
        <w:rPr>
          <w:rFonts w:cstheme="minorHAnsi"/>
          <w:iCs/>
          <w:szCs w:val="20"/>
        </w:rPr>
        <w:t>,</w:t>
      </w:r>
      <w:r w:rsidRPr="005810B6">
        <w:rPr>
          <w:rFonts w:cstheme="minorHAnsi"/>
          <w:iCs/>
          <w:szCs w:val="20"/>
        </w:rPr>
        <w:t xml:space="preserve"> only a few NACE macro sectors are responsible for the mitigation of climate change for 93.5% of direct greenhouse gas emissions.</w:t>
      </w:r>
    </w:p>
    <w:p w14:paraId="15C2D0BD" w14:textId="77777777" w:rsidR="005A3EFC" w:rsidRDefault="005A3EFC" w:rsidP="005A3EFC">
      <w:pPr>
        <w:jc w:val="both"/>
        <w:rPr>
          <w:rFonts w:cstheme="minorHAnsi"/>
          <w:iCs/>
          <w:szCs w:val="20"/>
          <w:highlight w:val="yellow"/>
        </w:rPr>
      </w:pPr>
    </w:p>
    <w:p w14:paraId="6DCE9F0D" w14:textId="77777777" w:rsidR="005A3EFC" w:rsidRDefault="005A3EFC" w:rsidP="005A3EFC">
      <w:pPr>
        <w:jc w:val="both"/>
        <w:rPr>
          <w:rFonts w:cstheme="minorHAnsi"/>
          <w:iCs/>
          <w:szCs w:val="20"/>
        </w:rPr>
      </w:pPr>
      <w:r>
        <w:rPr>
          <w:rFonts w:cstheme="minorHAnsi"/>
          <w:iCs/>
          <w:szCs w:val="20"/>
        </w:rPr>
        <w:t>If a</w:t>
      </w:r>
      <w:r w:rsidRPr="00165455">
        <w:rPr>
          <w:rFonts w:cstheme="minorHAnsi"/>
          <w:iCs/>
          <w:szCs w:val="20"/>
        </w:rPr>
        <w:t xml:space="preserve"> set of mandatory indicators</w:t>
      </w:r>
      <w:r>
        <w:rPr>
          <w:rFonts w:cstheme="minorHAnsi"/>
          <w:iCs/>
          <w:szCs w:val="20"/>
        </w:rPr>
        <w:t xml:space="preserve"> is imposed to all FMPs to ensure comparability, we would recommend</w:t>
      </w:r>
      <w:r w:rsidRPr="00165455">
        <w:rPr>
          <w:rFonts w:cstheme="minorHAnsi"/>
          <w:iCs/>
          <w:szCs w:val="20"/>
        </w:rPr>
        <w:t xml:space="preserve"> </w:t>
      </w:r>
      <w:r>
        <w:rPr>
          <w:rFonts w:cstheme="minorHAnsi"/>
          <w:iCs/>
          <w:szCs w:val="20"/>
        </w:rPr>
        <w:t>reducing it</w:t>
      </w:r>
      <w:r w:rsidRPr="00165455">
        <w:rPr>
          <w:rFonts w:cstheme="minorHAnsi"/>
          <w:iCs/>
          <w:szCs w:val="20"/>
        </w:rPr>
        <w:t xml:space="preserve"> to </w:t>
      </w:r>
      <w:r w:rsidRPr="00BD4D5A">
        <w:rPr>
          <w:rFonts w:cstheme="minorHAnsi"/>
          <w:b/>
          <w:bCs/>
          <w:iCs/>
          <w:szCs w:val="20"/>
        </w:rPr>
        <w:t>no more than half a dozen</w:t>
      </w:r>
      <w:r>
        <w:rPr>
          <w:rFonts w:cstheme="minorHAnsi"/>
          <w:b/>
          <w:bCs/>
          <w:iCs/>
          <w:szCs w:val="20"/>
        </w:rPr>
        <w:t xml:space="preserve"> core</w:t>
      </w:r>
      <w:r w:rsidRPr="00BD4D5A">
        <w:rPr>
          <w:rFonts w:cstheme="minorHAnsi"/>
          <w:b/>
          <w:bCs/>
          <w:iCs/>
          <w:szCs w:val="20"/>
        </w:rPr>
        <w:t xml:space="preserve"> indicators</w:t>
      </w:r>
      <w:r>
        <w:rPr>
          <w:rFonts w:cstheme="minorHAnsi"/>
          <w:iCs/>
          <w:szCs w:val="20"/>
        </w:rPr>
        <w:t xml:space="preserve">. </w:t>
      </w:r>
      <w:r w:rsidRPr="00855EF8">
        <w:rPr>
          <w:rFonts w:cstheme="minorHAnsi"/>
          <w:iCs/>
          <w:szCs w:val="20"/>
        </w:rPr>
        <w:t xml:space="preserve">There are different </w:t>
      </w:r>
      <w:r>
        <w:rPr>
          <w:rFonts w:cstheme="minorHAnsi"/>
          <w:iCs/>
          <w:szCs w:val="20"/>
        </w:rPr>
        <w:t>approaches</w:t>
      </w:r>
      <w:r w:rsidRPr="00855EF8">
        <w:rPr>
          <w:rFonts w:cstheme="minorHAnsi"/>
          <w:iCs/>
          <w:szCs w:val="20"/>
        </w:rPr>
        <w:t xml:space="preserve"> to </w:t>
      </w:r>
      <w:r>
        <w:rPr>
          <w:rFonts w:cstheme="minorHAnsi"/>
          <w:iCs/>
          <w:szCs w:val="20"/>
        </w:rPr>
        <w:t>define the set of</w:t>
      </w:r>
      <w:r w:rsidRPr="00855EF8">
        <w:rPr>
          <w:rFonts w:cstheme="minorHAnsi"/>
          <w:iCs/>
          <w:szCs w:val="20"/>
        </w:rPr>
        <w:t xml:space="preserve"> mandatory </w:t>
      </w:r>
      <w:r>
        <w:rPr>
          <w:rFonts w:cstheme="minorHAnsi"/>
          <w:iCs/>
          <w:szCs w:val="20"/>
        </w:rPr>
        <w:t xml:space="preserve">indicators: </w:t>
      </w:r>
      <w:r w:rsidRPr="00855EF8">
        <w:rPr>
          <w:rFonts w:cstheme="minorHAnsi"/>
          <w:iCs/>
          <w:szCs w:val="20"/>
        </w:rPr>
        <w:t xml:space="preserve">focusing on those </w:t>
      </w:r>
      <w:r>
        <w:rPr>
          <w:rFonts w:cstheme="minorHAnsi"/>
          <w:iCs/>
          <w:szCs w:val="20"/>
        </w:rPr>
        <w:t xml:space="preserve">indicators </w:t>
      </w:r>
      <w:r w:rsidRPr="00855EF8">
        <w:rPr>
          <w:rFonts w:cstheme="minorHAnsi"/>
          <w:iCs/>
          <w:szCs w:val="20"/>
        </w:rPr>
        <w:t>where data is readily available</w:t>
      </w:r>
      <w:r>
        <w:rPr>
          <w:rFonts w:cstheme="minorHAnsi"/>
          <w:iCs/>
          <w:szCs w:val="20"/>
        </w:rPr>
        <w:t xml:space="preserve">, on those indicators for which </w:t>
      </w:r>
      <w:r w:rsidRPr="00855EF8">
        <w:rPr>
          <w:rFonts w:cstheme="minorHAnsi"/>
          <w:iCs/>
          <w:szCs w:val="20"/>
        </w:rPr>
        <w:t xml:space="preserve">the </w:t>
      </w:r>
      <w:r>
        <w:rPr>
          <w:rFonts w:cstheme="minorHAnsi"/>
          <w:iCs/>
          <w:szCs w:val="20"/>
        </w:rPr>
        <w:t>“</w:t>
      </w:r>
      <w:r w:rsidRPr="00855EF8">
        <w:rPr>
          <w:rFonts w:cstheme="minorHAnsi"/>
          <w:iCs/>
          <w:szCs w:val="20"/>
        </w:rPr>
        <w:t>construction</w:t>
      </w:r>
      <w:r>
        <w:rPr>
          <w:rFonts w:cstheme="minorHAnsi"/>
          <w:iCs/>
          <w:szCs w:val="20"/>
        </w:rPr>
        <w:t>”</w:t>
      </w:r>
      <w:r w:rsidRPr="00855EF8">
        <w:rPr>
          <w:rFonts w:cstheme="minorHAnsi"/>
          <w:iCs/>
          <w:szCs w:val="20"/>
        </w:rPr>
        <w:t xml:space="preserve"> of the indicator is the most straightforward in order to provide quality information or choosing the most important ones from an environmental and social perspective.</w:t>
      </w:r>
    </w:p>
    <w:p w14:paraId="2AB89F00" w14:textId="77777777" w:rsidR="005A3EFC" w:rsidRDefault="005A3EFC" w:rsidP="005A3EFC">
      <w:pPr>
        <w:jc w:val="both"/>
        <w:rPr>
          <w:rFonts w:cstheme="minorHAnsi"/>
          <w:iCs/>
          <w:szCs w:val="20"/>
        </w:rPr>
      </w:pPr>
    </w:p>
    <w:p w14:paraId="07B87E6C" w14:textId="77777777" w:rsidR="005A3EFC" w:rsidRDefault="005A3EFC" w:rsidP="005A3EFC">
      <w:pPr>
        <w:jc w:val="both"/>
        <w:rPr>
          <w:rFonts w:cstheme="minorHAnsi"/>
          <w:iCs/>
          <w:szCs w:val="20"/>
        </w:rPr>
      </w:pPr>
      <w:r w:rsidRPr="005E4CCD">
        <w:rPr>
          <w:rFonts w:cstheme="minorHAnsi"/>
          <w:b/>
          <w:bCs/>
          <w:iCs/>
          <w:szCs w:val="20"/>
        </w:rPr>
        <w:t>An alternative solution would be to require FMPs to provide a qualitative presentation on how they assess the PAIs at entity level.</w:t>
      </w:r>
      <w:r>
        <w:rPr>
          <w:rFonts w:cstheme="minorHAnsi"/>
          <w:iCs/>
          <w:szCs w:val="20"/>
        </w:rPr>
        <w:t xml:space="preserve"> </w:t>
      </w:r>
      <w:r w:rsidRPr="0079530C">
        <w:rPr>
          <w:rFonts w:cstheme="minorHAnsi"/>
          <w:iCs/>
          <w:szCs w:val="20"/>
        </w:rPr>
        <w:t>Standards such as the TCFD which ha</w:t>
      </w:r>
      <w:r>
        <w:rPr>
          <w:rFonts w:cstheme="minorHAnsi"/>
          <w:iCs/>
          <w:szCs w:val="20"/>
        </w:rPr>
        <w:t>ve</w:t>
      </w:r>
      <w:r w:rsidRPr="0079530C">
        <w:rPr>
          <w:rFonts w:cstheme="minorHAnsi"/>
          <w:iCs/>
          <w:szCs w:val="20"/>
        </w:rPr>
        <w:t xml:space="preserve"> been adopted on an international basis allow </w:t>
      </w:r>
      <w:r>
        <w:rPr>
          <w:rFonts w:cstheme="minorHAnsi"/>
          <w:iCs/>
          <w:szCs w:val="20"/>
        </w:rPr>
        <w:t>for a</w:t>
      </w:r>
      <w:r w:rsidRPr="0079530C">
        <w:rPr>
          <w:rFonts w:cstheme="minorHAnsi"/>
          <w:iCs/>
          <w:szCs w:val="20"/>
        </w:rPr>
        <w:t xml:space="preserve"> present</w:t>
      </w:r>
      <w:r>
        <w:rPr>
          <w:rFonts w:cstheme="minorHAnsi"/>
          <w:iCs/>
          <w:szCs w:val="20"/>
        </w:rPr>
        <w:t>ation of</w:t>
      </w:r>
      <w:r w:rsidRPr="0079530C">
        <w:rPr>
          <w:rFonts w:cstheme="minorHAnsi"/>
          <w:iCs/>
          <w:szCs w:val="20"/>
        </w:rPr>
        <w:t xml:space="preserve"> the process </w:t>
      </w:r>
      <w:r>
        <w:rPr>
          <w:rFonts w:cstheme="minorHAnsi"/>
          <w:iCs/>
          <w:szCs w:val="20"/>
        </w:rPr>
        <w:t>around</w:t>
      </w:r>
      <w:r w:rsidRPr="0079530C">
        <w:rPr>
          <w:rFonts w:cstheme="minorHAnsi"/>
          <w:iCs/>
          <w:szCs w:val="20"/>
        </w:rPr>
        <w:t xml:space="preserve"> 4 pillars: strategy, governance, risk management and indicators. This</w:t>
      </w:r>
      <w:r>
        <w:rPr>
          <w:rFonts w:cstheme="minorHAnsi"/>
          <w:iCs/>
          <w:szCs w:val="20"/>
        </w:rPr>
        <w:t xml:space="preserve"> approach would be consistent</w:t>
      </w:r>
      <w:r w:rsidRPr="0079530C">
        <w:rPr>
          <w:rFonts w:cstheme="minorHAnsi"/>
          <w:iCs/>
          <w:szCs w:val="20"/>
        </w:rPr>
        <w:t xml:space="preserve"> with </w:t>
      </w:r>
      <w:r>
        <w:rPr>
          <w:rFonts w:cstheme="minorHAnsi"/>
          <w:iCs/>
          <w:szCs w:val="20"/>
        </w:rPr>
        <w:t xml:space="preserve">the </w:t>
      </w:r>
      <w:r w:rsidRPr="0079530C">
        <w:rPr>
          <w:rFonts w:cstheme="minorHAnsi"/>
          <w:iCs/>
          <w:szCs w:val="20"/>
        </w:rPr>
        <w:t xml:space="preserve">level 1 </w:t>
      </w:r>
      <w:r>
        <w:rPr>
          <w:rFonts w:cstheme="minorHAnsi"/>
          <w:iCs/>
          <w:szCs w:val="20"/>
        </w:rPr>
        <w:t xml:space="preserve">disclosure </w:t>
      </w:r>
      <w:r w:rsidRPr="0079530C">
        <w:rPr>
          <w:rFonts w:cstheme="minorHAnsi"/>
          <w:iCs/>
          <w:szCs w:val="20"/>
        </w:rPr>
        <w:t xml:space="preserve">requirements </w:t>
      </w:r>
      <w:r>
        <w:rPr>
          <w:rFonts w:cstheme="minorHAnsi"/>
          <w:iCs/>
          <w:szCs w:val="20"/>
        </w:rPr>
        <w:t xml:space="preserve">set up by SFDR, </w:t>
      </w:r>
      <w:r w:rsidRPr="0079530C">
        <w:rPr>
          <w:rFonts w:cstheme="minorHAnsi"/>
          <w:iCs/>
          <w:szCs w:val="20"/>
        </w:rPr>
        <w:t>on “content, methodologies and presentation of information”</w:t>
      </w:r>
      <w:r>
        <w:rPr>
          <w:rFonts w:cstheme="minorHAnsi"/>
          <w:iCs/>
          <w:szCs w:val="20"/>
        </w:rPr>
        <w:t xml:space="preserve"> to be disclosed</w:t>
      </w:r>
      <w:r w:rsidRPr="0079530C">
        <w:rPr>
          <w:rFonts w:cstheme="minorHAnsi"/>
          <w:iCs/>
          <w:szCs w:val="20"/>
        </w:rPr>
        <w:t>.</w:t>
      </w:r>
      <w:r>
        <w:rPr>
          <w:rFonts w:cstheme="minorHAnsi"/>
          <w:iCs/>
          <w:szCs w:val="20"/>
        </w:rPr>
        <w:t xml:space="preserve"> FMPs would only be required to provide a quantitative or qualitative assessment of the PAIs based on a set of indicators at product level. The indicators would be selected based on their materiality.</w:t>
      </w:r>
    </w:p>
    <w:p w14:paraId="4BD6AA49" w14:textId="77777777" w:rsidR="005A3EFC" w:rsidRDefault="005A3EFC" w:rsidP="005A3EFC">
      <w:pPr>
        <w:jc w:val="both"/>
        <w:rPr>
          <w:rFonts w:cstheme="minorHAnsi"/>
          <w:iCs/>
          <w:szCs w:val="20"/>
          <w:highlight w:val="yellow"/>
        </w:rPr>
      </w:pPr>
    </w:p>
    <w:p w14:paraId="054F7D14" w14:textId="77777777" w:rsidR="005A3EFC" w:rsidRDefault="005A3EFC" w:rsidP="005A3EFC">
      <w:pPr>
        <w:jc w:val="both"/>
        <w:rPr>
          <w:rFonts w:cstheme="minorHAnsi"/>
          <w:iCs/>
          <w:szCs w:val="20"/>
        </w:rPr>
      </w:pPr>
      <w:bookmarkStart w:id="7" w:name="_Hlk49501047"/>
      <w:r w:rsidRPr="00405F6A">
        <w:rPr>
          <w:rFonts w:cstheme="minorHAnsi"/>
          <w:b/>
          <w:bCs/>
          <w:iCs/>
          <w:szCs w:val="20"/>
        </w:rPr>
        <w:t>PensionsEurope draws attention to the need to ensure all indicators required for the purpose of PAI disclosures under article 4 of SFDR are technically feasible.</w:t>
      </w:r>
      <w:r>
        <w:rPr>
          <w:rFonts w:cstheme="minorHAnsi"/>
          <w:iCs/>
          <w:szCs w:val="20"/>
        </w:rPr>
        <w:t xml:space="preserve"> </w:t>
      </w:r>
      <w:r w:rsidRPr="0031396B">
        <w:rPr>
          <w:rFonts w:cstheme="minorHAnsi"/>
          <w:iCs/>
          <w:szCs w:val="20"/>
        </w:rPr>
        <w:t>The availability of ESG data</w:t>
      </w:r>
      <w:r>
        <w:rPr>
          <w:rFonts w:cstheme="minorHAnsi"/>
          <w:iCs/>
          <w:szCs w:val="20"/>
        </w:rPr>
        <w:t xml:space="preserve"> at the level of investee companies</w:t>
      </w:r>
      <w:r w:rsidRPr="0031396B">
        <w:rPr>
          <w:rFonts w:cstheme="minorHAnsi"/>
          <w:iCs/>
          <w:szCs w:val="20"/>
        </w:rPr>
        <w:t xml:space="preserve"> is currently rather insufficient to enable </w:t>
      </w:r>
      <w:r>
        <w:rPr>
          <w:rFonts w:cstheme="minorHAnsi"/>
          <w:iCs/>
          <w:szCs w:val="20"/>
        </w:rPr>
        <w:t>FMPs</w:t>
      </w:r>
      <w:r w:rsidRPr="0031396B">
        <w:rPr>
          <w:rFonts w:cstheme="minorHAnsi"/>
          <w:iCs/>
          <w:szCs w:val="20"/>
        </w:rPr>
        <w:t xml:space="preserve"> to comply with the PAI disclosure requirements</w:t>
      </w:r>
      <w:r>
        <w:rPr>
          <w:rFonts w:cstheme="minorHAnsi"/>
          <w:iCs/>
          <w:szCs w:val="20"/>
        </w:rPr>
        <w:t xml:space="preserve"> and provide meaningful disclosures as specified in the draft RTS</w:t>
      </w:r>
      <w:r w:rsidRPr="0031396B">
        <w:rPr>
          <w:rFonts w:cstheme="minorHAnsi"/>
          <w:iCs/>
          <w:szCs w:val="20"/>
        </w:rPr>
        <w:t>. ESG data</w:t>
      </w:r>
      <w:r>
        <w:rPr>
          <w:rFonts w:cstheme="minorHAnsi"/>
          <w:iCs/>
          <w:szCs w:val="20"/>
        </w:rPr>
        <w:t xml:space="preserve"> on investee companies necessary to produce most indicators</w:t>
      </w:r>
      <w:r w:rsidRPr="0031396B">
        <w:rPr>
          <w:rFonts w:cstheme="minorHAnsi"/>
          <w:iCs/>
          <w:szCs w:val="20"/>
        </w:rPr>
        <w:t xml:space="preserve"> is currently not comparable, reliable, and importantly, also quite expensive. Moreover, </w:t>
      </w:r>
      <w:r>
        <w:rPr>
          <w:rFonts w:cstheme="minorHAnsi"/>
          <w:iCs/>
          <w:szCs w:val="20"/>
        </w:rPr>
        <w:t xml:space="preserve">ESG data is often of poor quality and </w:t>
      </w:r>
      <w:r w:rsidRPr="0031396B">
        <w:rPr>
          <w:rFonts w:cstheme="minorHAnsi"/>
          <w:iCs/>
          <w:szCs w:val="20"/>
        </w:rPr>
        <w:t>not all ESG data providers are transparent about the methodologies and raw underlying data used in their analysis.</w:t>
      </w:r>
      <w:r>
        <w:rPr>
          <w:rFonts w:cstheme="minorHAnsi"/>
          <w:iCs/>
          <w:szCs w:val="20"/>
        </w:rPr>
        <w:t xml:space="preserve"> It is also noteworthy that ESG data providers and rating agencies have often achieved an oligopolistic position that allows them to increase fees and customer costs.</w:t>
      </w:r>
      <w:r w:rsidRPr="0031396B">
        <w:rPr>
          <w:rFonts w:cstheme="minorHAnsi"/>
          <w:iCs/>
          <w:szCs w:val="20"/>
        </w:rPr>
        <w:t xml:space="preserve"> </w:t>
      </w:r>
      <w:r>
        <w:rPr>
          <w:rFonts w:cstheme="minorHAnsi"/>
          <w:iCs/>
          <w:szCs w:val="20"/>
        </w:rPr>
        <w:t>As a result, FMPs will face important challenges and difficulties in complying with the PAI disclosure requirements with the level of precision required by the draft RTS.</w:t>
      </w:r>
    </w:p>
    <w:bookmarkEnd w:id="7"/>
    <w:p w14:paraId="557E117A" w14:textId="77777777" w:rsidR="005A3EFC" w:rsidRDefault="005A3EFC" w:rsidP="005A3EFC">
      <w:pPr>
        <w:jc w:val="both"/>
        <w:rPr>
          <w:rFonts w:cstheme="minorHAnsi"/>
          <w:iCs/>
          <w:szCs w:val="20"/>
        </w:rPr>
      </w:pPr>
    </w:p>
    <w:p w14:paraId="60714B69" w14:textId="77777777" w:rsidR="005A3EFC" w:rsidRDefault="005A3EFC" w:rsidP="005A3EFC">
      <w:pPr>
        <w:jc w:val="both"/>
        <w:rPr>
          <w:rFonts w:cstheme="minorHAnsi"/>
          <w:iCs/>
          <w:szCs w:val="20"/>
        </w:rPr>
      </w:pPr>
      <w:r w:rsidRPr="00817A96">
        <w:rPr>
          <w:rFonts w:cstheme="minorHAnsi"/>
          <w:iCs/>
          <w:szCs w:val="20"/>
        </w:rPr>
        <w:t>PensionsEurope welcomes the European Commission’s intention to review the Non-Financial Reporting Directive (NFRD) to improve ESG data availability and we are confident that the NFRD review will ensure the information required to comply with the PAI disclosure requirements will be reported by investee companies. However, the PAI disclosure requirements at entity level will apply to FMPs’ entire portfolios while the NFRD review will not fill the data gap for non-EU investments. Furthermore, the process for the review of the NFRD has just started and the Commission’s proposal will be adopted in the first quarter of 2021. If the first PAI report has to be presented by June 2022, FMPs will have to start monitoring the indicators for PAI from June 2021, while the necessary information on investee companies is not expected to be readily available in the medium run and the draft RTS is expected to be finalised by end January 2021, leaving very little time for FMPs to develop data feed and reporting systems.</w:t>
      </w:r>
    </w:p>
    <w:p w14:paraId="7566F008" w14:textId="77777777" w:rsidR="005A3EFC" w:rsidRDefault="005A3EFC" w:rsidP="005A3EFC">
      <w:pPr>
        <w:jc w:val="both"/>
        <w:rPr>
          <w:rFonts w:cstheme="minorHAnsi"/>
          <w:iCs/>
          <w:szCs w:val="20"/>
        </w:rPr>
      </w:pPr>
    </w:p>
    <w:p w14:paraId="09134A89" w14:textId="77777777" w:rsidR="005A3EFC" w:rsidRDefault="005A3EFC" w:rsidP="005A3EFC">
      <w:pPr>
        <w:jc w:val="both"/>
        <w:rPr>
          <w:rFonts w:cstheme="minorHAnsi"/>
          <w:iCs/>
          <w:szCs w:val="20"/>
        </w:rPr>
      </w:pPr>
      <w:r>
        <w:rPr>
          <w:rFonts w:cstheme="minorHAnsi"/>
          <w:iCs/>
          <w:szCs w:val="20"/>
        </w:rPr>
        <w:t xml:space="preserve">Against this background, </w:t>
      </w:r>
      <w:r w:rsidRPr="00350666">
        <w:rPr>
          <w:rFonts w:cstheme="minorHAnsi"/>
          <w:b/>
          <w:bCs/>
          <w:iCs/>
          <w:szCs w:val="20"/>
        </w:rPr>
        <w:t xml:space="preserve">PensionsEurope recommends the ESAs to adopt a transitional phase-in approach for the implementation of </w:t>
      </w:r>
      <w:r>
        <w:rPr>
          <w:rFonts w:cstheme="minorHAnsi"/>
          <w:b/>
          <w:bCs/>
          <w:iCs/>
          <w:szCs w:val="20"/>
        </w:rPr>
        <w:t>mandatory</w:t>
      </w:r>
      <w:r w:rsidRPr="00350666">
        <w:rPr>
          <w:rFonts w:cstheme="minorHAnsi"/>
          <w:b/>
          <w:bCs/>
          <w:iCs/>
          <w:szCs w:val="20"/>
        </w:rPr>
        <w:t xml:space="preserve"> PAI disclosure requirements</w:t>
      </w:r>
      <w:r>
        <w:rPr>
          <w:rFonts w:cstheme="minorHAnsi"/>
          <w:b/>
          <w:bCs/>
          <w:iCs/>
          <w:szCs w:val="20"/>
        </w:rPr>
        <w:t xml:space="preserve"> for FMPs above the threshold of 500 employees</w:t>
      </w:r>
      <w:r w:rsidRPr="00350666">
        <w:rPr>
          <w:rFonts w:cstheme="minorHAnsi"/>
          <w:b/>
          <w:bCs/>
          <w:iCs/>
          <w:szCs w:val="20"/>
        </w:rPr>
        <w:t xml:space="preserve">, in line with the availability of necessary ESG data </w:t>
      </w:r>
      <w:r>
        <w:rPr>
          <w:rFonts w:cstheme="minorHAnsi"/>
          <w:b/>
          <w:bCs/>
          <w:iCs/>
          <w:szCs w:val="20"/>
        </w:rPr>
        <w:t>on</w:t>
      </w:r>
      <w:r w:rsidRPr="00350666">
        <w:rPr>
          <w:rFonts w:cstheme="minorHAnsi"/>
          <w:b/>
          <w:bCs/>
          <w:iCs/>
          <w:szCs w:val="20"/>
        </w:rPr>
        <w:t xml:space="preserve"> investee companies and the review of the NFRD</w:t>
      </w:r>
      <w:r w:rsidRPr="00224E15">
        <w:rPr>
          <w:rFonts w:cstheme="minorHAnsi"/>
          <w:iCs/>
          <w:szCs w:val="20"/>
        </w:rPr>
        <w:t>.</w:t>
      </w:r>
      <w:r>
        <w:rPr>
          <w:rFonts w:cstheme="minorHAnsi"/>
          <w:iCs/>
          <w:szCs w:val="20"/>
        </w:rPr>
        <w:t xml:space="preserve"> The PAI disclosures against the proposed </w:t>
      </w:r>
      <w:r w:rsidRPr="00224E15">
        <w:rPr>
          <w:rFonts w:cstheme="minorHAnsi"/>
          <w:iCs/>
          <w:szCs w:val="20"/>
        </w:rPr>
        <w:t>indicators</w:t>
      </w:r>
      <w:r>
        <w:rPr>
          <w:rFonts w:cstheme="minorHAnsi"/>
          <w:iCs/>
          <w:szCs w:val="20"/>
        </w:rPr>
        <w:t xml:space="preserve"> </w:t>
      </w:r>
      <w:r w:rsidRPr="00224E15">
        <w:rPr>
          <w:rFonts w:cstheme="minorHAnsi"/>
          <w:iCs/>
          <w:szCs w:val="20"/>
        </w:rPr>
        <w:t xml:space="preserve">should not be mandatory </w:t>
      </w:r>
      <w:r>
        <w:rPr>
          <w:rFonts w:cstheme="minorHAnsi"/>
          <w:iCs/>
          <w:szCs w:val="20"/>
        </w:rPr>
        <w:t xml:space="preserve">in a first stage at least until </w:t>
      </w:r>
      <w:r w:rsidRPr="00224E15">
        <w:rPr>
          <w:rFonts w:cstheme="minorHAnsi"/>
          <w:iCs/>
          <w:szCs w:val="20"/>
        </w:rPr>
        <w:t>ESG data ne</w:t>
      </w:r>
      <w:r>
        <w:rPr>
          <w:rFonts w:cstheme="minorHAnsi"/>
          <w:iCs/>
          <w:szCs w:val="20"/>
        </w:rPr>
        <w:t xml:space="preserve">eded to </w:t>
      </w:r>
      <w:r w:rsidRPr="00224E15">
        <w:rPr>
          <w:rFonts w:cstheme="minorHAnsi"/>
          <w:iCs/>
          <w:szCs w:val="20"/>
        </w:rPr>
        <w:t xml:space="preserve">produce </w:t>
      </w:r>
      <w:r>
        <w:rPr>
          <w:rFonts w:cstheme="minorHAnsi"/>
          <w:iCs/>
          <w:szCs w:val="20"/>
        </w:rPr>
        <w:t xml:space="preserve">the </w:t>
      </w:r>
      <w:r w:rsidRPr="00224E15">
        <w:rPr>
          <w:rFonts w:cstheme="minorHAnsi"/>
          <w:iCs/>
          <w:szCs w:val="20"/>
        </w:rPr>
        <w:t xml:space="preserve">indicators is </w:t>
      </w:r>
      <w:r>
        <w:rPr>
          <w:rFonts w:cstheme="minorHAnsi"/>
          <w:iCs/>
          <w:szCs w:val="20"/>
        </w:rPr>
        <w:t xml:space="preserve">readily </w:t>
      </w:r>
      <w:r w:rsidRPr="00224E15">
        <w:rPr>
          <w:rFonts w:cstheme="minorHAnsi"/>
          <w:iCs/>
          <w:szCs w:val="20"/>
        </w:rPr>
        <w:t>available</w:t>
      </w:r>
      <w:r>
        <w:rPr>
          <w:rFonts w:cstheme="minorHAnsi"/>
          <w:iCs/>
          <w:szCs w:val="20"/>
        </w:rPr>
        <w:t xml:space="preserve"> </w:t>
      </w:r>
      <w:r w:rsidRPr="00224E15">
        <w:rPr>
          <w:rFonts w:cstheme="minorHAnsi"/>
          <w:iCs/>
          <w:szCs w:val="20"/>
        </w:rPr>
        <w:t>in a standardi</w:t>
      </w:r>
      <w:r>
        <w:rPr>
          <w:rFonts w:cstheme="minorHAnsi"/>
          <w:iCs/>
          <w:szCs w:val="20"/>
        </w:rPr>
        <w:t>s</w:t>
      </w:r>
      <w:r w:rsidRPr="00224E15">
        <w:rPr>
          <w:rFonts w:cstheme="minorHAnsi"/>
          <w:iCs/>
          <w:szCs w:val="20"/>
        </w:rPr>
        <w:t>ed electronical format</w:t>
      </w:r>
      <w:r>
        <w:rPr>
          <w:rFonts w:cstheme="minorHAnsi"/>
          <w:iCs/>
          <w:szCs w:val="20"/>
        </w:rPr>
        <w:t xml:space="preserve">. One possible solution could consist in requiring mandatory disclosures of PAI indicators to be presented for the first time in June 2023. In June 2022, we propose that FMPs above the threshold of 500 employees </w:t>
      </w:r>
      <w:proofErr w:type="gramStart"/>
      <w:r>
        <w:rPr>
          <w:rFonts w:cstheme="minorHAnsi"/>
          <w:iCs/>
          <w:szCs w:val="20"/>
        </w:rPr>
        <w:t>are allowed to</w:t>
      </w:r>
      <w:proofErr w:type="gramEnd"/>
      <w:r>
        <w:rPr>
          <w:rFonts w:cstheme="minorHAnsi"/>
          <w:iCs/>
          <w:szCs w:val="20"/>
        </w:rPr>
        <w:t xml:space="preserve"> present the PAI report on a voluntary basis.</w:t>
      </w:r>
    </w:p>
    <w:p w14:paraId="441F2556" w14:textId="77777777" w:rsidR="005A3EFC" w:rsidRDefault="005A3EFC" w:rsidP="005A3EFC">
      <w:pPr>
        <w:jc w:val="both"/>
        <w:rPr>
          <w:rFonts w:cstheme="minorHAnsi"/>
          <w:iCs/>
          <w:szCs w:val="20"/>
        </w:rPr>
      </w:pPr>
      <w:r>
        <w:rPr>
          <w:rFonts w:cstheme="minorHAnsi"/>
          <w:iCs/>
          <w:szCs w:val="20"/>
        </w:rPr>
        <w:t xml:space="preserve"> </w:t>
      </w:r>
    </w:p>
    <w:p w14:paraId="79E83D97" w14:textId="77777777" w:rsidR="005A3EFC" w:rsidRDefault="005A3EFC" w:rsidP="005A3EFC">
      <w:pPr>
        <w:jc w:val="both"/>
        <w:rPr>
          <w:rFonts w:cstheme="minorHAnsi"/>
          <w:iCs/>
          <w:szCs w:val="20"/>
        </w:rPr>
      </w:pPr>
      <w:r>
        <w:rPr>
          <w:rFonts w:cstheme="minorHAnsi"/>
          <w:iCs/>
          <w:szCs w:val="20"/>
        </w:rPr>
        <w:t>It is also worth mentioning that PensionsEurope</w:t>
      </w:r>
      <w:r w:rsidRPr="008730EC">
        <w:rPr>
          <w:rFonts w:cstheme="minorHAnsi"/>
          <w:iCs/>
          <w:szCs w:val="20"/>
        </w:rPr>
        <w:t xml:space="preserve"> recommend</w:t>
      </w:r>
      <w:r>
        <w:rPr>
          <w:rFonts w:cstheme="minorHAnsi"/>
          <w:iCs/>
          <w:szCs w:val="20"/>
        </w:rPr>
        <w:t>s</w:t>
      </w:r>
      <w:r w:rsidRPr="008730EC">
        <w:rPr>
          <w:rFonts w:cstheme="minorHAnsi"/>
          <w:iCs/>
          <w:szCs w:val="20"/>
        </w:rPr>
        <w:t xml:space="preserve"> the Commission</w:t>
      </w:r>
      <w:r>
        <w:rPr>
          <w:rFonts w:cstheme="minorHAnsi"/>
          <w:iCs/>
          <w:szCs w:val="20"/>
        </w:rPr>
        <w:t xml:space="preserve"> and EU authorities</w:t>
      </w:r>
      <w:r w:rsidRPr="008730EC">
        <w:rPr>
          <w:rFonts w:cstheme="minorHAnsi"/>
          <w:iCs/>
          <w:szCs w:val="20"/>
        </w:rPr>
        <w:t xml:space="preserve"> to promote the development of an open source EU ESG data register</w:t>
      </w:r>
      <w:r>
        <w:rPr>
          <w:rStyle w:val="FootnoteReference"/>
          <w:rFonts w:cstheme="minorHAnsi"/>
          <w:iCs/>
          <w:szCs w:val="20"/>
        </w:rPr>
        <w:footnoteReference w:id="4"/>
      </w:r>
      <w:r w:rsidRPr="008730EC">
        <w:rPr>
          <w:rFonts w:cstheme="minorHAnsi"/>
          <w:iCs/>
          <w:szCs w:val="20"/>
        </w:rPr>
        <w:t xml:space="preserve"> </w:t>
      </w:r>
      <w:r>
        <w:rPr>
          <w:rFonts w:cstheme="minorHAnsi"/>
          <w:iCs/>
          <w:szCs w:val="20"/>
        </w:rPr>
        <w:t xml:space="preserve">as this </w:t>
      </w:r>
      <w:r w:rsidRPr="008C2838">
        <w:rPr>
          <w:rFonts w:cstheme="minorHAnsi"/>
          <w:iCs/>
          <w:szCs w:val="20"/>
        </w:rPr>
        <w:t xml:space="preserve">would help fill the gap between companies' current reporting and the information investors need to be able to comply with the new </w:t>
      </w:r>
      <w:r>
        <w:rPr>
          <w:rFonts w:cstheme="minorHAnsi"/>
          <w:iCs/>
          <w:szCs w:val="20"/>
        </w:rPr>
        <w:t>disclosure requirements, including PAI disclosures</w:t>
      </w:r>
      <w:r w:rsidRPr="008C2838">
        <w:rPr>
          <w:rFonts w:cstheme="minorHAnsi"/>
          <w:iCs/>
          <w:szCs w:val="20"/>
        </w:rPr>
        <w:t xml:space="preserve">. </w:t>
      </w:r>
      <w:r>
        <w:rPr>
          <w:rFonts w:cstheme="minorHAnsi"/>
          <w:iCs/>
          <w:szCs w:val="20"/>
        </w:rPr>
        <w:t>The establishment of the register</w:t>
      </w:r>
      <w:r w:rsidRPr="008C2838">
        <w:rPr>
          <w:rFonts w:cstheme="minorHAnsi"/>
          <w:iCs/>
          <w:szCs w:val="20"/>
        </w:rPr>
        <w:t xml:space="preserve"> would somehow mitigate some of the data challenges faced by investors, although only partly.</w:t>
      </w:r>
    </w:p>
    <w:p w14:paraId="5D8FB287" w14:textId="77777777" w:rsidR="005A3EFC" w:rsidRDefault="005A3EFC" w:rsidP="005A3EFC">
      <w:pPr>
        <w:jc w:val="both"/>
        <w:rPr>
          <w:rFonts w:cstheme="minorHAnsi"/>
          <w:iCs/>
          <w:szCs w:val="20"/>
        </w:rPr>
      </w:pPr>
    </w:p>
    <w:p w14:paraId="6496FAC5" w14:textId="6241827E" w:rsidR="003E573C" w:rsidRPr="005A3EFC" w:rsidRDefault="005A3EFC" w:rsidP="005A3EFC">
      <w:pPr>
        <w:jc w:val="both"/>
        <w:rPr>
          <w:lang w:val="en-US"/>
        </w:rPr>
      </w:pPr>
      <w:r w:rsidRPr="009C3F1B">
        <w:rPr>
          <w:rFonts w:cstheme="minorHAnsi"/>
          <w:b/>
          <w:bCs/>
          <w:iCs/>
          <w:szCs w:val="20"/>
        </w:rPr>
        <w:t>The whole EU framework for sustainable finance should adopt a holistic approach. In this sense, PensionsEurope recommends ensuring consistency between the draft RTS and other relevant policy developments</w:t>
      </w:r>
      <w:r>
        <w:rPr>
          <w:rFonts w:cstheme="minorHAnsi"/>
          <w:iCs/>
          <w:szCs w:val="20"/>
        </w:rPr>
        <w:t xml:space="preserve">. As recognised by the ESAs, there is a </w:t>
      </w:r>
      <w:r w:rsidRPr="00D64F93">
        <w:rPr>
          <w:rFonts w:cstheme="minorHAnsi"/>
          <w:iCs/>
          <w:szCs w:val="20"/>
        </w:rPr>
        <w:t>strong link between the concept of “do not significantly harm”</w:t>
      </w:r>
      <w:r>
        <w:rPr>
          <w:rFonts w:cstheme="minorHAnsi"/>
          <w:iCs/>
          <w:szCs w:val="20"/>
        </w:rPr>
        <w:t xml:space="preserve"> (DNSH)</w:t>
      </w:r>
      <w:r w:rsidRPr="00D64F93">
        <w:rPr>
          <w:rFonts w:cstheme="minorHAnsi"/>
          <w:iCs/>
          <w:szCs w:val="20"/>
        </w:rPr>
        <w:t xml:space="preserve"> under</w:t>
      </w:r>
      <w:r>
        <w:rPr>
          <w:rFonts w:cstheme="minorHAnsi"/>
          <w:iCs/>
          <w:szCs w:val="20"/>
        </w:rPr>
        <w:t xml:space="preserve"> </w:t>
      </w:r>
      <w:r w:rsidRPr="00D64F93">
        <w:rPr>
          <w:rFonts w:cstheme="minorHAnsi"/>
          <w:iCs/>
          <w:szCs w:val="20"/>
        </w:rPr>
        <w:t xml:space="preserve">SFDR and the same notion under the taxonomy regulation applied to environmental activities. </w:t>
      </w:r>
      <w:r w:rsidRPr="009C3F1B">
        <w:rPr>
          <w:rFonts w:cstheme="minorHAnsi"/>
          <w:iCs/>
          <w:szCs w:val="20"/>
        </w:rPr>
        <w:t>Both should be largely consistent and use the same approaches for determining their criteria and indicators.</w:t>
      </w:r>
      <w:r>
        <w:rPr>
          <w:rFonts w:cstheme="minorHAnsi"/>
          <w:iCs/>
          <w:szCs w:val="20"/>
        </w:rPr>
        <w:t xml:space="preserve"> As mentioned above, coherence with the review of the NFRD review and availability of ESG data on investee companies must also be ensured.</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C2642C1" w14:textId="77777777" w:rsidR="00D0178B" w:rsidRPr="00751CE3" w:rsidRDefault="00D0178B" w:rsidP="00D0178B">
      <w:pPr>
        <w:jc w:val="both"/>
        <w:rPr>
          <w:szCs w:val="20"/>
          <w:lang w:val="en-US"/>
        </w:rPr>
      </w:pPr>
      <w:permStart w:id="729947415" w:edGrp="everyone"/>
      <w:r>
        <w:rPr>
          <w:szCs w:val="20"/>
          <w:lang w:val="en-US"/>
        </w:rPr>
        <w:t>Although article 4 of the Disclosure Regulation specifies that the</w:t>
      </w:r>
      <w:r w:rsidRPr="002F468D">
        <w:rPr>
          <w:szCs w:val="20"/>
          <w:lang w:val="en-US"/>
        </w:rPr>
        <w:t xml:space="preserve"> </w:t>
      </w:r>
      <w:r>
        <w:rPr>
          <w:szCs w:val="20"/>
          <w:lang w:val="en-US"/>
        </w:rPr>
        <w:t xml:space="preserve">PAI disclosure requirements at entity level should take </w:t>
      </w:r>
      <w:r w:rsidRPr="002F468D">
        <w:rPr>
          <w:szCs w:val="20"/>
          <w:lang w:val="en-US"/>
        </w:rPr>
        <w:t xml:space="preserve">due account of the size, the nature and scale of </w:t>
      </w:r>
      <w:r>
        <w:rPr>
          <w:szCs w:val="20"/>
          <w:lang w:val="en-US"/>
        </w:rPr>
        <w:t>FMPs’</w:t>
      </w:r>
      <w:r w:rsidRPr="002F468D">
        <w:rPr>
          <w:szCs w:val="20"/>
          <w:lang w:val="en-US"/>
        </w:rPr>
        <w:t xml:space="preserve"> activities</w:t>
      </w:r>
      <w:r>
        <w:rPr>
          <w:szCs w:val="20"/>
          <w:lang w:val="en-US"/>
        </w:rPr>
        <w:t xml:space="preserve"> </w:t>
      </w:r>
      <w:r w:rsidRPr="002F468D">
        <w:rPr>
          <w:szCs w:val="20"/>
          <w:lang w:val="en-US"/>
        </w:rPr>
        <w:t>and the types of financial products they make available</w:t>
      </w:r>
      <w:r>
        <w:rPr>
          <w:szCs w:val="20"/>
          <w:lang w:val="en-US"/>
        </w:rPr>
        <w:t xml:space="preserve">, </w:t>
      </w:r>
      <w:r w:rsidRPr="000D14EE">
        <w:rPr>
          <w:b/>
          <w:bCs/>
          <w:szCs w:val="20"/>
          <w:lang w:val="en-US"/>
        </w:rPr>
        <w:t xml:space="preserve">Chapter II of the draft RTS on transparency of adverse sustainability impacts and Annex I on the template for PAI statement adopt a “one size fits all” approach without any consideration of the size, nature and scale of </w:t>
      </w:r>
      <w:r>
        <w:rPr>
          <w:b/>
          <w:bCs/>
          <w:szCs w:val="20"/>
          <w:lang w:val="en-US"/>
        </w:rPr>
        <w:t>FMPs</w:t>
      </w:r>
      <w:r w:rsidRPr="000D14EE">
        <w:rPr>
          <w:b/>
          <w:bCs/>
          <w:szCs w:val="20"/>
          <w:lang w:val="en-US"/>
        </w:rPr>
        <w:t xml:space="preserve"> or the type of products</w:t>
      </w:r>
      <w:r w:rsidRPr="00146B03">
        <w:rPr>
          <w:szCs w:val="20"/>
          <w:lang w:val="en-US"/>
        </w:rPr>
        <w:t>.</w:t>
      </w:r>
      <w:r>
        <w:rPr>
          <w:szCs w:val="20"/>
          <w:lang w:val="en-US"/>
        </w:rPr>
        <w:t xml:space="preserve"> </w:t>
      </w:r>
      <w:r w:rsidRPr="00146B03">
        <w:rPr>
          <w:szCs w:val="20"/>
          <w:lang w:val="en-US"/>
        </w:rPr>
        <w:t>Considering the differences between all the entities captured as “</w:t>
      </w:r>
      <w:r>
        <w:rPr>
          <w:szCs w:val="20"/>
          <w:lang w:val="en-US"/>
        </w:rPr>
        <w:t>FMPs</w:t>
      </w:r>
      <w:r w:rsidRPr="00146B03">
        <w:rPr>
          <w:szCs w:val="20"/>
          <w:lang w:val="en-US"/>
        </w:rPr>
        <w:t>”</w:t>
      </w:r>
      <w:r>
        <w:rPr>
          <w:szCs w:val="20"/>
          <w:lang w:val="en-US"/>
        </w:rPr>
        <w:t xml:space="preserve"> </w:t>
      </w:r>
      <w:r w:rsidRPr="00146B03">
        <w:rPr>
          <w:szCs w:val="20"/>
          <w:lang w:val="en-US"/>
        </w:rPr>
        <w:t>under the Disclosure Regulation</w:t>
      </w:r>
      <w:r w:rsidRPr="00146B03">
        <w:rPr>
          <w:rStyle w:val="FootnoteReference"/>
          <w:szCs w:val="20"/>
          <w:lang w:val="en-US"/>
        </w:rPr>
        <w:footnoteReference w:id="5"/>
      </w:r>
      <w:r w:rsidRPr="00146B03">
        <w:rPr>
          <w:szCs w:val="20"/>
          <w:lang w:val="en-US"/>
        </w:rPr>
        <w:t>, we would however recommend</w:t>
      </w:r>
      <w:r>
        <w:rPr>
          <w:szCs w:val="20"/>
          <w:lang w:val="en-US"/>
        </w:rPr>
        <w:t xml:space="preserve"> the ESAs to </w:t>
      </w:r>
      <w:r w:rsidRPr="000D14EE">
        <w:rPr>
          <w:szCs w:val="20"/>
          <w:lang w:val="en-US"/>
        </w:rPr>
        <w:t>consider the possibility of differentiating between size, nature, and scale of</w:t>
      </w:r>
      <w:r>
        <w:rPr>
          <w:szCs w:val="20"/>
          <w:lang w:val="en-US"/>
        </w:rPr>
        <w:t xml:space="preserve"> FMPs’</w:t>
      </w:r>
      <w:r w:rsidRPr="000D14EE">
        <w:rPr>
          <w:szCs w:val="20"/>
          <w:lang w:val="en-US"/>
        </w:rPr>
        <w:t xml:space="preserve"> activities </w:t>
      </w:r>
      <w:r>
        <w:rPr>
          <w:szCs w:val="20"/>
          <w:lang w:val="en-US"/>
        </w:rPr>
        <w:t xml:space="preserve">for the purpose of PAI disclosures </w:t>
      </w:r>
      <w:r w:rsidRPr="000D14EE">
        <w:rPr>
          <w:szCs w:val="20"/>
          <w:lang w:val="en-US"/>
        </w:rPr>
        <w:t>to ensure that</w:t>
      </w:r>
      <w:r>
        <w:rPr>
          <w:szCs w:val="20"/>
          <w:lang w:val="en-US"/>
        </w:rPr>
        <w:t xml:space="preserve"> the disclosure</w:t>
      </w:r>
      <w:r w:rsidRPr="000D14EE">
        <w:rPr>
          <w:szCs w:val="20"/>
          <w:lang w:val="en-US"/>
        </w:rPr>
        <w:t xml:space="preserve"> requirements are proportional and feasible.</w:t>
      </w:r>
      <w:r>
        <w:rPr>
          <w:szCs w:val="20"/>
          <w:lang w:val="en-US"/>
        </w:rPr>
        <w:t xml:space="preserve"> It is worth noting that </w:t>
      </w:r>
      <w:r w:rsidRPr="00751CE3">
        <w:rPr>
          <w:szCs w:val="20"/>
          <w:lang w:val="en-US"/>
        </w:rPr>
        <w:t xml:space="preserve">while </w:t>
      </w:r>
      <w:r>
        <w:rPr>
          <w:szCs w:val="20"/>
          <w:lang w:val="en-US"/>
        </w:rPr>
        <w:t>several</w:t>
      </w:r>
      <w:r w:rsidRPr="00751CE3">
        <w:rPr>
          <w:szCs w:val="20"/>
          <w:lang w:val="en-US"/>
        </w:rPr>
        <w:t xml:space="preserve"> stakeholders were consulted</w:t>
      </w:r>
      <w:r>
        <w:rPr>
          <w:szCs w:val="20"/>
          <w:lang w:val="en-US"/>
        </w:rPr>
        <w:t xml:space="preserve"> for the elaboration of the draft RTS</w:t>
      </w:r>
      <w:r w:rsidRPr="00751CE3">
        <w:rPr>
          <w:szCs w:val="20"/>
          <w:lang w:val="en-US"/>
        </w:rPr>
        <w:t xml:space="preserve">, the Occupational Pension Stakeholder Group </w:t>
      </w:r>
      <w:r>
        <w:rPr>
          <w:szCs w:val="20"/>
          <w:lang w:val="en-US"/>
        </w:rPr>
        <w:t xml:space="preserve">(OPSG) </w:t>
      </w:r>
      <w:r w:rsidRPr="00751CE3">
        <w:rPr>
          <w:szCs w:val="20"/>
          <w:lang w:val="en-US"/>
        </w:rPr>
        <w:t>is not mentioned in Recital 42. We assume the</w:t>
      </w:r>
      <w:r>
        <w:rPr>
          <w:szCs w:val="20"/>
          <w:lang w:val="en-US"/>
        </w:rPr>
        <w:t xml:space="preserve"> Members of the OPSG</w:t>
      </w:r>
      <w:r w:rsidRPr="00751CE3">
        <w:rPr>
          <w:szCs w:val="20"/>
          <w:lang w:val="en-US"/>
        </w:rPr>
        <w:t xml:space="preserve"> were not consulted and wonder how the perspective of IORPs was considered when drafting th</w:t>
      </w:r>
      <w:r>
        <w:rPr>
          <w:szCs w:val="20"/>
          <w:lang w:val="en-US"/>
        </w:rPr>
        <w:t>e</w:t>
      </w:r>
      <w:r w:rsidRPr="00751CE3">
        <w:rPr>
          <w:szCs w:val="20"/>
          <w:lang w:val="en-US"/>
        </w:rPr>
        <w:t xml:space="preserve"> RTS.</w:t>
      </w:r>
      <w:r>
        <w:rPr>
          <w:szCs w:val="20"/>
          <w:lang w:val="en-US"/>
        </w:rPr>
        <w:t xml:space="preserve"> FMPs</w:t>
      </w:r>
      <w:r w:rsidRPr="00900243">
        <w:rPr>
          <w:szCs w:val="20"/>
          <w:lang w:val="en-US"/>
        </w:rPr>
        <w:t xml:space="preserve"> should </w:t>
      </w:r>
      <w:r>
        <w:rPr>
          <w:szCs w:val="20"/>
          <w:lang w:val="en-US"/>
        </w:rPr>
        <w:t xml:space="preserve">also </w:t>
      </w:r>
      <w:r w:rsidRPr="00900243">
        <w:rPr>
          <w:szCs w:val="20"/>
          <w:lang w:val="en-US"/>
        </w:rPr>
        <w:t xml:space="preserve">have </w:t>
      </w:r>
      <w:r>
        <w:rPr>
          <w:szCs w:val="20"/>
          <w:lang w:val="en-US"/>
        </w:rPr>
        <w:t>a certain degree of discretion to implement</w:t>
      </w:r>
      <w:r w:rsidRPr="00900243">
        <w:rPr>
          <w:szCs w:val="20"/>
          <w:lang w:val="en-US"/>
        </w:rPr>
        <w:t xml:space="preserve"> </w:t>
      </w:r>
      <w:r>
        <w:rPr>
          <w:szCs w:val="20"/>
          <w:lang w:val="en-US"/>
        </w:rPr>
        <w:t>the</w:t>
      </w:r>
      <w:r w:rsidRPr="00900243">
        <w:rPr>
          <w:szCs w:val="20"/>
          <w:lang w:val="en-US"/>
        </w:rPr>
        <w:t xml:space="preserve"> requirements</w:t>
      </w:r>
      <w:r>
        <w:rPr>
          <w:szCs w:val="20"/>
          <w:lang w:val="en-US"/>
        </w:rPr>
        <w:t xml:space="preserve"> </w:t>
      </w:r>
      <w:r w:rsidRPr="00900243">
        <w:rPr>
          <w:szCs w:val="20"/>
          <w:lang w:val="en-US"/>
        </w:rPr>
        <w:t>in line with their specific investment portfolios</w:t>
      </w:r>
      <w:r>
        <w:rPr>
          <w:szCs w:val="20"/>
          <w:lang w:val="en-US"/>
        </w:rPr>
        <w:t xml:space="preserve"> and the type of products they make available. As mentioned in our answer to question 1, FMPs should be allowed</w:t>
      </w:r>
      <w:r w:rsidRPr="00900243">
        <w:rPr>
          <w:szCs w:val="20"/>
          <w:lang w:val="en-US"/>
        </w:rPr>
        <w:t xml:space="preserve"> to prioritize the adverse impacts and select the relevant indicators based on their materiality</w:t>
      </w:r>
      <w:r>
        <w:rPr>
          <w:szCs w:val="20"/>
          <w:lang w:val="en-US"/>
        </w:rPr>
        <w:t xml:space="preserve"> and their relevance for the nature of their activities.</w:t>
      </w:r>
      <w:r w:rsidRPr="008752CB">
        <w:rPr>
          <w:szCs w:val="20"/>
          <w:lang w:val="en-US"/>
        </w:rPr>
        <w:t xml:space="preserve"> </w:t>
      </w:r>
    </w:p>
    <w:p w14:paraId="62DBEC76" w14:textId="77777777" w:rsidR="00D0178B" w:rsidRDefault="00D0178B" w:rsidP="00D0178B">
      <w:pPr>
        <w:rPr>
          <w:szCs w:val="20"/>
          <w:lang w:val="en-US"/>
        </w:rPr>
      </w:pPr>
    </w:p>
    <w:p w14:paraId="2A0B441C" w14:textId="77777777" w:rsidR="00D0178B" w:rsidRDefault="00D0178B" w:rsidP="00D0178B">
      <w:pPr>
        <w:jc w:val="both"/>
        <w:rPr>
          <w:szCs w:val="20"/>
          <w:lang w:val="en-US"/>
        </w:rPr>
      </w:pPr>
      <w:r w:rsidRPr="00146B03">
        <w:rPr>
          <w:szCs w:val="20"/>
          <w:lang w:val="en-US"/>
        </w:rPr>
        <w:t xml:space="preserve">The Disclosure Regulation requires reporting on applied due diligence policies but does not set up any requirements on outcomes and actions. This means the reported information must aim at the mitigation of adverse impacts. It is noteworthy smaller </w:t>
      </w:r>
      <w:r>
        <w:rPr>
          <w:szCs w:val="20"/>
          <w:lang w:val="en-US"/>
        </w:rPr>
        <w:t>FMPs</w:t>
      </w:r>
      <w:r w:rsidRPr="00146B03">
        <w:rPr>
          <w:szCs w:val="20"/>
          <w:lang w:val="en-US"/>
        </w:rPr>
        <w:t xml:space="preserve"> will have less ability to dedicate resources to engagement. Many pension funds have only relatively little staff resources to keep the costs of investments low. Having more limited resources, pension funds need to prioritize their mitigation efforts and only pick those issues where the impact is most relevant. </w:t>
      </w:r>
      <w:r>
        <w:rPr>
          <w:szCs w:val="20"/>
          <w:lang w:val="en-US"/>
        </w:rPr>
        <w:t xml:space="preserve">The </w:t>
      </w:r>
      <w:r w:rsidRPr="00146B03">
        <w:rPr>
          <w:szCs w:val="20"/>
          <w:lang w:val="en-US"/>
        </w:rPr>
        <w:t xml:space="preserve">proposed RTS does not allow </w:t>
      </w:r>
      <w:r>
        <w:rPr>
          <w:szCs w:val="20"/>
          <w:lang w:val="en-US"/>
        </w:rPr>
        <w:t>FMPs</w:t>
      </w:r>
      <w:r w:rsidRPr="00146B03">
        <w:rPr>
          <w:szCs w:val="20"/>
          <w:lang w:val="en-US"/>
        </w:rPr>
        <w:t xml:space="preserve"> to focus on those indicators and sectors where the impact of investment is deemed to be most ‘principal’, which would however mitigate the financial and administrative burden due to extensive data collection.</w:t>
      </w:r>
    </w:p>
    <w:p w14:paraId="0D40A677" w14:textId="77777777" w:rsidR="00D0178B" w:rsidRDefault="00D0178B" w:rsidP="00D0178B">
      <w:pPr>
        <w:jc w:val="both"/>
        <w:rPr>
          <w:szCs w:val="20"/>
          <w:lang w:val="en-US"/>
        </w:rPr>
      </w:pPr>
    </w:p>
    <w:p w14:paraId="7A09C6A0" w14:textId="17909CE5" w:rsidR="003E573C" w:rsidRPr="00D0178B" w:rsidRDefault="00D0178B" w:rsidP="00D0178B">
      <w:pPr>
        <w:jc w:val="both"/>
        <w:rPr>
          <w:szCs w:val="20"/>
          <w:lang w:val="en-US"/>
        </w:rPr>
      </w:pPr>
      <w:r>
        <w:rPr>
          <w:szCs w:val="20"/>
          <w:lang w:val="en-US"/>
        </w:rPr>
        <w:t xml:space="preserve">As mentioned in our answer to question 1, </w:t>
      </w:r>
      <w:r w:rsidRPr="00410785">
        <w:rPr>
          <w:b/>
          <w:bCs/>
          <w:szCs w:val="20"/>
          <w:lang w:val="en-US"/>
        </w:rPr>
        <w:t>PensionsEurope supports the proportionality considerations adopted in the application of the disclosure requirements set up under article 4 of the Sustainable Finance Disclosure Regulation (SFDR)</w:t>
      </w:r>
      <w:r>
        <w:rPr>
          <w:szCs w:val="20"/>
          <w:lang w:val="en-US"/>
        </w:rPr>
        <w:t xml:space="preserve"> and clarified under recital 9 of the draft RTS on ESG disclosures, according to which FMPs</w:t>
      </w:r>
      <w:r w:rsidRPr="00DE09F8">
        <w:rPr>
          <w:szCs w:val="20"/>
          <w:lang w:val="en-US"/>
        </w:rPr>
        <w:t xml:space="preserve"> below </w:t>
      </w:r>
      <w:r>
        <w:rPr>
          <w:szCs w:val="20"/>
          <w:lang w:val="en-US"/>
        </w:rPr>
        <w:t>a</w:t>
      </w:r>
      <w:r w:rsidRPr="00DE09F8">
        <w:rPr>
          <w:szCs w:val="20"/>
          <w:lang w:val="en-US"/>
        </w:rPr>
        <w:t xml:space="preserve"> threshold of 500 employees </w:t>
      </w:r>
      <w:r>
        <w:rPr>
          <w:szCs w:val="20"/>
          <w:lang w:val="en-US"/>
        </w:rPr>
        <w:t xml:space="preserve">would not be subject to mandatory PAI disclosures at entity level against the full list of 32 indicators but </w:t>
      </w:r>
      <w:r w:rsidRPr="00DE09F8">
        <w:rPr>
          <w:szCs w:val="20"/>
          <w:lang w:val="en-US"/>
        </w:rPr>
        <w:t>should</w:t>
      </w:r>
      <w:r>
        <w:rPr>
          <w:szCs w:val="20"/>
          <w:lang w:val="en-US"/>
        </w:rPr>
        <w:t xml:space="preserve"> </w:t>
      </w:r>
      <w:r w:rsidRPr="00DE09F8">
        <w:rPr>
          <w:szCs w:val="20"/>
          <w:lang w:val="en-US"/>
        </w:rPr>
        <w:t>at least explain where they do not consider adverse impacts of investments decisions</w:t>
      </w:r>
      <w:r>
        <w:rPr>
          <w:szCs w:val="20"/>
          <w:lang w:val="en-US"/>
        </w:rPr>
        <w:t xml:space="preserve"> </w:t>
      </w:r>
      <w:r w:rsidRPr="00DE09F8">
        <w:rPr>
          <w:szCs w:val="20"/>
          <w:lang w:val="en-US"/>
        </w:rPr>
        <w:t xml:space="preserve">on sustainability factors </w:t>
      </w:r>
      <w:r>
        <w:rPr>
          <w:szCs w:val="20"/>
          <w:lang w:val="en-US"/>
        </w:rPr>
        <w:t xml:space="preserve">and </w:t>
      </w:r>
      <w:r w:rsidRPr="00DE09F8">
        <w:rPr>
          <w:szCs w:val="20"/>
          <w:lang w:val="en-US"/>
        </w:rPr>
        <w:t>the reasons to not consider them.</w:t>
      </w:r>
      <w:r>
        <w:rPr>
          <w:szCs w:val="20"/>
          <w:lang w:val="en-US"/>
        </w:rPr>
        <w:t xml:space="preserve"> </w:t>
      </w:r>
      <w:r w:rsidRPr="00146B03">
        <w:rPr>
          <w:szCs w:val="20"/>
          <w:lang w:val="en-US"/>
        </w:rPr>
        <w:t xml:space="preserve">It is important to note that </w:t>
      </w:r>
      <w:r>
        <w:rPr>
          <w:szCs w:val="20"/>
          <w:lang w:val="en-US"/>
        </w:rPr>
        <w:t xml:space="preserve">most </w:t>
      </w:r>
      <w:r w:rsidRPr="00146B03">
        <w:rPr>
          <w:szCs w:val="20"/>
          <w:lang w:val="en-US"/>
        </w:rPr>
        <w:t>pension fund</w:t>
      </w:r>
      <w:r>
        <w:rPr>
          <w:szCs w:val="20"/>
          <w:lang w:val="en-US"/>
        </w:rPr>
        <w:t>s</w:t>
      </w:r>
      <w:r w:rsidRPr="00146B03">
        <w:rPr>
          <w:szCs w:val="20"/>
          <w:lang w:val="en-US"/>
        </w:rPr>
        <w:t xml:space="preserve"> have less than 500 employees and </w:t>
      </w:r>
      <w:r>
        <w:rPr>
          <w:szCs w:val="20"/>
          <w:lang w:val="en-US"/>
        </w:rPr>
        <w:t xml:space="preserve">they may not have the capacities to implement in full the disclosures required under article 4 and specified in the draft RTS. It would also be important to specify that </w:t>
      </w:r>
      <w:r w:rsidRPr="00BB0134">
        <w:rPr>
          <w:b/>
          <w:bCs/>
          <w:szCs w:val="20"/>
          <w:lang w:val="en-US"/>
        </w:rPr>
        <w:t>below the threshold of 500 employees, the voluntary application of due diligence for adverse impacts should not imply mandatory disclosure against the full set of 32 indicators which should remain voluntary</w:t>
      </w:r>
      <w:r>
        <w:rPr>
          <w:b/>
          <w:bCs/>
          <w:szCs w:val="20"/>
          <w:lang w:val="en-US"/>
        </w:rPr>
        <w:t xml:space="preserve"> </w:t>
      </w:r>
      <w:r w:rsidRPr="00D21486">
        <w:rPr>
          <w:szCs w:val="20"/>
          <w:lang w:val="en-US"/>
        </w:rPr>
        <w:t>and take due account of t</w:t>
      </w:r>
      <w:r>
        <w:rPr>
          <w:szCs w:val="20"/>
          <w:lang w:val="en-US"/>
        </w:rPr>
        <w:t>he</w:t>
      </w:r>
      <w:r w:rsidRPr="00146B03">
        <w:rPr>
          <w:szCs w:val="20"/>
          <w:lang w:val="en-US"/>
        </w:rPr>
        <w:t xml:space="preserve"> size, nature, and</w:t>
      </w:r>
      <w:r>
        <w:rPr>
          <w:szCs w:val="20"/>
          <w:lang w:val="en-US"/>
        </w:rPr>
        <w:t xml:space="preserve"> </w:t>
      </w:r>
      <w:r w:rsidRPr="00146B03">
        <w:rPr>
          <w:szCs w:val="20"/>
          <w:lang w:val="en-US"/>
        </w:rPr>
        <w:lastRenderedPageBreak/>
        <w:t xml:space="preserve">scale of </w:t>
      </w:r>
      <w:r>
        <w:rPr>
          <w:szCs w:val="20"/>
          <w:lang w:val="en-US"/>
        </w:rPr>
        <w:t xml:space="preserve">IORPs’ </w:t>
      </w:r>
      <w:r w:rsidRPr="00146B03">
        <w:rPr>
          <w:szCs w:val="20"/>
          <w:lang w:val="en-US"/>
        </w:rPr>
        <w:t>activities and the type of products</w:t>
      </w:r>
      <w:r>
        <w:rPr>
          <w:szCs w:val="20"/>
          <w:lang w:val="en-US"/>
        </w:rPr>
        <w:t xml:space="preserve"> they make available. I</w:t>
      </w:r>
      <w:r w:rsidRPr="00146B03">
        <w:rPr>
          <w:szCs w:val="20"/>
          <w:lang w:val="en-US"/>
        </w:rPr>
        <w:t>f voluntarily implementing due diligence will entail significant administrative and financial burdens, this may deter pension funds to voluntarily implement due diligence process for adverse impacts.</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B18BC79" w14:textId="77777777" w:rsidR="00D0178B" w:rsidRPr="00857409" w:rsidRDefault="00D0178B" w:rsidP="00D0178B">
      <w:pPr>
        <w:jc w:val="both"/>
        <w:rPr>
          <w:rFonts w:cstheme="minorHAnsi"/>
          <w:iCs/>
          <w:szCs w:val="20"/>
        </w:rPr>
      </w:pPr>
      <w:permStart w:id="677205538" w:edGrp="everyone"/>
      <w:r w:rsidRPr="001F069A">
        <w:rPr>
          <w:rFonts w:cstheme="minorHAnsi"/>
          <w:iCs/>
          <w:szCs w:val="20"/>
        </w:rPr>
        <w:t xml:space="preserve">As explained in our answers to the previous questions, </w:t>
      </w:r>
      <w:r w:rsidRPr="00817A96">
        <w:rPr>
          <w:rFonts w:cstheme="minorHAnsi"/>
          <w:b/>
          <w:bCs/>
          <w:iCs/>
          <w:szCs w:val="20"/>
        </w:rPr>
        <w:t>the framework should provide leeway to FMPs to decide which indicators are material for the sectors they invest in</w:t>
      </w:r>
      <w:r w:rsidRPr="001F069A">
        <w:rPr>
          <w:rFonts w:cstheme="minorHAnsi"/>
          <w:iCs/>
          <w:szCs w:val="20"/>
        </w:rPr>
        <w:t xml:space="preserve">. Disclosure of environmental characteristics against investors’ whole portfolio would not be appropriate, as it does not show which investments have the biggest impact and large part of the portfolio have very limited scope to improve. The aggregation of principal adverse impact indicators at entity level is not going to be helpful for end-investors and is </w:t>
      </w:r>
      <w:proofErr w:type="gramStart"/>
      <w:r w:rsidRPr="001F069A">
        <w:rPr>
          <w:rFonts w:cstheme="minorHAnsi"/>
          <w:iCs/>
          <w:szCs w:val="20"/>
        </w:rPr>
        <w:t>actually misleading</w:t>
      </w:r>
      <w:proofErr w:type="gramEnd"/>
      <w:r w:rsidRPr="001F069A">
        <w:rPr>
          <w:rFonts w:cstheme="minorHAnsi"/>
          <w:iCs/>
          <w:szCs w:val="20"/>
        </w:rPr>
        <w:t xml:space="preserve"> since it does not take into account the variety of impacts that investee companies can create. Aggregating th</w:t>
      </w:r>
      <w:r>
        <w:rPr>
          <w:rFonts w:cstheme="minorHAnsi"/>
          <w:iCs/>
          <w:szCs w:val="20"/>
        </w:rPr>
        <w:t>is</w:t>
      </w:r>
      <w:r w:rsidRPr="001F069A">
        <w:rPr>
          <w:rFonts w:cstheme="minorHAnsi"/>
          <w:iCs/>
          <w:szCs w:val="20"/>
        </w:rPr>
        <w:t xml:space="preserve"> dat</w:t>
      </w:r>
      <w:r>
        <w:rPr>
          <w:rFonts w:cstheme="minorHAnsi"/>
          <w:iCs/>
          <w:szCs w:val="20"/>
        </w:rPr>
        <w:t>a</w:t>
      </w:r>
      <w:r w:rsidRPr="001F069A">
        <w:rPr>
          <w:rFonts w:cstheme="minorHAnsi"/>
          <w:iCs/>
          <w:szCs w:val="20"/>
        </w:rPr>
        <w:t xml:space="preserve"> would be against providing a clear, </w:t>
      </w:r>
      <w:proofErr w:type="gramStart"/>
      <w:r w:rsidRPr="001F069A">
        <w:rPr>
          <w:rFonts w:cstheme="minorHAnsi"/>
          <w:iCs/>
          <w:szCs w:val="20"/>
        </w:rPr>
        <w:t>exact</w:t>
      </w:r>
      <w:proofErr w:type="gramEnd"/>
      <w:r w:rsidRPr="001F069A">
        <w:rPr>
          <w:rFonts w:cstheme="minorHAnsi"/>
          <w:iCs/>
          <w:szCs w:val="20"/>
        </w:rPr>
        <w:t xml:space="preserve"> and not misleading information.</w:t>
      </w:r>
    </w:p>
    <w:p w14:paraId="7F0355F4" w14:textId="77777777" w:rsidR="00D0178B" w:rsidRDefault="00D0178B" w:rsidP="00D0178B">
      <w:pPr>
        <w:jc w:val="both"/>
        <w:rPr>
          <w:rFonts w:cstheme="minorHAnsi"/>
          <w:iCs/>
          <w:szCs w:val="20"/>
        </w:rPr>
      </w:pPr>
    </w:p>
    <w:p w14:paraId="3E057657" w14:textId="77777777" w:rsidR="00D0178B" w:rsidRDefault="00D0178B" w:rsidP="00D0178B">
      <w:pPr>
        <w:jc w:val="both"/>
        <w:rPr>
          <w:rFonts w:cstheme="minorHAnsi"/>
          <w:iCs/>
          <w:szCs w:val="20"/>
        </w:rPr>
      </w:pPr>
      <w:r w:rsidRPr="00667D8D">
        <w:rPr>
          <w:rFonts w:cstheme="minorHAnsi"/>
          <w:iCs/>
          <w:szCs w:val="20"/>
        </w:rPr>
        <w:t xml:space="preserve">As explained in our answer to question 1, </w:t>
      </w:r>
      <w:r>
        <w:rPr>
          <w:rFonts w:cstheme="minorHAnsi"/>
          <w:iCs/>
          <w:szCs w:val="20"/>
        </w:rPr>
        <w:t>FMPs</w:t>
      </w:r>
      <w:r w:rsidRPr="00667D8D">
        <w:rPr>
          <w:rFonts w:cstheme="minorHAnsi"/>
          <w:iCs/>
          <w:szCs w:val="20"/>
        </w:rPr>
        <w:t xml:space="preserve"> must be allowed to choose concrete indicators from a principal-based perspective considering the materiality of the negative sustainable impact of their investments. </w:t>
      </w:r>
      <w:r>
        <w:rPr>
          <w:rFonts w:cstheme="minorHAnsi"/>
          <w:iCs/>
          <w:szCs w:val="20"/>
        </w:rPr>
        <w:t>If a</w:t>
      </w:r>
      <w:r w:rsidRPr="00165455">
        <w:rPr>
          <w:rFonts w:cstheme="minorHAnsi"/>
          <w:iCs/>
          <w:szCs w:val="20"/>
        </w:rPr>
        <w:t xml:space="preserve"> set of mandatory indicators</w:t>
      </w:r>
      <w:r>
        <w:rPr>
          <w:rFonts w:cstheme="minorHAnsi"/>
          <w:iCs/>
          <w:szCs w:val="20"/>
        </w:rPr>
        <w:t xml:space="preserve"> is finally imposed to all FMPs to ensure comparability, we would recommend</w:t>
      </w:r>
      <w:r w:rsidRPr="00165455">
        <w:rPr>
          <w:rFonts w:cstheme="minorHAnsi"/>
          <w:iCs/>
          <w:szCs w:val="20"/>
        </w:rPr>
        <w:t xml:space="preserve"> </w:t>
      </w:r>
      <w:r>
        <w:rPr>
          <w:rFonts w:cstheme="minorHAnsi"/>
          <w:iCs/>
          <w:szCs w:val="20"/>
        </w:rPr>
        <w:t>reducing it</w:t>
      </w:r>
      <w:r w:rsidRPr="00165455">
        <w:rPr>
          <w:rFonts w:cstheme="minorHAnsi"/>
          <w:iCs/>
          <w:szCs w:val="20"/>
        </w:rPr>
        <w:t xml:space="preserve"> to no more than half a dozen</w:t>
      </w:r>
      <w:r>
        <w:rPr>
          <w:rFonts w:cstheme="minorHAnsi"/>
          <w:iCs/>
          <w:szCs w:val="20"/>
        </w:rPr>
        <w:t xml:space="preserve"> which would set incentives for all FMPs to disclose even if they are not required to do so. </w:t>
      </w:r>
      <w:r w:rsidRPr="00855EF8">
        <w:rPr>
          <w:rFonts w:cstheme="minorHAnsi"/>
          <w:iCs/>
          <w:szCs w:val="20"/>
        </w:rPr>
        <w:t xml:space="preserve">There are different </w:t>
      </w:r>
      <w:r>
        <w:rPr>
          <w:rFonts w:cstheme="minorHAnsi"/>
          <w:iCs/>
          <w:szCs w:val="20"/>
        </w:rPr>
        <w:t>approaches</w:t>
      </w:r>
      <w:r w:rsidRPr="00855EF8">
        <w:rPr>
          <w:rFonts w:cstheme="minorHAnsi"/>
          <w:iCs/>
          <w:szCs w:val="20"/>
        </w:rPr>
        <w:t xml:space="preserve"> to </w:t>
      </w:r>
      <w:r>
        <w:rPr>
          <w:rFonts w:cstheme="minorHAnsi"/>
          <w:iCs/>
          <w:szCs w:val="20"/>
        </w:rPr>
        <w:t>define the set of</w:t>
      </w:r>
      <w:r w:rsidRPr="00855EF8">
        <w:rPr>
          <w:rFonts w:cstheme="minorHAnsi"/>
          <w:iCs/>
          <w:szCs w:val="20"/>
        </w:rPr>
        <w:t xml:space="preserve"> mandatory </w:t>
      </w:r>
      <w:r>
        <w:rPr>
          <w:rFonts w:cstheme="minorHAnsi"/>
          <w:iCs/>
          <w:szCs w:val="20"/>
        </w:rPr>
        <w:t xml:space="preserve">indicators: </w:t>
      </w:r>
      <w:r w:rsidRPr="00855EF8">
        <w:rPr>
          <w:rFonts w:cstheme="minorHAnsi"/>
          <w:iCs/>
          <w:szCs w:val="20"/>
        </w:rPr>
        <w:t xml:space="preserve">focusing on those </w:t>
      </w:r>
      <w:r>
        <w:rPr>
          <w:rFonts w:cstheme="minorHAnsi"/>
          <w:iCs/>
          <w:szCs w:val="20"/>
        </w:rPr>
        <w:t xml:space="preserve">indicators </w:t>
      </w:r>
      <w:r w:rsidRPr="00855EF8">
        <w:rPr>
          <w:rFonts w:cstheme="minorHAnsi"/>
          <w:iCs/>
          <w:szCs w:val="20"/>
        </w:rPr>
        <w:t>where data is readily available</w:t>
      </w:r>
      <w:r>
        <w:rPr>
          <w:rFonts w:cstheme="minorHAnsi"/>
          <w:iCs/>
          <w:szCs w:val="20"/>
        </w:rPr>
        <w:t xml:space="preserve">, on those indicators for which </w:t>
      </w:r>
      <w:r w:rsidRPr="00855EF8">
        <w:rPr>
          <w:rFonts w:cstheme="minorHAnsi"/>
          <w:iCs/>
          <w:szCs w:val="20"/>
        </w:rPr>
        <w:t xml:space="preserve">the </w:t>
      </w:r>
      <w:r>
        <w:rPr>
          <w:rFonts w:cstheme="minorHAnsi"/>
          <w:iCs/>
          <w:szCs w:val="20"/>
        </w:rPr>
        <w:t>“</w:t>
      </w:r>
      <w:r w:rsidRPr="00855EF8">
        <w:rPr>
          <w:rFonts w:cstheme="minorHAnsi"/>
          <w:iCs/>
          <w:szCs w:val="20"/>
        </w:rPr>
        <w:t>construction</w:t>
      </w:r>
      <w:r>
        <w:rPr>
          <w:rFonts w:cstheme="minorHAnsi"/>
          <w:iCs/>
          <w:szCs w:val="20"/>
        </w:rPr>
        <w:t>”</w:t>
      </w:r>
      <w:r w:rsidRPr="00855EF8">
        <w:rPr>
          <w:rFonts w:cstheme="minorHAnsi"/>
          <w:iCs/>
          <w:szCs w:val="20"/>
        </w:rPr>
        <w:t xml:space="preserve"> of the indicator is the most straightforward in order to provide quality information or choosing the most important ones from an environmental and social perspective.</w:t>
      </w:r>
    </w:p>
    <w:p w14:paraId="7299B574" w14:textId="77777777" w:rsidR="00D0178B" w:rsidRPr="00937269" w:rsidRDefault="00D0178B" w:rsidP="00D0178B">
      <w:pPr>
        <w:jc w:val="both"/>
        <w:rPr>
          <w:rFonts w:cstheme="minorHAnsi"/>
          <w:iCs/>
          <w:szCs w:val="20"/>
        </w:rPr>
      </w:pPr>
    </w:p>
    <w:p w14:paraId="72A23BA0" w14:textId="4A1EB62B" w:rsidR="003E573C" w:rsidRPr="00D0178B" w:rsidRDefault="00D0178B" w:rsidP="00D0178B">
      <w:pPr>
        <w:jc w:val="both"/>
        <w:rPr>
          <w:rFonts w:cstheme="minorHAnsi"/>
          <w:iCs/>
          <w:szCs w:val="20"/>
        </w:rPr>
      </w:pPr>
      <w:r>
        <w:rPr>
          <w:rFonts w:cstheme="minorHAnsi"/>
          <w:iCs/>
          <w:szCs w:val="20"/>
        </w:rPr>
        <w:t xml:space="preserve">As explained in our answer to question 1, </w:t>
      </w:r>
      <w:r w:rsidRPr="00817A96">
        <w:rPr>
          <w:rFonts w:cstheme="minorHAnsi"/>
          <w:b/>
          <w:bCs/>
          <w:iCs/>
          <w:szCs w:val="20"/>
        </w:rPr>
        <w:t>ESG data on investee companies necessary to produce most indicators is currently not comparable but also not reliable and importantly quite expensive</w:t>
      </w:r>
      <w:r w:rsidRPr="0031396B">
        <w:rPr>
          <w:rFonts w:cstheme="minorHAnsi"/>
          <w:iCs/>
          <w:szCs w:val="20"/>
        </w:rPr>
        <w:t xml:space="preserve">. Moreover, </w:t>
      </w:r>
      <w:r>
        <w:rPr>
          <w:rFonts w:cstheme="minorHAnsi"/>
          <w:iCs/>
          <w:szCs w:val="20"/>
        </w:rPr>
        <w:t xml:space="preserve">ESG data is often of poor quality and </w:t>
      </w:r>
      <w:r w:rsidRPr="0031396B">
        <w:rPr>
          <w:rFonts w:cstheme="minorHAnsi"/>
          <w:iCs/>
          <w:szCs w:val="20"/>
        </w:rPr>
        <w:t>not all ESG data providers are transparent about the methodologies and raw underlying data used in their analysis.</w:t>
      </w:r>
      <w:r>
        <w:rPr>
          <w:rFonts w:cstheme="minorHAnsi"/>
          <w:iCs/>
          <w:szCs w:val="20"/>
        </w:rPr>
        <w:t xml:space="preserve"> </w:t>
      </w:r>
      <w:r w:rsidRPr="00937269">
        <w:rPr>
          <w:rFonts w:cstheme="minorHAnsi"/>
          <w:iCs/>
          <w:szCs w:val="20"/>
        </w:rPr>
        <w:t xml:space="preserve">The correlation </w:t>
      </w:r>
      <w:r>
        <w:rPr>
          <w:rFonts w:cstheme="minorHAnsi"/>
          <w:iCs/>
          <w:szCs w:val="20"/>
        </w:rPr>
        <w:t>between</w:t>
      </w:r>
      <w:r w:rsidRPr="00937269">
        <w:rPr>
          <w:rFonts w:cstheme="minorHAnsi"/>
          <w:iCs/>
          <w:szCs w:val="20"/>
        </w:rPr>
        <w:t xml:space="preserve"> data provided by </w:t>
      </w:r>
      <w:r>
        <w:rPr>
          <w:rFonts w:cstheme="minorHAnsi"/>
          <w:iCs/>
          <w:szCs w:val="20"/>
        </w:rPr>
        <w:t xml:space="preserve">different </w:t>
      </w:r>
      <w:r w:rsidRPr="00937269">
        <w:rPr>
          <w:rFonts w:cstheme="minorHAnsi"/>
          <w:iCs/>
          <w:szCs w:val="20"/>
        </w:rPr>
        <w:t xml:space="preserve">ESG data providers is often low. </w:t>
      </w:r>
      <w:r>
        <w:rPr>
          <w:rFonts w:cstheme="minorHAnsi"/>
          <w:iCs/>
          <w:szCs w:val="20"/>
        </w:rPr>
        <w:t xml:space="preserve">Against this background, ensuring comparability disclosures remains challenging. </w:t>
      </w:r>
      <w:r w:rsidRPr="00937269">
        <w:rPr>
          <w:rFonts w:cstheme="minorHAnsi"/>
          <w:iCs/>
          <w:szCs w:val="20"/>
        </w:rPr>
        <w:t>This means that</w:t>
      </w:r>
      <w:r>
        <w:rPr>
          <w:rFonts w:cstheme="minorHAnsi"/>
          <w:iCs/>
          <w:szCs w:val="20"/>
        </w:rPr>
        <w:t xml:space="preserve"> even if</w:t>
      </w:r>
      <w:r w:rsidRPr="00937269">
        <w:rPr>
          <w:rFonts w:cstheme="minorHAnsi"/>
          <w:iCs/>
          <w:szCs w:val="20"/>
        </w:rPr>
        <w:t xml:space="preserve"> reporting under the </w:t>
      </w:r>
      <w:r>
        <w:rPr>
          <w:rFonts w:cstheme="minorHAnsi"/>
          <w:iCs/>
          <w:szCs w:val="20"/>
        </w:rPr>
        <w:t>proposed</w:t>
      </w:r>
      <w:r w:rsidRPr="00937269">
        <w:rPr>
          <w:rFonts w:cstheme="minorHAnsi"/>
          <w:iCs/>
          <w:szCs w:val="20"/>
        </w:rPr>
        <w:t xml:space="preserve"> RTS may seem comparable, </w:t>
      </w:r>
      <w:r>
        <w:rPr>
          <w:rFonts w:cstheme="minorHAnsi"/>
          <w:iCs/>
          <w:szCs w:val="20"/>
        </w:rPr>
        <w:t xml:space="preserve">disclosures will remain very divergent and not comparable depending on the ESG data providers involved in the process. More reliable and streamlined corporate reporting is needed to ensure comparability. </w:t>
      </w:r>
      <w:r w:rsidRPr="00937269">
        <w:rPr>
          <w:rFonts w:cstheme="minorHAnsi"/>
          <w:iCs/>
          <w:szCs w:val="20"/>
        </w:rPr>
        <w:t xml:space="preserve">If corporate reporting would be reliable and comparable, </w:t>
      </w:r>
      <w:r>
        <w:rPr>
          <w:rFonts w:cstheme="minorHAnsi"/>
          <w:iCs/>
          <w:szCs w:val="20"/>
        </w:rPr>
        <w:t>it would be easier for pension funds to</w:t>
      </w:r>
      <w:r w:rsidRPr="00937269">
        <w:rPr>
          <w:rFonts w:cstheme="minorHAnsi"/>
          <w:iCs/>
          <w:szCs w:val="20"/>
        </w:rPr>
        <w:t xml:space="preserve"> meet the proposed requirements and </w:t>
      </w:r>
      <w:r>
        <w:rPr>
          <w:rFonts w:cstheme="minorHAnsi"/>
          <w:iCs/>
          <w:szCs w:val="20"/>
        </w:rPr>
        <w:t>comparability of disclosures</w:t>
      </w:r>
      <w:r w:rsidRPr="00937269">
        <w:rPr>
          <w:rFonts w:cstheme="minorHAnsi"/>
          <w:iCs/>
          <w:szCs w:val="20"/>
        </w:rPr>
        <w:t xml:space="preserve"> would </w:t>
      </w:r>
      <w:r>
        <w:rPr>
          <w:rFonts w:cstheme="minorHAnsi"/>
          <w:iCs/>
          <w:szCs w:val="20"/>
        </w:rPr>
        <w:t>improve</w:t>
      </w:r>
      <w:r w:rsidRPr="00937269">
        <w:rPr>
          <w:rFonts w:cstheme="minorHAnsi"/>
          <w:iCs/>
          <w:szCs w:val="20"/>
        </w:rPr>
        <w:t xml:space="preserve">. However, we are currently a long way off from this situation. The NFRD review may </w:t>
      </w:r>
      <w:r>
        <w:rPr>
          <w:rFonts w:cstheme="minorHAnsi"/>
          <w:iCs/>
          <w:szCs w:val="20"/>
        </w:rPr>
        <w:t>improve the situation</w:t>
      </w:r>
      <w:r w:rsidRPr="00937269">
        <w:rPr>
          <w:rFonts w:cstheme="minorHAnsi"/>
          <w:iCs/>
          <w:szCs w:val="20"/>
        </w:rPr>
        <w:t xml:space="preserve">, but as </w:t>
      </w:r>
      <w:r>
        <w:rPr>
          <w:rFonts w:cstheme="minorHAnsi"/>
          <w:iCs/>
          <w:szCs w:val="20"/>
        </w:rPr>
        <w:t xml:space="preserve">many </w:t>
      </w:r>
      <w:r w:rsidRPr="00937269">
        <w:rPr>
          <w:rFonts w:cstheme="minorHAnsi"/>
          <w:iCs/>
          <w:szCs w:val="20"/>
        </w:rPr>
        <w:t>pension funds are global investors, it will not cover the</w:t>
      </w:r>
      <w:r>
        <w:rPr>
          <w:rFonts w:cstheme="minorHAnsi"/>
          <w:iCs/>
          <w:szCs w:val="20"/>
        </w:rPr>
        <w:t>ir</w:t>
      </w:r>
      <w:r w:rsidRPr="00937269">
        <w:rPr>
          <w:rFonts w:cstheme="minorHAnsi"/>
          <w:iCs/>
          <w:szCs w:val="20"/>
        </w:rPr>
        <w:t xml:space="preserve"> entire portfolio. Besides </w:t>
      </w:r>
      <w:r>
        <w:rPr>
          <w:rFonts w:cstheme="minorHAnsi"/>
          <w:iCs/>
          <w:szCs w:val="20"/>
        </w:rPr>
        <w:t>the</w:t>
      </w:r>
      <w:r w:rsidRPr="00937269">
        <w:rPr>
          <w:rFonts w:cstheme="minorHAnsi"/>
          <w:iCs/>
          <w:szCs w:val="20"/>
        </w:rPr>
        <w:t xml:space="preserve"> geographical scope gap, the NFRD will also not apply to all asset classes. Finally, pension funds will have to comply with the Disclosure Regulation for at least a few years before a revised NFRD will get into force.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A30D7" w14:textId="03F3C803" w:rsidR="00D0178B" w:rsidRDefault="00D0178B" w:rsidP="00D0178B">
      <w:pPr>
        <w:jc w:val="both"/>
        <w:rPr>
          <w:rFonts w:cstheme="minorHAnsi"/>
          <w:iCs/>
          <w:szCs w:val="20"/>
        </w:rPr>
      </w:pPr>
      <w:permStart w:id="1220688604" w:edGrp="everyone"/>
      <w:r w:rsidRPr="009F78E2">
        <w:rPr>
          <w:rFonts w:cstheme="minorHAnsi"/>
          <w:b/>
          <w:bCs/>
          <w:iCs/>
          <w:szCs w:val="20"/>
        </w:rPr>
        <w:t>The reporting template provided in Table 1 of Annex I seems to be very rigid and time consuming</w:t>
      </w:r>
      <w:r>
        <w:rPr>
          <w:rFonts w:cstheme="minorHAnsi"/>
          <w:iCs/>
          <w:szCs w:val="20"/>
        </w:rPr>
        <w:t xml:space="preserve">. </w:t>
      </w:r>
      <w:r w:rsidRPr="008B3DE0">
        <w:rPr>
          <w:rFonts w:cstheme="minorHAnsi"/>
          <w:iCs/>
          <w:szCs w:val="20"/>
        </w:rPr>
        <w:t xml:space="preserve">The </w:t>
      </w:r>
      <w:r>
        <w:rPr>
          <w:rFonts w:cstheme="minorHAnsi"/>
          <w:iCs/>
          <w:szCs w:val="20"/>
        </w:rPr>
        <w:t xml:space="preserve">question of the </w:t>
      </w:r>
      <w:r w:rsidRPr="008B3DE0">
        <w:rPr>
          <w:rFonts w:cstheme="minorHAnsi"/>
          <w:iCs/>
          <w:szCs w:val="20"/>
        </w:rPr>
        <w:t>lay-out of the template itself is</w:t>
      </w:r>
      <w:r>
        <w:rPr>
          <w:rFonts w:cstheme="minorHAnsi"/>
          <w:iCs/>
          <w:szCs w:val="20"/>
        </w:rPr>
        <w:t xml:space="preserve"> related to the </w:t>
      </w:r>
      <w:r w:rsidRPr="008B3DE0">
        <w:rPr>
          <w:rFonts w:cstheme="minorHAnsi"/>
          <w:iCs/>
          <w:szCs w:val="20"/>
        </w:rPr>
        <w:t xml:space="preserve">more important </w:t>
      </w:r>
      <w:r>
        <w:rPr>
          <w:rFonts w:cstheme="minorHAnsi"/>
          <w:iCs/>
          <w:szCs w:val="20"/>
        </w:rPr>
        <w:t xml:space="preserve">questions around the </w:t>
      </w:r>
      <w:r w:rsidRPr="008B3DE0">
        <w:rPr>
          <w:rFonts w:cstheme="minorHAnsi"/>
          <w:iCs/>
          <w:szCs w:val="20"/>
        </w:rPr>
        <w:t>feasibility and availability of data.</w:t>
      </w:r>
    </w:p>
    <w:p w14:paraId="5140A084" w14:textId="77777777" w:rsidR="00D0178B" w:rsidRDefault="00D0178B" w:rsidP="00D0178B">
      <w:pPr>
        <w:jc w:val="both"/>
        <w:rPr>
          <w:rFonts w:cstheme="minorHAnsi"/>
          <w:iCs/>
          <w:szCs w:val="20"/>
        </w:rPr>
      </w:pPr>
    </w:p>
    <w:p w14:paraId="375ABDE6" w14:textId="77777777" w:rsidR="00D0178B" w:rsidRPr="00F17CBE" w:rsidRDefault="00D0178B" w:rsidP="00D0178B">
      <w:pPr>
        <w:jc w:val="both"/>
        <w:rPr>
          <w:rFonts w:cstheme="minorHAnsi"/>
          <w:iCs/>
          <w:szCs w:val="20"/>
        </w:rPr>
      </w:pPr>
      <w:r w:rsidRPr="00F17CBE">
        <w:rPr>
          <w:rFonts w:cstheme="minorHAnsi"/>
          <w:iCs/>
          <w:szCs w:val="20"/>
        </w:rPr>
        <w:t>We would also like to note the requirement to provide the summary of Table 1 in an official language of the Member State, and in English if this language is not customary in the sphere of international finance</w:t>
      </w:r>
      <w:r>
        <w:rPr>
          <w:rFonts w:cstheme="minorHAnsi"/>
          <w:iCs/>
          <w:szCs w:val="20"/>
        </w:rPr>
        <w:t>. While this might be useful if the entity is active across Europe, this is not necessary if the entity is only active in one Member State.</w:t>
      </w:r>
      <w:r w:rsidRPr="00F17CBE">
        <w:rPr>
          <w:rFonts w:cstheme="minorHAnsi"/>
          <w:iCs/>
          <w:szCs w:val="20"/>
        </w:rPr>
        <w:t xml:space="preserve"> </w:t>
      </w:r>
      <w:r>
        <w:rPr>
          <w:rFonts w:cstheme="minorHAnsi"/>
          <w:iCs/>
          <w:szCs w:val="20"/>
        </w:rPr>
        <w:t xml:space="preserve">This requirement also </w:t>
      </w:r>
      <w:r w:rsidRPr="00F17CBE">
        <w:rPr>
          <w:rFonts w:cstheme="minorHAnsi"/>
          <w:iCs/>
          <w:szCs w:val="20"/>
        </w:rPr>
        <w:t xml:space="preserve">increases the efforts </w:t>
      </w:r>
      <w:r>
        <w:rPr>
          <w:rFonts w:cstheme="minorHAnsi"/>
          <w:iCs/>
          <w:szCs w:val="20"/>
        </w:rPr>
        <w:t>FMP</w:t>
      </w:r>
      <w:r w:rsidRPr="00F17CBE">
        <w:rPr>
          <w:rFonts w:cstheme="minorHAnsi"/>
          <w:iCs/>
          <w:szCs w:val="20"/>
        </w:rPr>
        <w:t xml:space="preserve">s need to provide </w:t>
      </w:r>
      <w:proofErr w:type="gramStart"/>
      <w:r w:rsidRPr="00F17CBE">
        <w:rPr>
          <w:rFonts w:cstheme="minorHAnsi"/>
          <w:iCs/>
          <w:szCs w:val="20"/>
        </w:rPr>
        <w:t>in order to</w:t>
      </w:r>
      <w:proofErr w:type="gramEnd"/>
      <w:r w:rsidRPr="00F17CBE">
        <w:rPr>
          <w:rFonts w:cstheme="minorHAnsi"/>
          <w:iCs/>
          <w:szCs w:val="20"/>
        </w:rPr>
        <w:t xml:space="preserve"> comply with the PAI disclosure requirements.</w:t>
      </w:r>
    </w:p>
    <w:p w14:paraId="2F33E125" w14:textId="77777777" w:rsidR="00D0178B" w:rsidRDefault="00D0178B" w:rsidP="00D0178B">
      <w:pPr>
        <w:spacing w:before="124" w:line="249" w:lineRule="auto"/>
        <w:ind w:right="199"/>
        <w:rPr>
          <w:rFonts w:cstheme="minorHAnsi"/>
          <w:bCs/>
          <w:szCs w:val="20"/>
          <w:lang w:val="en-US"/>
        </w:rPr>
      </w:pPr>
      <w:r w:rsidRPr="009F78E2">
        <w:rPr>
          <w:rFonts w:cstheme="minorHAnsi"/>
          <w:b/>
          <w:szCs w:val="20"/>
          <w:lang w:val="en-US"/>
        </w:rPr>
        <w:lastRenderedPageBreak/>
        <w:t>Efficiency and data consistency must be ensured for those cases where more than one FMPs is involved in the investment chain</w:t>
      </w:r>
      <w:r w:rsidRPr="002B5E68">
        <w:rPr>
          <w:rFonts w:cstheme="minorHAnsi"/>
          <w:bCs/>
          <w:szCs w:val="20"/>
          <w:lang w:val="en-US"/>
        </w:rPr>
        <w:t xml:space="preserve">: any duplication of disclosures for the same assets should be avoided. This may be the case if </w:t>
      </w:r>
      <w:proofErr w:type="gramStart"/>
      <w:r w:rsidRPr="002B5E68">
        <w:rPr>
          <w:rFonts w:cstheme="minorHAnsi"/>
          <w:bCs/>
          <w:szCs w:val="20"/>
          <w:lang w:val="en-US"/>
        </w:rPr>
        <w:t>a</w:t>
      </w:r>
      <w:proofErr w:type="gramEnd"/>
      <w:r w:rsidRPr="002B5E68">
        <w:rPr>
          <w:rFonts w:cstheme="minorHAnsi"/>
          <w:bCs/>
          <w:szCs w:val="20"/>
          <w:lang w:val="en-US"/>
        </w:rPr>
        <w:t xml:space="preserve"> </w:t>
      </w:r>
      <w:r>
        <w:rPr>
          <w:rFonts w:cstheme="minorHAnsi"/>
          <w:bCs/>
          <w:szCs w:val="20"/>
          <w:lang w:val="en-US"/>
        </w:rPr>
        <w:t>FMP</w:t>
      </w:r>
      <w:r w:rsidRPr="002B5E68">
        <w:rPr>
          <w:rFonts w:cstheme="minorHAnsi"/>
          <w:bCs/>
          <w:szCs w:val="20"/>
          <w:lang w:val="en-US"/>
        </w:rPr>
        <w:t xml:space="preserve"> such as a pension fund invests indirectly via an investment fund or an asset manager. For that purpose, it should be clarified in the recitals of the draft RTS that the “first” or more immediate </w:t>
      </w:r>
      <w:r>
        <w:rPr>
          <w:rFonts w:cstheme="minorHAnsi"/>
          <w:bCs/>
          <w:szCs w:val="20"/>
          <w:lang w:val="en-US"/>
        </w:rPr>
        <w:t>FMP</w:t>
      </w:r>
      <w:r w:rsidRPr="002B5E68">
        <w:rPr>
          <w:rFonts w:cstheme="minorHAnsi"/>
          <w:bCs/>
          <w:szCs w:val="20"/>
          <w:lang w:val="en-US"/>
        </w:rPr>
        <w:t xml:space="preserve"> in the investment chain must have the original obligation to collect data and to provide the information to other </w:t>
      </w:r>
      <w:r>
        <w:rPr>
          <w:rFonts w:cstheme="minorHAnsi"/>
          <w:bCs/>
          <w:szCs w:val="20"/>
          <w:lang w:val="en-US"/>
        </w:rPr>
        <w:t>FMPs</w:t>
      </w:r>
      <w:r w:rsidRPr="002B5E68">
        <w:rPr>
          <w:rFonts w:cstheme="minorHAnsi"/>
          <w:bCs/>
          <w:szCs w:val="20"/>
          <w:lang w:val="en-US"/>
        </w:rPr>
        <w:t xml:space="preserve"> involved in the same investment chain. The RTS should take account of customer-service provider relationships among </w:t>
      </w:r>
      <w:r>
        <w:rPr>
          <w:rFonts w:cstheme="minorHAnsi"/>
          <w:bCs/>
          <w:szCs w:val="20"/>
          <w:lang w:val="en-US"/>
        </w:rPr>
        <w:t>FMPs</w:t>
      </w:r>
      <w:r w:rsidRPr="002B5E68">
        <w:rPr>
          <w:rFonts w:cstheme="minorHAnsi"/>
          <w:bCs/>
          <w:szCs w:val="20"/>
          <w:lang w:val="en-US"/>
        </w:rPr>
        <w:t xml:space="preserve"> and ensures that unnecessary duplication is avoided. Pension funds and other “indirect” investors must receive the information in a timely manner and in an appropriate form so that they can meet the requirements themselves.</w:t>
      </w:r>
      <w:r>
        <w:rPr>
          <w:rFonts w:cstheme="minorHAnsi"/>
          <w:bCs/>
          <w:szCs w:val="20"/>
          <w:lang w:val="en-US"/>
        </w:rPr>
        <w:t xml:space="preserve"> </w:t>
      </w:r>
    </w:p>
    <w:p w14:paraId="784D9858" w14:textId="0095759E" w:rsidR="003E573C" w:rsidRPr="00D0178B" w:rsidRDefault="00D0178B" w:rsidP="00D0178B">
      <w:pPr>
        <w:spacing w:before="124" w:line="249" w:lineRule="auto"/>
        <w:ind w:right="199"/>
        <w:rPr>
          <w:rFonts w:cstheme="minorHAnsi"/>
          <w:bCs/>
          <w:szCs w:val="20"/>
          <w:lang w:val="en-US"/>
        </w:rPr>
      </w:pPr>
      <w:r w:rsidRPr="00CA396D">
        <w:rPr>
          <w:rFonts w:cstheme="minorHAnsi"/>
          <w:bCs/>
          <w:szCs w:val="20"/>
          <w:lang w:val="en-US"/>
        </w:rPr>
        <w:t xml:space="preserve">We </w:t>
      </w:r>
      <w:r>
        <w:rPr>
          <w:rFonts w:cstheme="minorHAnsi"/>
          <w:bCs/>
          <w:szCs w:val="20"/>
          <w:lang w:val="en-US"/>
        </w:rPr>
        <w:t xml:space="preserve">would also like to stress that in the case of mandates, </w:t>
      </w:r>
      <w:r w:rsidRPr="009F78E2">
        <w:rPr>
          <w:rFonts w:cstheme="minorHAnsi"/>
          <w:b/>
          <w:szCs w:val="20"/>
          <w:lang w:val="en-US"/>
        </w:rPr>
        <w:t>when asset managers provide customised management of pension funds’ assets, transparency is between pension funds and their asset managers and confidentiality is of primary importance.</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1D3D1C91" w14:textId="77777777" w:rsidR="00D0178B" w:rsidRPr="00F7519D" w:rsidRDefault="00D0178B" w:rsidP="00D0178B">
      <w:pPr>
        <w:jc w:val="both"/>
        <w:rPr>
          <w:rFonts w:cstheme="minorHAnsi"/>
          <w:iCs/>
          <w:szCs w:val="20"/>
        </w:rPr>
      </w:pPr>
      <w:permStart w:id="209390932" w:edGrp="everyone"/>
      <w:r w:rsidRPr="00F7519D">
        <w:rPr>
          <w:rFonts w:cstheme="minorHAnsi"/>
          <w:iCs/>
          <w:szCs w:val="20"/>
        </w:rPr>
        <w:t xml:space="preserve">As </w:t>
      </w:r>
      <w:r>
        <w:rPr>
          <w:rFonts w:cstheme="minorHAnsi"/>
          <w:iCs/>
          <w:szCs w:val="20"/>
        </w:rPr>
        <w:t>explained in our answer to the previous questions</w:t>
      </w:r>
      <w:r w:rsidRPr="00F7519D">
        <w:rPr>
          <w:rFonts w:cstheme="minorHAnsi"/>
          <w:iCs/>
          <w:szCs w:val="20"/>
        </w:rPr>
        <w:t xml:space="preserve">, </w:t>
      </w:r>
      <w:r w:rsidRPr="009F78E2">
        <w:rPr>
          <w:rFonts w:cstheme="minorHAnsi"/>
          <w:b/>
          <w:bCs/>
          <w:iCs/>
          <w:szCs w:val="20"/>
        </w:rPr>
        <w:t>ESG data on investee companies necessary to produce most PAI indicators is currently not available.</w:t>
      </w:r>
      <w:r w:rsidRPr="00F7519D">
        <w:rPr>
          <w:rFonts w:cstheme="minorHAnsi"/>
          <w:iCs/>
          <w:szCs w:val="20"/>
        </w:rPr>
        <w:t xml:space="preserve"> If new systems are set up and companies develop their disclosure further, this should be done in a way which leads to the most useful data to foster the transition.</w:t>
      </w:r>
    </w:p>
    <w:p w14:paraId="4C7D9C2D" w14:textId="77777777" w:rsidR="00D0178B" w:rsidRDefault="00D0178B" w:rsidP="00D0178B">
      <w:pPr>
        <w:jc w:val="both"/>
        <w:rPr>
          <w:rFonts w:cstheme="minorHAnsi"/>
          <w:iCs/>
          <w:szCs w:val="20"/>
        </w:rPr>
      </w:pPr>
    </w:p>
    <w:p w14:paraId="09DD385A" w14:textId="77777777" w:rsidR="00D0178B" w:rsidRDefault="00D0178B" w:rsidP="00D0178B">
      <w:pPr>
        <w:jc w:val="both"/>
        <w:rPr>
          <w:rFonts w:cstheme="minorHAnsi"/>
          <w:iCs/>
          <w:szCs w:val="20"/>
        </w:rPr>
      </w:pPr>
      <w:r w:rsidRPr="009F78E2">
        <w:rPr>
          <w:rFonts w:cstheme="minorHAnsi"/>
          <w:b/>
          <w:bCs/>
          <w:iCs/>
          <w:szCs w:val="20"/>
        </w:rPr>
        <w:t>We see merits in including forward looking indicators</w:t>
      </w:r>
      <w:r>
        <w:rPr>
          <w:rFonts w:cstheme="minorHAnsi"/>
          <w:iCs/>
          <w:szCs w:val="20"/>
        </w:rPr>
        <w:t xml:space="preserve"> for the purpose of principal adverse impacts disclosures under article 4, </w:t>
      </w:r>
      <w:proofErr w:type="gramStart"/>
      <w:r>
        <w:rPr>
          <w:rFonts w:cstheme="minorHAnsi"/>
          <w:iCs/>
          <w:szCs w:val="20"/>
        </w:rPr>
        <w:t>in order to</w:t>
      </w:r>
      <w:proofErr w:type="gramEnd"/>
      <w:r>
        <w:rPr>
          <w:rFonts w:cstheme="minorHAnsi"/>
          <w:iCs/>
          <w:szCs w:val="20"/>
        </w:rPr>
        <w:t xml:space="preserve"> ensure that the new framework adequately fosters the transition. Rather </w:t>
      </w:r>
      <w:r w:rsidRPr="00F7519D">
        <w:rPr>
          <w:rFonts w:cstheme="minorHAnsi"/>
          <w:iCs/>
          <w:szCs w:val="20"/>
        </w:rPr>
        <w:t xml:space="preserve">than </w:t>
      </w:r>
      <w:r>
        <w:rPr>
          <w:rFonts w:cstheme="minorHAnsi"/>
          <w:iCs/>
          <w:szCs w:val="20"/>
        </w:rPr>
        <w:t>providing information on for example c</w:t>
      </w:r>
      <w:r w:rsidRPr="00F7519D">
        <w:rPr>
          <w:rFonts w:cstheme="minorHAnsi"/>
          <w:iCs/>
          <w:szCs w:val="20"/>
        </w:rPr>
        <w:t>arbon emission</w:t>
      </w:r>
      <w:r>
        <w:rPr>
          <w:rFonts w:cstheme="minorHAnsi"/>
          <w:iCs/>
          <w:szCs w:val="20"/>
        </w:rPr>
        <w:t>s</w:t>
      </w:r>
      <w:r w:rsidRPr="00F7519D">
        <w:rPr>
          <w:rFonts w:cstheme="minorHAnsi"/>
          <w:iCs/>
          <w:szCs w:val="20"/>
        </w:rPr>
        <w:t xml:space="preserve"> over the past decade, forward</w:t>
      </w:r>
      <w:r>
        <w:rPr>
          <w:rFonts w:cstheme="minorHAnsi"/>
          <w:iCs/>
          <w:szCs w:val="20"/>
        </w:rPr>
        <w:t>-</w:t>
      </w:r>
      <w:r w:rsidRPr="00F7519D">
        <w:rPr>
          <w:rFonts w:cstheme="minorHAnsi"/>
          <w:iCs/>
          <w:szCs w:val="20"/>
        </w:rPr>
        <w:t xml:space="preserve">looking </w:t>
      </w:r>
      <w:r>
        <w:rPr>
          <w:rFonts w:cstheme="minorHAnsi"/>
          <w:iCs/>
          <w:szCs w:val="20"/>
        </w:rPr>
        <w:t>indicators including information on the emission reduction pathways</w:t>
      </w:r>
      <w:r w:rsidRPr="00F7519D">
        <w:rPr>
          <w:rFonts w:cstheme="minorHAnsi"/>
          <w:iCs/>
          <w:szCs w:val="20"/>
        </w:rPr>
        <w:t xml:space="preserve"> would be </w:t>
      </w:r>
      <w:r>
        <w:rPr>
          <w:rFonts w:cstheme="minorHAnsi"/>
          <w:iCs/>
          <w:szCs w:val="20"/>
        </w:rPr>
        <w:t>more appropriate and should respond to several questions such as:</w:t>
      </w:r>
      <w:r w:rsidRPr="00F7519D">
        <w:rPr>
          <w:rFonts w:cstheme="minorHAnsi"/>
          <w:iCs/>
          <w:szCs w:val="20"/>
        </w:rPr>
        <w:t xml:space="preserve"> </w:t>
      </w:r>
    </w:p>
    <w:p w14:paraId="06C78B8C" w14:textId="77777777" w:rsidR="00D0178B" w:rsidRDefault="00D0178B" w:rsidP="00D0178B">
      <w:pPr>
        <w:jc w:val="both"/>
        <w:rPr>
          <w:rFonts w:cstheme="minorHAnsi"/>
          <w:iCs/>
          <w:szCs w:val="20"/>
        </w:rPr>
      </w:pPr>
      <w:r w:rsidRPr="00F7519D">
        <w:rPr>
          <w:rFonts w:cstheme="minorHAnsi"/>
          <w:iCs/>
          <w:szCs w:val="20"/>
        </w:rPr>
        <w:t>Does the</w:t>
      </w:r>
      <w:r>
        <w:rPr>
          <w:rFonts w:cstheme="minorHAnsi"/>
          <w:iCs/>
          <w:szCs w:val="20"/>
        </w:rPr>
        <w:t xml:space="preserve"> </w:t>
      </w:r>
      <w:r w:rsidRPr="00F7519D">
        <w:rPr>
          <w:rFonts w:cstheme="minorHAnsi"/>
          <w:iCs/>
          <w:szCs w:val="20"/>
        </w:rPr>
        <w:t xml:space="preserve">company have a climate strategy? </w:t>
      </w:r>
    </w:p>
    <w:p w14:paraId="30412BD6" w14:textId="77777777" w:rsidR="00D0178B" w:rsidRDefault="00D0178B" w:rsidP="00D0178B">
      <w:pPr>
        <w:jc w:val="both"/>
        <w:rPr>
          <w:rFonts w:cstheme="minorHAnsi"/>
          <w:iCs/>
          <w:szCs w:val="20"/>
        </w:rPr>
      </w:pPr>
      <w:r>
        <w:rPr>
          <w:rFonts w:cstheme="minorHAnsi"/>
          <w:iCs/>
          <w:szCs w:val="20"/>
        </w:rPr>
        <w:t>Is this strategy aligned with</w:t>
      </w:r>
      <w:r w:rsidRPr="00F7519D">
        <w:rPr>
          <w:rFonts w:cstheme="minorHAnsi"/>
          <w:iCs/>
          <w:szCs w:val="20"/>
        </w:rPr>
        <w:t xml:space="preserve"> the Paris Agreement? </w:t>
      </w:r>
    </w:p>
    <w:p w14:paraId="4F3B9080" w14:textId="77777777" w:rsidR="00D0178B" w:rsidRDefault="00D0178B" w:rsidP="00D0178B">
      <w:pPr>
        <w:jc w:val="both"/>
        <w:rPr>
          <w:rFonts w:cstheme="minorHAnsi"/>
          <w:iCs/>
          <w:szCs w:val="20"/>
        </w:rPr>
      </w:pPr>
      <w:r w:rsidRPr="00F7519D">
        <w:rPr>
          <w:rFonts w:cstheme="minorHAnsi"/>
          <w:iCs/>
          <w:szCs w:val="20"/>
        </w:rPr>
        <w:t xml:space="preserve">Is the management able to </w:t>
      </w:r>
      <w:r>
        <w:rPr>
          <w:rFonts w:cstheme="minorHAnsi"/>
          <w:iCs/>
          <w:szCs w:val="20"/>
        </w:rPr>
        <w:t>pursue</w:t>
      </w:r>
      <w:r w:rsidRPr="00F7519D">
        <w:rPr>
          <w:rFonts w:cstheme="minorHAnsi"/>
          <w:iCs/>
          <w:szCs w:val="20"/>
        </w:rPr>
        <w:t xml:space="preserve"> their strategy and the company technologically equipped</w:t>
      </w:r>
      <w:r>
        <w:rPr>
          <w:rFonts w:cstheme="minorHAnsi"/>
          <w:iCs/>
          <w:szCs w:val="20"/>
        </w:rPr>
        <w:t xml:space="preserve"> for that purpose</w:t>
      </w:r>
      <w:r w:rsidRPr="00F7519D">
        <w:rPr>
          <w:rFonts w:cstheme="minorHAnsi"/>
          <w:iCs/>
          <w:szCs w:val="20"/>
        </w:rPr>
        <w:t>?</w:t>
      </w:r>
    </w:p>
    <w:p w14:paraId="3B235D96" w14:textId="77777777" w:rsidR="00D0178B" w:rsidRDefault="00D0178B" w:rsidP="00D0178B">
      <w:pPr>
        <w:jc w:val="both"/>
        <w:rPr>
          <w:rFonts w:cstheme="minorHAnsi"/>
          <w:iCs/>
          <w:szCs w:val="20"/>
        </w:rPr>
      </w:pPr>
    </w:p>
    <w:p w14:paraId="56CA0A39" w14:textId="77777777" w:rsidR="00D0178B" w:rsidRDefault="00D0178B" w:rsidP="00D0178B">
      <w:pPr>
        <w:jc w:val="both"/>
        <w:rPr>
          <w:rFonts w:cstheme="minorHAnsi"/>
          <w:iCs/>
          <w:szCs w:val="20"/>
        </w:rPr>
      </w:pPr>
      <w:r>
        <w:rPr>
          <w:rFonts w:cstheme="minorHAnsi"/>
          <w:iCs/>
          <w:szCs w:val="20"/>
        </w:rPr>
        <w:t xml:space="preserve">In </w:t>
      </w:r>
      <w:proofErr w:type="gramStart"/>
      <w:r>
        <w:rPr>
          <w:rFonts w:cstheme="minorHAnsi"/>
          <w:iCs/>
          <w:szCs w:val="20"/>
        </w:rPr>
        <w:t>general</w:t>
      </w:r>
      <w:proofErr w:type="gramEnd"/>
      <w:r>
        <w:rPr>
          <w:rFonts w:cstheme="minorHAnsi"/>
          <w:iCs/>
          <w:szCs w:val="20"/>
        </w:rPr>
        <w:t xml:space="preserve"> we would suggest the adoption of a transition period, which would give the industry sufficient time to develop reporting standards and improve data quality.  </w:t>
      </w:r>
    </w:p>
    <w:p w14:paraId="1FF71888" w14:textId="77777777" w:rsidR="00D0178B" w:rsidRDefault="00D0178B" w:rsidP="00D0178B">
      <w:pPr>
        <w:jc w:val="both"/>
        <w:rPr>
          <w:rFonts w:cstheme="minorHAnsi"/>
          <w:iCs/>
          <w:szCs w:val="20"/>
        </w:rPr>
      </w:pPr>
    </w:p>
    <w:p w14:paraId="6574DB7E" w14:textId="77777777" w:rsidR="00D0178B" w:rsidRPr="006934EB" w:rsidRDefault="00D0178B" w:rsidP="00D0178B">
      <w:pPr>
        <w:jc w:val="both"/>
        <w:rPr>
          <w:rFonts w:cstheme="minorHAnsi"/>
          <w:iCs/>
          <w:szCs w:val="20"/>
        </w:rPr>
      </w:pPr>
      <w:r>
        <w:rPr>
          <w:rFonts w:cstheme="minorHAnsi"/>
          <w:iCs/>
          <w:szCs w:val="20"/>
        </w:rPr>
        <w:t>The principal adverse impacts disclosures should require fewer indicators than the proposed list of 32 indicators, but the chosen indicators should accurately reflect the situation. I</w:t>
      </w:r>
      <w:r w:rsidRPr="00F7519D">
        <w:rPr>
          <w:rFonts w:cstheme="minorHAnsi"/>
          <w:iCs/>
          <w:szCs w:val="20"/>
        </w:rPr>
        <w:t xml:space="preserve">ndicators </w:t>
      </w:r>
      <w:r>
        <w:rPr>
          <w:rFonts w:cstheme="minorHAnsi"/>
          <w:iCs/>
          <w:szCs w:val="20"/>
        </w:rPr>
        <w:t>will also</w:t>
      </w:r>
      <w:r w:rsidRPr="00F7519D">
        <w:rPr>
          <w:rFonts w:cstheme="minorHAnsi"/>
          <w:iCs/>
          <w:szCs w:val="20"/>
        </w:rPr>
        <w:t xml:space="preserve"> have to be </w:t>
      </w:r>
      <w:r>
        <w:rPr>
          <w:rFonts w:cstheme="minorHAnsi"/>
          <w:iCs/>
          <w:szCs w:val="20"/>
        </w:rPr>
        <w:t xml:space="preserve">assessed </w:t>
      </w:r>
      <w:r w:rsidRPr="00F7519D">
        <w:rPr>
          <w:rFonts w:cstheme="minorHAnsi"/>
          <w:iCs/>
          <w:szCs w:val="20"/>
        </w:rPr>
        <w:t>as to whether they are business sensitive.</w:t>
      </w:r>
    </w:p>
    <w:p w14:paraId="4F15528E" w14:textId="77777777" w:rsidR="00D0178B" w:rsidRDefault="00D0178B" w:rsidP="00D0178B">
      <w:pPr>
        <w:jc w:val="both"/>
        <w:rPr>
          <w:rFonts w:cstheme="minorHAnsi"/>
          <w:iCs/>
          <w:szCs w:val="20"/>
        </w:rPr>
      </w:pPr>
    </w:p>
    <w:p w14:paraId="000CED01" w14:textId="77777777" w:rsidR="00D0178B" w:rsidRPr="006934EB" w:rsidRDefault="00D0178B" w:rsidP="00D0178B">
      <w:pPr>
        <w:jc w:val="both"/>
        <w:rPr>
          <w:rFonts w:cstheme="minorHAnsi"/>
          <w:iCs/>
          <w:szCs w:val="20"/>
        </w:rPr>
      </w:pPr>
      <w:r>
        <w:rPr>
          <w:rFonts w:cstheme="minorHAnsi"/>
          <w:iCs/>
          <w:szCs w:val="20"/>
        </w:rPr>
        <w:t>We understand t</w:t>
      </w:r>
      <w:r w:rsidRPr="006934EB">
        <w:rPr>
          <w:rFonts w:cstheme="minorHAnsi"/>
          <w:iCs/>
          <w:szCs w:val="20"/>
        </w:rPr>
        <w:t>he share of the portfolio covered under Table 1 is not being disclosed</w:t>
      </w:r>
      <w:r>
        <w:rPr>
          <w:rFonts w:cstheme="minorHAnsi"/>
          <w:iCs/>
          <w:szCs w:val="20"/>
        </w:rPr>
        <w:t xml:space="preserve"> although this would be a relevant information that needs to be disclosed. </w:t>
      </w:r>
    </w:p>
    <w:p w14:paraId="0AECE38F" w14:textId="77777777" w:rsidR="00D0178B" w:rsidRDefault="00D0178B" w:rsidP="00D0178B">
      <w:pPr>
        <w:jc w:val="both"/>
        <w:rPr>
          <w:rFonts w:cstheme="minorHAnsi"/>
          <w:iCs/>
          <w:szCs w:val="20"/>
        </w:rPr>
      </w:pPr>
    </w:p>
    <w:p w14:paraId="3CE28E29" w14:textId="77777777" w:rsidR="00D0178B" w:rsidRPr="00642DFE" w:rsidRDefault="00D0178B" w:rsidP="00D0178B">
      <w:pPr>
        <w:rPr>
          <w:szCs w:val="20"/>
          <w:lang w:val="en-US"/>
        </w:rPr>
      </w:pPr>
      <w:r w:rsidRPr="00642DFE">
        <w:rPr>
          <w:szCs w:val="20"/>
          <w:lang w:val="en-US"/>
        </w:rPr>
        <w:t xml:space="preserve">More specifically, we have </w:t>
      </w:r>
      <w:r>
        <w:rPr>
          <w:szCs w:val="20"/>
          <w:lang w:val="en-US"/>
        </w:rPr>
        <w:t xml:space="preserve">the </w:t>
      </w:r>
      <w:r w:rsidRPr="00642DFE">
        <w:rPr>
          <w:szCs w:val="20"/>
          <w:lang w:val="en-US"/>
        </w:rPr>
        <w:t>following feedback on individual indicators:</w:t>
      </w:r>
    </w:p>
    <w:p w14:paraId="5A749EA4" w14:textId="77777777" w:rsidR="00D0178B" w:rsidRPr="00642DFE" w:rsidRDefault="00D0178B" w:rsidP="00D0178B">
      <w:pPr>
        <w:rPr>
          <w:szCs w:val="20"/>
          <w:lang w:val="en-US"/>
        </w:rPr>
      </w:pPr>
    </w:p>
    <w:p w14:paraId="46F6E8D9" w14:textId="77777777" w:rsidR="00D0178B" w:rsidRPr="00642DFE" w:rsidRDefault="00D0178B" w:rsidP="00D0178B">
      <w:pPr>
        <w:pStyle w:val="ListParagraph"/>
        <w:numPr>
          <w:ilvl w:val="0"/>
          <w:numId w:val="43"/>
        </w:numPr>
        <w:spacing w:line="264" w:lineRule="auto"/>
        <w:rPr>
          <w:szCs w:val="20"/>
          <w:lang w:val="en-US"/>
        </w:rPr>
      </w:pPr>
      <w:r w:rsidRPr="00642DFE">
        <w:rPr>
          <w:b/>
          <w:bCs/>
          <w:szCs w:val="20"/>
          <w:lang w:val="en-US"/>
        </w:rPr>
        <w:t>Indicators 1-</w:t>
      </w:r>
      <w:proofErr w:type="gramStart"/>
      <w:r w:rsidRPr="00642DFE">
        <w:rPr>
          <w:b/>
          <w:bCs/>
          <w:szCs w:val="20"/>
          <w:lang w:val="en-US"/>
        </w:rPr>
        <w:t>4  (</w:t>
      </w:r>
      <w:proofErr w:type="gramEnd"/>
      <w:r>
        <w:rPr>
          <w:b/>
          <w:bCs/>
          <w:szCs w:val="20"/>
          <w:lang w:val="en-US"/>
        </w:rPr>
        <w:t>greenhouse gas emission</w:t>
      </w:r>
      <w:r w:rsidRPr="00642DFE">
        <w:rPr>
          <w:b/>
          <w:bCs/>
          <w:szCs w:val="20"/>
          <w:lang w:val="en-US"/>
        </w:rPr>
        <w:t>)</w:t>
      </w:r>
      <w:r w:rsidRPr="00642DFE">
        <w:rPr>
          <w:szCs w:val="20"/>
          <w:lang w:val="en-US"/>
        </w:rPr>
        <w:t xml:space="preserve"> are relevant but there is not much (reliable) scope 3 emissions data. The reporting of scope 3 emissions is currently undesirable as data remains of low quality and low comparability across data providers (research shows close to no correlation between scope 3 data sets). Down the road we however believe that the reporting of scope 3 emissions might be desirable, but only for specific sectors where these are most material. The first indicator, “total carbon emissions” does not include any information about the sectors invested in. This means that a portfolio investing in equities of e.g. banks or other service providers will score </w:t>
      </w:r>
      <w:r w:rsidRPr="00642DFE">
        <w:rPr>
          <w:szCs w:val="20"/>
          <w:lang w:val="en-US"/>
        </w:rPr>
        <w:lastRenderedPageBreak/>
        <w:t>much lower than a portfolio investing in more energy intensive activities, even though investors can have a greater impact in fostering the green transition investing in the energy sector.</w:t>
      </w:r>
    </w:p>
    <w:p w14:paraId="094F9C8F" w14:textId="77777777" w:rsidR="00D0178B" w:rsidRPr="00642DFE" w:rsidRDefault="00D0178B" w:rsidP="00D0178B">
      <w:pPr>
        <w:pStyle w:val="ListParagraph"/>
        <w:numPr>
          <w:ilvl w:val="0"/>
          <w:numId w:val="43"/>
        </w:numPr>
        <w:spacing w:line="264" w:lineRule="auto"/>
        <w:rPr>
          <w:szCs w:val="20"/>
          <w:lang w:val="en-US"/>
        </w:rPr>
      </w:pPr>
      <w:r w:rsidRPr="00642DFE">
        <w:rPr>
          <w:szCs w:val="20"/>
          <w:lang w:val="en-US"/>
        </w:rPr>
        <w:t>Regarding the proposed greenhouse gas emissions indicator, if this needs to be reported for each portfolio holding, we expect to run into contractual challenges since company-specific emissions data remains the property of the provider from whom the data is sourced. We do not believe it would be possible to disclose holding-specific information for the whole portfolio.</w:t>
      </w:r>
    </w:p>
    <w:p w14:paraId="4E35D79D" w14:textId="77777777" w:rsidR="00D0178B" w:rsidRPr="00642DFE" w:rsidRDefault="00D0178B" w:rsidP="00D0178B">
      <w:pPr>
        <w:pStyle w:val="ListParagraph"/>
        <w:numPr>
          <w:ilvl w:val="0"/>
          <w:numId w:val="43"/>
        </w:numPr>
        <w:spacing w:line="264" w:lineRule="auto"/>
        <w:rPr>
          <w:szCs w:val="20"/>
          <w:lang w:val="en-US"/>
        </w:rPr>
      </w:pPr>
      <w:r w:rsidRPr="00642DFE">
        <w:rPr>
          <w:b/>
          <w:bCs/>
          <w:szCs w:val="20"/>
          <w:lang w:val="en-US"/>
        </w:rPr>
        <w:t>Indicators 5-7</w:t>
      </w:r>
      <w:r w:rsidRPr="00642DFE">
        <w:rPr>
          <w:szCs w:val="20"/>
          <w:lang w:val="en-US"/>
        </w:rPr>
        <w:t xml:space="preserve"> (energy consumption and CO2): although </w:t>
      </w:r>
      <w:r>
        <w:rPr>
          <w:szCs w:val="20"/>
          <w:lang w:val="en-US"/>
        </w:rPr>
        <w:t xml:space="preserve">these indicators are </w:t>
      </w:r>
      <w:r w:rsidRPr="00642DFE">
        <w:rPr>
          <w:szCs w:val="20"/>
          <w:lang w:val="en-US"/>
        </w:rPr>
        <w:t>relevant</w:t>
      </w:r>
      <w:r>
        <w:rPr>
          <w:szCs w:val="20"/>
          <w:lang w:val="en-US"/>
        </w:rPr>
        <w:t>,</w:t>
      </w:r>
      <w:r w:rsidRPr="00642DFE">
        <w:rPr>
          <w:szCs w:val="20"/>
          <w:lang w:val="en-US"/>
        </w:rPr>
        <w:t xml:space="preserve"> there is an overlap with previous indicators. </w:t>
      </w:r>
      <w:r>
        <w:rPr>
          <w:szCs w:val="20"/>
          <w:lang w:val="en-US"/>
        </w:rPr>
        <w:t>Few</w:t>
      </w:r>
      <w:r w:rsidRPr="00642DFE">
        <w:rPr>
          <w:szCs w:val="20"/>
          <w:lang w:val="en-US"/>
        </w:rPr>
        <w:t xml:space="preserve"> companies disclose on these indicators or have energy consumption data per NACE sector. There is limited benefit next to existing and </w:t>
      </w:r>
      <w:proofErr w:type="gramStart"/>
      <w:r w:rsidRPr="00642DFE">
        <w:rPr>
          <w:szCs w:val="20"/>
          <w:lang w:val="en-US"/>
        </w:rPr>
        <w:t>forward looking</w:t>
      </w:r>
      <w:proofErr w:type="gramEnd"/>
      <w:r w:rsidRPr="00642DFE">
        <w:rPr>
          <w:szCs w:val="20"/>
          <w:lang w:val="en-US"/>
        </w:rPr>
        <w:t xml:space="preserve"> CO2 disclosures. </w:t>
      </w:r>
    </w:p>
    <w:p w14:paraId="029D8EAF" w14:textId="77777777" w:rsidR="00D0178B" w:rsidRPr="00642DFE" w:rsidRDefault="00D0178B" w:rsidP="00D0178B">
      <w:pPr>
        <w:pStyle w:val="ListParagraph"/>
        <w:numPr>
          <w:ilvl w:val="0"/>
          <w:numId w:val="43"/>
        </w:numPr>
        <w:spacing w:line="264" w:lineRule="auto"/>
        <w:rPr>
          <w:szCs w:val="20"/>
          <w:lang w:val="en-US"/>
        </w:rPr>
      </w:pPr>
      <w:r w:rsidRPr="00642DFE">
        <w:rPr>
          <w:b/>
          <w:bCs/>
          <w:szCs w:val="20"/>
          <w:lang w:val="en-US"/>
        </w:rPr>
        <w:t>Indicator 8:</w:t>
      </w:r>
      <w:r w:rsidRPr="00642DFE">
        <w:rPr>
          <w:szCs w:val="20"/>
          <w:lang w:val="en-US"/>
        </w:rPr>
        <w:t xml:space="preserve"> </w:t>
      </w:r>
      <w:r w:rsidRPr="00655290">
        <w:rPr>
          <w:b/>
          <w:bCs/>
          <w:szCs w:val="20"/>
          <w:lang w:val="en-US"/>
        </w:rPr>
        <w:t>Energy consumption of investee companies</w:t>
      </w:r>
      <w:r w:rsidRPr="00642DFE">
        <w:rPr>
          <w:szCs w:val="20"/>
          <w:lang w:val="en-US"/>
        </w:rPr>
        <w:t xml:space="preserve"> per million EUR of revenue of those companies (in GWh), expressed as a weighted average. This indicator seems to make no distinction between different sectors (those that are energy intensive and those that are not), the uses of energy and the sources of energy. We are not sure what useful information this indicator is intending to show or the adverse impacts that it is supposed to substantiate or underline</w:t>
      </w:r>
      <w:r>
        <w:rPr>
          <w:szCs w:val="20"/>
          <w:lang w:val="en-US"/>
        </w:rPr>
        <w:t xml:space="preserve"> unless it is compared to a benchmark of its peers.</w:t>
      </w:r>
    </w:p>
    <w:p w14:paraId="71779195" w14:textId="77777777" w:rsidR="00D0178B" w:rsidRPr="00642DFE" w:rsidRDefault="00D0178B" w:rsidP="00D0178B">
      <w:pPr>
        <w:pStyle w:val="ListParagraph"/>
        <w:numPr>
          <w:ilvl w:val="0"/>
          <w:numId w:val="44"/>
        </w:numPr>
        <w:spacing w:line="264" w:lineRule="auto"/>
        <w:rPr>
          <w:szCs w:val="20"/>
          <w:lang w:val="en-US"/>
        </w:rPr>
      </w:pPr>
      <w:r w:rsidRPr="00642DFE">
        <w:rPr>
          <w:b/>
          <w:bCs/>
          <w:szCs w:val="20"/>
          <w:lang w:val="en-US"/>
        </w:rPr>
        <w:t>Indicators 9-</w:t>
      </w:r>
      <w:r w:rsidRPr="00655290">
        <w:rPr>
          <w:b/>
          <w:bCs/>
          <w:szCs w:val="20"/>
          <w:lang w:val="en-US"/>
        </w:rPr>
        <w:t>11 (biodiversity &amp; ecosystem):</w:t>
      </w:r>
      <w:r w:rsidRPr="00642DFE">
        <w:rPr>
          <w:szCs w:val="20"/>
          <w:lang w:val="en-US"/>
        </w:rPr>
        <w:t xml:space="preserve"> data is not available and if it is available</w:t>
      </w:r>
      <w:r>
        <w:rPr>
          <w:szCs w:val="20"/>
          <w:lang w:val="en-US"/>
        </w:rPr>
        <w:t>,</w:t>
      </w:r>
      <w:r w:rsidRPr="00642DFE">
        <w:rPr>
          <w:szCs w:val="20"/>
          <w:lang w:val="en-US"/>
        </w:rPr>
        <w:t xml:space="preserve"> it is general info. In addition, deforestation (11) is only relevant for some investment and is not useful in all cases.  It makes no distinction between companies/sectors for which deforestation is a material </w:t>
      </w:r>
      <w:proofErr w:type="gramStart"/>
      <w:r w:rsidRPr="00642DFE">
        <w:rPr>
          <w:szCs w:val="20"/>
          <w:lang w:val="en-US"/>
        </w:rPr>
        <w:t>issues</w:t>
      </w:r>
      <w:proofErr w:type="gramEnd"/>
      <w:r w:rsidRPr="00642DFE">
        <w:rPr>
          <w:szCs w:val="20"/>
          <w:lang w:val="en-US"/>
        </w:rPr>
        <w:t xml:space="preserve"> and those for which it is not. This may differ significantly not only per sector, but also the region in which a company or its suppliers operate. It would not justify the mandatory obligation to use this one.</w:t>
      </w:r>
    </w:p>
    <w:p w14:paraId="13190250" w14:textId="77777777" w:rsidR="00D0178B" w:rsidRPr="00642DFE" w:rsidRDefault="00D0178B" w:rsidP="00D0178B">
      <w:pPr>
        <w:pStyle w:val="ListParagraph"/>
        <w:numPr>
          <w:ilvl w:val="0"/>
          <w:numId w:val="43"/>
        </w:numPr>
        <w:spacing w:line="264" w:lineRule="auto"/>
        <w:rPr>
          <w:szCs w:val="20"/>
          <w:lang w:val="en-US"/>
        </w:rPr>
      </w:pPr>
      <w:r w:rsidRPr="00642DFE">
        <w:rPr>
          <w:b/>
          <w:bCs/>
          <w:szCs w:val="20"/>
          <w:lang w:val="en-US"/>
        </w:rPr>
        <w:t>Indicators 12-14 (water)</w:t>
      </w:r>
      <w:r w:rsidRPr="00642DFE">
        <w:rPr>
          <w:szCs w:val="20"/>
          <w:lang w:val="en-US"/>
        </w:rPr>
        <w:t>. Water emission (12) is relevant and data available in m3. We recommend deleting 13 &amp; 14. They are difficult to define and leave room for interpretation.</w:t>
      </w:r>
    </w:p>
    <w:p w14:paraId="417A60F3" w14:textId="77777777" w:rsidR="00D0178B" w:rsidRPr="00642DFE" w:rsidRDefault="00D0178B" w:rsidP="00D0178B">
      <w:pPr>
        <w:pStyle w:val="ListParagraph"/>
        <w:numPr>
          <w:ilvl w:val="0"/>
          <w:numId w:val="43"/>
        </w:numPr>
        <w:spacing w:line="264" w:lineRule="auto"/>
        <w:rPr>
          <w:szCs w:val="20"/>
          <w:lang w:val="en-US"/>
        </w:rPr>
      </w:pPr>
      <w:r w:rsidRPr="00642DFE">
        <w:rPr>
          <w:b/>
          <w:bCs/>
          <w:szCs w:val="20"/>
          <w:lang w:val="en-US"/>
        </w:rPr>
        <w:t>Indicators 15 &amp; 16</w:t>
      </w:r>
      <w:r w:rsidRPr="00642DFE">
        <w:rPr>
          <w:szCs w:val="20"/>
          <w:lang w:val="en-US"/>
        </w:rPr>
        <w:t xml:space="preserve"> </w:t>
      </w:r>
      <w:r w:rsidRPr="00655290">
        <w:rPr>
          <w:b/>
          <w:bCs/>
          <w:szCs w:val="20"/>
          <w:lang w:val="en-US"/>
        </w:rPr>
        <w:t xml:space="preserve">(generated waste versus generated non-recycled waste): </w:t>
      </w:r>
      <w:r w:rsidRPr="00642DFE">
        <w:rPr>
          <w:szCs w:val="20"/>
          <w:lang w:val="en-US"/>
        </w:rPr>
        <w:t xml:space="preserve">potentially relevant.   </w:t>
      </w:r>
    </w:p>
    <w:p w14:paraId="0EE6125D" w14:textId="77777777" w:rsidR="00D0178B" w:rsidRPr="00642DFE" w:rsidRDefault="00D0178B" w:rsidP="00D0178B">
      <w:pPr>
        <w:pStyle w:val="ListParagraph"/>
        <w:numPr>
          <w:ilvl w:val="0"/>
          <w:numId w:val="43"/>
        </w:numPr>
        <w:spacing w:line="264" w:lineRule="auto"/>
        <w:rPr>
          <w:szCs w:val="20"/>
          <w:lang w:val="en-US"/>
        </w:rPr>
      </w:pPr>
      <w:r w:rsidRPr="00642DFE">
        <w:rPr>
          <w:b/>
          <w:bCs/>
          <w:szCs w:val="20"/>
          <w:lang w:val="en-US"/>
        </w:rPr>
        <w:t>Indicators 17-22</w:t>
      </w:r>
      <w:r w:rsidRPr="00642DFE">
        <w:rPr>
          <w:szCs w:val="20"/>
          <w:lang w:val="en-US"/>
        </w:rPr>
        <w:t xml:space="preserve"> </w:t>
      </w:r>
      <w:r w:rsidRPr="00655290">
        <w:rPr>
          <w:b/>
          <w:bCs/>
          <w:szCs w:val="20"/>
          <w:lang w:val="en-US"/>
        </w:rPr>
        <w:t>(Social and employee matters)</w:t>
      </w:r>
      <w:r w:rsidRPr="00642DFE">
        <w:rPr>
          <w:szCs w:val="20"/>
          <w:lang w:val="en-US"/>
        </w:rPr>
        <w:t xml:space="preserve"> ILO Conventions, whistleblower protection and workplace accident prevention policies relevant. </w:t>
      </w:r>
      <w:r>
        <w:rPr>
          <w:szCs w:val="20"/>
          <w:lang w:val="en-US"/>
        </w:rPr>
        <w:t>How to interpret e</w:t>
      </w:r>
      <w:r w:rsidRPr="00642DFE">
        <w:rPr>
          <w:szCs w:val="20"/>
          <w:lang w:val="en-US"/>
        </w:rPr>
        <w:t xml:space="preserve">xcessive CEO pay ratio and Board gender diversity </w:t>
      </w:r>
      <w:r>
        <w:rPr>
          <w:szCs w:val="20"/>
          <w:lang w:val="en-US"/>
        </w:rPr>
        <w:t xml:space="preserve">indicator for the purpose of the </w:t>
      </w:r>
      <w:proofErr w:type="gramStart"/>
      <w:r>
        <w:rPr>
          <w:szCs w:val="20"/>
          <w:lang w:val="en-US"/>
        </w:rPr>
        <w:t>PAI</w:t>
      </w:r>
      <w:r w:rsidRPr="00642DFE">
        <w:rPr>
          <w:szCs w:val="20"/>
          <w:lang w:val="en-US"/>
        </w:rPr>
        <w:t>?.</w:t>
      </w:r>
      <w:proofErr w:type="gramEnd"/>
      <w:r w:rsidRPr="00642DFE">
        <w:rPr>
          <w:szCs w:val="20"/>
          <w:lang w:val="en-US"/>
        </w:rPr>
        <w:t xml:space="preserve"> </w:t>
      </w:r>
      <w:r>
        <w:rPr>
          <w:szCs w:val="20"/>
          <w:lang w:val="en-US"/>
        </w:rPr>
        <w:t>The g</w:t>
      </w:r>
      <w:r w:rsidRPr="00642DFE">
        <w:rPr>
          <w:szCs w:val="20"/>
          <w:lang w:val="en-US"/>
        </w:rPr>
        <w:t>ender pay gap is currently not available, although EU legislation may change this going forward</w:t>
      </w:r>
      <w:r>
        <w:rPr>
          <w:szCs w:val="20"/>
          <w:lang w:val="en-US"/>
        </w:rPr>
        <w:t>.</w:t>
      </w:r>
      <w:r w:rsidRPr="00642DFE">
        <w:rPr>
          <w:szCs w:val="20"/>
          <w:lang w:val="en-US"/>
        </w:rPr>
        <w:t xml:space="preserve"> </w:t>
      </w:r>
    </w:p>
    <w:p w14:paraId="2B5B2339" w14:textId="77777777" w:rsidR="00D0178B" w:rsidRPr="00642DFE" w:rsidRDefault="00D0178B" w:rsidP="00D0178B">
      <w:pPr>
        <w:pStyle w:val="ListParagraph"/>
        <w:numPr>
          <w:ilvl w:val="0"/>
          <w:numId w:val="43"/>
        </w:numPr>
        <w:spacing w:line="264" w:lineRule="auto"/>
        <w:rPr>
          <w:szCs w:val="20"/>
          <w:lang w:val="en-US"/>
        </w:rPr>
      </w:pPr>
      <w:r w:rsidRPr="00642DFE">
        <w:rPr>
          <w:b/>
          <w:bCs/>
          <w:szCs w:val="20"/>
          <w:lang w:val="en-US"/>
        </w:rPr>
        <w:t>Indicators 23-29</w:t>
      </w:r>
      <w:r w:rsidRPr="00642DFE">
        <w:rPr>
          <w:szCs w:val="20"/>
          <w:lang w:val="en-US"/>
        </w:rPr>
        <w:t xml:space="preserve"> </w:t>
      </w:r>
      <w:r w:rsidRPr="00655290">
        <w:rPr>
          <w:b/>
          <w:bCs/>
          <w:szCs w:val="20"/>
          <w:lang w:val="en-US"/>
        </w:rPr>
        <w:t>(human rights):</w:t>
      </w:r>
      <w:r w:rsidRPr="00642DFE">
        <w:rPr>
          <w:szCs w:val="20"/>
          <w:lang w:val="en-US"/>
        </w:rPr>
        <w:t xml:space="preserve"> most are relevant but some only in relation to certain high-risk companies and sectors such as preventing trafficking in human beings. What are controversial weapons?</w:t>
      </w:r>
    </w:p>
    <w:p w14:paraId="62630657" w14:textId="77777777" w:rsidR="00D0178B" w:rsidRDefault="00D0178B" w:rsidP="00D0178B">
      <w:pPr>
        <w:pStyle w:val="ListParagraph"/>
        <w:numPr>
          <w:ilvl w:val="0"/>
          <w:numId w:val="43"/>
        </w:numPr>
        <w:spacing w:line="264" w:lineRule="auto"/>
        <w:rPr>
          <w:szCs w:val="20"/>
          <w:lang w:val="en-US"/>
        </w:rPr>
      </w:pPr>
      <w:r w:rsidRPr="00655290">
        <w:rPr>
          <w:b/>
          <w:bCs/>
          <w:szCs w:val="20"/>
          <w:lang w:val="en-US"/>
        </w:rPr>
        <w:t>30-32 (corruption and bribery):</w:t>
      </w:r>
      <w:r w:rsidRPr="00642DFE">
        <w:rPr>
          <w:szCs w:val="20"/>
          <w:lang w:val="en-US"/>
        </w:rPr>
        <w:t xml:space="preserve"> in indicator 31 ‘insufficient action’ is very vague and will lead to very divergent outcomes. Data seems missing for indicator 32.</w:t>
      </w:r>
    </w:p>
    <w:p w14:paraId="0BF72022" w14:textId="77777777" w:rsidR="00D0178B" w:rsidRDefault="00D0178B" w:rsidP="00D0178B">
      <w:pPr>
        <w:spacing w:line="264" w:lineRule="auto"/>
        <w:rPr>
          <w:szCs w:val="20"/>
          <w:lang w:val="en-US"/>
        </w:rPr>
      </w:pPr>
    </w:p>
    <w:p w14:paraId="22987ABD" w14:textId="77777777" w:rsidR="00D0178B" w:rsidRDefault="00D0178B" w:rsidP="00D0178B">
      <w:pPr>
        <w:spacing w:line="264" w:lineRule="auto"/>
        <w:rPr>
          <w:szCs w:val="20"/>
          <w:lang w:val="en-US"/>
        </w:rPr>
      </w:pPr>
      <w:r>
        <w:rPr>
          <w:szCs w:val="20"/>
          <w:lang w:val="en-US"/>
        </w:rPr>
        <w:t xml:space="preserve">For the following indicators, FMPs will face difficulties in achieving comparable and standardised data on investee companies. For this reason, we would recommend definitively removing them from table 1. Overall, the list should be shortened to no more than half a dozen indicators. </w:t>
      </w:r>
    </w:p>
    <w:p w14:paraId="4EA97BF3" w14:textId="77777777" w:rsidR="00D0178B" w:rsidRDefault="00D0178B" w:rsidP="00D0178B">
      <w:pPr>
        <w:pStyle w:val="ListParagraph"/>
        <w:numPr>
          <w:ilvl w:val="0"/>
          <w:numId w:val="45"/>
        </w:numPr>
        <w:spacing w:after="160" w:line="264" w:lineRule="auto"/>
        <w:rPr>
          <w:szCs w:val="20"/>
          <w:lang w:val="en-US"/>
        </w:rPr>
      </w:pPr>
      <w:r w:rsidRPr="00DF261E">
        <w:rPr>
          <w:szCs w:val="20"/>
          <w:lang w:val="en-US"/>
        </w:rPr>
        <w:t xml:space="preserve">1. </w:t>
      </w:r>
      <w:r>
        <w:rPr>
          <w:szCs w:val="20"/>
          <w:lang w:val="en-US"/>
        </w:rPr>
        <w:t>Scope 3 carbon emission</w:t>
      </w:r>
    </w:p>
    <w:p w14:paraId="57050A91" w14:textId="77777777" w:rsidR="00D0178B" w:rsidRDefault="00D0178B" w:rsidP="00D0178B">
      <w:pPr>
        <w:pStyle w:val="ListParagraph"/>
        <w:numPr>
          <w:ilvl w:val="0"/>
          <w:numId w:val="45"/>
        </w:numPr>
        <w:spacing w:after="160" w:line="264" w:lineRule="auto"/>
        <w:rPr>
          <w:szCs w:val="20"/>
          <w:lang w:val="en-US"/>
        </w:rPr>
      </w:pPr>
      <w:r w:rsidRPr="00B0185B">
        <w:rPr>
          <w:szCs w:val="20"/>
          <w:lang w:val="en-US"/>
        </w:rPr>
        <w:t>5. Total energy consumption of investee companies from non-renewable energy sources (in GWh), expressed as a weighted average</w:t>
      </w:r>
      <w:r>
        <w:rPr>
          <w:szCs w:val="20"/>
          <w:lang w:val="en-US"/>
        </w:rPr>
        <w:t>.</w:t>
      </w:r>
    </w:p>
    <w:p w14:paraId="77734F17" w14:textId="77777777" w:rsidR="00D0178B" w:rsidRPr="00D0178B" w:rsidRDefault="00D0178B" w:rsidP="00D0178B">
      <w:pPr>
        <w:pStyle w:val="ListParagraph"/>
        <w:numPr>
          <w:ilvl w:val="0"/>
          <w:numId w:val="45"/>
        </w:numPr>
        <w:spacing w:after="160" w:line="264" w:lineRule="auto"/>
        <w:rPr>
          <w:rFonts w:cs="Arial"/>
          <w:szCs w:val="20"/>
          <w:lang w:val="en-US"/>
        </w:rPr>
      </w:pPr>
      <w:r w:rsidRPr="00D0178B">
        <w:rPr>
          <w:rFonts w:cs="Arial"/>
          <w:szCs w:val="20"/>
          <w:lang w:val="en-US"/>
        </w:rPr>
        <w:t>7. Energy consumption intensity and 8. Energy consumption intensity per sector</w:t>
      </w:r>
    </w:p>
    <w:p w14:paraId="1DAE0D35" w14:textId="77777777" w:rsidR="00D0178B" w:rsidRPr="00D0178B" w:rsidRDefault="00D0178B" w:rsidP="00D0178B">
      <w:pPr>
        <w:pStyle w:val="ListParagraph"/>
        <w:numPr>
          <w:ilvl w:val="0"/>
          <w:numId w:val="45"/>
        </w:numPr>
        <w:spacing w:after="160" w:line="264" w:lineRule="auto"/>
        <w:rPr>
          <w:rFonts w:cs="Arial"/>
          <w:szCs w:val="20"/>
          <w:lang w:val="en-US"/>
        </w:rPr>
      </w:pPr>
      <w:r w:rsidRPr="00D0178B">
        <w:rPr>
          <w:rFonts w:cs="Arial"/>
          <w:szCs w:val="20"/>
          <w:lang w:val="en-US"/>
        </w:rPr>
        <w:t>All the indicators related to biodiversity: 9. Biodiversity and ecosystem preservation practices; 10. Natural species and protected areas and 11. Deforestation.</w:t>
      </w:r>
    </w:p>
    <w:p w14:paraId="393D7ACD" w14:textId="77777777" w:rsidR="00D0178B" w:rsidRPr="00D0178B" w:rsidRDefault="00D0178B" w:rsidP="00D0178B">
      <w:pPr>
        <w:pStyle w:val="ListParagraph"/>
        <w:numPr>
          <w:ilvl w:val="0"/>
          <w:numId w:val="45"/>
        </w:numPr>
        <w:spacing w:after="160" w:line="264" w:lineRule="auto"/>
        <w:rPr>
          <w:rFonts w:cs="Arial"/>
          <w:szCs w:val="20"/>
          <w:lang w:val="en-US"/>
        </w:rPr>
      </w:pPr>
      <w:r w:rsidRPr="00D0178B">
        <w:rPr>
          <w:rFonts w:cs="Arial"/>
          <w:szCs w:val="20"/>
          <w:lang w:val="en-US"/>
        </w:rPr>
        <w:t>13. Exposure to areas of high-water stress.</w:t>
      </w:r>
    </w:p>
    <w:p w14:paraId="069CEE6E" w14:textId="77777777" w:rsidR="00D0178B" w:rsidRPr="00D0178B" w:rsidRDefault="00D0178B" w:rsidP="00D0178B">
      <w:pPr>
        <w:jc w:val="both"/>
        <w:rPr>
          <w:rFonts w:cs="Arial"/>
          <w:iCs/>
          <w:szCs w:val="20"/>
        </w:rPr>
      </w:pPr>
    </w:p>
    <w:p w14:paraId="4D73B146" w14:textId="77777777" w:rsidR="00D0178B" w:rsidRPr="00D0178B" w:rsidRDefault="00D0178B" w:rsidP="00D0178B">
      <w:pPr>
        <w:jc w:val="both"/>
        <w:rPr>
          <w:rFonts w:cs="Arial"/>
          <w:iCs/>
          <w:szCs w:val="20"/>
        </w:rPr>
      </w:pPr>
      <w:r w:rsidRPr="00D0178B">
        <w:rPr>
          <w:rFonts w:cs="Arial"/>
          <w:iCs/>
          <w:szCs w:val="20"/>
        </w:rPr>
        <w:t xml:space="preserve">For a couple of indicators, we also consider that the concept of materiality has not sufficiently been </w:t>
      </w:r>
      <w:proofErr w:type="gramStart"/>
      <w:r w:rsidRPr="00D0178B">
        <w:rPr>
          <w:rFonts w:cs="Arial"/>
          <w:iCs/>
          <w:szCs w:val="20"/>
        </w:rPr>
        <w:t>taken into account</w:t>
      </w:r>
      <w:proofErr w:type="gramEnd"/>
      <w:r w:rsidRPr="00D0178B">
        <w:rPr>
          <w:rFonts w:cs="Arial"/>
          <w:iCs/>
          <w:szCs w:val="20"/>
        </w:rPr>
        <w:t xml:space="preserve">. It would be important that the framework takes account of the possibility that certain indicators </w:t>
      </w:r>
      <w:r w:rsidRPr="00D0178B">
        <w:rPr>
          <w:rFonts w:cs="Arial"/>
          <w:iCs/>
          <w:szCs w:val="20"/>
        </w:rPr>
        <w:lastRenderedPageBreak/>
        <w:t>may be relevant only for a subset of companies. This underlines again the need for a more principle-based approach, where FMPs may choose a sub-set of indicators which are more relevant for their portfolio.</w:t>
      </w:r>
    </w:p>
    <w:p w14:paraId="6A64B6EC" w14:textId="77777777" w:rsidR="00D0178B" w:rsidRPr="00D0178B" w:rsidRDefault="00D0178B" w:rsidP="00D0178B">
      <w:pPr>
        <w:jc w:val="both"/>
        <w:rPr>
          <w:rFonts w:cs="Arial"/>
          <w:iCs/>
          <w:szCs w:val="20"/>
        </w:rPr>
      </w:pPr>
    </w:p>
    <w:p w14:paraId="34CA7C8A" w14:textId="77777777" w:rsidR="00D0178B" w:rsidRPr="00D0178B" w:rsidRDefault="00D0178B" w:rsidP="00D0178B">
      <w:pPr>
        <w:pStyle w:val="BodyText"/>
        <w:numPr>
          <w:ilvl w:val="0"/>
          <w:numId w:val="0"/>
        </w:numPr>
        <w:spacing w:before="125" w:line="249" w:lineRule="auto"/>
        <w:ind w:right="120"/>
        <w:rPr>
          <w:rFonts w:ascii="Arial" w:hAnsi="Arial" w:cs="Arial"/>
          <w:sz w:val="20"/>
        </w:rPr>
      </w:pPr>
      <w:r w:rsidRPr="00D0178B">
        <w:rPr>
          <w:rFonts w:ascii="Arial" w:hAnsi="Arial" w:cs="Arial"/>
          <w:b/>
          <w:bCs/>
          <w:sz w:val="20"/>
        </w:rPr>
        <w:t>The aggregation method based on which the values of each investment are simply added up for each indicator, may lead to misinterpretation of the disclosures</w:t>
      </w:r>
      <w:r w:rsidRPr="00D0178B">
        <w:rPr>
          <w:rFonts w:ascii="Arial" w:hAnsi="Arial" w:cs="Arial"/>
          <w:sz w:val="20"/>
        </w:rPr>
        <w:t>. It is not easy to interpret a value for a specific indicator if no accompanying information is being provided about the sectoral allocation or without information on benchmark developments - for example an investment in the mobility or real estate sector will lead to a higher value of GHG emissions indicators than investing an investment in finance even if the former might be an investment that contributes more to the green transition. An investment or financial product that contributes more to the green transition may have a worse indicator than other financial product that does not invest in critical sectors. A central question is how an indicator aggregated over around thousands of investments will inform end-investors about the real sustainability impact of the investments.</w:t>
      </w:r>
    </w:p>
    <w:p w14:paraId="4EE27C0A" w14:textId="3CF71E29" w:rsidR="003E573C" w:rsidRPr="00D0178B" w:rsidRDefault="00D0178B" w:rsidP="00D0178B">
      <w:pPr>
        <w:jc w:val="both"/>
        <w:rPr>
          <w:rFonts w:cs="Arial"/>
          <w:iCs/>
          <w:szCs w:val="20"/>
        </w:rPr>
      </w:pPr>
      <w:r w:rsidRPr="00D0178B">
        <w:rPr>
          <w:rFonts w:cs="Arial"/>
          <w:iCs/>
          <w:szCs w:val="20"/>
        </w:rPr>
        <w:t xml:space="preserve">It seems that while there are many organisations involved in the development of the environmental indicators, there is a lack of stakeholder involvement in the development of the social indicators. We therefore suggest the involvement of the Council of Social Ministers as well as the Social Partners for questions around labour and social standards. Any standards already agreed should be </w:t>
      </w:r>
      <w:proofErr w:type="gramStart"/>
      <w:r w:rsidRPr="00D0178B">
        <w:rPr>
          <w:rFonts w:cs="Arial"/>
          <w:iCs/>
          <w:szCs w:val="20"/>
        </w:rPr>
        <w:t>taken into account</w:t>
      </w:r>
      <w:proofErr w:type="gramEnd"/>
      <w:r w:rsidRPr="00D0178B">
        <w:rPr>
          <w:rFonts w:cs="Arial"/>
          <w:iCs/>
          <w:szCs w:val="20"/>
        </w:rPr>
        <w:t xml:space="preserve"> in this process. </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7BB24577" w:rsidR="003E573C" w:rsidRPr="00D0178B" w:rsidRDefault="00D0178B" w:rsidP="003E573C">
      <w:pPr>
        <w:rPr>
          <w:szCs w:val="20"/>
          <w:lang w:val="en-US"/>
        </w:rPr>
      </w:pPr>
      <w:permStart w:id="418122716" w:edGrp="everyone"/>
      <w:r w:rsidRPr="00642DFE">
        <w:rPr>
          <w:szCs w:val="20"/>
          <w:lang w:val="en-US"/>
        </w:rPr>
        <w:t xml:space="preserve">No, adding more complexity does not lead to a better understanding by the average pension fund participant or retail investor. If </w:t>
      </w:r>
      <w:r>
        <w:rPr>
          <w:szCs w:val="20"/>
          <w:lang w:val="en-US"/>
        </w:rPr>
        <w:t>the aim is</w:t>
      </w:r>
      <w:r w:rsidRPr="00642DFE">
        <w:rPr>
          <w:szCs w:val="20"/>
          <w:lang w:val="en-US"/>
        </w:rPr>
        <w:t xml:space="preserve"> to keep things understandable it is necessary to reduce </w:t>
      </w:r>
      <w:r>
        <w:rPr>
          <w:szCs w:val="20"/>
          <w:lang w:val="en-US"/>
        </w:rPr>
        <w:t xml:space="preserve">the </w:t>
      </w:r>
      <w:proofErr w:type="gramStart"/>
      <w:r w:rsidRPr="00642DFE">
        <w:rPr>
          <w:szCs w:val="20"/>
          <w:lang w:val="en-US"/>
        </w:rPr>
        <w:t>amount</w:t>
      </w:r>
      <w:proofErr w:type="gramEnd"/>
      <w:r w:rsidRPr="00642DFE">
        <w:rPr>
          <w:szCs w:val="20"/>
          <w:lang w:val="en-US"/>
        </w:rPr>
        <w:t xml:space="preserve"> of indicators. For retail investors it will </w:t>
      </w:r>
      <w:proofErr w:type="gramStart"/>
      <w:r w:rsidRPr="00642DFE">
        <w:rPr>
          <w:szCs w:val="20"/>
          <w:lang w:val="en-US"/>
        </w:rPr>
        <w:t>actually be</w:t>
      </w:r>
      <w:proofErr w:type="gramEnd"/>
      <w:r w:rsidRPr="00642DFE">
        <w:rPr>
          <w:szCs w:val="20"/>
          <w:lang w:val="en-US"/>
        </w:rPr>
        <w:t xml:space="preserve"> more difficult to compare and therefore take investment decisions on the basis of</w:t>
      </w:r>
      <w:r>
        <w:rPr>
          <w:szCs w:val="20"/>
          <w:lang w:val="en-US"/>
        </w:rPr>
        <w:t xml:space="preserve"> PAI</w:t>
      </w:r>
      <w:r w:rsidRPr="00642DFE">
        <w:rPr>
          <w:szCs w:val="20"/>
          <w:lang w:val="en-US"/>
        </w:rPr>
        <w:t xml:space="preserve">s if more indicators are added.  </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2CB90331" w:rsidR="003E573C" w:rsidRPr="00D0178B" w:rsidRDefault="00D0178B" w:rsidP="00D0178B">
      <w:pPr>
        <w:jc w:val="both"/>
        <w:rPr>
          <w:rFonts w:cstheme="minorHAnsi"/>
          <w:iCs/>
          <w:szCs w:val="20"/>
        </w:rPr>
      </w:pPr>
      <w:permStart w:id="569465455" w:edGrp="everyone"/>
      <w:r w:rsidRPr="00AC5988">
        <w:rPr>
          <w:rFonts w:cstheme="minorHAnsi"/>
          <w:iCs/>
          <w:szCs w:val="20"/>
        </w:rPr>
        <w:t>The question is whether this additional information will not confuse the party receiving this information and whether the difference in drivers of (1) and (2) is sufficiently understood.</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75C83B5E" w14:textId="77777777" w:rsidR="00D0178B" w:rsidRDefault="00D0178B" w:rsidP="00D0178B">
      <w:pPr>
        <w:jc w:val="both"/>
        <w:rPr>
          <w:rFonts w:cstheme="minorHAnsi"/>
          <w:iCs/>
          <w:szCs w:val="20"/>
        </w:rPr>
      </w:pPr>
      <w:permStart w:id="1713528049" w:edGrp="everyone"/>
      <w:r w:rsidRPr="00655290">
        <w:rPr>
          <w:rFonts w:cstheme="minorHAnsi"/>
          <w:b/>
          <w:bCs/>
          <w:iCs/>
          <w:szCs w:val="20"/>
        </w:rPr>
        <w:t xml:space="preserve">We would see merit in including more advanced indicators or metrics to allow FMPs to capture activities by investee companies to reduce GHG emissions </w:t>
      </w:r>
      <w:proofErr w:type="gramStart"/>
      <w:r w:rsidRPr="00655290">
        <w:rPr>
          <w:rFonts w:cstheme="minorHAnsi"/>
          <w:b/>
          <w:bCs/>
          <w:iCs/>
          <w:szCs w:val="20"/>
        </w:rPr>
        <w:t>as long as</w:t>
      </w:r>
      <w:proofErr w:type="gramEnd"/>
      <w:r w:rsidRPr="00655290">
        <w:rPr>
          <w:rFonts w:cstheme="minorHAnsi"/>
          <w:b/>
          <w:bCs/>
          <w:iCs/>
          <w:szCs w:val="20"/>
        </w:rPr>
        <w:t xml:space="preserve"> these indicators are voluntary by nature</w:t>
      </w:r>
      <w:r w:rsidRPr="00DF60DA">
        <w:rPr>
          <w:rFonts w:cstheme="minorHAnsi"/>
          <w:iCs/>
          <w:szCs w:val="20"/>
        </w:rPr>
        <w:t>.</w:t>
      </w:r>
      <w:r>
        <w:rPr>
          <w:rFonts w:cstheme="minorHAnsi"/>
          <w:iCs/>
          <w:szCs w:val="20"/>
        </w:rPr>
        <w:t xml:space="preserve"> M</w:t>
      </w:r>
      <w:r w:rsidRPr="00DF60DA">
        <w:rPr>
          <w:rFonts w:cstheme="minorHAnsi"/>
          <w:iCs/>
          <w:szCs w:val="20"/>
        </w:rPr>
        <w:t xml:space="preserve">etrics such as ‘avoided emissions’ are </w:t>
      </w:r>
      <w:r>
        <w:rPr>
          <w:rFonts w:cstheme="minorHAnsi"/>
          <w:iCs/>
          <w:szCs w:val="20"/>
        </w:rPr>
        <w:t>based on</w:t>
      </w:r>
      <w:r w:rsidRPr="00DF60DA">
        <w:rPr>
          <w:rFonts w:cstheme="minorHAnsi"/>
          <w:iCs/>
          <w:szCs w:val="20"/>
        </w:rPr>
        <w:t xml:space="preserve"> a theoretical concept, and the calculation is </w:t>
      </w:r>
      <w:r>
        <w:rPr>
          <w:rFonts w:cstheme="minorHAnsi"/>
          <w:iCs/>
          <w:szCs w:val="20"/>
        </w:rPr>
        <w:t>strongly</w:t>
      </w:r>
      <w:r w:rsidRPr="00DF60DA">
        <w:rPr>
          <w:rFonts w:cstheme="minorHAnsi"/>
          <w:iCs/>
          <w:szCs w:val="20"/>
        </w:rPr>
        <w:t xml:space="preserve"> dependent on the assumptions used in that calculation. Hence, these advanced metrics are prone to green washing if used loosely. </w:t>
      </w:r>
    </w:p>
    <w:p w14:paraId="1D9A7D56" w14:textId="77777777" w:rsidR="00D0178B" w:rsidRDefault="00D0178B" w:rsidP="00D0178B">
      <w:pPr>
        <w:jc w:val="both"/>
        <w:rPr>
          <w:rFonts w:cstheme="minorHAnsi"/>
          <w:iCs/>
          <w:szCs w:val="20"/>
        </w:rPr>
      </w:pPr>
    </w:p>
    <w:p w14:paraId="4AC70D34" w14:textId="77777777" w:rsidR="00D0178B" w:rsidRDefault="00D0178B" w:rsidP="00D0178B">
      <w:pPr>
        <w:jc w:val="both"/>
        <w:rPr>
          <w:rFonts w:cstheme="minorHAnsi"/>
          <w:iCs/>
          <w:szCs w:val="20"/>
        </w:rPr>
      </w:pPr>
      <w:r>
        <w:rPr>
          <w:rFonts w:cstheme="minorHAnsi"/>
          <w:iCs/>
          <w:szCs w:val="20"/>
        </w:rPr>
        <w:lastRenderedPageBreak/>
        <w:t xml:space="preserve">We see merits in including forward looking indicators for the purpose of principal adverse impacts disclosures under article 4, </w:t>
      </w:r>
      <w:proofErr w:type="gramStart"/>
      <w:r>
        <w:rPr>
          <w:rFonts w:cstheme="minorHAnsi"/>
          <w:iCs/>
          <w:szCs w:val="20"/>
        </w:rPr>
        <w:t>in order to</w:t>
      </w:r>
      <w:proofErr w:type="gramEnd"/>
      <w:r>
        <w:rPr>
          <w:rFonts w:cstheme="minorHAnsi"/>
          <w:iCs/>
          <w:szCs w:val="20"/>
        </w:rPr>
        <w:t xml:space="preserve"> ensure that the new framework adequately fosters the transition. Notwithstanding this, the framework should not impose a double approach based on forward-looking indicators on top of historical data and only select one of these options. Rather </w:t>
      </w:r>
      <w:r w:rsidRPr="00F7519D">
        <w:rPr>
          <w:rFonts w:cstheme="minorHAnsi"/>
          <w:iCs/>
          <w:szCs w:val="20"/>
        </w:rPr>
        <w:t xml:space="preserve">than </w:t>
      </w:r>
      <w:r>
        <w:rPr>
          <w:rFonts w:cstheme="minorHAnsi"/>
          <w:iCs/>
          <w:szCs w:val="20"/>
        </w:rPr>
        <w:t>providing information on for example c</w:t>
      </w:r>
      <w:r w:rsidRPr="00F7519D">
        <w:rPr>
          <w:rFonts w:cstheme="minorHAnsi"/>
          <w:iCs/>
          <w:szCs w:val="20"/>
        </w:rPr>
        <w:t>arbon emission</w:t>
      </w:r>
      <w:r>
        <w:rPr>
          <w:rFonts w:cstheme="minorHAnsi"/>
          <w:iCs/>
          <w:szCs w:val="20"/>
        </w:rPr>
        <w:t>s</w:t>
      </w:r>
      <w:r w:rsidRPr="00F7519D">
        <w:rPr>
          <w:rFonts w:cstheme="minorHAnsi"/>
          <w:iCs/>
          <w:szCs w:val="20"/>
        </w:rPr>
        <w:t xml:space="preserve"> over the past decade, forward</w:t>
      </w:r>
      <w:r>
        <w:rPr>
          <w:rFonts w:cstheme="minorHAnsi"/>
          <w:iCs/>
          <w:szCs w:val="20"/>
        </w:rPr>
        <w:t>-</w:t>
      </w:r>
      <w:r w:rsidRPr="00F7519D">
        <w:rPr>
          <w:rFonts w:cstheme="minorHAnsi"/>
          <w:iCs/>
          <w:szCs w:val="20"/>
        </w:rPr>
        <w:t xml:space="preserve">looking </w:t>
      </w:r>
      <w:r>
        <w:rPr>
          <w:rFonts w:cstheme="minorHAnsi"/>
          <w:iCs/>
          <w:szCs w:val="20"/>
        </w:rPr>
        <w:t>indicators including information on the emission reduction pathways</w:t>
      </w:r>
      <w:r w:rsidRPr="00F7519D">
        <w:rPr>
          <w:rFonts w:cstheme="minorHAnsi"/>
          <w:iCs/>
          <w:szCs w:val="20"/>
        </w:rPr>
        <w:t xml:space="preserve"> would be </w:t>
      </w:r>
      <w:r>
        <w:rPr>
          <w:rFonts w:cstheme="minorHAnsi"/>
          <w:iCs/>
          <w:szCs w:val="20"/>
        </w:rPr>
        <w:t>more appropriate and should respond to several questions such as:</w:t>
      </w:r>
      <w:r w:rsidRPr="00F7519D">
        <w:rPr>
          <w:rFonts w:cstheme="minorHAnsi"/>
          <w:iCs/>
          <w:szCs w:val="20"/>
        </w:rPr>
        <w:t xml:space="preserve"> </w:t>
      </w:r>
    </w:p>
    <w:p w14:paraId="5152703C" w14:textId="77777777" w:rsidR="00D0178B" w:rsidRPr="000F37DF" w:rsidRDefault="00D0178B" w:rsidP="00D0178B">
      <w:pPr>
        <w:pStyle w:val="ListParagraph"/>
        <w:numPr>
          <w:ilvl w:val="0"/>
          <w:numId w:val="46"/>
        </w:numPr>
        <w:spacing w:after="160" w:line="259" w:lineRule="auto"/>
        <w:jc w:val="both"/>
        <w:rPr>
          <w:rFonts w:cstheme="minorHAnsi"/>
          <w:iCs/>
          <w:szCs w:val="20"/>
        </w:rPr>
      </w:pPr>
      <w:r w:rsidRPr="000F37DF">
        <w:rPr>
          <w:rFonts w:cstheme="minorHAnsi"/>
          <w:iCs/>
          <w:szCs w:val="20"/>
        </w:rPr>
        <w:t xml:space="preserve">Does the company have a climate strategy? </w:t>
      </w:r>
    </w:p>
    <w:p w14:paraId="62A8A0A9" w14:textId="77777777" w:rsidR="00D0178B" w:rsidRPr="000F37DF" w:rsidRDefault="00D0178B" w:rsidP="00D0178B">
      <w:pPr>
        <w:pStyle w:val="ListParagraph"/>
        <w:numPr>
          <w:ilvl w:val="0"/>
          <w:numId w:val="46"/>
        </w:numPr>
        <w:spacing w:after="160" w:line="259" w:lineRule="auto"/>
        <w:jc w:val="both"/>
        <w:rPr>
          <w:rFonts w:cstheme="minorHAnsi"/>
          <w:iCs/>
          <w:szCs w:val="20"/>
        </w:rPr>
      </w:pPr>
      <w:r w:rsidRPr="000F37DF">
        <w:rPr>
          <w:rFonts w:cstheme="minorHAnsi"/>
          <w:iCs/>
          <w:szCs w:val="20"/>
        </w:rPr>
        <w:t xml:space="preserve">Is this strategy aligned with the Paris Agreement? </w:t>
      </w:r>
    </w:p>
    <w:p w14:paraId="20440D29" w14:textId="6A90CD2E" w:rsidR="003E573C" w:rsidRPr="00D0178B" w:rsidRDefault="00D0178B" w:rsidP="003E573C">
      <w:pPr>
        <w:pStyle w:val="ListParagraph"/>
        <w:numPr>
          <w:ilvl w:val="0"/>
          <w:numId w:val="46"/>
        </w:numPr>
        <w:spacing w:after="160" w:line="259" w:lineRule="auto"/>
        <w:jc w:val="both"/>
        <w:rPr>
          <w:rFonts w:cstheme="minorHAnsi"/>
          <w:iCs/>
          <w:szCs w:val="20"/>
        </w:rPr>
      </w:pPr>
      <w:r w:rsidRPr="000F37DF">
        <w:rPr>
          <w:rFonts w:cstheme="minorHAnsi"/>
          <w:iCs/>
          <w:szCs w:val="20"/>
        </w:rPr>
        <w:t>Is the management able to pursue their strategy and the company technologically equipped for that purpose?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6892F906" w:rsidR="003E573C" w:rsidRPr="00D0178B" w:rsidRDefault="00D0178B" w:rsidP="00D0178B">
      <w:pPr>
        <w:jc w:val="both"/>
        <w:rPr>
          <w:rFonts w:cstheme="minorHAnsi"/>
          <w:iCs/>
          <w:szCs w:val="20"/>
        </w:rPr>
      </w:pPr>
      <w:permStart w:id="221670941" w:edGrp="everyone"/>
      <w:r w:rsidRPr="00DC0FD4">
        <w:rPr>
          <w:rFonts w:cstheme="minorHAnsi"/>
          <w:iCs/>
          <w:szCs w:val="20"/>
        </w:rPr>
        <w:t xml:space="preserve">Yes, we agree that adverse impact metrics should cover the full spectrum of ESG issues. Social issues should not be underrepresented compared to environmental issues. </w:t>
      </w:r>
      <w:r w:rsidRPr="00164D5F">
        <w:rPr>
          <w:rFonts w:cstheme="minorHAnsi"/>
          <w:iCs/>
          <w:szCs w:val="20"/>
        </w:rPr>
        <w:t xml:space="preserve">However, we would like to stress again </w:t>
      </w:r>
      <w:r>
        <w:rPr>
          <w:rFonts w:cstheme="minorHAnsi"/>
          <w:iCs/>
          <w:szCs w:val="20"/>
        </w:rPr>
        <w:t>the importance to consider</w:t>
      </w:r>
      <w:r w:rsidRPr="00164D5F">
        <w:rPr>
          <w:rFonts w:cstheme="minorHAnsi"/>
          <w:iCs/>
          <w:szCs w:val="20"/>
        </w:rPr>
        <w:t xml:space="preserve"> the materiality of the indicators as well as the</w:t>
      </w:r>
      <w:r>
        <w:rPr>
          <w:rFonts w:cstheme="minorHAnsi"/>
          <w:iCs/>
          <w:szCs w:val="20"/>
        </w:rPr>
        <w:t xml:space="preserve"> need to introduce</w:t>
      </w:r>
      <w:r w:rsidRPr="00164D5F">
        <w:rPr>
          <w:rFonts w:cstheme="minorHAnsi"/>
          <w:iCs/>
          <w:szCs w:val="20"/>
        </w:rPr>
        <w:t xml:space="preserve"> proportionality </w:t>
      </w:r>
      <w:r>
        <w:rPr>
          <w:rFonts w:cstheme="minorHAnsi"/>
          <w:iCs/>
          <w:szCs w:val="20"/>
        </w:rPr>
        <w:t>in the framework and tailor the</w:t>
      </w:r>
      <w:r w:rsidRPr="00164D5F">
        <w:rPr>
          <w:rFonts w:cstheme="minorHAnsi"/>
          <w:iCs/>
          <w:szCs w:val="20"/>
        </w:rPr>
        <w:t xml:space="preserve"> requirements </w:t>
      </w:r>
      <w:r>
        <w:rPr>
          <w:rFonts w:cstheme="minorHAnsi"/>
          <w:iCs/>
          <w:szCs w:val="20"/>
        </w:rPr>
        <w:t>to the specificities of</w:t>
      </w:r>
      <w:r w:rsidRPr="00164D5F">
        <w:rPr>
          <w:rFonts w:cstheme="minorHAnsi"/>
          <w:iCs/>
          <w:szCs w:val="20"/>
        </w:rPr>
        <w:t xml:space="preserve"> the different </w:t>
      </w:r>
      <w:r>
        <w:rPr>
          <w:rFonts w:cstheme="minorHAnsi"/>
          <w:iCs/>
          <w:szCs w:val="20"/>
        </w:rPr>
        <w:t>FMPs</w:t>
      </w:r>
      <w:r w:rsidRPr="00164D5F">
        <w:rPr>
          <w:rFonts w:cstheme="minorHAnsi"/>
          <w:iCs/>
          <w:szCs w:val="20"/>
        </w:rPr>
        <w:t>.</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8"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8"/>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10AF44C2" w14:textId="77777777" w:rsidR="00D0178B" w:rsidRDefault="00D0178B" w:rsidP="00D0178B">
      <w:pPr>
        <w:jc w:val="both"/>
        <w:rPr>
          <w:rFonts w:cstheme="minorHAnsi"/>
          <w:iCs/>
          <w:szCs w:val="20"/>
        </w:rPr>
      </w:pPr>
      <w:permStart w:id="610013876" w:edGrp="everyone"/>
      <w:r w:rsidRPr="00655290">
        <w:rPr>
          <w:rFonts w:cstheme="minorHAnsi"/>
          <w:b/>
          <w:bCs/>
          <w:iCs/>
          <w:szCs w:val="20"/>
        </w:rPr>
        <w:t>The ability to provide a historical comparison of principal adverse impact disclosures up to ten years will depend on the availability of data</w:t>
      </w:r>
      <w:r>
        <w:rPr>
          <w:rFonts w:cstheme="minorHAnsi"/>
          <w:iCs/>
          <w:szCs w:val="20"/>
        </w:rPr>
        <w:t xml:space="preserve"> on investee companies for such a period</w:t>
      </w:r>
      <w:r w:rsidRPr="00DC0FD4">
        <w:rPr>
          <w:rFonts w:cstheme="minorHAnsi"/>
          <w:iCs/>
          <w:szCs w:val="20"/>
        </w:rPr>
        <w:t xml:space="preserve">. Hence, providing this disclosure at initiation </w:t>
      </w:r>
      <w:r>
        <w:rPr>
          <w:rFonts w:cstheme="minorHAnsi"/>
          <w:iCs/>
          <w:szCs w:val="20"/>
        </w:rPr>
        <w:t xml:space="preserve">stage </w:t>
      </w:r>
      <w:r w:rsidRPr="00DC0FD4">
        <w:rPr>
          <w:rFonts w:cstheme="minorHAnsi"/>
          <w:iCs/>
          <w:szCs w:val="20"/>
        </w:rPr>
        <w:t xml:space="preserve">for up to ten years does not seem feasible. In addition, ten years seems </w:t>
      </w:r>
      <w:proofErr w:type="gramStart"/>
      <w:r w:rsidRPr="00DC0FD4">
        <w:rPr>
          <w:rFonts w:cstheme="minorHAnsi"/>
          <w:iCs/>
          <w:szCs w:val="20"/>
        </w:rPr>
        <w:t>pretty rich</w:t>
      </w:r>
      <w:proofErr w:type="gramEnd"/>
      <w:r w:rsidRPr="00DC0FD4">
        <w:rPr>
          <w:rFonts w:cstheme="minorHAnsi"/>
          <w:iCs/>
          <w:szCs w:val="20"/>
        </w:rPr>
        <w:t xml:space="preserve">. </w:t>
      </w:r>
      <w:r>
        <w:rPr>
          <w:rFonts w:cstheme="minorHAnsi"/>
          <w:iCs/>
          <w:szCs w:val="20"/>
        </w:rPr>
        <w:t xml:space="preserve">We would recommend </w:t>
      </w:r>
      <w:r w:rsidRPr="00DC0FD4">
        <w:rPr>
          <w:rFonts w:cstheme="minorHAnsi"/>
          <w:iCs/>
          <w:szCs w:val="20"/>
        </w:rPr>
        <w:t>build</w:t>
      </w:r>
      <w:r>
        <w:rPr>
          <w:rFonts w:cstheme="minorHAnsi"/>
          <w:iCs/>
          <w:szCs w:val="20"/>
        </w:rPr>
        <w:t>ing</w:t>
      </w:r>
      <w:r w:rsidRPr="00DC0FD4">
        <w:rPr>
          <w:rFonts w:cstheme="minorHAnsi"/>
          <w:iCs/>
          <w:szCs w:val="20"/>
        </w:rPr>
        <w:t xml:space="preserve"> up a rolling history of up to five year</w:t>
      </w:r>
      <w:r>
        <w:rPr>
          <w:rFonts w:cstheme="minorHAnsi"/>
          <w:iCs/>
          <w:szCs w:val="20"/>
        </w:rPr>
        <w:t>s</w:t>
      </w:r>
      <w:r w:rsidRPr="00DC0FD4">
        <w:rPr>
          <w:rFonts w:cstheme="minorHAnsi"/>
          <w:iCs/>
          <w:szCs w:val="20"/>
        </w:rPr>
        <w:t xml:space="preserve">. </w:t>
      </w:r>
    </w:p>
    <w:p w14:paraId="2EED8B7D" w14:textId="77777777" w:rsidR="00D0178B" w:rsidRDefault="00D0178B" w:rsidP="00D0178B">
      <w:pPr>
        <w:jc w:val="both"/>
        <w:rPr>
          <w:rFonts w:cstheme="minorHAnsi"/>
          <w:iCs/>
          <w:szCs w:val="20"/>
        </w:rPr>
      </w:pPr>
    </w:p>
    <w:p w14:paraId="3D5354FE" w14:textId="23CAE73F" w:rsidR="003E573C" w:rsidRPr="00D0178B" w:rsidRDefault="00D0178B" w:rsidP="00D0178B">
      <w:pPr>
        <w:jc w:val="both"/>
        <w:rPr>
          <w:rFonts w:cstheme="minorHAnsi"/>
          <w:iCs/>
          <w:szCs w:val="20"/>
        </w:rPr>
      </w:pPr>
      <w:r w:rsidRPr="00A77C05">
        <w:rPr>
          <w:rFonts w:cstheme="minorHAnsi"/>
          <w:iCs/>
          <w:szCs w:val="20"/>
        </w:rPr>
        <w:t>Ideally,</w:t>
      </w:r>
      <w:r w:rsidRPr="007E6B92">
        <w:rPr>
          <w:rFonts w:cstheme="minorHAnsi"/>
          <w:iCs/>
          <w:szCs w:val="20"/>
        </w:rPr>
        <w:t xml:space="preserve"> </w:t>
      </w:r>
      <w:r>
        <w:rPr>
          <w:rFonts w:cstheme="minorHAnsi"/>
          <w:iCs/>
          <w:szCs w:val="20"/>
        </w:rPr>
        <w:t>w</w:t>
      </w:r>
      <w:r w:rsidRPr="007E6B92">
        <w:rPr>
          <w:rFonts w:cstheme="minorHAnsi"/>
          <w:iCs/>
          <w:szCs w:val="20"/>
        </w:rPr>
        <w:t xml:space="preserve">e should be looking </w:t>
      </w:r>
      <w:r>
        <w:rPr>
          <w:rFonts w:cstheme="minorHAnsi"/>
          <w:iCs/>
          <w:szCs w:val="20"/>
        </w:rPr>
        <w:t>x</w:t>
      </w:r>
      <w:r w:rsidRPr="007E6B92">
        <w:rPr>
          <w:rFonts w:cstheme="minorHAnsi"/>
          <w:iCs/>
          <w:szCs w:val="20"/>
        </w:rPr>
        <w:t xml:space="preserve"> years ahead rather than </w:t>
      </w:r>
      <w:r>
        <w:rPr>
          <w:rFonts w:cstheme="minorHAnsi"/>
          <w:iCs/>
          <w:szCs w:val="20"/>
        </w:rPr>
        <w:t>x</w:t>
      </w:r>
      <w:r w:rsidRPr="007E6B92">
        <w:rPr>
          <w:rFonts w:cstheme="minorHAnsi"/>
          <w:iCs/>
          <w:szCs w:val="20"/>
        </w:rPr>
        <w:t xml:space="preserve"> years back</w:t>
      </w:r>
      <w:r>
        <w:rPr>
          <w:rFonts w:cstheme="minorHAnsi"/>
          <w:iCs/>
          <w:szCs w:val="20"/>
        </w:rPr>
        <w:t xml:space="preserve">. As explained in the answers to the previous questions, we see merits in including voluntary forward-looking indicators for the purpose of principal adverse impacts disclosures under article 4, </w:t>
      </w:r>
      <w:proofErr w:type="gramStart"/>
      <w:r>
        <w:rPr>
          <w:rFonts w:cstheme="minorHAnsi"/>
          <w:iCs/>
          <w:szCs w:val="20"/>
        </w:rPr>
        <w:t>in order to</w:t>
      </w:r>
      <w:proofErr w:type="gramEnd"/>
      <w:r>
        <w:rPr>
          <w:rFonts w:cstheme="minorHAnsi"/>
          <w:iCs/>
          <w:szCs w:val="20"/>
        </w:rPr>
        <w:t xml:space="preserve"> ensure that the new framework adequately fosters the transition. Notwithstanding this, the framework should not impose a double approach based on forward-looking indicators on top of historical data and only select one of these options.</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115A764B" w14:textId="77777777" w:rsidR="00D0178B" w:rsidRPr="0098038B" w:rsidRDefault="00D0178B" w:rsidP="00D0178B">
      <w:pPr>
        <w:rPr>
          <w:b/>
          <w:bCs/>
          <w:szCs w:val="20"/>
          <w:u w:val="single"/>
          <w:lang w:val="en-US"/>
        </w:rPr>
      </w:pPr>
      <w:permStart w:id="790175202" w:edGrp="everyone"/>
      <w:r w:rsidRPr="0098038B">
        <w:rPr>
          <w:szCs w:val="20"/>
          <w:lang w:val="en-US"/>
        </w:rPr>
        <w:t xml:space="preserve">We are not entirely sure we understand the issue. The feedback given during the hearing on these RTS seemed to indicate that FMP should ‘weight’ their exposure to an investment (and therefore the adverse impacts) with the time that the asset is held during the reference period. Although this may give rise to all </w:t>
      </w:r>
      <w:r w:rsidRPr="0098038B">
        <w:rPr>
          <w:szCs w:val="20"/>
          <w:lang w:val="en-US"/>
        </w:rPr>
        <w:lastRenderedPageBreak/>
        <w:t>sorts of practical challenges, this would avoid window dressing by changing the portfolio around the reference date.</w:t>
      </w:r>
    </w:p>
    <w:p w14:paraId="5678E653" w14:textId="77777777" w:rsidR="00D0178B" w:rsidRDefault="00D0178B" w:rsidP="00D0178B">
      <w:pPr>
        <w:jc w:val="both"/>
        <w:rPr>
          <w:rFonts w:cstheme="minorHAnsi"/>
          <w:bCs/>
          <w:color w:val="4F81BD"/>
          <w:szCs w:val="20"/>
          <w:lang w:bidi="en-US"/>
        </w:rPr>
      </w:pPr>
    </w:p>
    <w:p w14:paraId="5C070307" w14:textId="00631A99" w:rsidR="003E573C" w:rsidRPr="00D0178B" w:rsidRDefault="00D0178B" w:rsidP="00D0178B">
      <w:pPr>
        <w:jc w:val="both"/>
        <w:rPr>
          <w:rFonts w:cstheme="minorHAnsi"/>
          <w:iCs/>
          <w:szCs w:val="20"/>
        </w:rPr>
      </w:pPr>
      <w:r>
        <w:rPr>
          <w:rFonts w:cstheme="minorHAnsi"/>
          <w:iCs/>
          <w:szCs w:val="20"/>
        </w:rPr>
        <w:t>It is also worth pointing out that</w:t>
      </w:r>
      <w:r w:rsidRPr="007E6B92">
        <w:rPr>
          <w:rFonts w:cstheme="minorHAnsi"/>
          <w:iCs/>
          <w:szCs w:val="20"/>
        </w:rPr>
        <w:t xml:space="preserve"> </w:t>
      </w:r>
      <w:r>
        <w:rPr>
          <w:rFonts w:cstheme="minorHAnsi"/>
          <w:iCs/>
          <w:szCs w:val="20"/>
        </w:rPr>
        <w:t xml:space="preserve">the aggregation method used implies that for each indicators, the final score is achieved by computing the </w:t>
      </w:r>
      <w:r w:rsidRPr="007E6B92">
        <w:rPr>
          <w:rFonts w:cstheme="minorHAnsi"/>
          <w:iCs/>
          <w:szCs w:val="20"/>
        </w:rPr>
        <w:t>averag</w:t>
      </w:r>
      <w:r>
        <w:rPr>
          <w:rFonts w:cstheme="minorHAnsi"/>
          <w:iCs/>
          <w:szCs w:val="20"/>
        </w:rPr>
        <w:t>e</w:t>
      </w:r>
      <w:r w:rsidRPr="007E6B92">
        <w:rPr>
          <w:rFonts w:cstheme="minorHAnsi"/>
          <w:iCs/>
          <w:szCs w:val="20"/>
        </w:rPr>
        <w:t xml:space="preserve"> </w:t>
      </w:r>
      <w:r>
        <w:rPr>
          <w:rFonts w:cstheme="minorHAnsi"/>
          <w:iCs/>
          <w:szCs w:val="20"/>
        </w:rPr>
        <w:t>of the scores achieved for each investment (average emissions</w:t>
      </w:r>
      <w:r w:rsidRPr="007E6B92">
        <w:rPr>
          <w:rFonts w:cstheme="minorHAnsi"/>
          <w:iCs/>
          <w:szCs w:val="20"/>
        </w:rPr>
        <w:t xml:space="preserve"> across all equity investments</w:t>
      </w:r>
      <w:r>
        <w:rPr>
          <w:rFonts w:cstheme="minorHAnsi"/>
          <w:iCs/>
          <w:szCs w:val="20"/>
        </w:rPr>
        <w:t xml:space="preserve"> for example), which would not provide relevant information on the invested sectors and may lead to misinterpretation of the results. This approach also creates room for potential window dressing, relocating</w:t>
      </w:r>
      <w:r w:rsidRPr="007E6B92">
        <w:rPr>
          <w:rFonts w:cstheme="minorHAnsi"/>
          <w:iCs/>
          <w:szCs w:val="20"/>
        </w:rPr>
        <w:t xml:space="preserve"> assets into low emission sectors such as </w:t>
      </w:r>
      <w:r>
        <w:rPr>
          <w:rFonts w:cstheme="minorHAnsi"/>
          <w:iCs/>
          <w:szCs w:val="20"/>
        </w:rPr>
        <w:t xml:space="preserve">the </w:t>
      </w:r>
      <w:r w:rsidRPr="007E6B92">
        <w:rPr>
          <w:rFonts w:cstheme="minorHAnsi"/>
          <w:iCs/>
          <w:szCs w:val="20"/>
        </w:rPr>
        <w:t>banking</w:t>
      </w:r>
      <w:r>
        <w:rPr>
          <w:rFonts w:cstheme="minorHAnsi"/>
          <w:iCs/>
          <w:szCs w:val="20"/>
        </w:rPr>
        <w:t xml:space="preserve"> sector</w:t>
      </w:r>
      <w:r w:rsidRPr="007E6B92">
        <w:rPr>
          <w:rFonts w:cstheme="minorHAnsi"/>
          <w:iCs/>
          <w:szCs w:val="20"/>
        </w:rPr>
        <w:t xml:space="preserve"> or services</w:t>
      </w:r>
      <w:r>
        <w:rPr>
          <w:rFonts w:cstheme="minorHAnsi"/>
          <w:iCs/>
          <w:szCs w:val="20"/>
        </w:rPr>
        <w:t xml:space="preserve"> will allow to improve the final score but may lower the contribution to the green transition since the impacts may be greater for investments in the energy sector.</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67697905" w14:textId="77777777" w:rsidR="00D0178B" w:rsidRDefault="00D0178B" w:rsidP="00D0178B">
      <w:pPr>
        <w:jc w:val="both"/>
        <w:rPr>
          <w:rFonts w:cstheme="minorHAnsi"/>
          <w:iCs/>
          <w:szCs w:val="20"/>
        </w:rPr>
      </w:pPr>
      <w:bookmarkStart w:id="9" w:name="_Hlk49501638"/>
      <w:permStart w:id="800330460" w:edGrp="everyone"/>
      <w:r w:rsidRPr="00655290">
        <w:rPr>
          <w:rFonts w:cstheme="minorHAnsi"/>
          <w:b/>
          <w:bCs/>
          <w:iCs/>
          <w:szCs w:val="20"/>
        </w:rPr>
        <w:t>The scope of article 8 and article 9 products must be clarified.</w:t>
      </w:r>
      <w:r>
        <w:rPr>
          <w:rFonts w:cstheme="minorHAnsi"/>
          <w:iCs/>
          <w:szCs w:val="20"/>
        </w:rPr>
        <w:t xml:space="preserve"> Uncertainty on the scope of article 8 and article 9 should be minimised as it creates legal risk for FMPs. </w:t>
      </w:r>
    </w:p>
    <w:bookmarkEnd w:id="9"/>
    <w:p w14:paraId="54549F97" w14:textId="77777777" w:rsidR="00D0178B" w:rsidRDefault="00D0178B" w:rsidP="00D0178B">
      <w:pPr>
        <w:jc w:val="both"/>
        <w:rPr>
          <w:szCs w:val="20"/>
          <w:lang w:val="en-US"/>
        </w:rPr>
      </w:pPr>
    </w:p>
    <w:p w14:paraId="4D7B377A" w14:textId="77777777" w:rsidR="00D0178B" w:rsidRPr="0039352D" w:rsidRDefault="00D0178B" w:rsidP="00D0178B">
      <w:pPr>
        <w:jc w:val="both"/>
        <w:rPr>
          <w:szCs w:val="20"/>
          <w:lang w:val="en-US"/>
        </w:rPr>
      </w:pPr>
      <w:r w:rsidRPr="00655290">
        <w:rPr>
          <w:b/>
          <w:bCs/>
          <w:szCs w:val="20"/>
          <w:lang w:val="en-US"/>
        </w:rPr>
        <w:t>It is noteworthy the IORP II Directive already requires IORPs to provide ESG information to their members and beneficiaries</w:t>
      </w:r>
      <w:r>
        <w:rPr>
          <w:szCs w:val="20"/>
          <w:lang w:val="en-US"/>
        </w:rPr>
        <w:t>. Consistency must be ensured between all the ESG disclosure requirements set up by the IORP II Directive and SFDR. A</w:t>
      </w:r>
      <w:r w:rsidRPr="0039352D">
        <w:rPr>
          <w:szCs w:val="20"/>
          <w:lang w:val="en-US"/>
        </w:rPr>
        <w:t>rticle 30 of the IORP II Directive requires IORPs to publicly release a written statement of investment-policy principles that should describe among other elements, how the investment policy takes environmental, social and governance factors into account. In addition, article 41 of the IORP II Directive requires IORPs to ensure that prospective members who are not automatically enrolled in a pension scheme are informed, before they join that pension scheme, about information on whether and how environmental, climate, social and corporate governance factors are considered in the investment approach</w:t>
      </w:r>
      <w:r>
        <w:rPr>
          <w:szCs w:val="20"/>
          <w:lang w:val="en-US"/>
        </w:rPr>
        <w:t>. In the case of prospective members who are automatically enrolled in a pension scheme, this information should be provided after their enrolment, as in this case, members do not have the possibility to make an investment choice.</w:t>
      </w:r>
    </w:p>
    <w:p w14:paraId="0B0C1213" w14:textId="77777777" w:rsidR="00D0178B" w:rsidRDefault="00D0178B" w:rsidP="00D0178B">
      <w:pPr>
        <w:jc w:val="both"/>
        <w:rPr>
          <w:szCs w:val="20"/>
          <w:lang w:val="en-US"/>
        </w:rPr>
      </w:pPr>
    </w:p>
    <w:p w14:paraId="691E12B4" w14:textId="77777777" w:rsidR="00D0178B" w:rsidRDefault="00D0178B" w:rsidP="00D0178B">
      <w:pPr>
        <w:jc w:val="both"/>
        <w:rPr>
          <w:szCs w:val="20"/>
          <w:lang w:val="en-US"/>
        </w:rPr>
      </w:pPr>
      <w:bookmarkStart w:id="10" w:name="_Hlk49501662"/>
      <w:r w:rsidRPr="00655290">
        <w:rPr>
          <w:b/>
          <w:bCs/>
          <w:szCs w:val="20"/>
          <w:lang w:val="en-US"/>
        </w:rPr>
        <w:t>The disclosures proposed under article 8 and article 9 should fit with the information needs of IORPs’ members and beneficiaries</w:t>
      </w:r>
      <w:r>
        <w:rPr>
          <w:szCs w:val="20"/>
          <w:lang w:val="en-US"/>
        </w:rPr>
        <w:t>. It is important to stress that information overload in pensions disclosures should be minimised</w:t>
      </w:r>
      <w:r w:rsidRPr="00E52D43">
        <w:rPr>
          <w:szCs w:val="20"/>
          <w:lang w:val="en-US"/>
        </w:rPr>
        <w:t xml:space="preserve"> </w:t>
      </w:r>
      <w:r>
        <w:rPr>
          <w:szCs w:val="20"/>
          <w:lang w:val="en-US"/>
        </w:rPr>
        <w:t xml:space="preserve">as it may </w:t>
      </w:r>
      <w:r w:rsidRPr="00F353E4">
        <w:rPr>
          <w:szCs w:val="20"/>
          <w:lang w:val="en-US"/>
        </w:rPr>
        <w:t>further disenfranchis</w:t>
      </w:r>
      <w:r>
        <w:rPr>
          <w:szCs w:val="20"/>
          <w:lang w:val="en-US"/>
        </w:rPr>
        <w:t xml:space="preserve">e </w:t>
      </w:r>
      <w:r w:rsidRPr="00F353E4">
        <w:rPr>
          <w:szCs w:val="20"/>
          <w:lang w:val="en-US"/>
        </w:rPr>
        <w:t>individuals from their pensions</w:t>
      </w:r>
      <w:r>
        <w:rPr>
          <w:szCs w:val="20"/>
          <w:lang w:val="en-US"/>
        </w:rPr>
        <w:t xml:space="preserve">. It is </w:t>
      </w:r>
      <w:r w:rsidRPr="00F353E4">
        <w:rPr>
          <w:szCs w:val="20"/>
          <w:lang w:val="en-US"/>
        </w:rPr>
        <w:t>very difficult to get individuals interested in their</w:t>
      </w:r>
      <w:r>
        <w:rPr>
          <w:szCs w:val="20"/>
          <w:lang w:val="en-US"/>
        </w:rPr>
        <w:t xml:space="preserve"> </w:t>
      </w:r>
      <w:r w:rsidRPr="00F353E4">
        <w:rPr>
          <w:szCs w:val="20"/>
          <w:lang w:val="en-US"/>
        </w:rPr>
        <w:t>pensions and most participants do not engage with essential</w:t>
      </w:r>
      <w:r>
        <w:rPr>
          <w:szCs w:val="20"/>
          <w:lang w:val="en-US"/>
        </w:rPr>
        <w:t xml:space="preserve"> </w:t>
      </w:r>
      <w:r w:rsidRPr="00F353E4">
        <w:rPr>
          <w:szCs w:val="20"/>
          <w:lang w:val="en-US"/>
        </w:rPr>
        <w:t>information, such as their expected pension</w:t>
      </w:r>
      <w:r>
        <w:rPr>
          <w:szCs w:val="20"/>
          <w:lang w:val="en-US"/>
        </w:rPr>
        <w:t xml:space="preserve"> (see answer to question 15)</w:t>
      </w:r>
      <w:r w:rsidRPr="00F353E4">
        <w:rPr>
          <w:szCs w:val="20"/>
          <w:lang w:val="en-US"/>
        </w:rPr>
        <w:t xml:space="preserve">. </w:t>
      </w:r>
    </w:p>
    <w:bookmarkEnd w:id="10"/>
    <w:p w14:paraId="41C07F3F" w14:textId="77777777" w:rsidR="00D0178B" w:rsidRDefault="00D0178B" w:rsidP="00D0178B">
      <w:pPr>
        <w:jc w:val="both"/>
        <w:rPr>
          <w:szCs w:val="20"/>
          <w:lang w:val="en-US"/>
        </w:rPr>
      </w:pPr>
    </w:p>
    <w:p w14:paraId="10DE7765" w14:textId="77777777" w:rsidR="00D0178B" w:rsidRDefault="00D0178B" w:rsidP="00D0178B">
      <w:pPr>
        <w:jc w:val="both"/>
        <w:rPr>
          <w:szCs w:val="20"/>
          <w:lang w:val="en-US"/>
        </w:rPr>
      </w:pPr>
      <w:bookmarkStart w:id="11" w:name="_Hlk49501691"/>
      <w:r>
        <w:rPr>
          <w:szCs w:val="20"/>
          <w:lang w:val="en-US"/>
        </w:rPr>
        <w:t>Furthermore, t</w:t>
      </w:r>
      <w:r w:rsidRPr="00636DD5">
        <w:rPr>
          <w:szCs w:val="20"/>
          <w:lang w:val="en-US"/>
        </w:rPr>
        <w:t xml:space="preserve">he application of an investment policy which takes into account ESG elements simply from a governance, a prudential or a risk perspective should not </w:t>
      </w:r>
      <w:r>
        <w:rPr>
          <w:szCs w:val="20"/>
          <w:lang w:val="en-US"/>
        </w:rPr>
        <w:t xml:space="preserve">always </w:t>
      </w:r>
      <w:r w:rsidRPr="00636DD5">
        <w:rPr>
          <w:szCs w:val="20"/>
          <w:lang w:val="en-US"/>
        </w:rPr>
        <w:t>be seen as promoting environmental or social characteristics or having environmental or social objectives and should therefore not</w:t>
      </w:r>
      <w:r>
        <w:rPr>
          <w:szCs w:val="20"/>
          <w:lang w:val="en-US"/>
        </w:rPr>
        <w:t xml:space="preserve"> automatically</w:t>
      </w:r>
      <w:r w:rsidRPr="00636DD5">
        <w:rPr>
          <w:szCs w:val="20"/>
          <w:lang w:val="en-US"/>
        </w:rPr>
        <w:t xml:space="preserve"> lead to excessive disclosure requirements under </w:t>
      </w:r>
      <w:r>
        <w:rPr>
          <w:szCs w:val="20"/>
          <w:lang w:val="en-US"/>
        </w:rPr>
        <w:t>article 8 and article 9 of SFDR</w:t>
      </w:r>
      <w:r w:rsidRPr="00636DD5">
        <w:rPr>
          <w:szCs w:val="20"/>
          <w:lang w:val="en-US"/>
        </w:rPr>
        <w:t>.</w:t>
      </w:r>
    </w:p>
    <w:p w14:paraId="4197198F" w14:textId="77777777" w:rsidR="00D0178B" w:rsidRDefault="00D0178B" w:rsidP="00D0178B">
      <w:pPr>
        <w:jc w:val="both"/>
        <w:rPr>
          <w:rFonts w:cstheme="minorHAnsi"/>
          <w:iCs/>
          <w:szCs w:val="20"/>
        </w:rPr>
      </w:pPr>
    </w:p>
    <w:p w14:paraId="5CBC61CF" w14:textId="77777777" w:rsidR="00D0178B" w:rsidRPr="005E7912" w:rsidRDefault="00D0178B" w:rsidP="00D0178B">
      <w:pPr>
        <w:jc w:val="both"/>
        <w:rPr>
          <w:szCs w:val="20"/>
          <w:lang w:val="en-US"/>
        </w:rPr>
      </w:pPr>
      <w:r>
        <w:rPr>
          <w:szCs w:val="20"/>
          <w:lang w:val="en-US"/>
        </w:rPr>
        <w:t xml:space="preserve">In many countries, members and beneficiaries do not have the possibility to make an investment choice. In these countries, </w:t>
      </w:r>
      <w:r w:rsidRPr="00610217">
        <w:rPr>
          <w:szCs w:val="20"/>
          <w:lang w:val="en-US"/>
        </w:rPr>
        <w:t xml:space="preserve">IORPs </w:t>
      </w:r>
      <w:r>
        <w:rPr>
          <w:szCs w:val="20"/>
          <w:lang w:val="en-US"/>
        </w:rPr>
        <w:t xml:space="preserve">often </w:t>
      </w:r>
      <w:r w:rsidRPr="00610217">
        <w:rPr>
          <w:szCs w:val="20"/>
          <w:lang w:val="en-US"/>
        </w:rPr>
        <w:t>have no commercial character and there is no competition between them due to</w:t>
      </w:r>
      <w:r>
        <w:rPr>
          <w:szCs w:val="20"/>
          <w:lang w:val="en-US"/>
        </w:rPr>
        <w:t xml:space="preserve"> the rules laid down in national social and labour law</w:t>
      </w:r>
      <w:r>
        <w:rPr>
          <w:rStyle w:val="FootnoteReference"/>
          <w:szCs w:val="20"/>
          <w:lang w:val="en-US"/>
        </w:rPr>
        <w:footnoteReference w:id="6"/>
      </w:r>
      <w:r w:rsidRPr="00610217">
        <w:rPr>
          <w:szCs w:val="20"/>
          <w:lang w:val="en-US"/>
        </w:rPr>
        <w:t xml:space="preserve">. </w:t>
      </w:r>
      <w:bookmarkEnd w:id="11"/>
      <w:r>
        <w:rPr>
          <w:szCs w:val="20"/>
          <w:lang w:val="en-US"/>
        </w:rPr>
        <w:t xml:space="preserve">In these countries, pension plans are </w:t>
      </w:r>
      <w:r w:rsidRPr="005E7912">
        <w:rPr>
          <w:szCs w:val="20"/>
          <w:lang w:val="en-US"/>
        </w:rPr>
        <w:t xml:space="preserve">set up by a company or a sector </w:t>
      </w:r>
      <w:r>
        <w:rPr>
          <w:szCs w:val="20"/>
          <w:lang w:val="en-US"/>
        </w:rPr>
        <w:t>with</w:t>
      </w:r>
      <w:r w:rsidRPr="005E7912">
        <w:rPr>
          <w:szCs w:val="20"/>
          <w:lang w:val="en-US"/>
        </w:rPr>
        <w:t xml:space="preserve"> the following characteristics:</w:t>
      </w:r>
    </w:p>
    <w:p w14:paraId="42011A64" w14:textId="77777777" w:rsidR="00D0178B" w:rsidRPr="005E7912" w:rsidRDefault="00D0178B" w:rsidP="00D0178B">
      <w:pPr>
        <w:pStyle w:val="ListParagraph"/>
        <w:numPr>
          <w:ilvl w:val="0"/>
          <w:numId w:val="47"/>
        </w:numPr>
        <w:spacing w:after="160" w:line="259" w:lineRule="auto"/>
        <w:jc w:val="both"/>
        <w:rPr>
          <w:szCs w:val="20"/>
          <w:lang w:val="en-US"/>
        </w:rPr>
      </w:pPr>
      <w:r>
        <w:rPr>
          <w:szCs w:val="20"/>
          <w:lang w:val="en-US"/>
        </w:rPr>
        <w:t>E</w:t>
      </w:r>
      <w:r w:rsidRPr="005E7912">
        <w:rPr>
          <w:szCs w:val="20"/>
          <w:lang w:val="en-US"/>
        </w:rPr>
        <w:t xml:space="preserve">mployees </w:t>
      </w:r>
      <w:r>
        <w:rPr>
          <w:szCs w:val="20"/>
          <w:lang w:val="en-US"/>
        </w:rPr>
        <w:t>have no investment choice and do not take any investment decisions</w:t>
      </w:r>
    </w:p>
    <w:p w14:paraId="3F5E4026" w14:textId="77777777" w:rsidR="00D0178B" w:rsidRPr="005E7912" w:rsidRDefault="00D0178B" w:rsidP="00D0178B">
      <w:pPr>
        <w:pStyle w:val="ListParagraph"/>
        <w:numPr>
          <w:ilvl w:val="0"/>
          <w:numId w:val="47"/>
        </w:numPr>
        <w:spacing w:after="160" w:line="259" w:lineRule="auto"/>
        <w:jc w:val="both"/>
        <w:rPr>
          <w:szCs w:val="20"/>
          <w:lang w:val="en-US"/>
        </w:rPr>
      </w:pPr>
      <w:r w:rsidRPr="005E7912">
        <w:rPr>
          <w:szCs w:val="20"/>
          <w:lang w:val="en-US"/>
        </w:rPr>
        <w:t>The board of the IORP has an equal representation of the employees and employers</w:t>
      </w:r>
    </w:p>
    <w:p w14:paraId="1DCFD922" w14:textId="77777777" w:rsidR="00D0178B" w:rsidRPr="005E7912" w:rsidRDefault="00D0178B" w:rsidP="00D0178B">
      <w:pPr>
        <w:pStyle w:val="ListParagraph"/>
        <w:numPr>
          <w:ilvl w:val="0"/>
          <w:numId w:val="47"/>
        </w:numPr>
        <w:spacing w:after="160" w:line="259" w:lineRule="auto"/>
        <w:jc w:val="both"/>
        <w:rPr>
          <w:szCs w:val="20"/>
          <w:lang w:val="en-US"/>
        </w:rPr>
      </w:pPr>
      <w:r w:rsidRPr="005E7912">
        <w:rPr>
          <w:szCs w:val="20"/>
          <w:lang w:val="en-US"/>
        </w:rPr>
        <w:t>All investment decisions are taken by the board of the pension fund</w:t>
      </w:r>
    </w:p>
    <w:p w14:paraId="49C9B356" w14:textId="77777777" w:rsidR="00D0178B" w:rsidRPr="005E7912" w:rsidRDefault="00D0178B" w:rsidP="00D0178B">
      <w:pPr>
        <w:pStyle w:val="ListParagraph"/>
        <w:numPr>
          <w:ilvl w:val="0"/>
          <w:numId w:val="47"/>
        </w:numPr>
        <w:spacing w:after="160" w:line="259" w:lineRule="auto"/>
        <w:jc w:val="both"/>
        <w:rPr>
          <w:szCs w:val="20"/>
          <w:lang w:val="en-US"/>
        </w:rPr>
      </w:pPr>
      <w:r w:rsidRPr="005E7912">
        <w:rPr>
          <w:szCs w:val="20"/>
          <w:lang w:val="en-US"/>
        </w:rPr>
        <w:t>Following the IORP legislation</w:t>
      </w:r>
      <w:r>
        <w:rPr>
          <w:szCs w:val="20"/>
          <w:lang w:val="en-US"/>
        </w:rPr>
        <w:t>,</w:t>
      </w:r>
      <w:r w:rsidRPr="005E7912">
        <w:rPr>
          <w:szCs w:val="20"/>
          <w:lang w:val="en-US"/>
        </w:rPr>
        <w:t xml:space="preserve"> the board </w:t>
      </w:r>
      <w:proofErr w:type="gramStart"/>
      <w:r w:rsidRPr="005E7912">
        <w:rPr>
          <w:szCs w:val="20"/>
          <w:lang w:val="en-US"/>
        </w:rPr>
        <w:t>takes into account</w:t>
      </w:r>
      <w:proofErr w:type="gramEnd"/>
      <w:r w:rsidRPr="005E7912">
        <w:rPr>
          <w:szCs w:val="20"/>
          <w:lang w:val="en-US"/>
        </w:rPr>
        <w:t xml:space="preserve"> ESG considerations in their risk management</w:t>
      </w:r>
    </w:p>
    <w:p w14:paraId="23FB69AB" w14:textId="7B137DDF" w:rsidR="003E573C" w:rsidRPr="00D0178B" w:rsidRDefault="00D0178B" w:rsidP="00D0178B">
      <w:pPr>
        <w:jc w:val="both"/>
        <w:rPr>
          <w:szCs w:val="20"/>
          <w:lang w:val="en-US"/>
        </w:rPr>
      </w:pPr>
      <w:bookmarkStart w:id="12" w:name="_Hlk49501706"/>
      <w:r w:rsidRPr="00655290">
        <w:rPr>
          <w:b/>
          <w:bCs/>
          <w:szCs w:val="20"/>
          <w:lang w:val="en-US"/>
        </w:rPr>
        <w:lastRenderedPageBreak/>
        <w:t>It would be inappropriate to impose to IORPs with the above-mentioned characteristics, the same transparency requirements than those applying to big commercial financial entities.</w:t>
      </w:r>
      <w:r w:rsidRPr="00610217">
        <w:rPr>
          <w:szCs w:val="20"/>
          <w:lang w:val="en-US"/>
        </w:rPr>
        <w:t xml:space="preserve"> </w:t>
      </w:r>
      <w:r>
        <w:rPr>
          <w:szCs w:val="20"/>
          <w:lang w:val="en-US"/>
        </w:rPr>
        <w:t>The purpose of pre-contractual ESG disclosures is to</w:t>
      </w:r>
      <w:r w:rsidRPr="00636DD5">
        <w:rPr>
          <w:szCs w:val="20"/>
          <w:lang w:val="en-US"/>
        </w:rPr>
        <w:t xml:space="preserve"> promote greater transparency for end investors. In </w:t>
      </w:r>
      <w:r>
        <w:rPr>
          <w:szCs w:val="20"/>
          <w:lang w:val="en-US"/>
        </w:rPr>
        <w:t>these</w:t>
      </w:r>
      <w:r w:rsidRPr="00636DD5">
        <w:rPr>
          <w:szCs w:val="20"/>
          <w:lang w:val="en-US"/>
        </w:rPr>
        <w:t xml:space="preserve"> situations where investment decisions are taken by the board, the IORP itself </w:t>
      </w:r>
      <w:r>
        <w:rPr>
          <w:szCs w:val="20"/>
          <w:lang w:val="en-US"/>
        </w:rPr>
        <w:t>must be considered as the</w:t>
      </w:r>
      <w:r w:rsidRPr="00636DD5">
        <w:rPr>
          <w:szCs w:val="20"/>
          <w:lang w:val="en-US"/>
        </w:rPr>
        <w:t xml:space="preserve"> end investor.</w:t>
      </w:r>
      <w:bookmarkStart w:id="13" w:name="_Hlk49239832"/>
      <w:r>
        <w:rPr>
          <w:szCs w:val="20"/>
          <w:lang w:val="en-US"/>
        </w:rPr>
        <w:t xml:space="preserve"> </w:t>
      </w:r>
      <w:r>
        <w:rPr>
          <w:rFonts w:cstheme="minorHAnsi"/>
          <w:iCs/>
          <w:szCs w:val="20"/>
        </w:rPr>
        <w:t>When members and beneficiaries have no investment choice, t</w:t>
      </w:r>
      <w:r w:rsidRPr="00995A8A">
        <w:rPr>
          <w:rFonts w:cstheme="minorHAnsi"/>
          <w:iCs/>
          <w:szCs w:val="20"/>
        </w:rPr>
        <w:t>he ‘greenwashing’ objective of the Regulation is irrelevant as ESG is n</w:t>
      </w:r>
      <w:r>
        <w:rPr>
          <w:rFonts w:cstheme="minorHAnsi"/>
          <w:iCs/>
          <w:szCs w:val="20"/>
        </w:rPr>
        <w:t>ever</w:t>
      </w:r>
      <w:r w:rsidRPr="00995A8A">
        <w:rPr>
          <w:rFonts w:cstheme="minorHAnsi"/>
          <w:iCs/>
          <w:szCs w:val="20"/>
        </w:rPr>
        <w:t xml:space="preserve"> used as a selling point.</w:t>
      </w:r>
      <w:bookmarkEnd w:id="12"/>
      <w:bookmarkEnd w:id="13"/>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3590628E" w:rsidR="003E573C" w:rsidRPr="00D0178B" w:rsidRDefault="00D0178B" w:rsidP="00D0178B">
      <w:pPr>
        <w:jc w:val="both"/>
        <w:rPr>
          <w:rFonts w:cstheme="minorHAnsi"/>
          <w:iCs/>
          <w:szCs w:val="20"/>
        </w:rPr>
      </w:pPr>
      <w:permStart w:id="1179406826" w:edGrp="everyone"/>
      <w:r w:rsidRPr="00995A8A">
        <w:rPr>
          <w:rFonts w:cstheme="minorHAnsi"/>
          <w:iCs/>
          <w:szCs w:val="20"/>
        </w:rPr>
        <w:t xml:space="preserve">They should be </w:t>
      </w:r>
      <w:r>
        <w:rPr>
          <w:rFonts w:cstheme="minorHAnsi"/>
          <w:iCs/>
          <w:szCs w:val="20"/>
        </w:rPr>
        <w:t>developed</w:t>
      </w:r>
      <w:r w:rsidRPr="00995A8A">
        <w:rPr>
          <w:rFonts w:cstheme="minorHAnsi"/>
          <w:iCs/>
          <w:szCs w:val="20"/>
        </w:rPr>
        <w:t xml:space="preserve"> in such a way that they are eas</w:t>
      </w:r>
      <w:r>
        <w:rPr>
          <w:rFonts w:cstheme="minorHAnsi"/>
          <w:iCs/>
          <w:szCs w:val="20"/>
        </w:rPr>
        <w:t>ily</w:t>
      </w:r>
      <w:r w:rsidRPr="00995A8A">
        <w:rPr>
          <w:rFonts w:cstheme="minorHAnsi"/>
          <w:iCs/>
          <w:szCs w:val="20"/>
        </w:rPr>
        <w:t xml:space="preserve"> readable for consumers and the information should be limited as e.g. stated in the PRIPP KIDs. </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73CCB7B7" w14:textId="77777777" w:rsidR="00D0178B" w:rsidRPr="0098038B" w:rsidRDefault="00D0178B" w:rsidP="00D0178B">
      <w:pPr>
        <w:jc w:val="both"/>
        <w:rPr>
          <w:rFonts w:cstheme="minorHAnsi"/>
          <w:iCs/>
          <w:szCs w:val="20"/>
        </w:rPr>
      </w:pPr>
      <w:permStart w:id="1271138379" w:edGrp="everyone"/>
      <w:r w:rsidRPr="0098038B">
        <w:rPr>
          <w:rFonts w:cstheme="minorHAnsi"/>
          <w:iCs/>
          <w:szCs w:val="20"/>
        </w:rPr>
        <w:t>It is our understanding that pre-contractual information to members can be communicated through the website due to the reference of Article 15 of the Disclosure Regulation, which refers to IORP2 Article 36(2)f, depending on the national implementation of the IORP2 Directive. Nevertheless, the draft RTS would still inhibit pension funds to communicate in an understandable way to members on their website, by having too much and too detailed information there.</w:t>
      </w:r>
    </w:p>
    <w:p w14:paraId="0FB0E750" w14:textId="77777777" w:rsidR="00D0178B" w:rsidRPr="00DC0FD4" w:rsidRDefault="00D0178B" w:rsidP="00D0178B">
      <w:pPr>
        <w:jc w:val="both"/>
        <w:rPr>
          <w:rFonts w:cstheme="minorHAnsi"/>
          <w:bCs/>
          <w:color w:val="4F81BD"/>
          <w:szCs w:val="20"/>
          <w:lang w:bidi="en-US"/>
        </w:rPr>
      </w:pPr>
    </w:p>
    <w:p w14:paraId="10A6970C" w14:textId="77777777" w:rsidR="00D0178B" w:rsidRPr="00995A8A" w:rsidRDefault="00D0178B" w:rsidP="00D0178B">
      <w:pPr>
        <w:jc w:val="both"/>
        <w:rPr>
          <w:rFonts w:cstheme="minorHAnsi"/>
          <w:iCs/>
          <w:szCs w:val="20"/>
        </w:rPr>
      </w:pPr>
      <w:r>
        <w:rPr>
          <w:rFonts w:cstheme="minorHAnsi"/>
          <w:iCs/>
          <w:szCs w:val="20"/>
        </w:rPr>
        <w:t>Pension</w:t>
      </w:r>
      <w:r w:rsidRPr="00995A8A">
        <w:rPr>
          <w:rFonts w:cstheme="minorHAnsi"/>
          <w:iCs/>
          <w:szCs w:val="20"/>
        </w:rPr>
        <w:t xml:space="preserve"> funds have a double perspective on disclosures, as the</w:t>
      </w:r>
      <w:r>
        <w:rPr>
          <w:rFonts w:cstheme="minorHAnsi"/>
          <w:iCs/>
          <w:szCs w:val="20"/>
        </w:rPr>
        <w:t>y are both</w:t>
      </w:r>
      <w:r w:rsidRPr="00995A8A">
        <w:rPr>
          <w:rFonts w:cstheme="minorHAnsi"/>
          <w:iCs/>
          <w:szCs w:val="20"/>
        </w:rPr>
        <w:t xml:space="preserve"> providers and users of this information. </w:t>
      </w:r>
      <w:r>
        <w:rPr>
          <w:rFonts w:cstheme="minorHAnsi"/>
          <w:iCs/>
          <w:szCs w:val="20"/>
        </w:rPr>
        <w:t>In case they</w:t>
      </w:r>
      <w:r w:rsidRPr="00995A8A">
        <w:rPr>
          <w:rFonts w:cstheme="minorHAnsi"/>
          <w:iCs/>
          <w:szCs w:val="20"/>
        </w:rPr>
        <w:t xml:space="preserve"> fall within the scope of Article 8, </w:t>
      </w:r>
      <w:r>
        <w:rPr>
          <w:rFonts w:cstheme="minorHAnsi"/>
          <w:iCs/>
          <w:szCs w:val="20"/>
        </w:rPr>
        <w:t>pension funds</w:t>
      </w:r>
      <w:r w:rsidRPr="00995A8A">
        <w:rPr>
          <w:rFonts w:cstheme="minorHAnsi"/>
          <w:iCs/>
          <w:szCs w:val="20"/>
        </w:rPr>
        <w:t xml:space="preserve"> will need to provide disclosures to members </w:t>
      </w:r>
      <w:r>
        <w:rPr>
          <w:rFonts w:cstheme="minorHAnsi"/>
          <w:iCs/>
          <w:szCs w:val="20"/>
        </w:rPr>
        <w:t xml:space="preserve">even when those </w:t>
      </w:r>
      <w:r w:rsidRPr="00995A8A">
        <w:rPr>
          <w:rFonts w:cstheme="minorHAnsi"/>
          <w:iCs/>
          <w:szCs w:val="20"/>
        </w:rPr>
        <w:t xml:space="preserve">have no investment choice. </w:t>
      </w:r>
      <w:r w:rsidRPr="00BB4F38">
        <w:rPr>
          <w:rFonts w:cstheme="minorHAnsi"/>
          <w:b/>
          <w:bCs/>
          <w:iCs/>
          <w:szCs w:val="20"/>
        </w:rPr>
        <w:t>When members have no investment choice, the ‘greenwashing’ objective of the Regulation is irrelevant as ESG is never used as a selling point</w:t>
      </w:r>
      <w:r w:rsidRPr="00995A8A">
        <w:rPr>
          <w:rFonts w:cstheme="minorHAnsi"/>
          <w:iCs/>
          <w:szCs w:val="20"/>
        </w:rPr>
        <w:t xml:space="preserve">. Moreover, </w:t>
      </w:r>
      <w:r>
        <w:rPr>
          <w:rFonts w:cstheme="minorHAnsi"/>
          <w:iCs/>
          <w:szCs w:val="20"/>
        </w:rPr>
        <w:t xml:space="preserve">it is also noteworthy </w:t>
      </w:r>
      <w:bookmarkStart w:id="14" w:name="_Hlk49501795"/>
      <w:r>
        <w:rPr>
          <w:rFonts w:cstheme="minorHAnsi"/>
          <w:iCs/>
          <w:szCs w:val="20"/>
        </w:rPr>
        <w:t>members have often</w:t>
      </w:r>
      <w:r w:rsidRPr="00995A8A">
        <w:rPr>
          <w:rFonts w:cstheme="minorHAnsi"/>
          <w:iCs/>
          <w:szCs w:val="20"/>
        </w:rPr>
        <w:t xml:space="preserve"> limited financial literacy relating to the functioning of capital markets, corporate </w:t>
      </w:r>
      <w:proofErr w:type="gramStart"/>
      <w:r w:rsidRPr="00995A8A">
        <w:rPr>
          <w:rFonts w:cstheme="minorHAnsi"/>
          <w:iCs/>
          <w:szCs w:val="20"/>
        </w:rPr>
        <w:t>governance</w:t>
      </w:r>
      <w:proofErr w:type="gramEnd"/>
      <w:r w:rsidRPr="00995A8A">
        <w:rPr>
          <w:rFonts w:cstheme="minorHAnsi"/>
          <w:iCs/>
          <w:szCs w:val="20"/>
        </w:rPr>
        <w:t xml:space="preserve"> and sustainable finance. Insights from behavioural economics show that in the real world, people do not engage with information they cannot act upon or struggle to understand. </w:t>
      </w:r>
      <w:r w:rsidRPr="00BB4F38">
        <w:rPr>
          <w:rFonts w:cstheme="minorHAnsi"/>
          <w:b/>
          <w:bCs/>
          <w:iCs/>
          <w:szCs w:val="20"/>
        </w:rPr>
        <w:t>Information overload leads to loss of interest and disenfranchises people from their pensions more generally</w:t>
      </w:r>
      <w:r w:rsidRPr="00995A8A">
        <w:rPr>
          <w:rFonts w:cstheme="minorHAnsi"/>
          <w:iCs/>
          <w:szCs w:val="20"/>
        </w:rPr>
        <w:t>, as they feel that the communication from their pension fund is too complicated. This may make it more difficult for pension funds to engage members when trying to inform them of situations where action is required. Therefore,</w:t>
      </w:r>
      <w:r>
        <w:rPr>
          <w:rFonts w:cstheme="minorHAnsi"/>
          <w:iCs/>
          <w:szCs w:val="20"/>
        </w:rPr>
        <w:t xml:space="preserve"> </w:t>
      </w:r>
      <w:r w:rsidRPr="00BB4F38">
        <w:rPr>
          <w:rFonts w:cstheme="minorHAnsi"/>
          <w:b/>
          <w:bCs/>
          <w:iCs/>
          <w:szCs w:val="20"/>
        </w:rPr>
        <w:t>disclosures should be made much simpler, allowing as much as possible the layering of information.</w:t>
      </w:r>
      <w:bookmarkEnd w:id="14"/>
    </w:p>
    <w:p w14:paraId="61FD5690" w14:textId="77777777" w:rsidR="00D0178B" w:rsidRPr="00995A8A" w:rsidRDefault="00D0178B" w:rsidP="00D0178B">
      <w:pPr>
        <w:jc w:val="both"/>
        <w:rPr>
          <w:rFonts w:cstheme="minorHAnsi"/>
          <w:iCs/>
          <w:szCs w:val="20"/>
        </w:rPr>
      </w:pPr>
    </w:p>
    <w:p w14:paraId="4EEEBCC9" w14:textId="77777777" w:rsidR="00D0178B" w:rsidRPr="00995A8A" w:rsidRDefault="00D0178B" w:rsidP="00D0178B">
      <w:pPr>
        <w:jc w:val="both"/>
        <w:rPr>
          <w:rFonts w:cstheme="minorHAnsi"/>
          <w:iCs/>
          <w:szCs w:val="20"/>
        </w:rPr>
      </w:pPr>
      <w:r w:rsidRPr="00995A8A">
        <w:rPr>
          <w:rFonts w:cstheme="minorHAnsi"/>
          <w:iCs/>
          <w:szCs w:val="20"/>
        </w:rPr>
        <w:t>We feel that the following information items that need to be reported pre-contractually will not be understood by pension fund</w:t>
      </w:r>
      <w:r>
        <w:rPr>
          <w:rFonts w:cstheme="minorHAnsi"/>
          <w:iCs/>
          <w:szCs w:val="20"/>
        </w:rPr>
        <w:t>s’</w:t>
      </w:r>
      <w:r w:rsidRPr="00995A8A">
        <w:rPr>
          <w:rFonts w:cstheme="minorHAnsi"/>
          <w:iCs/>
          <w:szCs w:val="20"/>
        </w:rPr>
        <w:t xml:space="preserve"> members:</w:t>
      </w:r>
    </w:p>
    <w:p w14:paraId="37CD4921" w14:textId="77777777" w:rsidR="00D0178B" w:rsidRPr="00517753" w:rsidRDefault="00D0178B" w:rsidP="00D0178B">
      <w:pPr>
        <w:pStyle w:val="ListParagraph"/>
        <w:numPr>
          <w:ilvl w:val="0"/>
          <w:numId w:val="48"/>
        </w:numPr>
        <w:spacing w:after="160" w:line="259" w:lineRule="auto"/>
        <w:jc w:val="both"/>
        <w:rPr>
          <w:rFonts w:cstheme="minorHAnsi"/>
          <w:iCs/>
          <w:szCs w:val="20"/>
        </w:rPr>
      </w:pPr>
      <w:r w:rsidRPr="00517753">
        <w:rPr>
          <w:rFonts w:cstheme="minorHAnsi"/>
          <w:iCs/>
          <w:szCs w:val="20"/>
        </w:rPr>
        <w:t xml:space="preserve">The ‘no sustainable investment objective’. The average </w:t>
      </w:r>
      <w:r>
        <w:rPr>
          <w:rFonts w:cstheme="minorHAnsi"/>
          <w:iCs/>
          <w:szCs w:val="20"/>
        </w:rPr>
        <w:t xml:space="preserve">pension funds’ </w:t>
      </w:r>
      <w:r w:rsidRPr="00517753">
        <w:rPr>
          <w:rFonts w:cstheme="minorHAnsi"/>
          <w:iCs/>
          <w:szCs w:val="20"/>
        </w:rPr>
        <w:t xml:space="preserve">member will not understand the difference between </w:t>
      </w:r>
      <w:r>
        <w:rPr>
          <w:rFonts w:cstheme="minorHAnsi"/>
          <w:iCs/>
          <w:szCs w:val="20"/>
        </w:rPr>
        <w:t>“</w:t>
      </w:r>
      <w:r w:rsidRPr="00517753">
        <w:rPr>
          <w:rFonts w:cstheme="minorHAnsi"/>
          <w:iCs/>
          <w:szCs w:val="20"/>
        </w:rPr>
        <w:t>environmental and social characteristics</w:t>
      </w:r>
      <w:r>
        <w:rPr>
          <w:rFonts w:cstheme="minorHAnsi"/>
          <w:iCs/>
          <w:szCs w:val="20"/>
        </w:rPr>
        <w:t>”</w:t>
      </w:r>
      <w:r w:rsidRPr="00517753">
        <w:rPr>
          <w:rFonts w:cstheme="minorHAnsi"/>
          <w:iCs/>
          <w:szCs w:val="20"/>
        </w:rPr>
        <w:t xml:space="preserve"> and </w:t>
      </w:r>
      <w:r>
        <w:rPr>
          <w:rFonts w:cstheme="minorHAnsi"/>
          <w:iCs/>
          <w:szCs w:val="20"/>
        </w:rPr>
        <w:t>“</w:t>
      </w:r>
      <w:r w:rsidRPr="00517753">
        <w:rPr>
          <w:rFonts w:cstheme="minorHAnsi"/>
          <w:iCs/>
          <w:szCs w:val="20"/>
        </w:rPr>
        <w:t>sustainable investments</w:t>
      </w:r>
      <w:r>
        <w:rPr>
          <w:rFonts w:cstheme="minorHAnsi"/>
          <w:iCs/>
          <w:szCs w:val="20"/>
        </w:rPr>
        <w:t>”</w:t>
      </w:r>
      <w:r w:rsidRPr="00517753">
        <w:rPr>
          <w:rFonts w:cstheme="minorHAnsi"/>
          <w:iCs/>
          <w:szCs w:val="20"/>
        </w:rPr>
        <w:t xml:space="preserve">. In fact, </w:t>
      </w:r>
      <w:r w:rsidRPr="00517753">
        <w:rPr>
          <w:rFonts w:cstheme="minorHAnsi"/>
          <w:iCs/>
          <w:szCs w:val="20"/>
        </w:rPr>
        <w:lastRenderedPageBreak/>
        <w:t xml:space="preserve">the Regulation hardly defines the difference and the terminology </w:t>
      </w:r>
      <w:proofErr w:type="gramStart"/>
      <w:r w:rsidRPr="00517753">
        <w:rPr>
          <w:rFonts w:cstheme="minorHAnsi"/>
          <w:iCs/>
          <w:szCs w:val="20"/>
        </w:rPr>
        <w:t>doesn’t</w:t>
      </w:r>
      <w:proofErr w:type="gramEnd"/>
      <w:r w:rsidRPr="00517753">
        <w:rPr>
          <w:rFonts w:cstheme="minorHAnsi"/>
          <w:iCs/>
          <w:szCs w:val="20"/>
        </w:rPr>
        <w:t xml:space="preserve"> even resonate with ESG investment practitioners as these terms are not used in the world of finance either. The disclaimer would lead to confusion as to whether the pension fund would have a responsible investment policy or not. </w:t>
      </w:r>
    </w:p>
    <w:p w14:paraId="597B5639" w14:textId="77777777" w:rsidR="00D0178B" w:rsidRPr="00517753" w:rsidRDefault="00D0178B" w:rsidP="00D0178B">
      <w:pPr>
        <w:pStyle w:val="ListParagraph"/>
        <w:numPr>
          <w:ilvl w:val="0"/>
          <w:numId w:val="48"/>
        </w:numPr>
        <w:spacing w:after="160" w:line="259" w:lineRule="auto"/>
        <w:jc w:val="both"/>
        <w:rPr>
          <w:rFonts w:cstheme="minorHAnsi"/>
          <w:iCs/>
          <w:szCs w:val="20"/>
        </w:rPr>
      </w:pPr>
      <w:r w:rsidRPr="00517753">
        <w:rPr>
          <w:rFonts w:cstheme="minorHAnsi"/>
          <w:iCs/>
          <w:szCs w:val="20"/>
        </w:rPr>
        <w:t xml:space="preserve">The difference </w:t>
      </w:r>
      <w:r>
        <w:rPr>
          <w:rFonts w:cstheme="minorHAnsi"/>
          <w:iCs/>
          <w:szCs w:val="20"/>
        </w:rPr>
        <w:t>between</w:t>
      </w:r>
      <w:r w:rsidRPr="00517753">
        <w:rPr>
          <w:rFonts w:cstheme="minorHAnsi"/>
          <w:iCs/>
          <w:szCs w:val="20"/>
        </w:rPr>
        <w:t xml:space="preserve"> direct and indirect holdings</w:t>
      </w:r>
    </w:p>
    <w:p w14:paraId="6BA79D60" w14:textId="77777777" w:rsidR="00D0178B" w:rsidRPr="00517753" w:rsidRDefault="00D0178B" w:rsidP="00D0178B">
      <w:pPr>
        <w:pStyle w:val="ListParagraph"/>
        <w:numPr>
          <w:ilvl w:val="0"/>
          <w:numId w:val="48"/>
        </w:numPr>
        <w:spacing w:after="160" w:line="259" w:lineRule="auto"/>
        <w:jc w:val="both"/>
        <w:rPr>
          <w:rFonts w:cstheme="minorHAnsi"/>
          <w:iCs/>
          <w:szCs w:val="20"/>
        </w:rPr>
      </w:pPr>
      <w:r>
        <w:rPr>
          <w:rFonts w:cstheme="minorHAnsi"/>
          <w:iCs/>
          <w:szCs w:val="20"/>
        </w:rPr>
        <w:t>The action of</w:t>
      </w:r>
      <w:r w:rsidRPr="00517753">
        <w:rPr>
          <w:rFonts w:cstheme="minorHAnsi"/>
          <w:iCs/>
          <w:szCs w:val="20"/>
        </w:rPr>
        <w:t xml:space="preserve"> reduc</w:t>
      </w:r>
      <w:r>
        <w:rPr>
          <w:rFonts w:cstheme="minorHAnsi"/>
          <w:iCs/>
          <w:szCs w:val="20"/>
        </w:rPr>
        <w:t>ing</w:t>
      </w:r>
      <w:r w:rsidRPr="00517753">
        <w:rPr>
          <w:rFonts w:cstheme="minorHAnsi"/>
          <w:iCs/>
          <w:szCs w:val="20"/>
        </w:rPr>
        <w:t xml:space="preserve"> the investment universe</w:t>
      </w:r>
    </w:p>
    <w:p w14:paraId="184D4F75" w14:textId="77777777" w:rsidR="00D0178B" w:rsidRPr="00517753" w:rsidRDefault="00D0178B" w:rsidP="00D0178B">
      <w:pPr>
        <w:pStyle w:val="ListParagraph"/>
        <w:numPr>
          <w:ilvl w:val="0"/>
          <w:numId w:val="48"/>
        </w:numPr>
        <w:spacing w:after="160" w:line="259" w:lineRule="auto"/>
        <w:jc w:val="both"/>
        <w:rPr>
          <w:rFonts w:cstheme="minorHAnsi"/>
          <w:iCs/>
          <w:szCs w:val="20"/>
        </w:rPr>
      </w:pPr>
      <w:r>
        <w:rPr>
          <w:rFonts w:cstheme="minorHAnsi"/>
          <w:iCs/>
          <w:szCs w:val="20"/>
        </w:rPr>
        <w:t>The notion of</w:t>
      </w:r>
      <w:r w:rsidRPr="00517753">
        <w:rPr>
          <w:rFonts w:cstheme="minorHAnsi"/>
          <w:iCs/>
          <w:szCs w:val="20"/>
        </w:rPr>
        <w:t xml:space="preserve"> ‘derivative’</w:t>
      </w:r>
    </w:p>
    <w:p w14:paraId="68EDFE6A" w14:textId="77777777" w:rsidR="00D0178B" w:rsidRPr="00517753" w:rsidRDefault="00D0178B" w:rsidP="00D0178B">
      <w:pPr>
        <w:pStyle w:val="ListParagraph"/>
        <w:numPr>
          <w:ilvl w:val="0"/>
          <w:numId w:val="48"/>
        </w:numPr>
        <w:spacing w:after="160" w:line="259" w:lineRule="auto"/>
        <w:jc w:val="both"/>
        <w:rPr>
          <w:rFonts w:cstheme="minorHAnsi"/>
          <w:iCs/>
          <w:szCs w:val="20"/>
        </w:rPr>
      </w:pPr>
      <w:r>
        <w:rPr>
          <w:rFonts w:cstheme="minorHAnsi"/>
          <w:iCs/>
          <w:szCs w:val="20"/>
        </w:rPr>
        <w:t>The concept of</w:t>
      </w:r>
      <w:r w:rsidRPr="00517753">
        <w:rPr>
          <w:rFonts w:cstheme="minorHAnsi"/>
          <w:iCs/>
          <w:szCs w:val="20"/>
        </w:rPr>
        <w:t xml:space="preserve"> reference benchmark </w:t>
      </w:r>
      <w:r>
        <w:rPr>
          <w:rFonts w:cstheme="minorHAnsi"/>
          <w:iCs/>
          <w:szCs w:val="20"/>
        </w:rPr>
        <w:t>and</w:t>
      </w:r>
      <w:r w:rsidRPr="00517753">
        <w:rPr>
          <w:rFonts w:cstheme="minorHAnsi"/>
          <w:iCs/>
          <w:szCs w:val="20"/>
        </w:rPr>
        <w:t xml:space="preserve"> its role</w:t>
      </w:r>
    </w:p>
    <w:p w14:paraId="0D460A38" w14:textId="77777777" w:rsidR="00D0178B" w:rsidRPr="00995A8A" w:rsidRDefault="00D0178B" w:rsidP="00D0178B">
      <w:pPr>
        <w:tabs>
          <w:tab w:val="left" w:pos="1532"/>
        </w:tabs>
        <w:jc w:val="both"/>
        <w:rPr>
          <w:rFonts w:cstheme="minorHAnsi"/>
          <w:iCs/>
          <w:szCs w:val="20"/>
        </w:rPr>
      </w:pPr>
      <w:r>
        <w:rPr>
          <w:rFonts w:cstheme="minorHAnsi"/>
          <w:iCs/>
          <w:szCs w:val="20"/>
        </w:rPr>
        <w:tab/>
      </w:r>
    </w:p>
    <w:p w14:paraId="441AFA85" w14:textId="18CC4B60" w:rsidR="003E573C" w:rsidRPr="00D0178B" w:rsidRDefault="00D0178B" w:rsidP="00D0178B">
      <w:pPr>
        <w:jc w:val="both"/>
        <w:rPr>
          <w:rFonts w:cstheme="minorHAnsi"/>
          <w:iCs/>
          <w:szCs w:val="20"/>
        </w:rPr>
      </w:pPr>
      <w:r w:rsidRPr="00995A8A">
        <w:rPr>
          <w:rFonts w:cstheme="minorHAnsi"/>
          <w:iCs/>
          <w:szCs w:val="20"/>
        </w:rPr>
        <w:t>This does not mean there should be no scrutiny o</w:t>
      </w:r>
      <w:r>
        <w:rPr>
          <w:rFonts w:cstheme="minorHAnsi"/>
          <w:iCs/>
          <w:szCs w:val="20"/>
        </w:rPr>
        <w:t>n</w:t>
      </w:r>
      <w:r w:rsidRPr="00995A8A">
        <w:rPr>
          <w:rFonts w:cstheme="minorHAnsi"/>
          <w:iCs/>
          <w:szCs w:val="20"/>
        </w:rPr>
        <w:t xml:space="preserve"> pension funds</w:t>
      </w:r>
      <w:r>
        <w:rPr>
          <w:rFonts w:cstheme="minorHAnsi"/>
          <w:iCs/>
          <w:szCs w:val="20"/>
        </w:rPr>
        <w:t>’</w:t>
      </w:r>
      <w:r w:rsidRPr="00995A8A">
        <w:rPr>
          <w:rFonts w:cstheme="minorHAnsi"/>
          <w:iCs/>
          <w:szCs w:val="20"/>
        </w:rPr>
        <w:t xml:space="preserve"> responsible investment policies. This scrutiny </w:t>
      </w:r>
      <w:r>
        <w:rPr>
          <w:rFonts w:cstheme="minorHAnsi"/>
          <w:iCs/>
          <w:szCs w:val="20"/>
        </w:rPr>
        <w:t xml:space="preserve">should </w:t>
      </w:r>
      <w:r w:rsidRPr="00995A8A">
        <w:rPr>
          <w:rFonts w:cstheme="minorHAnsi"/>
          <w:iCs/>
          <w:szCs w:val="20"/>
        </w:rPr>
        <w:t>come</w:t>
      </w:r>
      <w:r>
        <w:rPr>
          <w:rFonts w:cstheme="minorHAnsi"/>
          <w:iCs/>
          <w:szCs w:val="20"/>
        </w:rPr>
        <w:t xml:space="preserve"> </w:t>
      </w:r>
      <w:r w:rsidRPr="00995A8A">
        <w:rPr>
          <w:rFonts w:cstheme="minorHAnsi"/>
          <w:iCs/>
          <w:szCs w:val="20"/>
        </w:rPr>
        <w:t xml:space="preserve">from internal and external stakeholders such as member representative committees (some bigger funds have committees specifically designated </w:t>
      </w:r>
      <w:r>
        <w:rPr>
          <w:rFonts w:cstheme="minorHAnsi"/>
          <w:iCs/>
          <w:szCs w:val="20"/>
        </w:rPr>
        <w:t>for</w:t>
      </w:r>
      <w:r w:rsidRPr="00995A8A">
        <w:rPr>
          <w:rFonts w:cstheme="minorHAnsi"/>
          <w:iCs/>
          <w:szCs w:val="20"/>
        </w:rPr>
        <w:t xml:space="preserve"> ESG), unions and NGOs. We recommend using the annual report (or a responsible investment report attached to the annual report) as the location for as much of the disclosure requirements. This will make it easy to find and collect for internal and external stakeholders, while not overburdening individual members that look for a succinct and understandable description of the responsible investment policy in a vocabulary that makes sense to them.</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298558DF" w14:textId="77777777" w:rsidR="00D0178B" w:rsidRDefault="00D0178B" w:rsidP="00D0178B">
      <w:pPr>
        <w:jc w:val="both"/>
        <w:rPr>
          <w:rFonts w:cstheme="minorHAnsi"/>
          <w:iCs/>
          <w:szCs w:val="20"/>
        </w:rPr>
      </w:pPr>
      <w:permStart w:id="739535953" w:edGrp="everyone"/>
      <w:r>
        <w:rPr>
          <w:rFonts w:cstheme="minorHAnsi"/>
          <w:iCs/>
          <w:szCs w:val="20"/>
        </w:rPr>
        <w:t xml:space="preserve">The scope of article 8 and article 9 products must be clarified. Uncertainty on the scope of article 8 and article 9 should be minimised as it creates legal risk for FMPs. </w:t>
      </w:r>
    </w:p>
    <w:p w14:paraId="7BAF2B3D" w14:textId="77777777" w:rsidR="00D0178B" w:rsidRDefault="00D0178B" w:rsidP="00D0178B">
      <w:pPr>
        <w:jc w:val="both"/>
        <w:rPr>
          <w:rFonts w:cstheme="minorHAnsi"/>
          <w:iCs/>
          <w:szCs w:val="20"/>
        </w:rPr>
      </w:pPr>
    </w:p>
    <w:p w14:paraId="0A1AC743" w14:textId="2BAEED9A" w:rsidR="00D0178B" w:rsidRDefault="00D0178B" w:rsidP="00D0178B">
      <w:pPr>
        <w:jc w:val="both"/>
        <w:rPr>
          <w:rFonts w:cstheme="minorHAnsi"/>
          <w:iCs/>
          <w:szCs w:val="20"/>
        </w:rPr>
      </w:pPr>
      <w:r w:rsidRPr="00BB4F38">
        <w:rPr>
          <w:rFonts w:cstheme="minorHAnsi"/>
          <w:b/>
          <w:bCs/>
          <w:iCs/>
          <w:szCs w:val="20"/>
        </w:rPr>
        <w:t>We do not expect pension funds to offer Article 9 products, as the primary objective of a pension fund will always be to deliver good risk-weighted returns for members</w:t>
      </w:r>
      <w:r w:rsidRPr="00514A02">
        <w:rPr>
          <w:rFonts w:cstheme="minorHAnsi"/>
          <w:iCs/>
          <w:szCs w:val="20"/>
        </w:rPr>
        <w:t>.</w:t>
      </w:r>
      <w:r>
        <w:rPr>
          <w:rFonts w:cstheme="minorHAnsi"/>
          <w:iCs/>
          <w:szCs w:val="20"/>
        </w:rPr>
        <w:t xml:space="preserve"> </w:t>
      </w:r>
      <w:r w:rsidRPr="00514A02">
        <w:rPr>
          <w:rFonts w:cstheme="minorHAnsi"/>
          <w:iCs/>
          <w:szCs w:val="20"/>
        </w:rPr>
        <w:t>They may have specific impact investment mandates as a very small part of the</w:t>
      </w:r>
      <w:r>
        <w:rPr>
          <w:rFonts w:cstheme="minorHAnsi"/>
          <w:iCs/>
          <w:szCs w:val="20"/>
        </w:rPr>
        <w:t>ir</w:t>
      </w:r>
      <w:r w:rsidRPr="00514A02">
        <w:rPr>
          <w:rFonts w:cstheme="minorHAnsi"/>
          <w:iCs/>
          <w:szCs w:val="20"/>
        </w:rPr>
        <w:t xml:space="preserve"> portfolio, but even </w:t>
      </w:r>
      <w:r>
        <w:rPr>
          <w:rFonts w:cstheme="minorHAnsi"/>
          <w:iCs/>
          <w:szCs w:val="20"/>
        </w:rPr>
        <w:t>in this case,</w:t>
      </w:r>
      <w:r w:rsidRPr="00514A02">
        <w:rPr>
          <w:rFonts w:cstheme="minorHAnsi"/>
          <w:iCs/>
          <w:szCs w:val="20"/>
        </w:rPr>
        <w:t xml:space="preserve"> pension funds will not invest</w:t>
      </w:r>
      <w:r>
        <w:rPr>
          <w:rFonts w:cstheme="minorHAnsi"/>
          <w:iCs/>
          <w:szCs w:val="20"/>
        </w:rPr>
        <w:t xml:space="preserve"> without a reasonable expected </w:t>
      </w:r>
      <w:r w:rsidRPr="00514A02">
        <w:rPr>
          <w:rFonts w:cstheme="minorHAnsi"/>
          <w:iCs/>
          <w:szCs w:val="20"/>
        </w:rPr>
        <w:t>return.</w:t>
      </w:r>
      <w:r>
        <w:rPr>
          <w:rFonts w:cstheme="minorHAnsi"/>
          <w:iCs/>
          <w:szCs w:val="20"/>
        </w:rPr>
        <w:t xml:space="preserve"> Article </w:t>
      </w:r>
      <w:r w:rsidR="00B0249B">
        <w:rPr>
          <w:rFonts w:cstheme="minorHAnsi"/>
          <w:iCs/>
          <w:szCs w:val="20"/>
        </w:rPr>
        <w:t>1</w:t>
      </w:r>
      <w:r>
        <w:rPr>
          <w:rFonts w:cstheme="minorHAnsi"/>
          <w:iCs/>
          <w:szCs w:val="20"/>
        </w:rPr>
        <w:t xml:space="preserve">9 of the IORP Directive specifies that IORPs must invest </w:t>
      </w:r>
      <w:r w:rsidRPr="004F1E13">
        <w:rPr>
          <w:rFonts w:cstheme="minorHAnsi"/>
          <w:iCs/>
          <w:szCs w:val="20"/>
        </w:rPr>
        <w:t>the</w:t>
      </w:r>
      <w:r>
        <w:rPr>
          <w:rFonts w:cstheme="minorHAnsi"/>
          <w:iCs/>
          <w:szCs w:val="20"/>
        </w:rPr>
        <w:t>ir</w:t>
      </w:r>
      <w:r w:rsidRPr="004F1E13">
        <w:rPr>
          <w:rFonts w:cstheme="minorHAnsi"/>
          <w:iCs/>
          <w:szCs w:val="20"/>
        </w:rPr>
        <w:t xml:space="preserve"> assets in the best long-term interests of members and beneficiaries, which</w:t>
      </w:r>
      <w:r>
        <w:rPr>
          <w:rFonts w:cstheme="minorHAnsi"/>
          <w:iCs/>
          <w:szCs w:val="20"/>
        </w:rPr>
        <w:t xml:space="preserve"> means IORPs cannot make impact investing the first objective of their investment strategy.</w:t>
      </w:r>
    </w:p>
    <w:p w14:paraId="405B11CF" w14:textId="77777777" w:rsidR="00D0178B" w:rsidRPr="00514A02" w:rsidRDefault="00D0178B" w:rsidP="00D0178B">
      <w:pPr>
        <w:jc w:val="both"/>
        <w:rPr>
          <w:rFonts w:cstheme="minorHAnsi"/>
          <w:iCs/>
          <w:szCs w:val="20"/>
        </w:rPr>
      </w:pPr>
    </w:p>
    <w:p w14:paraId="7A4B7DC1" w14:textId="01379826" w:rsidR="003E573C" w:rsidRPr="00D0178B" w:rsidRDefault="00D0178B" w:rsidP="00D0178B">
      <w:pPr>
        <w:jc w:val="both"/>
        <w:rPr>
          <w:rFonts w:cstheme="minorHAnsi"/>
          <w:iCs/>
          <w:szCs w:val="20"/>
        </w:rPr>
      </w:pPr>
      <w:r w:rsidRPr="00514A02">
        <w:rPr>
          <w:rFonts w:cstheme="minorHAnsi"/>
          <w:iCs/>
          <w:szCs w:val="20"/>
        </w:rPr>
        <w:t>As mentioned</w:t>
      </w:r>
      <w:r>
        <w:rPr>
          <w:rFonts w:cstheme="minorHAnsi"/>
          <w:iCs/>
          <w:szCs w:val="20"/>
        </w:rPr>
        <w:t xml:space="preserve"> above</w:t>
      </w:r>
      <w:r w:rsidRPr="00514A02">
        <w:rPr>
          <w:rFonts w:cstheme="minorHAnsi"/>
          <w:iCs/>
          <w:szCs w:val="20"/>
        </w:rPr>
        <w:t>, we believe that the disclosures under Article 8 are too detailed and complicated. We have no opinion about Article 9 disclosures, as pension funds will not offer these</w:t>
      </w:r>
      <w:r>
        <w:rPr>
          <w:rFonts w:cstheme="minorHAnsi"/>
          <w:iCs/>
          <w:szCs w:val="20"/>
        </w:rPr>
        <w:t xml:space="preserve"> products</w:t>
      </w:r>
      <w:r w:rsidRPr="00514A02">
        <w:rPr>
          <w:rFonts w:cstheme="minorHAnsi"/>
          <w:iCs/>
          <w:szCs w:val="20"/>
        </w:rPr>
        <w:t>.</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41ACE658" w14:textId="77777777" w:rsidR="00D0178B" w:rsidRPr="007D2A11" w:rsidRDefault="00D0178B" w:rsidP="00D0178B">
      <w:pPr>
        <w:jc w:val="both"/>
        <w:rPr>
          <w:rFonts w:cstheme="minorHAnsi"/>
          <w:iCs/>
          <w:szCs w:val="20"/>
        </w:rPr>
      </w:pPr>
      <w:permStart w:id="225396737" w:edGrp="everyone"/>
      <w:r w:rsidRPr="00BB4F38">
        <w:rPr>
          <w:rFonts w:cstheme="minorHAnsi"/>
          <w:b/>
          <w:bCs/>
          <w:iCs/>
          <w:szCs w:val="20"/>
        </w:rPr>
        <w:t>We are not sure the split between ‘direct holdings’ and ‘other holdings’ is useful and will be understood by pension funds’ members</w:t>
      </w:r>
      <w:r w:rsidRPr="00514A02">
        <w:rPr>
          <w:rFonts w:cstheme="minorHAnsi"/>
          <w:iCs/>
          <w:szCs w:val="20"/>
        </w:rPr>
        <w:t xml:space="preserve">. </w:t>
      </w:r>
      <w:r>
        <w:rPr>
          <w:rFonts w:cstheme="minorHAnsi"/>
          <w:iCs/>
          <w:szCs w:val="20"/>
        </w:rPr>
        <w:t xml:space="preserve">For example, when pension funds’ assets are invested by an asset manager, </w:t>
      </w:r>
      <w:r w:rsidRPr="00514A02">
        <w:rPr>
          <w:rFonts w:cstheme="minorHAnsi"/>
          <w:iCs/>
          <w:szCs w:val="20"/>
        </w:rPr>
        <w:t>pension fund</w:t>
      </w:r>
      <w:r>
        <w:rPr>
          <w:rFonts w:cstheme="minorHAnsi"/>
          <w:iCs/>
          <w:szCs w:val="20"/>
        </w:rPr>
        <w:t>s</w:t>
      </w:r>
      <w:r w:rsidRPr="00514A02">
        <w:rPr>
          <w:rFonts w:cstheme="minorHAnsi"/>
          <w:iCs/>
          <w:szCs w:val="20"/>
        </w:rPr>
        <w:t xml:space="preserve"> may not have direct holdings, but instead mandate the pension service provider or asset manager to exercise shareholder voting and engagement on its part</w:t>
      </w:r>
      <w:r w:rsidRPr="0098038B">
        <w:rPr>
          <w:rFonts w:cstheme="minorHAnsi"/>
          <w:iCs/>
          <w:szCs w:val="20"/>
        </w:rPr>
        <w:t>. Recital 30 of the draft RTS seem to imply that investing via funds is considered indirect investing. Therefore, a pension fund may not have any ‘direct investments’, as it holds shares in a collective investment vehicle, even if this vehicle is set up by a wholly-owned investment manager solely for purpose of investments by the pension fund.  In any case, an average pension fund member will not understand it, but at least consider investments through investment vehicles as ‘direct’ investment.</w:t>
      </w:r>
    </w:p>
    <w:p w14:paraId="210D9650" w14:textId="77777777" w:rsidR="00D0178B" w:rsidRDefault="00D0178B" w:rsidP="00D0178B">
      <w:pPr>
        <w:jc w:val="both"/>
        <w:rPr>
          <w:rFonts w:cstheme="minorHAnsi"/>
          <w:iCs/>
          <w:szCs w:val="20"/>
        </w:rPr>
      </w:pPr>
    </w:p>
    <w:p w14:paraId="0ADDC51A" w14:textId="5950B450" w:rsidR="003E573C" w:rsidRPr="00D0178B" w:rsidRDefault="00D0178B" w:rsidP="00D0178B">
      <w:pPr>
        <w:jc w:val="both"/>
        <w:rPr>
          <w:rFonts w:cstheme="minorHAnsi"/>
          <w:iCs/>
          <w:szCs w:val="20"/>
        </w:rPr>
      </w:pPr>
      <w:r w:rsidRPr="007D2A11">
        <w:rPr>
          <w:rFonts w:cstheme="minorHAnsi"/>
          <w:iCs/>
          <w:szCs w:val="20"/>
        </w:rPr>
        <w:t>It is</w:t>
      </w:r>
      <w:r>
        <w:rPr>
          <w:rFonts w:cstheme="minorHAnsi"/>
          <w:iCs/>
          <w:szCs w:val="20"/>
        </w:rPr>
        <w:t xml:space="preserve"> also</w:t>
      </w:r>
      <w:r w:rsidRPr="007D2A11">
        <w:rPr>
          <w:rFonts w:cstheme="minorHAnsi"/>
          <w:iCs/>
          <w:szCs w:val="20"/>
        </w:rPr>
        <w:t xml:space="preserve"> good to note that pension funds do not invest indirectly in companies through e.g. equity swaps. </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lastRenderedPageBreak/>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35ED0F97" w14:textId="77777777" w:rsidR="00D0178B" w:rsidRPr="007D2A11" w:rsidRDefault="00D0178B" w:rsidP="00D0178B">
      <w:pPr>
        <w:jc w:val="both"/>
        <w:rPr>
          <w:rFonts w:cstheme="minorHAnsi"/>
          <w:iCs/>
          <w:szCs w:val="20"/>
        </w:rPr>
      </w:pPr>
      <w:permStart w:id="1687822303" w:edGrp="everyone"/>
      <w:r w:rsidRPr="005E4CCD">
        <w:rPr>
          <w:rFonts w:cstheme="minorHAnsi"/>
          <w:b/>
          <w:bCs/>
          <w:iCs/>
          <w:szCs w:val="20"/>
        </w:rPr>
        <w:t>Given that the concept of ‘the promotion of environmental and social characteristics’ is undefined, it is difficult to image how the requirement for a graphical representation could work in a consistent way</w:t>
      </w:r>
      <w:r w:rsidRPr="007D2A11">
        <w:rPr>
          <w:rFonts w:cstheme="minorHAnsi"/>
          <w:iCs/>
          <w:szCs w:val="20"/>
        </w:rPr>
        <w:t xml:space="preserve">. </w:t>
      </w:r>
      <w:r>
        <w:rPr>
          <w:rFonts w:cstheme="minorHAnsi"/>
          <w:iCs/>
          <w:szCs w:val="20"/>
        </w:rPr>
        <w:t>P</w:t>
      </w:r>
      <w:r w:rsidRPr="007D2A11">
        <w:rPr>
          <w:rFonts w:cstheme="minorHAnsi"/>
          <w:iCs/>
          <w:szCs w:val="20"/>
        </w:rPr>
        <w:t>ension funds typically apply multiple exclusion screens (e.g. controversial weapons, human rights abuse, tobacco), but may also employ a best-in-class approach in certain problematic sectors. It is impossible to capture all these different elements in a single graphical representation</w:t>
      </w:r>
      <w:r>
        <w:rPr>
          <w:rFonts w:cstheme="minorHAnsi"/>
          <w:iCs/>
          <w:szCs w:val="20"/>
        </w:rPr>
        <w:t>.</w:t>
      </w:r>
    </w:p>
    <w:p w14:paraId="627BDF28" w14:textId="77777777" w:rsidR="00D0178B" w:rsidRPr="007D2A11" w:rsidRDefault="00D0178B" w:rsidP="00D0178B">
      <w:pPr>
        <w:jc w:val="both"/>
        <w:rPr>
          <w:rFonts w:cstheme="minorHAnsi"/>
          <w:iCs/>
          <w:szCs w:val="20"/>
        </w:rPr>
      </w:pPr>
    </w:p>
    <w:p w14:paraId="452CF06D" w14:textId="77777777" w:rsidR="00D0178B" w:rsidRPr="007D2A11" w:rsidRDefault="00D0178B" w:rsidP="00D0178B">
      <w:pPr>
        <w:jc w:val="both"/>
        <w:rPr>
          <w:rFonts w:cstheme="minorHAnsi"/>
          <w:iCs/>
          <w:szCs w:val="20"/>
        </w:rPr>
      </w:pPr>
      <w:r w:rsidRPr="007D2A11">
        <w:rPr>
          <w:rFonts w:cstheme="minorHAnsi"/>
          <w:iCs/>
          <w:szCs w:val="20"/>
        </w:rPr>
        <w:t xml:space="preserve">Moreover, </w:t>
      </w:r>
      <w:r w:rsidRPr="005E4CCD">
        <w:rPr>
          <w:rFonts w:cstheme="minorHAnsi"/>
          <w:iCs/>
          <w:szCs w:val="20"/>
        </w:rPr>
        <w:t xml:space="preserve">pension funds </w:t>
      </w:r>
      <w:proofErr w:type="gramStart"/>
      <w:r w:rsidRPr="005E4CCD">
        <w:rPr>
          <w:rFonts w:cstheme="minorHAnsi"/>
          <w:iCs/>
          <w:szCs w:val="20"/>
        </w:rPr>
        <w:t>have to</w:t>
      </w:r>
      <w:proofErr w:type="gramEnd"/>
      <w:r w:rsidRPr="005E4CCD">
        <w:rPr>
          <w:rFonts w:cstheme="minorHAnsi"/>
          <w:iCs/>
          <w:szCs w:val="20"/>
        </w:rPr>
        <w:t xml:space="preserve"> invest a significant share of the portfolio in highly rated government bonds in order to deliver the promised pension with a high degree of certainty and in certain cases, to hedge interest rate risk. </w:t>
      </w:r>
      <w:r w:rsidRPr="007D2A11">
        <w:rPr>
          <w:rFonts w:cstheme="minorHAnsi"/>
          <w:iCs/>
          <w:szCs w:val="20"/>
        </w:rPr>
        <w:t xml:space="preserve">While </w:t>
      </w:r>
      <w:r>
        <w:rPr>
          <w:rFonts w:cstheme="minorHAnsi"/>
          <w:iCs/>
          <w:szCs w:val="20"/>
        </w:rPr>
        <w:t>many</w:t>
      </w:r>
      <w:r w:rsidRPr="007D2A11">
        <w:rPr>
          <w:rFonts w:cstheme="minorHAnsi"/>
          <w:iCs/>
          <w:szCs w:val="20"/>
        </w:rPr>
        <w:t xml:space="preserve"> pension funds have invested in green government bonds where possible, the amount of green bond principal issued is still very low. Beyond green bonds, the scope to implement environmental or social characteristics is quite limited. This means that </w:t>
      </w:r>
      <w:r w:rsidRPr="005E4CCD">
        <w:rPr>
          <w:rFonts w:cstheme="minorHAnsi"/>
          <w:b/>
          <w:bCs/>
          <w:iCs/>
          <w:szCs w:val="20"/>
        </w:rPr>
        <w:t>even the most ambitious pension fund will always have a significant part of the portfolio that cannot be used for the attainment of environmental or social characteristics</w:t>
      </w:r>
      <w:r w:rsidRPr="007D2A11">
        <w:rPr>
          <w:rFonts w:cstheme="minorHAnsi"/>
          <w:iCs/>
          <w:szCs w:val="20"/>
        </w:rPr>
        <w:t>. However, most pension fund</w:t>
      </w:r>
      <w:r>
        <w:rPr>
          <w:rFonts w:cstheme="minorHAnsi"/>
          <w:iCs/>
          <w:szCs w:val="20"/>
        </w:rPr>
        <w:t>s’</w:t>
      </w:r>
      <w:r w:rsidRPr="007D2A11">
        <w:rPr>
          <w:rFonts w:cstheme="minorHAnsi"/>
          <w:iCs/>
          <w:szCs w:val="20"/>
        </w:rPr>
        <w:t xml:space="preserve"> members will not understand the purpose of different parts of the balance sheet, even if </w:t>
      </w:r>
      <w:r>
        <w:rPr>
          <w:rFonts w:cstheme="minorHAnsi"/>
          <w:iCs/>
          <w:szCs w:val="20"/>
        </w:rPr>
        <w:t>an explanation is provided</w:t>
      </w:r>
      <w:r w:rsidRPr="007D2A11">
        <w:rPr>
          <w:rFonts w:cstheme="minorHAnsi"/>
          <w:iCs/>
          <w:szCs w:val="20"/>
        </w:rPr>
        <w:t xml:space="preserve"> in the narrative part</w:t>
      </w:r>
      <w:r>
        <w:rPr>
          <w:rFonts w:cstheme="minorHAnsi"/>
          <w:iCs/>
          <w:szCs w:val="20"/>
        </w:rPr>
        <w:t xml:space="preserve"> as this</w:t>
      </w:r>
      <w:r w:rsidRPr="007D2A11">
        <w:rPr>
          <w:rFonts w:cstheme="minorHAnsi"/>
          <w:iCs/>
          <w:szCs w:val="20"/>
        </w:rPr>
        <w:t xml:space="preserve"> cannot be captured by a single graphical representation.</w:t>
      </w:r>
    </w:p>
    <w:p w14:paraId="681058D7" w14:textId="77777777" w:rsidR="00D0178B" w:rsidRPr="00DC0FD4" w:rsidRDefault="00D0178B" w:rsidP="00D0178B">
      <w:pPr>
        <w:jc w:val="both"/>
        <w:rPr>
          <w:rFonts w:cstheme="minorHAnsi"/>
          <w:bCs/>
          <w:color w:val="4F81BD"/>
          <w:szCs w:val="20"/>
          <w:lang w:bidi="en-US"/>
        </w:rPr>
      </w:pPr>
    </w:p>
    <w:p w14:paraId="558026DF" w14:textId="0ACE40AB" w:rsidR="003E573C" w:rsidRPr="00D0178B" w:rsidRDefault="00D0178B" w:rsidP="00D0178B">
      <w:pPr>
        <w:jc w:val="both"/>
        <w:rPr>
          <w:rFonts w:cstheme="minorHAnsi"/>
          <w:iCs/>
          <w:szCs w:val="20"/>
        </w:rPr>
      </w:pPr>
      <w:r w:rsidRPr="005E4CCD">
        <w:rPr>
          <w:rFonts w:cstheme="minorHAnsi"/>
          <w:b/>
          <w:bCs/>
          <w:iCs/>
          <w:szCs w:val="20"/>
        </w:rPr>
        <w:t>Because of these reasons we recommend not requiring any graphical representation</w:t>
      </w:r>
      <w:r w:rsidRPr="007D2A11">
        <w:rPr>
          <w:rFonts w:cstheme="minorHAnsi"/>
          <w:iCs/>
          <w:szCs w:val="20"/>
        </w:rPr>
        <w:t xml:space="preserve">. It would indeed invite to greenwashing, because a relatively unambitious retail product with a single screen could be made to look better than an ambitious ESG product </w:t>
      </w:r>
      <w:r>
        <w:rPr>
          <w:rFonts w:cstheme="minorHAnsi"/>
          <w:iCs/>
          <w:szCs w:val="20"/>
        </w:rPr>
        <w:t>with underlying investments in</w:t>
      </w:r>
      <w:r w:rsidRPr="007D2A11">
        <w:rPr>
          <w:rFonts w:cstheme="minorHAnsi"/>
          <w:iCs/>
          <w:szCs w:val="20"/>
        </w:rPr>
        <w:t xml:space="preserve"> government bonds for risk-management purposes. It could also be argued this would push investors to riskier and less diversified products.</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lastRenderedPageBreak/>
        <w:t>&lt;ESA_QUESTION_</w:t>
      </w:r>
      <w:r w:rsidR="00C86E1C">
        <w:rPr>
          <w:rFonts w:cs="Arial"/>
        </w:rPr>
        <w:t>ESG</w:t>
      </w:r>
      <w:r>
        <w:rPr>
          <w:rFonts w:cs="Arial"/>
        </w:rPr>
        <w:t>_21&gt;</w:t>
      </w:r>
    </w:p>
    <w:p w14:paraId="625A527A" w14:textId="6ACBB24D" w:rsidR="003E573C" w:rsidRPr="00D0178B" w:rsidRDefault="00D0178B" w:rsidP="003E573C">
      <w:pPr>
        <w:rPr>
          <w:szCs w:val="20"/>
          <w:lang w:val="en-US"/>
        </w:rPr>
      </w:pPr>
      <w:permStart w:id="2245015" w:edGrp="everyone"/>
      <w:r w:rsidRPr="0098038B">
        <w:rPr>
          <w:szCs w:val="20"/>
          <w:lang w:val="en-US"/>
        </w:rPr>
        <w:t xml:space="preserve">There seems to be some tension between the objective of Article 8 being a ‘catch-all’ category and setting a certain level of minimum standard for governance. In fact, the governance element may present some kind of loophole, whereby the FMP does use the marketing language of a sustainable financial </w:t>
      </w:r>
      <w:proofErr w:type="gramStart"/>
      <w:r w:rsidRPr="0098038B">
        <w:rPr>
          <w:szCs w:val="20"/>
          <w:lang w:val="en-US"/>
        </w:rPr>
        <w:t>product, but</w:t>
      </w:r>
      <w:proofErr w:type="gramEnd"/>
      <w:r w:rsidRPr="0098038B">
        <w:rPr>
          <w:szCs w:val="20"/>
          <w:lang w:val="en-US"/>
        </w:rPr>
        <w:t xml:space="preserve"> escapes the requirements of the Disclosure Regulation by not having a policy on governance. It is currently unclear, for example, what should happen if one company in the portfolio has an incident showing failing governance practices. Although pension funds have their investment due diligence processes, with thousands of investee companies in the portfolios in is hard to avoid </w:t>
      </w:r>
      <w:proofErr w:type="gramStart"/>
      <w:r w:rsidRPr="0098038B">
        <w:rPr>
          <w:szCs w:val="20"/>
          <w:lang w:val="en-US"/>
        </w:rPr>
        <w:t>to have</w:t>
      </w:r>
      <w:proofErr w:type="gramEnd"/>
      <w:r w:rsidRPr="0098038B">
        <w:rPr>
          <w:szCs w:val="20"/>
          <w:lang w:val="en-US"/>
        </w:rPr>
        <w:t xml:space="preserve"> a bad apple from time to time. Specifying in more detail the requirements for ‘good governance practices’ will make it more likely FMPs will have to disqualify their product as falling within the scope of Article 8. </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292BE666" w14:textId="77777777" w:rsidR="00D0178B" w:rsidRPr="008D0963" w:rsidRDefault="00D0178B" w:rsidP="00D0178B">
      <w:pPr>
        <w:jc w:val="both"/>
        <w:rPr>
          <w:rFonts w:cstheme="minorHAnsi"/>
          <w:iCs/>
          <w:szCs w:val="20"/>
        </w:rPr>
      </w:pPr>
      <w:permStart w:id="1182486711" w:edGrp="everyone"/>
      <w:r>
        <w:rPr>
          <w:rFonts w:cstheme="minorHAnsi"/>
          <w:iCs/>
          <w:szCs w:val="20"/>
        </w:rPr>
        <w:t>We do not expect</w:t>
      </w:r>
      <w:r w:rsidRPr="008D0963">
        <w:rPr>
          <w:rFonts w:cstheme="minorHAnsi"/>
          <w:iCs/>
          <w:szCs w:val="20"/>
        </w:rPr>
        <w:t xml:space="preserve"> pension funds </w:t>
      </w:r>
      <w:r>
        <w:rPr>
          <w:rFonts w:cstheme="minorHAnsi"/>
          <w:iCs/>
          <w:szCs w:val="20"/>
        </w:rPr>
        <w:t>to</w:t>
      </w:r>
      <w:r w:rsidRPr="008D0963">
        <w:rPr>
          <w:rFonts w:cstheme="minorHAnsi"/>
          <w:iCs/>
          <w:szCs w:val="20"/>
        </w:rPr>
        <w:t xml:space="preserve"> make sustainable investments under Article 9. </w:t>
      </w:r>
    </w:p>
    <w:p w14:paraId="1432A7E8" w14:textId="77777777" w:rsidR="00D0178B" w:rsidRPr="008D0963" w:rsidRDefault="00D0178B" w:rsidP="00D0178B">
      <w:pPr>
        <w:jc w:val="both"/>
        <w:rPr>
          <w:rFonts w:cstheme="minorHAnsi"/>
          <w:iCs/>
          <w:szCs w:val="20"/>
        </w:rPr>
      </w:pPr>
    </w:p>
    <w:p w14:paraId="76602261" w14:textId="77777777" w:rsidR="00D0178B" w:rsidRPr="008D0963" w:rsidRDefault="00D0178B" w:rsidP="00D0178B">
      <w:pPr>
        <w:jc w:val="both"/>
        <w:rPr>
          <w:rFonts w:cstheme="minorHAnsi"/>
          <w:iCs/>
          <w:szCs w:val="20"/>
        </w:rPr>
      </w:pPr>
      <w:r w:rsidRPr="008D0963">
        <w:rPr>
          <w:rFonts w:cstheme="minorHAnsi"/>
          <w:iCs/>
          <w:szCs w:val="20"/>
        </w:rPr>
        <w:t xml:space="preserve">Nevertheless, it is unclear how the adverse impact indicators to identify what </w:t>
      </w:r>
      <w:r>
        <w:rPr>
          <w:rFonts w:cstheme="minorHAnsi"/>
          <w:iCs/>
          <w:szCs w:val="20"/>
        </w:rPr>
        <w:t>would cause</w:t>
      </w:r>
      <w:r w:rsidRPr="008D0963">
        <w:rPr>
          <w:rFonts w:cstheme="minorHAnsi"/>
          <w:iCs/>
          <w:szCs w:val="20"/>
        </w:rPr>
        <w:t xml:space="preserve"> significant harm, as there is no level </w:t>
      </w:r>
      <w:r>
        <w:rPr>
          <w:rFonts w:cstheme="minorHAnsi"/>
          <w:iCs/>
          <w:szCs w:val="20"/>
        </w:rPr>
        <w:t xml:space="preserve">or thresholds </w:t>
      </w:r>
      <w:r w:rsidRPr="008D0963">
        <w:rPr>
          <w:rFonts w:cstheme="minorHAnsi"/>
          <w:iCs/>
          <w:szCs w:val="20"/>
        </w:rPr>
        <w:t xml:space="preserve">defined </w:t>
      </w:r>
      <w:r>
        <w:rPr>
          <w:rFonts w:cstheme="minorHAnsi"/>
          <w:iCs/>
          <w:szCs w:val="20"/>
        </w:rPr>
        <w:t>to trigger a “significant harm” event.</w:t>
      </w:r>
      <w:r w:rsidRPr="008D0963">
        <w:rPr>
          <w:rFonts w:cstheme="minorHAnsi"/>
          <w:iCs/>
          <w:szCs w:val="20"/>
        </w:rPr>
        <w:t xml:space="preserve"> For example, which CEO/employee pay ratio is so excessive that the investment can no longer be considered a ‘sustainable investment’? </w:t>
      </w:r>
    </w:p>
    <w:p w14:paraId="6113DECB" w14:textId="77777777" w:rsidR="00D0178B" w:rsidRPr="008D0963" w:rsidRDefault="00D0178B" w:rsidP="00D0178B">
      <w:pPr>
        <w:jc w:val="both"/>
        <w:rPr>
          <w:rFonts w:cstheme="minorHAnsi"/>
          <w:iCs/>
          <w:szCs w:val="20"/>
        </w:rPr>
      </w:pPr>
    </w:p>
    <w:p w14:paraId="5256FFD1" w14:textId="77777777" w:rsidR="00D0178B" w:rsidRPr="008D0963" w:rsidRDefault="00D0178B" w:rsidP="00D0178B">
      <w:pPr>
        <w:jc w:val="both"/>
        <w:rPr>
          <w:rFonts w:cstheme="minorHAnsi"/>
          <w:iCs/>
          <w:szCs w:val="20"/>
        </w:rPr>
      </w:pPr>
      <w:r w:rsidRPr="008D0963">
        <w:rPr>
          <w:rFonts w:cstheme="minorHAnsi"/>
          <w:iCs/>
          <w:szCs w:val="20"/>
        </w:rPr>
        <w:t xml:space="preserve">Moreover, having to check any investment that aims to have a positive sustainability objective against 32 indicators sets the bar for ‘sustainable investments’ very high. </w:t>
      </w:r>
    </w:p>
    <w:p w14:paraId="6EA0C83E" w14:textId="77777777" w:rsidR="00D0178B" w:rsidRPr="008D0963" w:rsidRDefault="00D0178B" w:rsidP="00D0178B">
      <w:pPr>
        <w:jc w:val="both"/>
        <w:rPr>
          <w:rFonts w:cstheme="minorHAnsi"/>
          <w:iCs/>
          <w:szCs w:val="20"/>
        </w:rPr>
      </w:pPr>
    </w:p>
    <w:p w14:paraId="0595D193" w14:textId="6CEB3180" w:rsidR="003E573C" w:rsidRPr="00D0178B" w:rsidRDefault="00D0178B" w:rsidP="00D0178B">
      <w:pPr>
        <w:jc w:val="both"/>
        <w:rPr>
          <w:rFonts w:cstheme="minorHAnsi"/>
          <w:iCs/>
          <w:szCs w:val="20"/>
        </w:rPr>
      </w:pPr>
      <w:r w:rsidRPr="008D0963">
        <w:rPr>
          <w:rFonts w:cstheme="minorHAnsi"/>
          <w:iCs/>
          <w:szCs w:val="20"/>
        </w:rPr>
        <w:t xml:space="preserve">Also, </w:t>
      </w:r>
      <w:r>
        <w:rPr>
          <w:rFonts w:cstheme="minorHAnsi"/>
          <w:iCs/>
          <w:szCs w:val="20"/>
        </w:rPr>
        <w:t>most</w:t>
      </w:r>
      <w:r w:rsidRPr="008D0963">
        <w:rPr>
          <w:rFonts w:cstheme="minorHAnsi"/>
          <w:iCs/>
          <w:szCs w:val="20"/>
        </w:rPr>
        <w:t xml:space="preserve"> </w:t>
      </w:r>
      <w:r>
        <w:rPr>
          <w:rFonts w:cstheme="minorHAnsi"/>
          <w:iCs/>
          <w:szCs w:val="20"/>
        </w:rPr>
        <w:t>pension funds have less</w:t>
      </w:r>
      <w:r w:rsidRPr="008D0963">
        <w:rPr>
          <w:rFonts w:cstheme="minorHAnsi"/>
          <w:iCs/>
          <w:szCs w:val="20"/>
        </w:rPr>
        <w:t xml:space="preserve"> than 500 employees, meaning that </w:t>
      </w:r>
      <w:r>
        <w:rPr>
          <w:rFonts w:cstheme="minorHAnsi"/>
          <w:iCs/>
          <w:szCs w:val="20"/>
        </w:rPr>
        <w:t>pension funds are</w:t>
      </w:r>
      <w:r w:rsidRPr="008D0963">
        <w:rPr>
          <w:rFonts w:cstheme="minorHAnsi"/>
          <w:iCs/>
          <w:szCs w:val="20"/>
        </w:rPr>
        <w:t xml:space="preserve"> not required to use the adverse impact indicators. Should they ever want to make a ‘sustainable investment’, this requirement could act as a threshold, as this pension fund would now need to engage a third-party data provider for information on these 32 indicators.</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7C62B174" w:rsidR="003E573C" w:rsidRPr="00D0178B" w:rsidRDefault="00D0178B" w:rsidP="00D0178B">
      <w:pPr>
        <w:jc w:val="both"/>
        <w:rPr>
          <w:rFonts w:cstheme="minorHAnsi"/>
          <w:iCs/>
          <w:szCs w:val="20"/>
        </w:rPr>
      </w:pPr>
      <w:permStart w:id="1634935588" w:edGrp="everyone"/>
      <w:r w:rsidRPr="0098038B">
        <w:rPr>
          <w:rFonts w:cstheme="minorHAnsi"/>
          <w:iCs/>
          <w:szCs w:val="20"/>
        </w:rPr>
        <w:t xml:space="preserve">For the average pension fund member (and retail client) this type of information would be too difficult to understand. Investment professionals working for pension funds are </w:t>
      </w:r>
      <w:proofErr w:type="gramStart"/>
      <w:r w:rsidRPr="0098038B">
        <w:rPr>
          <w:rFonts w:cstheme="minorHAnsi"/>
          <w:iCs/>
          <w:szCs w:val="20"/>
        </w:rPr>
        <w:t>well aware</w:t>
      </w:r>
      <w:proofErr w:type="gramEnd"/>
      <w:r w:rsidRPr="0098038B">
        <w:rPr>
          <w:rFonts w:cstheme="minorHAnsi"/>
          <w:iCs/>
          <w:szCs w:val="20"/>
        </w:rPr>
        <w:t xml:space="preserve"> of the different strategies. There is no added benefit of regulating these definitions for pension fund participants and no clear mandate in Level 1.</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46F904C4" w:rsidR="003E573C" w:rsidRPr="00D0178B" w:rsidRDefault="00D0178B" w:rsidP="003E573C">
      <w:pPr>
        <w:rPr>
          <w:szCs w:val="20"/>
          <w:lang w:val="en-US"/>
        </w:rPr>
      </w:pPr>
      <w:permStart w:id="872961277" w:edGrp="everyone"/>
      <w:r w:rsidRPr="0098038B">
        <w:rPr>
          <w:szCs w:val="20"/>
          <w:lang w:val="en-US"/>
        </w:rPr>
        <w:t xml:space="preserve">We are not entirely sure how this list would inform a pension fund participant about the sustainable investment policy and hether such a list would fit with the Level 1 mandate. This would entail quite a lot of information and the more pages precontractual information there are, the less likely consumers or pension fund participants are to </w:t>
      </w:r>
      <w:proofErr w:type="gramStart"/>
      <w:r w:rsidRPr="0098038B">
        <w:rPr>
          <w:szCs w:val="20"/>
          <w:lang w:val="en-US"/>
        </w:rPr>
        <w:t>actually read</w:t>
      </w:r>
      <w:proofErr w:type="gramEnd"/>
      <w:r w:rsidRPr="0098038B">
        <w:rPr>
          <w:szCs w:val="20"/>
          <w:lang w:val="en-US"/>
        </w:rPr>
        <w:t xml:space="preserve"> it.</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4FBAD03D" w14:textId="77777777" w:rsidR="00A47BB6" w:rsidRDefault="00A47BB6" w:rsidP="00A47BB6">
      <w:pPr>
        <w:jc w:val="both"/>
        <w:rPr>
          <w:rFonts w:cstheme="minorHAnsi"/>
          <w:bCs/>
          <w:color w:val="4F81BD"/>
          <w:szCs w:val="20"/>
          <w:lang w:bidi="en-US"/>
        </w:rPr>
      </w:pPr>
      <w:permStart w:id="374105505" w:edGrp="everyone"/>
      <w:r w:rsidRPr="00DC0FD4">
        <w:rPr>
          <w:rFonts w:cstheme="minorHAnsi"/>
          <w:bCs/>
          <w:color w:val="4F81BD"/>
          <w:szCs w:val="20"/>
          <w:lang w:bidi="en-US"/>
        </w:rPr>
        <w:t>a) 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CD3841C" w14:textId="77777777" w:rsidR="00A47BB6" w:rsidRDefault="00A47BB6" w:rsidP="00A47BB6">
      <w:pPr>
        <w:jc w:val="both"/>
        <w:rPr>
          <w:rFonts w:cstheme="minorHAnsi"/>
          <w:bCs/>
          <w:color w:val="4F81BD"/>
          <w:szCs w:val="20"/>
          <w:lang w:bidi="en-US"/>
        </w:rPr>
      </w:pPr>
    </w:p>
    <w:p w14:paraId="697FF8BE" w14:textId="77777777" w:rsidR="00A47BB6" w:rsidRPr="00926985" w:rsidRDefault="00A47BB6" w:rsidP="00A47BB6">
      <w:pPr>
        <w:rPr>
          <w:szCs w:val="20"/>
          <w:lang w:val="en-US"/>
        </w:rPr>
      </w:pPr>
      <w:r w:rsidRPr="005E4CCD">
        <w:rPr>
          <w:b/>
          <w:bCs/>
          <w:szCs w:val="20"/>
          <w:lang w:val="en-US"/>
        </w:rPr>
        <w:t>We recommend only including this type of information in the periodic report or annual responsible investment report.</w:t>
      </w:r>
      <w:r w:rsidRPr="00926985">
        <w:rPr>
          <w:szCs w:val="20"/>
          <w:lang w:val="en-US"/>
        </w:rPr>
        <w:t xml:space="preserve"> </w:t>
      </w:r>
      <w:r>
        <w:rPr>
          <w:szCs w:val="20"/>
          <w:lang w:val="en-US"/>
        </w:rPr>
        <w:t xml:space="preserve">In the s case ofmany occupational pension plans, </w:t>
      </w:r>
      <w:r w:rsidRPr="00926985">
        <w:rPr>
          <w:szCs w:val="20"/>
          <w:lang w:val="en-US"/>
        </w:rPr>
        <w:t xml:space="preserve">individuals </w:t>
      </w:r>
      <w:r>
        <w:rPr>
          <w:szCs w:val="20"/>
          <w:lang w:val="en-US"/>
        </w:rPr>
        <w:t xml:space="preserve">do not have an investment choice and </w:t>
      </w:r>
      <w:r w:rsidRPr="00926985">
        <w:rPr>
          <w:szCs w:val="20"/>
          <w:lang w:val="en-US"/>
        </w:rPr>
        <w:t>cannot take a decision based on this information</w:t>
      </w:r>
      <w:r>
        <w:rPr>
          <w:szCs w:val="20"/>
          <w:lang w:val="en-US"/>
        </w:rPr>
        <w:t>.</w:t>
      </w:r>
      <w:r w:rsidRPr="00926985">
        <w:rPr>
          <w:szCs w:val="20"/>
          <w:lang w:val="en-US"/>
        </w:rPr>
        <w:t xml:space="preserve"> </w:t>
      </w:r>
      <w:r>
        <w:rPr>
          <w:szCs w:val="20"/>
          <w:lang w:val="en-US"/>
        </w:rPr>
        <w:t>I</w:t>
      </w:r>
      <w:r w:rsidRPr="00926985">
        <w:rPr>
          <w:szCs w:val="20"/>
          <w:lang w:val="en-US"/>
        </w:rPr>
        <w:t>n any case</w:t>
      </w:r>
      <w:r>
        <w:rPr>
          <w:szCs w:val="20"/>
          <w:lang w:val="en-US"/>
        </w:rPr>
        <w:t>, they</w:t>
      </w:r>
      <w:r w:rsidRPr="00926985">
        <w:rPr>
          <w:szCs w:val="20"/>
          <w:lang w:val="en-US"/>
        </w:rPr>
        <w:t xml:space="preserve"> will receive the information after they have signed the labour contract.</w:t>
      </w:r>
    </w:p>
    <w:p w14:paraId="6D76714E" w14:textId="77777777" w:rsidR="00A47BB6" w:rsidRPr="00926985" w:rsidRDefault="00A47BB6" w:rsidP="00A47BB6">
      <w:pPr>
        <w:rPr>
          <w:szCs w:val="20"/>
          <w:lang w:val="en-US"/>
        </w:rPr>
      </w:pPr>
    </w:p>
    <w:p w14:paraId="73E5A6D5" w14:textId="77777777" w:rsidR="00A47BB6" w:rsidRPr="00926985" w:rsidRDefault="00A47BB6" w:rsidP="00A47BB6">
      <w:pPr>
        <w:rPr>
          <w:szCs w:val="20"/>
          <w:lang w:val="en-US"/>
        </w:rPr>
      </w:pPr>
      <w:r w:rsidRPr="00926985">
        <w:rPr>
          <w:szCs w:val="20"/>
          <w:lang w:val="en-US"/>
        </w:rPr>
        <w:t xml:space="preserve">However, the periodic report often is a focal point for discussions by representative bodies about the pension fund in general and the responsible investment </w:t>
      </w:r>
      <w:proofErr w:type="gramStart"/>
      <w:r w:rsidRPr="00926985">
        <w:rPr>
          <w:szCs w:val="20"/>
          <w:lang w:val="en-US"/>
        </w:rPr>
        <w:t>policy in particular</w:t>
      </w:r>
      <w:proofErr w:type="gramEnd"/>
      <w:r w:rsidRPr="00926985">
        <w:rPr>
          <w:szCs w:val="20"/>
          <w:lang w:val="en-US"/>
        </w:rPr>
        <w:t xml:space="preserve">. Similarly, these reports are a valuable source of information for external stakeholders who take an interest in the responsible investment policy. </w:t>
      </w:r>
    </w:p>
    <w:p w14:paraId="4C3E2FFD" w14:textId="77777777" w:rsidR="00A47BB6" w:rsidRDefault="00A47BB6" w:rsidP="00A47BB6">
      <w:pPr>
        <w:jc w:val="both"/>
        <w:rPr>
          <w:rFonts w:cstheme="minorHAnsi"/>
          <w:bCs/>
          <w:color w:val="4F81BD"/>
          <w:szCs w:val="20"/>
          <w:lang w:bidi="en-US"/>
        </w:rPr>
      </w:pPr>
    </w:p>
    <w:p w14:paraId="08C3EB6F" w14:textId="77777777" w:rsidR="00A47BB6" w:rsidRPr="00DC0FD4" w:rsidRDefault="00A47BB6" w:rsidP="00A47BB6">
      <w:pPr>
        <w:jc w:val="both"/>
        <w:rPr>
          <w:rFonts w:cstheme="minorHAnsi"/>
          <w:bCs/>
          <w:color w:val="4F81BD"/>
          <w:szCs w:val="20"/>
          <w:lang w:bidi="en-US"/>
        </w:rPr>
      </w:pPr>
    </w:p>
    <w:p w14:paraId="5F2BB1BA" w14:textId="77777777" w:rsidR="00A47BB6" w:rsidRDefault="00A47BB6" w:rsidP="00A47BB6">
      <w:pPr>
        <w:jc w:val="both"/>
        <w:rPr>
          <w:rFonts w:cstheme="minorHAnsi"/>
          <w:bCs/>
          <w:color w:val="4F81BD"/>
          <w:szCs w:val="20"/>
          <w:lang w:bidi="en-US"/>
        </w:rPr>
      </w:pPr>
      <w:r w:rsidRPr="00DC0FD4">
        <w:rPr>
          <w:rFonts w:cstheme="minorHAnsi"/>
          <w:bCs/>
          <w:color w:val="4F81BD"/>
          <w:szCs w:val="20"/>
          <w:lang w:bidi="en-US"/>
        </w:rPr>
        <w:t xml:space="preserve">b) a short description of the policy to assess good governance practices of the investee companies – in the draft RTS below it is in pre-contractual disclosure Articles 17(c) and </w:t>
      </w:r>
      <w:proofErr w:type="gramStart"/>
      <w:r w:rsidRPr="00DC0FD4">
        <w:rPr>
          <w:rFonts w:cstheme="minorHAnsi"/>
          <w:bCs/>
          <w:color w:val="4F81BD"/>
          <w:szCs w:val="20"/>
          <w:lang w:bidi="en-US"/>
        </w:rPr>
        <w:t>26(c);</w:t>
      </w:r>
      <w:proofErr w:type="gramEnd"/>
    </w:p>
    <w:p w14:paraId="2A4E1373" w14:textId="77777777" w:rsidR="00A47BB6" w:rsidRDefault="00A47BB6" w:rsidP="00A47BB6">
      <w:pPr>
        <w:jc w:val="both"/>
        <w:rPr>
          <w:rFonts w:cstheme="minorHAnsi"/>
          <w:bCs/>
          <w:color w:val="4F81BD"/>
          <w:szCs w:val="20"/>
          <w:lang w:bidi="en-US"/>
        </w:rPr>
      </w:pPr>
    </w:p>
    <w:p w14:paraId="104CE551" w14:textId="77777777" w:rsidR="00A47BB6" w:rsidRPr="00926985" w:rsidRDefault="00A47BB6" w:rsidP="00A47BB6">
      <w:pPr>
        <w:rPr>
          <w:szCs w:val="20"/>
          <w:lang w:val="en-US"/>
        </w:rPr>
      </w:pPr>
      <w:r w:rsidRPr="005E4CCD">
        <w:rPr>
          <w:b/>
          <w:bCs/>
          <w:szCs w:val="20"/>
          <w:lang w:val="en-US"/>
        </w:rPr>
        <w:t>We recommend only including this type of information in the periodic report or annual responsible investment report.</w:t>
      </w:r>
      <w:r w:rsidRPr="00926985">
        <w:rPr>
          <w:szCs w:val="20"/>
          <w:lang w:val="en-US"/>
        </w:rPr>
        <w:t xml:space="preserve"> </w:t>
      </w:r>
      <w:r>
        <w:rPr>
          <w:szCs w:val="20"/>
          <w:lang w:val="en-US"/>
        </w:rPr>
        <w:t>T</w:t>
      </w:r>
      <w:r w:rsidRPr="00926985">
        <w:rPr>
          <w:szCs w:val="20"/>
          <w:lang w:val="en-US"/>
        </w:rPr>
        <w:t xml:space="preserve">he periodic report often is a focal point for discussions by representative bodies about the pension fund in general and the responsible investment </w:t>
      </w:r>
      <w:proofErr w:type="gramStart"/>
      <w:r w:rsidRPr="00926985">
        <w:rPr>
          <w:szCs w:val="20"/>
          <w:lang w:val="en-US"/>
        </w:rPr>
        <w:t>policy in particular</w:t>
      </w:r>
      <w:proofErr w:type="gramEnd"/>
      <w:r w:rsidRPr="00926985">
        <w:rPr>
          <w:szCs w:val="20"/>
          <w:lang w:val="en-US"/>
        </w:rPr>
        <w:t xml:space="preserve">. Similarly, these reports are a valuable source of information for external stakeholders who take an interest in the responsible investment policy. </w:t>
      </w:r>
    </w:p>
    <w:p w14:paraId="7106134A" w14:textId="77777777" w:rsidR="00A47BB6" w:rsidRPr="00DC0FD4" w:rsidRDefault="00A47BB6" w:rsidP="00A47BB6">
      <w:pPr>
        <w:jc w:val="both"/>
        <w:rPr>
          <w:rFonts w:cstheme="minorHAnsi"/>
          <w:bCs/>
          <w:color w:val="4F81BD"/>
          <w:szCs w:val="20"/>
          <w:lang w:bidi="en-US"/>
        </w:rPr>
      </w:pPr>
    </w:p>
    <w:p w14:paraId="111EE6EF" w14:textId="77777777" w:rsidR="00A47BB6" w:rsidRPr="00DC0FD4" w:rsidRDefault="00A47BB6" w:rsidP="00A47BB6">
      <w:pPr>
        <w:jc w:val="both"/>
        <w:rPr>
          <w:rFonts w:cstheme="minorHAnsi"/>
          <w:bCs/>
          <w:color w:val="4F81BD"/>
          <w:szCs w:val="20"/>
          <w:lang w:bidi="en-US"/>
        </w:rPr>
      </w:pPr>
      <w:r w:rsidRPr="00DC0FD4">
        <w:rPr>
          <w:rFonts w:cstheme="minorHAnsi"/>
          <w:bCs/>
          <w:color w:val="4F81BD"/>
          <w:szCs w:val="20"/>
          <w:lang w:bidi="en-US"/>
        </w:rPr>
        <w:t>c) 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698E2BC6" w14:textId="77777777" w:rsidR="00A47BB6" w:rsidRDefault="00A47BB6" w:rsidP="00A47BB6">
      <w:pPr>
        <w:jc w:val="both"/>
        <w:rPr>
          <w:rFonts w:cstheme="minorHAnsi"/>
          <w:bCs/>
          <w:color w:val="4F81BD"/>
          <w:szCs w:val="20"/>
          <w:lang w:bidi="en-US"/>
        </w:rPr>
      </w:pPr>
    </w:p>
    <w:p w14:paraId="0E3239AD" w14:textId="77777777" w:rsidR="00A47BB6" w:rsidRPr="00926985" w:rsidRDefault="00A47BB6" w:rsidP="00A47BB6">
      <w:pPr>
        <w:rPr>
          <w:szCs w:val="20"/>
          <w:lang w:val="en-US"/>
        </w:rPr>
      </w:pPr>
      <w:r w:rsidRPr="005E4CCD">
        <w:rPr>
          <w:b/>
          <w:bCs/>
          <w:szCs w:val="20"/>
          <w:lang w:val="en-US"/>
        </w:rPr>
        <w:lastRenderedPageBreak/>
        <w:t>We recommend only including this type of information in the periodic report or annual responsible investment report.</w:t>
      </w:r>
      <w:r w:rsidRPr="00926985">
        <w:rPr>
          <w:szCs w:val="20"/>
          <w:lang w:val="en-US"/>
        </w:rPr>
        <w:t xml:space="preserve"> </w:t>
      </w:r>
      <w:r>
        <w:rPr>
          <w:szCs w:val="20"/>
          <w:lang w:val="en-US"/>
        </w:rPr>
        <w:t>T</w:t>
      </w:r>
      <w:r w:rsidRPr="00B13D1C">
        <w:rPr>
          <w:szCs w:val="20"/>
          <w:lang w:val="en-US"/>
        </w:rPr>
        <w:t>his type of information is very technical and pension fund participants who are proactively looking into the responsible investment policy on the website will likely disengage if they struggle to understand it.</w:t>
      </w:r>
    </w:p>
    <w:p w14:paraId="37DB6728" w14:textId="77777777" w:rsidR="00A47BB6" w:rsidRPr="00926985" w:rsidRDefault="00A47BB6" w:rsidP="00A47BB6">
      <w:pPr>
        <w:rPr>
          <w:szCs w:val="20"/>
          <w:lang w:val="en-US"/>
        </w:rPr>
      </w:pPr>
    </w:p>
    <w:p w14:paraId="7711440B" w14:textId="77777777" w:rsidR="00A47BB6" w:rsidRPr="00926985" w:rsidRDefault="00A47BB6" w:rsidP="00A47BB6">
      <w:pPr>
        <w:rPr>
          <w:szCs w:val="20"/>
          <w:lang w:val="en-US"/>
        </w:rPr>
      </w:pPr>
      <w:r>
        <w:rPr>
          <w:szCs w:val="20"/>
          <w:lang w:val="en-US"/>
        </w:rPr>
        <w:t>T</w:t>
      </w:r>
      <w:r w:rsidRPr="00926985">
        <w:rPr>
          <w:szCs w:val="20"/>
          <w:lang w:val="en-US"/>
        </w:rPr>
        <w:t xml:space="preserve">he periodic report often is a focal point for discussions by representative bodies about the pension fund in general and the responsible investment </w:t>
      </w:r>
      <w:proofErr w:type="gramStart"/>
      <w:r w:rsidRPr="00926985">
        <w:rPr>
          <w:szCs w:val="20"/>
          <w:lang w:val="en-US"/>
        </w:rPr>
        <w:t>policy in particular</w:t>
      </w:r>
      <w:proofErr w:type="gramEnd"/>
      <w:r w:rsidRPr="00926985">
        <w:rPr>
          <w:szCs w:val="20"/>
          <w:lang w:val="en-US"/>
        </w:rPr>
        <w:t xml:space="preserve">. Similarly, these reports are a valuable source of information for external stakeholders who take an interest in the responsible investment policy. </w:t>
      </w:r>
    </w:p>
    <w:p w14:paraId="6C6C4404" w14:textId="77777777" w:rsidR="00A47BB6" w:rsidRDefault="00A47BB6" w:rsidP="00A47BB6">
      <w:pPr>
        <w:jc w:val="both"/>
        <w:rPr>
          <w:rFonts w:cstheme="minorHAnsi"/>
          <w:bCs/>
          <w:color w:val="4F81BD"/>
          <w:szCs w:val="20"/>
          <w:lang w:bidi="en-US"/>
        </w:rPr>
      </w:pPr>
    </w:p>
    <w:p w14:paraId="107A4E8F" w14:textId="77777777" w:rsidR="00A47BB6" w:rsidRPr="00DC0FD4" w:rsidRDefault="00A47BB6" w:rsidP="00A47BB6">
      <w:pPr>
        <w:jc w:val="both"/>
        <w:rPr>
          <w:rFonts w:cstheme="minorHAnsi"/>
          <w:bCs/>
          <w:color w:val="4F81BD"/>
          <w:szCs w:val="20"/>
          <w:lang w:bidi="en-US"/>
        </w:rPr>
      </w:pPr>
      <w:r w:rsidRPr="00DC0FD4">
        <w:rPr>
          <w:rFonts w:cstheme="minorHAnsi"/>
          <w:bCs/>
          <w:color w:val="4F81BD"/>
          <w:szCs w:val="20"/>
          <w:lang w:bidi="en-US"/>
        </w:rPr>
        <w:t xml:space="preserve">d) a reference to whether data sources are external or internal and in what proportions – not currently reflected in the draft RTS but could complement the pre-contractual disclosures under Article 17. </w:t>
      </w:r>
    </w:p>
    <w:p w14:paraId="3F24763A" w14:textId="77777777" w:rsidR="00A47BB6" w:rsidRDefault="00A47BB6" w:rsidP="00A47BB6">
      <w:pPr>
        <w:jc w:val="both"/>
        <w:rPr>
          <w:rFonts w:cstheme="minorHAnsi"/>
          <w:bCs/>
          <w:color w:val="4F81BD"/>
          <w:szCs w:val="20"/>
          <w:lang w:bidi="en-US"/>
        </w:rPr>
      </w:pPr>
    </w:p>
    <w:p w14:paraId="74D86456" w14:textId="77777777" w:rsidR="00A47BB6" w:rsidRPr="00926985" w:rsidRDefault="00A47BB6" w:rsidP="00A47BB6">
      <w:pPr>
        <w:rPr>
          <w:szCs w:val="20"/>
          <w:lang w:val="en-US"/>
        </w:rPr>
      </w:pPr>
      <w:r w:rsidRPr="005E4CCD">
        <w:rPr>
          <w:b/>
          <w:bCs/>
          <w:szCs w:val="20"/>
          <w:lang w:val="en-US"/>
        </w:rPr>
        <w:t>We recommend only including this type of information in the periodic report or annual responsible investment report.</w:t>
      </w:r>
      <w:r w:rsidRPr="00926985">
        <w:rPr>
          <w:szCs w:val="20"/>
          <w:lang w:val="en-US"/>
        </w:rPr>
        <w:t xml:space="preserve"> </w:t>
      </w:r>
      <w:r w:rsidRPr="00B13D1C">
        <w:rPr>
          <w:szCs w:val="20"/>
          <w:lang w:val="en-US"/>
        </w:rPr>
        <w:t>This type of information is very technical and pension fund participants who are proactively looking into the responsible investment policy on the website will likely disengage if they struggle to understand it.</w:t>
      </w:r>
    </w:p>
    <w:p w14:paraId="2C8E2C35" w14:textId="77777777" w:rsidR="00A47BB6" w:rsidRPr="00926985" w:rsidRDefault="00A47BB6" w:rsidP="00A47BB6">
      <w:pPr>
        <w:rPr>
          <w:szCs w:val="20"/>
          <w:lang w:val="en-US"/>
        </w:rPr>
      </w:pPr>
    </w:p>
    <w:p w14:paraId="791A0604" w14:textId="310C8F9F" w:rsidR="003E573C" w:rsidRPr="00A47BB6" w:rsidRDefault="00A47BB6" w:rsidP="003E573C">
      <w:pPr>
        <w:rPr>
          <w:szCs w:val="20"/>
          <w:lang w:val="en-US"/>
        </w:rPr>
      </w:pPr>
      <w:r>
        <w:rPr>
          <w:szCs w:val="20"/>
          <w:lang w:val="en-US"/>
        </w:rPr>
        <w:t>T</w:t>
      </w:r>
      <w:r w:rsidRPr="00926985">
        <w:rPr>
          <w:szCs w:val="20"/>
          <w:lang w:val="en-US"/>
        </w:rPr>
        <w:t xml:space="preserve">he periodic report often is a focal point for discussions by representative bodies about the pension fund in general and the responsible investment </w:t>
      </w:r>
      <w:proofErr w:type="gramStart"/>
      <w:r w:rsidRPr="00926985">
        <w:rPr>
          <w:szCs w:val="20"/>
          <w:lang w:val="en-US"/>
        </w:rPr>
        <w:t>policy in particular</w:t>
      </w:r>
      <w:proofErr w:type="gramEnd"/>
      <w:r w:rsidRPr="00926985">
        <w:rPr>
          <w:szCs w:val="20"/>
          <w:lang w:val="en-US"/>
        </w:rPr>
        <w:t xml:space="preserve">. Similarly, these reports are a valuable source of information for external stakeholders who take an interest in the responsible investment policy. </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1E2B1237" w14:textId="77777777" w:rsidR="00A47BB6" w:rsidRPr="005E4CCD" w:rsidRDefault="00A47BB6" w:rsidP="00A47BB6">
      <w:pPr>
        <w:jc w:val="both"/>
        <w:rPr>
          <w:rFonts w:cstheme="minorHAnsi"/>
          <w:iCs/>
          <w:szCs w:val="20"/>
        </w:rPr>
      </w:pPr>
      <w:permStart w:id="1007688109" w:edGrp="everyone"/>
      <w:r w:rsidRPr="005E4CCD">
        <w:rPr>
          <w:rFonts w:cstheme="minorHAnsi"/>
          <w:iCs/>
          <w:szCs w:val="20"/>
        </w:rPr>
        <w:t>We note that the Impact Assessment does not provide any estimates of the costs of the new disclosures. It is for example stated that “The majority of the ESAs’ working group believes that the integration of ESG considerations to disclose adverse impacts and actions taken will not be disproportionately high.” (p. 75). Are there any plans to substantiate this?</w:t>
      </w:r>
    </w:p>
    <w:p w14:paraId="75669BE6" w14:textId="77777777" w:rsidR="00A47BB6" w:rsidRDefault="00A47BB6" w:rsidP="00A47BB6">
      <w:pPr>
        <w:jc w:val="both"/>
        <w:rPr>
          <w:rFonts w:cstheme="minorHAnsi"/>
          <w:iCs/>
          <w:szCs w:val="20"/>
        </w:rPr>
      </w:pPr>
    </w:p>
    <w:p w14:paraId="7C77B12D" w14:textId="77777777" w:rsidR="00A47BB6" w:rsidRPr="005E4CCD" w:rsidRDefault="00A47BB6" w:rsidP="00A47BB6">
      <w:pPr>
        <w:jc w:val="both"/>
        <w:rPr>
          <w:rFonts w:cstheme="minorHAnsi"/>
          <w:iCs/>
          <w:szCs w:val="20"/>
        </w:rPr>
      </w:pPr>
      <w:r w:rsidRPr="005E4CCD">
        <w:rPr>
          <w:rFonts w:cstheme="minorHAnsi"/>
          <w:iCs/>
          <w:szCs w:val="20"/>
        </w:rPr>
        <w:t>We welcome that the ESAs are seeking to strike a balance between “the cost and complexity of implementation and the usefulness of disclosures for investors.” From our perspective, however, this goal is not achieved with the current proposal. For example, the number of indicators for PAI disclosures under article 4 should be boiled down.</w:t>
      </w:r>
    </w:p>
    <w:p w14:paraId="16D4F779" w14:textId="77777777" w:rsidR="00A47BB6" w:rsidRDefault="00A47BB6" w:rsidP="00A47BB6">
      <w:pPr>
        <w:jc w:val="both"/>
        <w:rPr>
          <w:rFonts w:cstheme="minorHAnsi"/>
          <w:iCs/>
          <w:szCs w:val="20"/>
        </w:rPr>
      </w:pPr>
    </w:p>
    <w:p w14:paraId="032694A2" w14:textId="77777777" w:rsidR="00A47BB6" w:rsidRDefault="00A47BB6" w:rsidP="00A47BB6">
      <w:pPr>
        <w:jc w:val="both"/>
        <w:rPr>
          <w:rFonts w:cstheme="minorHAnsi"/>
          <w:iCs/>
          <w:szCs w:val="20"/>
        </w:rPr>
      </w:pPr>
      <w:r w:rsidRPr="005E4CCD">
        <w:rPr>
          <w:rFonts w:cstheme="minorHAnsi"/>
          <w:iCs/>
          <w:szCs w:val="20"/>
        </w:rPr>
        <w:t xml:space="preserve">The impact assessment states: “The impact of introducing systems and processes to report the principal adverse impacts and the actions taken and planned may be significant, depending on the size of the investments undertaken and the kinds of exposures of the investments (e.g. sectors, countries). In this regard, the working group notes the work done by the European Commission in its impact assessment on the legislative proposals in the sustainable finance action plan. The Commission asked in its public consultation about the additional costs of integrating ESG considerations, to which respondents with one exception chose the lowest range of costs. Furthermore, in the Commission’s targeted interviews, six firms provided numbers on the prospective costs of ESG integration. For the small entities, the additional cost ranged from EUR 80 </w:t>
      </w:r>
      <w:r w:rsidRPr="005E4CCD">
        <w:rPr>
          <w:rFonts w:cstheme="minorHAnsi"/>
          <w:iCs/>
          <w:szCs w:val="20"/>
        </w:rPr>
        <w:lastRenderedPageBreak/>
        <w:t>000 to EUR 200 000 per year (for buying external data, doing additional internal research, engagement with companies etc.), i.e. maximum 0.0001 % of AuM (by way of comparison, the total cost for an equity fund is around 2 % per year (based on a study by Deloitte). The highest relative additional cost the Commission re- ceived was 0.0003 % of AuM per year (for a player with EUR 72 billion AuM).”</w:t>
      </w:r>
    </w:p>
    <w:p w14:paraId="7A20BCC0" w14:textId="77777777" w:rsidR="00A47BB6" w:rsidRPr="005E4CCD" w:rsidRDefault="00A47BB6" w:rsidP="00A47BB6">
      <w:pPr>
        <w:pStyle w:val="ListParagraph"/>
        <w:numPr>
          <w:ilvl w:val="0"/>
          <w:numId w:val="49"/>
        </w:numPr>
        <w:spacing w:after="160" w:line="259" w:lineRule="auto"/>
        <w:jc w:val="both"/>
        <w:rPr>
          <w:rFonts w:cstheme="minorHAnsi"/>
          <w:iCs/>
          <w:szCs w:val="20"/>
        </w:rPr>
      </w:pPr>
      <w:r w:rsidRPr="005E4CCD">
        <w:rPr>
          <w:rFonts w:cstheme="minorHAnsi"/>
          <w:iCs/>
          <w:szCs w:val="20"/>
        </w:rPr>
        <w:t xml:space="preserve">The costs reported broadly fall within the scope of what our members have reported to us. If pension funds were to incur these costs themselves directly, the impact on overall costs is much higher than the percentages reported in the impact assessment (0.0001%), at least for smaller and medium-sized funds. For example, a fund with 500 million of AUM incurring an annual cost of EUR 100 000, will see its costs rise with 0,02 percentage points. This relates only to obtaining ESG data and not to the time spent preparing the disclosures. The average annual costs of, for example, a Dutch pension funds stand at 0,65% (including all asset management, administrative and transaction cost), which amounts to a 3% estimated increase of annual costs. Bearing that many IORPs in Europe are smaller than this, this cost increase is not insignificant. At the same time, for the biggest fund in indirectly represented in PensionsEurope’s membership (ABP), the EUR 100 000 annual cost would amount to an estimated 0,00002 percentage points. This shows that the RTS currently do not properly incorporate proportionality considerations as required by Level 1. </w:t>
      </w:r>
    </w:p>
    <w:p w14:paraId="54F610E8" w14:textId="77777777" w:rsidR="00A47BB6" w:rsidRPr="002B5E68" w:rsidRDefault="00A47BB6" w:rsidP="00A47BB6">
      <w:pPr>
        <w:pStyle w:val="ListParagraph"/>
        <w:numPr>
          <w:ilvl w:val="0"/>
          <w:numId w:val="49"/>
        </w:numPr>
        <w:spacing w:after="160" w:line="259" w:lineRule="auto"/>
        <w:jc w:val="both"/>
        <w:rPr>
          <w:rFonts w:cstheme="minorHAnsi"/>
          <w:iCs/>
          <w:szCs w:val="20"/>
        </w:rPr>
      </w:pPr>
      <w:r>
        <w:rPr>
          <w:rFonts w:cstheme="minorHAnsi"/>
          <w:iCs/>
          <w:szCs w:val="20"/>
        </w:rPr>
        <w:t>Moreover, w</w:t>
      </w:r>
      <w:r w:rsidRPr="002B5E68">
        <w:rPr>
          <w:rFonts w:cstheme="minorHAnsi"/>
          <w:iCs/>
          <w:szCs w:val="20"/>
        </w:rPr>
        <w:t xml:space="preserve">e note that generally the Impact Assessment does not differentiate between the different types of </w:t>
      </w:r>
      <w:r>
        <w:rPr>
          <w:rFonts w:cstheme="minorHAnsi"/>
          <w:iCs/>
          <w:szCs w:val="20"/>
        </w:rPr>
        <w:t>FMPs</w:t>
      </w:r>
      <w:r w:rsidRPr="002B5E68">
        <w:rPr>
          <w:rFonts w:cstheme="minorHAnsi"/>
          <w:iCs/>
          <w:szCs w:val="20"/>
        </w:rPr>
        <w:t>. We very much agree that the scope of the SFDR is extremely broad and would expect to see this reflected in the Impact Assessment.</w:t>
      </w:r>
    </w:p>
    <w:p w14:paraId="50AB8F8B" w14:textId="4C9F3974" w:rsidR="003E573C" w:rsidRPr="00A47BB6" w:rsidRDefault="00A47BB6" w:rsidP="003E573C">
      <w:pPr>
        <w:pStyle w:val="ListParagraph"/>
        <w:numPr>
          <w:ilvl w:val="0"/>
          <w:numId w:val="49"/>
        </w:numPr>
        <w:spacing w:after="160" w:line="259" w:lineRule="auto"/>
        <w:jc w:val="both"/>
        <w:rPr>
          <w:rFonts w:cstheme="minorHAnsi"/>
          <w:iCs/>
          <w:szCs w:val="20"/>
        </w:rPr>
      </w:pPr>
      <w:r w:rsidRPr="002B5E68">
        <w:rPr>
          <w:rFonts w:cstheme="minorHAnsi"/>
          <w:iCs/>
          <w:szCs w:val="20"/>
        </w:rPr>
        <w:t xml:space="preserve">What type of financial market participant were the “six firms” who provided the numbers? Are their responses relevant for other </w:t>
      </w:r>
      <w:r>
        <w:rPr>
          <w:rFonts w:cstheme="minorHAnsi"/>
          <w:iCs/>
          <w:szCs w:val="20"/>
        </w:rPr>
        <w:t>FMPs</w:t>
      </w:r>
      <w:r w:rsidRPr="002B5E68">
        <w:rPr>
          <w:rFonts w:cstheme="minorHAnsi"/>
          <w:iCs/>
          <w:szCs w:val="20"/>
        </w:rPr>
        <w:t xml:space="preserve"> as well? We understand that the costs were not calculated based on the Table in Annex I – what are the reasons for using them as an approximation for the expected cost?</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A614B" w14:textId="77777777" w:rsidR="00703E9A" w:rsidRDefault="00703E9A">
      <w:r>
        <w:separator/>
      </w:r>
    </w:p>
    <w:p w14:paraId="6A035954" w14:textId="77777777" w:rsidR="00703E9A" w:rsidRDefault="00703E9A"/>
  </w:endnote>
  <w:endnote w:type="continuationSeparator" w:id="0">
    <w:p w14:paraId="5930C47E" w14:textId="77777777" w:rsidR="00703E9A" w:rsidRDefault="00703E9A">
      <w:r>
        <w:continuationSeparator/>
      </w:r>
    </w:p>
    <w:p w14:paraId="3EEEFE39" w14:textId="77777777" w:rsidR="00703E9A" w:rsidRDefault="00703E9A"/>
  </w:endnote>
  <w:endnote w:type="continuationNotice" w:id="1">
    <w:p w14:paraId="7D1B40D2" w14:textId="77777777" w:rsidR="00703E9A" w:rsidRDefault="0070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EF10C" w14:textId="77777777" w:rsidR="00703E9A" w:rsidRDefault="00703E9A">
      <w:r>
        <w:separator/>
      </w:r>
    </w:p>
    <w:p w14:paraId="11D2549F" w14:textId="77777777" w:rsidR="00703E9A" w:rsidRDefault="00703E9A"/>
  </w:footnote>
  <w:footnote w:type="continuationSeparator" w:id="0">
    <w:p w14:paraId="5464E227" w14:textId="77777777" w:rsidR="00703E9A" w:rsidRDefault="00703E9A">
      <w:r>
        <w:continuationSeparator/>
      </w:r>
    </w:p>
    <w:p w14:paraId="3D44CE08" w14:textId="77777777" w:rsidR="00703E9A" w:rsidRDefault="00703E9A"/>
  </w:footnote>
  <w:footnote w:type="continuationNotice" w:id="1">
    <w:p w14:paraId="1C615F7F" w14:textId="77777777" w:rsidR="00703E9A" w:rsidRDefault="00703E9A"/>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
    <w:p w14:paraId="51D55A21" w14:textId="77777777" w:rsidR="00506180" w:rsidRPr="002824B5" w:rsidRDefault="00506180" w:rsidP="00506180">
      <w:pPr>
        <w:pStyle w:val="FootnoteText"/>
      </w:pPr>
      <w:r>
        <w:rPr>
          <w:rStyle w:val="FootnoteReference"/>
        </w:rPr>
        <w:footnoteRef/>
      </w:r>
      <w:r w:rsidRPr="005E4CCD">
        <w:rPr>
          <w:lang w:val="en-US"/>
        </w:rPr>
        <w:t xml:space="preserve"> Draft regulatory technical standards </w:t>
      </w:r>
      <w:proofErr w:type="gramStart"/>
      <w:r w:rsidRPr="005E4CCD">
        <w:rPr>
          <w:lang w:val="en-US"/>
        </w:rPr>
        <w:t>with regard to</w:t>
      </w:r>
      <w:proofErr w:type="gramEnd"/>
      <w:r w:rsidRPr="005E4CCD">
        <w:rPr>
          <w:lang w:val="en-US"/>
        </w:rPr>
        <w:t xml:space="preserve"> the content, methodologies and presentation of disclosures pursuant to Article 2a, Article 4(6) and (7), Article 8(3), Article 9(5), Article 10(2) and Article 11(4) of Regulation (EU) 2019/2088.</w:t>
      </w:r>
    </w:p>
  </w:footnote>
  <w:footnote w:id="4">
    <w:p w14:paraId="3DBD43DB" w14:textId="77777777" w:rsidR="005A3EFC" w:rsidRPr="0020554D" w:rsidRDefault="005A3EFC" w:rsidP="005A3EFC">
      <w:pPr>
        <w:jc w:val="both"/>
        <w:rPr>
          <w:rFonts w:cstheme="minorHAnsi"/>
          <w:iCs/>
          <w:szCs w:val="20"/>
        </w:rPr>
      </w:pPr>
      <w:r>
        <w:rPr>
          <w:rStyle w:val="FootnoteReference"/>
        </w:rPr>
        <w:footnoteRef/>
      </w:r>
      <w:r w:rsidRPr="002B5E68">
        <w:rPr>
          <w:lang w:val="en-US"/>
        </w:rPr>
        <w:t xml:space="preserve"> </w:t>
      </w:r>
      <w:r w:rsidRPr="008730EC">
        <w:rPr>
          <w:rFonts w:cstheme="minorHAnsi"/>
          <w:iCs/>
          <w:szCs w:val="20"/>
        </w:rPr>
        <w:t xml:space="preserve">In its </w:t>
      </w:r>
      <w:hyperlink r:id="rId1" w:history="1">
        <w:r w:rsidRPr="008730EC">
          <w:rPr>
            <w:rStyle w:val="Hyperlink"/>
            <w:rFonts w:cstheme="minorHAnsi"/>
            <w:iCs/>
            <w:szCs w:val="20"/>
          </w:rPr>
          <w:t>response</w:t>
        </w:r>
      </w:hyperlink>
      <w:r w:rsidRPr="008730EC">
        <w:rPr>
          <w:rFonts w:cstheme="minorHAnsi"/>
          <w:iCs/>
          <w:szCs w:val="20"/>
        </w:rPr>
        <w:t xml:space="preserve"> to the European Commission’s consultation on the review of the Non-Financial</w:t>
      </w:r>
      <w:r>
        <w:rPr>
          <w:rFonts w:cstheme="minorHAnsi"/>
          <w:iCs/>
          <w:szCs w:val="20"/>
        </w:rPr>
        <w:t xml:space="preserve"> </w:t>
      </w:r>
      <w:r w:rsidRPr="008730EC">
        <w:rPr>
          <w:rFonts w:cstheme="minorHAnsi"/>
          <w:iCs/>
          <w:szCs w:val="20"/>
        </w:rPr>
        <w:t>Reporting Directive (NFRD)</w:t>
      </w:r>
      <w:r>
        <w:rPr>
          <w:rFonts w:cstheme="minorHAnsi"/>
          <w:iCs/>
          <w:szCs w:val="20"/>
        </w:rPr>
        <w:t xml:space="preserve">, in its </w:t>
      </w:r>
      <w:hyperlink r:id="rId2" w:history="1">
        <w:r w:rsidRPr="008C2838">
          <w:rPr>
            <w:rStyle w:val="Hyperlink"/>
            <w:rFonts w:cstheme="minorHAnsi"/>
            <w:iCs/>
            <w:szCs w:val="20"/>
          </w:rPr>
          <w:t>response</w:t>
        </w:r>
      </w:hyperlink>
      <w:r>
        <w:rPr>
          <w:rFonts w:cstheme="minorHAnsi"/>
          <w:iCs/>
          <w:szCs w:val="20"/>
        </w:rPr>
        <w:t xml:space="preserve"> to the European Commission’s consultation on the renewed sustainable finance strategy </w:t>
      </w:r>
      <w:r w:rsidRPr="008730EC">
        <w:rPr>
          <w:rFonts w:cstheme="minorHAnsi"/>
          <w:iCs/>
          <w:szCs w:val="20"/>
        </w:rPr>
        <w:t xml:space="preserve">and in a </w:t>
      </w:r>
      <w:hyperlink r:id="rId3" w:history="1">
        <w:r w:rsidRPr="008730EC">
          <w:rPr>
            <w:rStyle w:val="Hyperlink"/>
            <w:rFonts w:cstheme="minorHAnsi"/>
            <w:iCs/>
            <w:szCs w:val="20"/>
          </w:rPr>
          <w:t>joint letter</w:t>
        </w:r>
      </w:hyperlink>
      <w:r w:rsidRPr="008730EC">
        <w:rPr>
          <w:rFonts w:cstheme="minorHAnsi"/>
          <w:iCs/>
          <w:szCs w:val="20"/>
        </w:rPr>
        <w:t xml:space="preserve"> addressed to the European Commission, PensionsEurope identifies the data challenges faced by pension funds and the urgent need to set up a EU ESG data register.</w:t>
      </w:r>
    </w:p>
  </w:footnote>
  <w:footnote w:id="5">
    <w:p w14:paraId="78DF7983" w14:textId="77777777" w:rsidR="00D0178B" w:rsidRPr="002B5E68" w:rsidRDefault="00D0178B" w:rsidP="00D0178B">
      <w:pPr>
        <w:spacing w:before="56" w:line="244" w:lineRule="exact"/>
        <w:rPr>
          <w:lang w:val="en-US"/>
        </w:rPr>
      </w:pPr>
      <w:r>
        <w:rPr>
          <w:rStyle w:val="FootnoteReference"/>
        </w:rPr>
        <w:footnoteRef/>
      </w:r>
      <w:r w:rsidRPr="002B5E68">
        <w:rPr>
          <w:lang w:val="en-US"/>
        </w:rPr>
        <w:t xml:space="preserve"> “The scope of the SFDR is extremely broad, covering a very wide range of financial products and financial market participants.” (p. 6)</w:t>
      </w:r>
    </w:p>
    <w:p w14:paraId="30457E84" w14:textId="77777777" w:rsidR="00D0178B" w:rsidRPr="002B5E68" w:rsidRDefault="00D0178B" w:rsidP="00D0178B">
      <w:pPr>
        <w:pStyle w:val="FootnoteText"/>
        <w:rPr>
          <w:lang w:val="en-US"/>
        </w:rPr>
      </w:pPr>
    </w:p>
  </w:footnote>
  <w:footnote w:id="6">
    <w:p w14:paraId="28FC8253" w14:textId="77777777" w:rsidR="00D0178B" w:rsidRPr="00D47643" w:rsidRDefault="00D0178B" w:rsidP="00D0178B">
      <w:pPr>
        <w:pStyle w:val="FootnoteText"/>
      </w:pPr>
      <w:r>
        <w:rPr>
          <w:rStyle w:val="FootnoteReference"/>
        </w:rPr>
        <w:footnoteRef/>
      </w:r>
      <w:r w:rsidRPr="005E4CCD">
        <w:rPr>
          <w:lang w:val="en-US"/>
        </w:rPr>
        <w:t xml:space="preserve"> In some coutries, all employees are compulsorily affiliated to the pension plan based on social and labor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E97359"/>
    <w:multiLevelType w:val="hybridMultilevel"/>
    <w:tmpl w:val="C772044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968EE"/>
    <w:multiLevelType w:val="hybridMultilevel"/>
    <w:tmpl w:val="6332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0E04F20"/>
    <w:multiLevelType w:val="hybridMultilevel"/>
    <w:tmpl w:val="742C3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7773BC"/>
    <w:multiLevelType w:val="hybridMultilevel"/>
    <w:tmpl w:val="A42005D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04144BA"/>
    <w:multiLevelType w:val="hybridMultilevel"/>
    <w:tmpl w:val="8BE45008"/>
    <w:lvl w:ilvl="0" w:tplc="BF2C7C94">
      <w:numFmt w:val="bullet"/>
      <w:lvlText w:val="•"/>
      <w:lvlJc w:val="left"/>
      <w:pPr>
        <w:ind w:left="710" w:hanging="71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EEA0B66"/>
    <w:multiLevelType w:val="hybridMultilevel"/>
    <w:tmpl w:val="02F0E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17E3842"/>
    <w:multiLevelType w:val="hybridMultilevel"/>
    <w:tmpl w:val="1B669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6921A7C"/>
    <w:multiLevelType w:val="multilevel"/>
    <w:tmpl w:val="591E4BF2"/>
    <w:lvl w:ilvl="0">
      <w:start w:val="1"/>
      <w:numFmt w:val="decimal"/>
      <w:lvlText w:val="%1."/>
      <w:lvlJc w:val="left"/>
      <w:pPr>
        <w:ind w:left="361" w:hanging="360"/>
        <w:jc w:val="right"/>
      </w:pPr>
      <w:rPr>
        <w:rFonts w:hint="default"/>
        <w:b/>
        <w:bCs/>
        <w:spacing w:val="-2"/>
        <w:w w:val="99"/>
        <w:lang w:val="en-US" w:eastAsia="en-US" w:bidi="en-US"/>
      </w:rPr>
    </w:lvl>
    <w:lvl w:ilvl="1">
      <w:start w:val="1"/>
      <w:numFmt w:val="lowerLetter"/>
      <w:lvlText w:val="%2."/>
      <w:lvlJc w:val="left"/>
      <w:pPr>
        <w:ind w:left="361" w:hanging="360"/>
      </w:pPr>
      <w:rPr>
        <w:rFonts w:hint="default"/>
        <w:b/>
        <w:bCs/>
        <w:w w:val="100"/>
        <w:sz w:val="20"/>
        <w:szCs w:val="20"/>
        <w:lang w:val="en-US" w:eastAsia="en-US" w:bidi="en-US"/>
      </w:rPr>
    </w:lvl>
    <w:lvl w:ilvl="2">
      <w:numFmt w:val="bullet"/>
      <w:lvlText w:val=""/>
      <w:lvlJc w:val="left"/>
      <w:pPr>
        <w:ind w:left="1081" w:hanging="360"/>
      </w:pPr>
      <w:rPr>
        <w:rFonts w:ascii="Wingdings" w:eastAsia="Wingdings" w:hAnsi="Wingdings" w:cs="Wingdings" w:hint="default"/>
        <w:w w:val="100"/>
        <w:sz w:val="22"/>
        <w:szCs w:val="22"/>
        <w:lang w:val="en-US" w:eastAsia="en-US" w:bidi="en-US"/>
      </w:rPr>
    </w:lvl>
    <w:lvl w:ilvl="3">
      <w:numFmt w:val="bullet"/>
      <w:lvlText w:val="•"/>
      <w:lvlJc w:val="left"/>
      <w:pPr>
        <w:ind w:left="2743" w:hanging="360"/>
      </w:pPr>
      <w:rPr>
        <w:rFonts w:hint="default"/>
        <w:lang w:val="en-US" w:eastAsia="en-US" w:bidi="en-US"/>
      </w:rPr>
    </w:lvl>
    <w:lvl w:ilvl="4">
      <w:numFmt w:val="bullet"/>
      <w:lvlText w:val="•"/>
      <w:lvlJc w:val="left"/>
      <w:pPr>
        <w:ind w:left="3577" w:hanging="360"/>
      </w:pPr>
      <w:rPr>
        <w:rFonts w:hint="default"/>
        <w:lang w:val="en-US" w:eastAsia="en-US" w:bidi="en-US"/>
      </w:rPr>
    </w:lvl>
    <w:lvl w:ilvl="5">
      <w:numFmt w:val="bullet"/>
      <w:lvlText w:val="•"/>
      <w:lvlJc w:val="left"/>
      <w:pPr>
        <w:ind w:left="4411" w:hanging="360"/>
      </w:pPr>
      <w:rPr>
        <w:rFonts w:hint="default"/>
        <w:lang w:val="en-US" w:eastAsia="en-US" w:bidi="en-US"/>
      </w:rPr>
    </w:lvl>
    <w:lvl w:ilvl="6">
      <w:numFmt w:val="bullet"/>
      <w:lvlText w:val="•"/>
      <w:lvlJc w:val="left"/>
      <w:pPr>
        <w:ind w:left="5245" w:hanging="360"/>
      </w:pPr>
      <w:rPr>
        <w:rFonts w:hint="default"/>
        <w:lang w:val="en-US" w:eastAsia="en-US" w:bidi="en-US"/>
      </w:rPr>
    </w:lvl>
    <w:lvl w:ilvl="7">
      <w:numFmt w:val="bullet"/>
      <w:lvlText w:val="•"/>
      <w:lvlJc w:val="left"/>
      <w:pPr>
        <w:ind w:left="6079" w:hanging="360"/>
      </w:pPr>
      <w:rPr>
        <w:rFonts w:hint="default"/>
        <w:lang w:val="en-US" w:eastAsia="en-US" w:bidi="en-US"/>
      </w:rPr>
    </w:lvl>
    <w:lvl w:ilvl="8">
      <w:numFmt w:val="bullet"/>
      <w:lvlText w:val="•"/>
      <w:lvlJc w:val="left"/>
      <w:pPr>
        <w:ind w:left="6913" w:hanging="360"/>
      </w:pPr>
      <w:rPr>
        <w:rFonts w:hint="default"/>
        <w:lang w:val="en-US" w:eastAsia="en-US" w:bidi="en-US"/>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AE904FD"/>
    <w:multiLevelType w:val="hybridMultilevel"/>
    <w:tmpl w:val="F8A4451E"/>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4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0" w15:restartNumberingAfterBreak="0">
    <w:nsid w:val="7EFE3144"/>
    <w:multiLevelType w:val="multilevel"/>
    <w:tmpl w:val="7CB841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0"/>
  </w:num>
  <w:num w:numId="2">
    <w:abstractNumId w:val="23"/>
  </w:num>
  <w:num w:numId="3">
    <w:abstractNumId w:val="14"/>
  </w:num>
  <w:num w:numId="4">
    <w:abstractNumId w:val="29"/>
  </w:num>
  <w:num w:numId="5">
    <w:abstractNumId w:val="32"/>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8"/>
  </w:num>
  <w:num w:numId="14">
    <w:abstractNumId w:val="28"/>
  </w:num>
  <w:num w:numId="15">
    <w:abstractNumId w:val="9"/>
  </w:num>
  <w:num w:numId="16">
    <w:abstractNumId w:val="1"/>
  </w:num>
  <w:num w:numId="17">
    <w:abstractNumId w:val="17"/>
  </w:num>
  <w:num w:numId="18">
    <w:abstractNumId w:val="18"/>
  </w:num>
  <w:num w:numId="19">
    <w:abstractNumId w:val="21"/>
  </w:num>
  <w:num w:numId="20">
    <w:abstractNumId w:val="33"/>
  </w:num>
  <w:num w:numId="21">
    <w:abstractNumId w:val="44"/>
  </w:num>
  <w:num w:numId="22">
    <w:abstractNumId w:val="31"/>
  </w:num>
  <w:num w:numId="23">
    <w:abstractNumId w:val="8"/>
  </w:num>
  <w:num w:numId="24">
    <w:abstractNumId w:val="37"/>
  </w:num>
  <w:num w:numId="25">
    <w:abstractNumId w:val="36"/>
  </w:num>
  <w:num w:numId="26">
    <w:abstractNumId w:val="24"/>
  </w:num>
  <w:num w:numId="27">
    <w:abstractNumId w:val="40"/>
  </w:num>
  <w:num w:numId="28">
    <w:abstractNumId w:val="49"/>
  </w:num>
  <w:num w:numId="29">
    <w:abstractNumId w:val="6"/>
  </w:num>
  <w:num w:numId="30">
    <w:abstractNumId w:val="2"/>
  </w:num>
  <w:num w:numId="31">
    <w:abstractNumId w:val="27"/>
  </w:num>
  <w:num w:numId="32">
    <w:abstractNumId w:val="25"/>
  </w:num>
  <w:num w:numId="33">
    <w:abstractNumId w:val="43"/>
  </w:num>
  <w:num w:numId="34">
    <w:abstractNumId w:val="42"/>
  </w:num>
  <w:num w:numId="35">
    <w:abstractNumId w:val="11"/>
  </w:num>
  <w:num w:numId="36">
    <w:abstractNumId w:val="13"/>
  </w:num>
  <w:num w:numId="37">
    <w:abstractNumId w:val="15"/>
  </w:num>
  <w:num w:numId="38">
    <w:abstractNumId w:val="30"/>
  </w:num>
  <w:num w:numId="39">
    <w:abstractNumId w:val="26"/>
  </w:num>
  <w:num w:numId="40">
    <w:abstractNumId w:val="41"/>
  </w:num>
  <w:num w:numId="41">
    <w:abstractNumId w:val="10"/>
  </w:num>
  <w:num w:numId="42">
    <w:abstractNumId w:val="46"/>
  </w:num>
  <w:num w:numId="43">
    <w:abstractNumId w:val="35"/>
  </w:num>
  <w:num w:numId="44">
    <w:abstractNumId w:val="12"/>
  </w:num>
  <w:num w:numId="45">
    <w:abstractNumId w:val="5"/>
  </w:num>
  <w:num w:numId="46">
    <w:abstractNumId w:val="45"/>
  </w:num>
  <w:num w:numId="47">
    <w:abstractNumId w:val="22"/>
  </w:num>
  <w:num w:numId="48">
    <w:abstractNumId w:val="48"/>
  </w:num>
  <w:num w:numId="49">
    <w:abstractNumId w:val="19"/>
  </w:num>
  <w:num w:numId="50">
    <w:abstractNumId w:val="5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457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180"/>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3EFC"/>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47BB6"/>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249B"/>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78B"/>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154F"/>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Dot pt,F5 List Paragraph,Bullet Points,Colorful List - Accent 11,List Paragraph Char Char Char,Indicator Text,Numbered Para 1,MAIN CONTENT,Normal numbered,List Paragraph12,Bullet Style"/>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Dot pt Char,F5 List Paragraph Char,Bullet Points Char,Colorful List - Accent 11 Char,List Paragraph Char Char Char Char,Indicator Text Char,Numbered Para 1 Char,MAIN CONTENT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ensionseurope.eu/system/files/20-024%20Joint%20industry%20letter%20ESG%20EU%20data%20register_EACB_EBF_EFAMA_ESBG_IE_PE_0.pdf" TargetMode="External"/><Relationship Id="rId2" Type="http://schemas.openxmlformats.org/officeDocument/2006/relationships/hyperlink" Target="https://www.pensionseurope.eu/system/files/PE%20response%20to%20EC%20consultation%20on%20renewed%20sustainable%20finance%20strategy.pdf" TargetMode="External"/><Relationship Id="rId1" Type="http://schemas.openxmlformats.org/officeDocument/2006/relationships/hyperlink" Target="https://www.pensionseurope.eu/system/files/PE%20response%20to%20EC%20consultation%20on%20NFRD%20review%20_%20final%20draf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139C0BCE-3CBD-46A8-BFA9-FA4E801C00F2}">
  <ds:schemaRefs>
    <ds:schemaRef ds:uri="http://schemas.openxmlformats.org/officeDocument/2006/bibliography"/>
  </ds:schemaRefs>
</ds:datastoreItem>
</file>

<file path=customXml/itemProps3.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A1823ED9-4C25-4A0F-AA35-0F2F3F3B90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c8e399-07b8-49e4-91bf-01a20105d4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11583</Words>
  <Characters>63767</Characters>
  <Application>Microsoft Office Word</Application>
  <DocSecurity>8</DocSecurity>
  <Lines>531</Lines>
  <Paragraphs>150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75200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Saïf Chaïbi</cp:lastModifiedBy>
  <cp:revision>6</cp:revision>
  <cp:lastPrinted>2015-02-18T11:01:00Z</cp:lastPrinted>
  <dcterms:created xsi:type="dcterms:W3CDTF">2020-04-23T07:26:00Z</dcterms:created>
  <dcterms:modified xsi:type="dcterms:W3CDTF">2020-09-01T13:51:00Z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