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Header"/>
              <w:rFonts w:cs="Arial"/>
              <w:color w:val="808080"/>
            </w:rPr>
            <w:id w:val="-1905066999"/>
            <w:text/>
          </w:sdtPr>
          <w:sdtContent>
            <w:tc>
              <w:tcPr>
                <w:tcW w:w="5595" w:type="dxa"/>
                <w:shd w:val="clear" w:color="auto" w:fill="auto"/>
              </w:tcPr>
              <w:p w14:paraId="6A3CB051" w14:textId="4C6ACD63" w:rsidR="00B327E9" w:rsidRPr="00AB6D88" w:rsidRDefault="00361684" w:rsidP="00F136AD">
                <w:pPr>
                  <w:rPr>
                    <w:rStyle w:val="PlaceholderText"/>
                    <w:rFonts w:cs="Arial"/>
                  </w:rPr>
                </w:pPr>
                <w:r w:rsidRPr="00361684">
                  <w:rPr>
                    <w:rStyle w:val="Header"/>
                    <w:rFonts w:cs="Arial"/>
                    <w:color w:val="808080"/>
                  </w:rPr>
                  <w:t xml:space="preserve">Moody’s ESG Solutions Group, a business unit of Moody’s Corporation, and Moody’s majority-owned affiliates </w:t>
                </w:r>
                <w:proofErr w:type="spellStart"/>
                <w:r w:rsidRPr="00361684">
                  <w:rPr>
                    <w:rStyle w:val="Header"/>
                    <w:rFonts w:cs="Arial"/>
                    <w:color w:val="808080"/>
                  </w:rPr>
                  <w:t>Vigeo</w:t>
                </w:r>
                <w:proofErr w:type="spellEnd"/>
                <w:r w:rsidRPr="00361684">
                  <w:rPr>
                    <w:rStyle w:val="Header"/>
                    <w:rFonts w:cs="Arial"/>
                    <w:color w:val="808080"/>
                  </w:rPr>
                  <w:t xml:space="preserve"> </w:t>
                </w:r>
                <w:proofErr w:type="spellStart"/>
                <w:r w:rsidRPr="00361684">
                  <w:rPr>
                    <w:rStyle w:val="Header"/>
                    <w:rFonts w:cs="Arial"/>
                    <w:color w:val="808080"/>
                  </w:rPr>
                  <w:t>Eiris</w:t>
                </w:r>
                <w:proofErr w:type="spellEnd"/>
                <w:r w:rsidRPr="00361684">
                  <w:rPr>
                    <w:rStyle w:val="Header"/>
                    <w:rFonts w:cs="Arial"/>
                    <w:color w:val="808080"/>
                  </w:rPr>
                  <w:t xml:space="preserve"> and Four Twenty Seven</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40AF2581" w:rsidR="00B327E9" w:rsidRPr="00AB6D88" w:rsidRDefault="00361684"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Other Financial service providers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64AA7C3F" w:rsidR="00B327E9" w:rsidRPr="00AB6D88" w:rsidRDefault="00361684" w:rsidP="00F136AD">
                <w:pPr>
                  <w:rPr>
                    <w:rFonts w:cs="Arial"/>
                  </w:rPr>
                </w:pPr>
                <w:r>
                  <w:rPr>
                    <w:rFonts w:cs="Arial"/>
                  </w:rPr>
                  <w:t>International</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53CFB478" w14:textId="77777777" w:rsidR="00361684" w:rsidRDefault="00361684" w:rsidP="00B327E9">
      <w:permStart w:id="411981036" w:edGrp="everyone"/>
    </w:p>
    <w:p w14:paraId="54352856" w14:textId="77777777" w:rsidR="00361684" w:rsidRDefault="00361684" w:rsidP="00361684">
      <w:pPr>
        <w:autoSpaceDE w:val="0"/>
        <w:autoSpaceDN w:val="0"/>
        <w:adjustRightInd w:val="0"/>
        <w:rPr>
          <w:rFonts w:ascii="CIDFont+F1" w:hAnsi="CIDFont+F1" w:cs="CIDFont+F1"/>
          <w:sz w:val="21"/>
          <w:szCs w:val="21"/>
          <w:lang w:val="en-US" w:eastAsia="en-GB"/>
        </w:rPr>
      </w:pPr>
      <w:r>
        <w:rPr>
          <w:rFonts w:ascii="CIDFont+F1" w:hAnsi="CIDFont+F1" w:cs="CIDFont+F1"/>
          <w:sz w:val="21"/>
          <w:szCs w:val="21"/>
          <w:lang w:val="en-US" w:eastAsia="en-GB"/>
        </w:rPr>
        <w:t xml:space="preserve">Moody’s ESG Solutions Group and </w:t>
      </w:r>
      <w:bookmarkStart w:id="1" w:name="_Hlk49694808"/>
      <w:r>
        <w:rPr>
          <w:rFonts w:ascii="CIDFont+F1" w:hAnsi="CIDFont+F1" w:cs="CIDFont+F1"/>
          <w:sz w:val="21"/>
          <w:szCs w:val="21"/>
          <w:lang w:val="en-US" w:eastAsia="en-GB"/>
        </w:rPr>
        <w:t xml:space="preserve">Moody’s majority-owned affiliates </w:t>
      </w:r>
      <w:proofErr w:type="spellStart"/>
      <w:r>
        <w:rPr>
          <w:rFonts w:ascii="CIDFont+F1" w:hAnsi="CIDFont+F1" w:cs="CIDFont+F1"/>
          <w:sz w:val="21"/>
          <w:szCs w:val="21"/>
          <w:lang w:val="en-US" w:eastAsia="en-GB"/>
        </w:rPr>
        <w:t>Vigeo</w:t>
      </w:r>
      <w:proofErr w:type="spellEnd"/>
      <w:r>
        <w:rPr>
          <w:rFonts w:ascii="CIDFont+F1" w:hAnsi="CIDFont+F1" w:cs="CIDFont+F1"/>
          <w:sz w:val="21"/>
          <w:szCs w:val="21"/>
          <w:lang w:val="en-US" w:eastAsia="en-GB"/>
        </w:rPr>
        <w:t xml:space="preserve"> </w:t>
      </w:r>
      <w:proofErr w:type="spellStart"/>
      <w:r>
        <w:rPr>
          <w:rFonts w:ascii="CIDFont+F1" w:hAnsi="CIDFont+F1" w:cs="CIDFont+F1"/>
          <w:sz w:val="21"/>
          <w:szCs w:val="21"/>
          <w:lang w:val="en-US" w:eastAsia="en-GB"/>
        </w:rPr>
        <w:t>Eiris</w:t>
      </w:r>
      <w:proofErr w:type="spellEnd"/>
      <w:r>
        <w:rPr>
          <w:rFonts w:ascii="CIDFont+F1" w:hAnsi="CIDFont+F1" w:cs="CIDFont+F1"/>
          <w:sz w:val="21"/>
          <w:szCs w:val="21"/>
          <w:lang w:val="en-US" w:eastAsia="en-GB"/>
        </w:rPr>
        <w:t xml:space="preserve"> and Four Twenty Seven </w:t>
      </w:r>
      <w:bookmarkEnd w:id="1"/>
      <w:r>
        <w:rPr>
          <w:rFonts w:ascii="CIDFont+F1" w:hAnsi="CIDFont+F1" w:cs="CIDFont+F1"/>
          <w:sz w:val="21"/>
          <w:szCs w:val="21"/>
          <w:lang w:val="en-US" w:eastAsia="en-GB"/>
        </w:rPr>
        <w:t xml:space="preserve">appreciate the opportunity to provide comments to the European Supervisory Authorities (ESAs) in response to their Joint Consultation Paper on ESG Disclosures. </w:t>
      </w:r>
    </w:p>
    <w:p w14:paraId="16594370" w14:textId="77777777" w:rsidR="00361684" w:rsidRDefault="00361684" w:rsidP="00361684">
      <w:pPr>
        <w:autoSpaceDE w:val="0"/>
        <w:autoSpaceDN w:val="0"/>
        <w:adjustRightInd w:val="0"/>
        <w:rPr>
          <w:rFonts w:ascii="CIDFont+F1" w:hAnsi="CIDFont+F1" w:cs="CIDFont+F1"/>
          <w:sz w:val="21"/>
          <w:szCs w:val="21"/>
          <w:lang w:val="en-US" w:eastAsia="en-GB"/>
        </w:rPr>
      </w:pPr>
    </w:p>
    <w:p w14:paraId="797CCB25" w14:textId="77777777" w:rsidR="00361684" w:rsidRDefault="00361684" w:rsidP="00361684">
      <w:pPr>
        <w:autoSpaceDE w:val="0"/>
        <w:autoSpaceDN w:val="0"/>
        <w:adjustRightInd w:val="0"/>
        <w:rPr>
          <w:rFonts w:ascii="CIDFont+F1" w:hAnsi="CIDFont+F1" w:cs="CIDFont+F1"/>
          <w:sz w:val="21"/>
          <w:szCs w:val="21"/>
          <w:lang w:val="en-US" w:eastAsia="en-GB"/>
        </w:rPr>
      </w:pPr>
      <w:r>
        <w:rPr>
          <w:rFonts w:ascii="CIDFont+F1" w:hAnsi="CIDFont+F1" w:cs="CIDFont+F1"/>
          <w:sz w:val="21"/>
          <w:szCs w:val="21"/>
          <w:lang w:val="en-US" w:eastAsia="en-GB"/>
        </w:rPr>
        <w:t xml:space="preserve">Moody’s ESG Solutions Group is a business unit of Moody’s Corporation. In conjunction with its affiliates, Moody’s ESG Solutions Group provides ESG and climate risk solutions including ESG scores, analytics, Sustainability Ratings and Sustainable Finance Reviewer/certifier services. </w:t>
      </w:r>
      <w:proofErr w:type="spellStart"/>
      <w:r>
        <w:rPr>
          <w:rFonts w:ascii="CIDFont+F1" w:hAnsi="CIDFont+F1" w:cs="CIDFont+F1"/>
          <w:sz w:val="21"/>
          <w:szCs w:val="21"/>
          <w:lang w:val="en-US" w:eastAsia="en-GB"/>
        </w:rPr>
        <w:t>Vigeo</w:t>
      </w:r>
      <w:proofErr w:type="spellEnd"/>
      <w:r>
        <w:rPr>
          <w:rFonts w:ascii="CIDFont+F1" w:hAnsi="CIDFont+F1" w:cs="CIDFont+F1"/>
          <w:sz w:val="21"/>
          <w:szCs w:val="21"/>
          <w:lang w:val="en-US" w:eastAsia="en-GB"/>
        </w:rPr>
        <w:t xml:space="preserve"> </w:t>
      </w:r>
      <w:proofErr w:type="spellStart"/>
      <w:r>
        <w:rPr>
          <w:rFonts w:ascii="CIDFont+F1" w:hAnsi="CIDFont+F1" w:cs="CIDFont+F1"/>
          <w:sz w:val="21"/>
          <w:szCs w:val="21"/>
          <w:lang w:val="en-US" w:eastAsia="en-GB"/>
        </w:rPr>
        <w:t>Eiris</w:t>
      </w:r>
      <w:proofErr w:type="spellEnd"/>
      <w:r>
        <w:rPr>
          <w:rFonts w:ascii="CIDFont+F1" w:hAnsi="CIDFont+F1" w:cs="CIDFont+F1"/>
          <w:sz w:val="21"/>
          <w:szCs w:val="21"/>
          <w:lang w:val="en-US" w:eastAsia="en-GB"/>
        </w:rPr>
        <w:t xml:space="preserve"> is a global leader in ESG assessments, data, research, analytics and peer comparisons. </w:t>
      </w:r>
      <w:r w:rsidRPr="00A06DA7">
        <w:rPr>
          <w:rFonts w:ascii="CIDFont+F1" w:hAnsi="CIDFont+F1" w:cs="CIDFont+F1"/>
          <w:sz w:val="21"/>
          <w:szCs w:val="21"/>
          <w:lang w:val="en-US" w:eastAsia="en-GB"/>
        </w:rPr>
        <w:t>Four Twenty Seven is a leading provider of data, intelligence and analysis related to physical climate risks.</w:t>
      </w:r>
    </w:p>
    <w:p w14:paraId="438A31C5" w14:textId="77777777" w:rsidR="00361684" w:rsidRDefault="00361684" w:rsidP="00361684">
      <w:pPr>
        <w:autoSpaceDE w:val="0"/>
        <w:autoSpaceDN w:val="0"/>
        <w:adjustRightInd w:val="0"/>
        <w:rPr>
          <w:rFonts w:ascii="CIDFont+F1" w:hAnsi="CIDFont+F1" w:cs="CIDFont+F1"/>
          <w:sz w:val="21"/>
          <w:szCs w:val="21"/>
          <w:lang w:val="en-US" w:eastAsia="en-GB"/>
        </w:rPr>
      </w:pPr>
    </w:p>
    <w:p w14:paraId="27A418A0" w14:textId="77777777" w:rsidR="00361684" w:rsidRDefault="00361684" w:rsidP="00361684">
      <w:pPr>
        <w:autoSpaceDE w:val="0"/>
        <w:autoSpaceDN w:val="0"/>
        <w:adjustRightInd w:val="0"/>
        <w:rPr>
          <w:rFonts w:ascii="CIDFont+F1" w:hAnsi="CIDFont+F1" w:cs="CIDFont+F1"/>
          <w:sz w:val="21"/>
          <w:szCs w:val="21"/>
          <w:lang w:val="en-US" w:eastAsia="en-GB"/>
        </w:rPr>
      </w:pPr>
      <w:r>
        <w:rPr>
          <w:rFonts w:ascii="CIDFont+F1" w:hAnsi="CIDFont+F1" w:cs="CIDFont+F1"/>
          <w:sz w:val="21"/>
          <w:szCs w:val="21"/>
          <w:lang w:val="en-US" w:eastAsia="en-GB"/>
        </w:rPr>
        <w:t xml:space="preserve">We are responding principally in our capacity as a user of ESG disclosures.  We strongly support the evolution of material, high quality, more comparable disclosures. </w:t>
      </w:r>
      <w:r w:rsidRPr="00A06DA7">
        <w:rPr>
          <w:rFonts w:ascii="CIDFont+F1" w:hAnsi="CIDFont+F1" w:cs="CIDFont+F1"/>
          <w:sz w:val="21"/>
          <w:szCs w:val="21"/>
          <w:lang w:val="en-US" w:eastAsia="en-GB"/>
        </w:rPr>
        <w:t xml:space="preserve">We have observed fast growing investor interest in ESG considerations. For example, while ESG investment was long seen as a niche activity, </w:t>
      </w:r>
      <w:proofErr w:type="spellStart"/>
      <w:r w:rsidRPr="00A06DA7">
        <w:rPr>
          <w:rFonts w:ascii="CIDFont+F1" w:hAnsi="CIDFont+F1" w:cs="CIDFont+F1"/>
          <w:sz w:val="21"/>
          <w:szCs w:val="21"/>
          <w:lang w:val="en-US" w:eastAsia="en-GB"/>
        </w:rPr>
        <w:t>Vigeo</w:t>
      </w:r>
      <w:proofErr w:type="spellEnd"/>
      <w:r w:rsidRPr="00A06DA7">
        <w:rPr>
          <w:rFonts w:ascii="CIDFont+F1" w:hAnsi="CIDFont+F1" w:cs="CIDFont+F1"/>
          <w:sz w:val="21"/>
          <w:szCs w:val="21"/>
          <w:lang w:val="en-US" w:eastAsia="en-GB"/>
        </w:rPr>
        <w:t xml:space="preserve"> </w:t>
      </w:r>
      <w:proofErr w:type="spellStart"/>
      <w:r w:rsidRPr="00A06DA7">
        <w:rPr>
          <w:rFonts w:ascii="CIDFont+F1" w:hAnsi="CIDFont+F1" w:cs="CIDFont+F1"/>
          <w:sz w:val="21"/>
          <w:szCs w:val="21"/>
          <w:lang w:val="en-US" w:eastAsia="en-GB"/>
        </w:rPr>
        <w:t>Eiris</w:t>
      </w:r>
      <w:proofErr w:type="spellEnd"/>
      <w:r w:rsidRPr="00A06DA7">
        <w:rPr>
          <w:rFonts w:ascii="CIDFont+F1" w:hAnsi="CIDFont+F1" w:cs="CIDFont+F1"/>
          <w:sz w:val="21"/>
          <w:szCs w:val="21"/>
          <w:lang w:val="en-US" w:eastAsia="en-GB"/>
        </w:rPr>
        <w:t xml:space="preserve"> now experiences increasing demand for its products and services from “mainstream” investors; as well as growing international demand. We believe this is evidence of a significant, and potentially permanent, shift in investor attitudes</w:t>
      </w:r>
      <w:r>
        <w:rPr>
          <w:rFonts w:ascii="CIDFont+F1" w:hAnsi="CIDFont+F1" w:cs="CIDFont+F1"/>
          <w:sz w:val="21"/>
          <w:szCs w:val="21"/>
          <w:lang w:val="en-US" w:eastAsia="en-GB"/>
        </w:rPr>
        <w:t xml:space="preserve"> and demand for better data</w:t>
      </w:r>
      <w:r w:rsidRPr="00A06DA7">
        <w:rPr>
          <w:rFonts w:ascii="CIDFont+F1" w:hAnsi="CIDFont+F1" w:cs="CIDFont+F1"/>
          <w:sz w:val="21"/>
          <w:szCs w:val="21"/>
          <w:lang w:val="en-US" w:eastAsia="en-GB"/>
        </w:rPr>
        <w:t>.</w:t>
      </w:r>
    </w:p>
    <w:p w14:paraId="5D518598" w14:textId="77777777" w:rsidR="00361684" w:rsidRDefault="00361684" w:rsidP="00361684">
      <w:pPr>
        <w:rPr>
          <w:rFonts w:ascii="CIDFont+F1" w:hAnsi="CIDFont+F1" w:cs="CIDFont+F1"/>
          <w:sz w:val="21"/>
          <w:szCs w:val="21"/>
          <w:lang w:val="en-US" w:eastAsia="en-GB"/>
        </w:rPr>
      </w:pPr>
    </w:p>
    <w:p w14:paraId="1B7EFF66" w14:textId="77777777" w:rsidR="00361684" w:rsidRDefault="00361684" w:rsidP="00361684">
      <w:pPr>
        <w:rPr>
          <w:rFonts w:ascii="CIDFont+F1" w:hAnsi="CIDFont+F1" w:cs="CIDFont+F1"/>
          <w:sz w:val="21"/>
          <w:szCs w:val="21"/>
          <w:lang w:val="en-US" w:eastAsia="en-GB"/>
        </w:rPr>
      </w:pPr>
      <w:r>
        <w:rPr>
          <w:rFonts w:ascii="CIDFont+F1" w:hAnsi="CIDFont+F1" w:cs="CIDFont+F1"/>
          <w:sz w:val="21"/>
          <w:szCs w:val="21"/>
          <w:lang w:val="en-US" w:eastAsia="en-GB"/>
        </w:rPr>
        <w:t>We have the following key comments on the consultation:</w:t>
      </w:r>
    </w:p>
    <w:p w14:paraId="7218A419" w14:textId="77777777" w:rsidR="00361684" w:rsidRPr="00CD3927" w:rsidRDefault="00361684" w:rsidP="00361684">
      <w:pPr>
        <w:pStyle w:val="ListParagraph"/>
        <w:numPr>
          <w:ilvl w:val="0"/>
          <w:numId w:val="41"/>
        </w:numPr>
        <w:rPr>
          <w:rFonts w:ascii="CIDFont+F1" w:hAnsi="CIDFont+F1" w:cs="CIDFont+F1"/>
          <w:sz w:val="21"/>
          <w:szCs w:val="21"/>
          <w:lang w:val="en-US" w:eastAsia="en-GB"/>
        </w:rPr>
      </w:pPr>
      <w:r w:rsidRPr="00A40BFB">
        <w:rPr>
          <w:rFonts w:ascii="CIDFont+F1" w:hAnsi="CIDFont+F1" w:cs="CIDFont+F1"/>
          <w:b/>
          <w:bCs/>
          <w:sz w:val="21"/>
          <w:szCs w:val="21"/>
          <w:lang w:val="en-US" w:eastAsia="en-GB"/>
        </w:rPr>
        <w:t>Comparability, consistency and clarity for ESG-relevant data.</w:t>
      </w:r>
      <w:r>
        <w:rPr>
          <w:rFonts w:ascii="CIDFont+F1" w:hAnsi="CIDFont+F1" w:cs="CIDFont+F1"/>
          <w:sz w:val="21"/>
          <w:szCs w:val="21"/>
          <w:lang w:val="en-US" w:eastAsia="en-GB"/>
        </w:rPr>
        <w:t xml:space="preserve"> T</w:t>
      </w:r>
      <w:r w:rsidRPr="00A06DA7">
        <w:rPr>
          <w:rFonts w:ascii="CIDFont+F1" w:hAnsi="CIDFont+F1" w:cs="CIDFont+F1"/>
          <w:sz w:val="21"/>
          <w:szCs w:val="21"/>
          <w:lang w:val="en-US" w:eastAsia="en-GB"/>
        </w:rPr>
        <w:t>he sustainable finance market is best served by continued efforts to improve the comparability, consistency</w:t>
      </w:r>
      <w:r>
        <w:rPr>
          <w:rFonts w:ascii="CIDFont+F1" w:hAnsi="CIDFont+F1" w:cs="CIDFont+F1"/>
          <w:sz w:val="21"/>
          <w:szCs w:val="21"/>
          <w:lang w:val="en-US" w:eastAsia="en-GB"/>
        </w:rPr>
        <w:t>, and clarity</w:t>
      </w:r>
      <w:r w:rsidRPr="00A06DA7">
        <w:rPr>
          <w:rFonts w:ascii="CIDFont+F1" w:hAnsi="CIDFont+F1" w:cs="CIDFont+F1"/>
          <w:sz w:val="21"/>
          <w:szCs w:val="21"/>
          <w:lang w:val="en-US" w:eastAsia="en-GB"/>
        </w:rPr>
        <w:t xml:space="preserve"> of ESG-relevant data, information and issuer disclosures.</w:t>
      </w:r>
      <w:r w:rsidRPr="00CD3927">
        <w:t xml:space="preserve"> </w:t>
      </w:r>
      <w:r w:rsidRPr="00CD3927">
        <w:rPr>
          <w:rFonts w:ascii="CIDFont+F1" w:hAnsi="CIDFont+F1" w:cs="CIDFont+F1"/>
          <w:sz w:val="21"/>
          <w:szCs w:val="21"/>
          <w:lang w:val="en-US" w:eastAsia="en-GB"/>
        </w:rPr>
        <w:t>We believe that the proposed standardization around reporting of adverse sustainability impact indicators</w:t>
      </w:r>
      <w:r>
        <w:rPr>
          <w:rFonts w:ascii="CIDFont+F1" w:hAnsi="CIDFont+F1" w:cs="CIDFont+F1"/>
          <w:sz w:val="21"/>
          <w:szCs w:val="21"/>
          <w:lang w:val="en-US" w:eastAsia="en-GB"/>
        </w:rPr>
        <w:t xml:space="preserve"> and other disclosures</w:t>
      </w:r>
      <w:r w:rsidRPr="00CD3927">
        <w:rPr>
          <w:rFonts w:ascii="CIDFont+F1" w:hAnsi="CIDFont+F1" w:cs="CIDFont+F1"/>
          <w:sz w:val="21"/>
          <w:szCs w:val="21"/>
          <w:lang w:val="en-US" w:eastAsia="en-GB"/>
        </w:rPr>
        <w:t xml:space="preserve"> by market participants will </w:t>
      </w:r>
      <w:r>
        <w:rPr>
          <w:rFonts w:ascii="CIDFont+F1" w:hAnsi="CIDFont+F1" w:cs="CIDFont+F1"/>
          <w:sz w:val="21"/>
          <w:szCs w:val="21"/>
          <w:lang w:val="en-US" w:eastAsia="en-GB"/>
        </w:rPr>
        <w:t>be helpful in that respect</w:t>
      </w:r>
      <w:r w:rsidRPr="00CD3927">
        <w:rPr>
          <w:rFonts w:ascii="CIDFont+F1" w:hAnsi="CIDFont+F1" w:cs="CIDFont+F1"/>
          <w:sz w:val="21"/>
          <w:szCs w:val="21"/>
          <w:lang w:val="en-US" w:eastAsia="en-GB"/>
        </w:rPr>
        <w:t xml:space="preserve">. </w:t>
      </w:r>
      <w:r>
        <w:rPr>
          <w:rFonts w:ascii="CIDFont+F1" w:hAnsi="CIDFont+F1" w:cs="CIDFont+F1"/>
          <w:sz w:val="21"/>
          <w:szCs w:val="21"/>
          <w:lang w:val="en-US" w:eastAsia="en-GB"/>
        </w:rPr>
        <w:t>The proposed disclosure standards</w:t>
      </w:r>
      <w:r w:rsidRPr="00CD3927">
        <w:rPr>
          <w:rFonts w:ascii="CIDFont+F1" w:hAnsi="CIDFont+F1" w:cs="CIDFont+F1"/>
          <w:sz w:val="21"/>
          <w:szCs w:val="21"/>
          <w:lang w:val="en-US" w:eastAsia="en-GB"/>
        </w:rPr>
        <w:t xml:space="preserve"> </w:t>
      </w:r>
      <w:r>
        <w:rPr>
          <w:rFonts w:ascii="CIDFont+F1" w:hAnsi="CIDFont+F1" w:cs="CIDFont+F1"/>
          <w:sz w:val="21"/>
          <w:szCs w:val="21"/>
          <w:lang w:val="en-US" w:eastAsia="en-GB"/>
        </w:rPr>
        <w:t xml:space="preserve">for asset managers and other in-scope financial market participants (hereafter referred to as “asset managers”) </w:t>
      </w:r>
      <w:r>
        <w:rPr>
          <w:rFonts w:ascii="CIDFont+F1" w:hAnsi="CIDFont+F1" w:cs="CIDFont+F1"/>
          <w:sz w:val="21"/>
          <w:szCs w:val="21"/>
          <w:highlight w:val="cyan"/>
          <w:lang w:val="en-US" w:eastAsia="en-GB"/>
        </w:rPr>
        <w:t>will</w:t>
      </w:r>
      <w:r w:rsidRPr="00EE1AAA">
        <w:rPr>
          <w:rFonts w:ascii="CIDFont+F1" w:hAnsi="CIDFont+F1" w:cs="CIDFont+F1"/>
          <w:sz w:val="21"/>
          <w:szCs w:val="21"/>
          <w:highlight w:val="cyan"/>
          <w:lang w:val="en-US" w:eastAsia="en-GB"/>
        </w:rPr>
        <w:t xml:space="preserve"> ultimately drive the type of extra-financial information that the companies will need to disclose to meet the needs of the financial statement users.</w:t>
      </w:r>
    </w:p>
    <w:p w14:paraId="365C4E31" w14:textId="77777777" w:rsidR="00361684" w:rsidRPr="00CD3927" w:rsidRDefault="00361684" w:rsidP="00361684">
      <w:pPr>
        <w:pStyle w:val="ListParagraph"/>
        <w:numPr>
          <w:ilvl w:val="0"/>
          <w:numId w:val="41"/>
        </w:numPr>
        <w:rPr>
          <w:rFonts w:ascii="CIDFont+F1" w:hAnsi="CIDFont+F1" w:cs="CIDFont+F1"/>
          <w:sz w:val="21"/>
          <w:szCs w:val="21"/>
          <w:lang w:val="en-US" w:eastAsia="en-GB"/>
        </w:rPr>
      </w:pPr>
      <w:r w:rsidRPr="00E9339A">
        <w:rPr>
          <w:rFonts w:ascii="CIDFont+F1" w:hAnsi="CIDFont+F1" w:cs="CIDFont+F1"/>
          <w:b/>
          <w:bCs/>
          <w:sz w:val="21"/>
          <w:szCs w:val="21"/>
          <w:lang w:val="en-US" w:eastAsia="en-GB"/>
        </w:rPr>
        <w:t>Enhancing reporting quality.</w:t>
      </w:r>
      <w:r>
        <w:rPr>
          <w:rFonts w:ascii="CIDFont+F1" w:hAnsi="CIDFont+F1" w:cs="CIDFont+F1"/>
          <w:sz w:val="21"/>
          <w:szCs w:val="21"/>
          <w:lang w:val="en-US" w:eastAsia="en-GB"/>
        </w:rPr>
        <w:t xml:space="preserve"> </w:t>
      </w:r>
      <w:r w:rsidRPr="00CD3927">
        <w:rPr>
          <w:rFonts w:ascii="CIDFont+F1" w:hAnsi="CIDFont+F1" w:cs="CIDFont+F1"/>
          <w:sz w:val="21"/>
          <w:szCs w:val="21"/>
          <w:lang w:val="en-US" w:eastAsia="en-GB"/>
        </w:rPr>
        <w:t xml:space="preserve">We believe that the </w:t>
      </w:r>
      <w:r>
        <w:rPr>
          <w:rFonts w:ascii="CIDFont+F1" w:hAnsi="CIDFont+F1" w:cs="CIDFont+F1"/>
          <w:sz w:val="21"/>
          <w:szCs w:val="21"/>
          <w:lang w:val="en-US" w:eastAsia="en-GB"/>
        </w:rPr>
        <w:t xml:space="preserve">ESAs </w:t>
      </w:r>
      <w:r w:rsidRPr="00CD3927">
        <w:rPr>
          <w:rFonts w:ascii="CIDFont+F1" w:hAnsi="CIDFont+F1" w:cs="CIDFont+F1"/>
          <w:sz w:val="21"/>
          <w:szCs w:val="21"/>
          <w:lang w:val="en-US" w:eastAsia="en-GB"/>
        </w:rPr>
        <w:t>can help improve the quality of reporting in the following ways</w:t>
      </w:r>
    </w:p>
    <w:p w14:paraId="0E307210" w14:textId="77777777" w:rsidR="00361684" w:rsidRPr="00CD3927" w:rsidRDefault="00361684" w:rsidP="00361684">
      <w:pPr>
        <w:pStyle w:val="ListParagraph"/>
        <w:numPr>
          <w:ilvl w:val="1"/>
          <w:numId w:val="41"/>
        </w:numPr>
        <w:rPr>
          <w:rFonts w:ascii="CIDFont+F1" w:hAnsi="CIDFont+F1" w:cs="CIDFont+F1"/>
          <w:sz w:val="21"/>
          <w:szCs w:val="21"/>
          <w:lang w:val="en-US" w:eastAsia="en-GB"/>
        </w:rPr>
      </w:pPr>
      <w:r w:rsidRPr="003B501E">
        <w:rPr>
          <w:rFonts w:ascii="CIDFont+F1" w:hAnsi="CIDFont+F1" w:cs="CIDFont+F1"/>
          <w:b/>
          <w:bCs/>
          <w:sz w:val="21"/>
          <w:szCs w:val="21"/>
          <w:u w:val="single"/>
          <w:lang w:val="en-US" w:eastAsia="en-GB"/>
        </w:rPr>
        <w:t>Materiality process.</w:t>
      </w:r>
      <w:r>
        <w:rPr>
          <w:rFonts w:ascii="CIDFont+F1" w:hAnsi="CIDFont+F1" w:cs="CIDFont+F1"/>
          <w:sz w:val="21"/>
          <w:szCs w:val="21"/>
          <w:u w:val="single"/>
          <w:lang w:val="en-US" w:eastAsia="en-GB"/>
        </w:rPr>
        <w:t xml:space="preserve"> By requiring asset managers to disclose </w:t>
      </w:r>
      <w:r w:rsidRPr="008B3727">
        <w:rPr>
          <w:rFonts w:ascii="CIDFont+F1" w:hAnsi="CIDFont+F1" w:cs="CIDFont+F1"/>
          <w:sz w:val="21"/>
          <w:szCs w:val="21"/>
          <w:u w:val="single"/>
          <w:lang w:val="en-US" w:eastAsia="en-GB"/>
        </w:rPr>
        <w:t xml:space="preserve">the process by which </w:t>
      </w:r>
      <w:r>
        <w:rPr>
          <w:rFonts w:ascii="CIDFont+F1" w:hAnsi="CIDFont+F1" w:cs="CIDFont+F1"/>
          <w:sz w:val="21"/>
          <w:szCs w:val="21"/>
          <w:u w:val="single"/>
          <w:lang w:val="en-US" w:eastAsia="en-GB"/>
        </w:rPr>
        <w:t>they</w:t>
      </w:r>
      <w:r w:rsidRPr="008B3727">
        <w:rPr>
          <w:rFonts w:ascii="CIDFont+F1" w:hAnsi="CIDFont+F1" w:cs="CIDFont+F1"/>
          <w:sz w:val="21"/>
          <w:szCs w:val="21"/>
          <w:u w:val="single"/>
          <w:lang w:val="en-US" w:eastAsia="en-GB"/>
        </w:rPr>
        <w:t xml:space="preserve"> determine which adverse impact indicators are material to the different sectors within their portfolio</w:t>
      </w:r>
      <w:r>
        <w:rPr>
          <w:rFonts w:ascii="CIDFont+F1" w:hAnsi="CIDFont+F1" w:cs="CIDFont+F1"/>
          <w:sz w:val="21"/>
          <w:szCs w:val="21"/>
          <w:u w:val="single"/>
          <w:lang w:val="en-US" w:eastAsia="en-GB"/>
        </w:rPr>
        <w:t xml:space="preserve">, </w:t>
      </w:r>
      <w:r w:rsidRPr="006D12F1">
        <w:rPr>
          <w:rFonts w:ascii="CIDFont+F1" w:hAnsi="CIDFont+F1" w:cs="CIDFont+F1"/>
          <w:sz w:val="21"/>
          <w:szCs w:val="21"/>
          <w:u w:val="single"/>
          <w:lang w:val="en-US" w:eastAsia="en-GB"/>
        </w:rPr>
        <w:t>and over which time horizon</w:t>
      </w:r>
      <w:r w:rsidRPr="008B3727">
        <w:rPr>
          <w:rFonts w:ascii="CIDFont+F1" w:hAnsi="CIDFont+F1" w:cs="CIDFont+F1"/>
          <w:sz w:val="21"/>
          <w:szCs w:val="21"/>
          <w:u w:val="single"/>
          <w:lang w:val="en-US" w:eastAsia="en-GB"/>
        </w:rPr>
        <w:t>.</w:t>
      </w:r>
      <w:r>
        <w:rPr>
          <w:rFonts w:ascii="CIDFont+F1" w:hAnsi="CIDFont+F1" w:cs="CIDFont+F1"/>
          <w:sz w:val="21"/>
          <w:szCs w:val="21"/>
          <w:lang w:val="en-US" w:eastAsia="en-GB"/>
        </w:rPr>
        <w:t xml:space="preserve"> </w:t>
      </w:r>
      <w:r>
        <w:rPr>
          <w:rFonts w:ascii="CIDFont+F1" w:hAnsi="CIDFont+F1" w:cs="CIDFont+F1"/>
          <w:sz w:val="21"/>
          <w:szCs w:val="21"/>
          <w:lang w:val="en-US" w:eastAsia="en-GB"/>
        </w:rPr>
        <w:br/>
        <w:t xml:space="preserve">We acknowledge that Article 7 of the </w:t>
      </w:r>
      <w:r w:rsidRPr="00CD3927">
        <w:rPr>
          <w:rFonts w:ascii="CIDFont+F1" w:hAnsi="CIDFont+F1" w:cs="CIDFont+F1"/>
          <w:sz w:val="21"/>
          <w:szCs w:val="21"/>
          <w:lang w:val="en-US" w:eastAsia="en-GB"/>
        </w:rPr>
        <w:t xml:space="preserve">proposed Regulatory Technical Standards </w:t>
      </w:r>
      <w:r>
        <w:rPr>
          <w:rFonts w:ascii="CIDFont+F1" w:hAnsi="CIDFont+F1" w:cs="CIDFont+F1"/>
          <w:sz w:val="21"/>
          <w:szCs w:val="21"/>
          <w:lang w:val="en-US" w:eastAsia="en-GB"/>
        </w:rPr>
        <w:t>(RTS) requires asset managers to disclose the</w:t>
      </w:r>
      <w:r w:rsidRPr="00CD3927">
        <w:rPr>
          <w:rFonts w:ascii="CIDFont+F1" w:hAnsi="CIDFont+F1" w:cs="CIDFont+F1"/>
          <w:sz w:val="21"/>
          <w:szCs w:val="21"/>
          <w:lang w:val="en-US" w:eastAsia="en-GB"/>
        </w:rPr>
        <w:t xml:space="preserve"> policies</w:t>
      </w:r>
      <w:r>
        <w:rPr>
          <w:rFonts w:ascii="CIDFont+F1" w:hAnsi="CIDFont+F1" w:cs="CIDFont+F1"/>
          <w:sz w:val="21"/>
          <w:szCs w:val="21"/>
          <w:lang w:val="en-US" w:eastAsia="en-GB"/>
        </w:rPr>
        <w:t xml:space="preserve"> they use</w:t>
      </w:r>
      <w:r w:rsidRPr="00CD3927">
        <w:rPr>
          <w:rFonts w:ascii="CIDFont+F1" w:hAnsi="CIDFont+F1" w:cs="CIDFont+F1"/>
          <w:sz w:val="21"/>
          <w:szCs w:val="21"/>
          <w:lang w:val="en-US" w:eastAsia="en-GB"/>
        </w:rPr>
        <w:t xml:space="preserve"> to identify and </w:t>
      </w:r>
      <w:proofErr w:type="spellStart"/>
      <w:r w:rsidRPr="00CD3927">
        <w:rPr>
          <w:rFonts w:ascii="CIDFont+F1" w:hAnsi="CIDFont+F1" w:cs="CIDFont+F1"/>
          <w:sz w:val="21"/>
          <w:szCs w:val="21"/>
          <w:lang w:val="en-US" w:eastAsia="en-GB"/>
        </w:rPr>
        <w:t>prioritise</w:t>
      </w:r>
      <w:proofErr w:type="spellEnd"/>
      <w:r w:rsidRPr="00CD3927">
        <w:rPr>
          <w:rFonts w:ascii="CIDFont+F1" w:hAnsi="CIDFont+F1" w:cs="CIDFont+F1"/>
          <w:sz w:val="21"/>
          <w:szCs w:val="21"/>
          <w:lang w:val="en-US" w:eastAsia="en-GB"/>
        </w:rPr>
        <w:t xml:space="preserve"> principal adverse sustainability impacts</w:t>
      </w:r>
      <w:r>
        <w:rPr>
          <w:rFonts w:ascii="CIDFont+F1" w:hAnsi="CIDFont+F1" w:cs="CIDFont+F1"/>
          <w:sz w:val="21"/>
          <w:szCs w:val="21"/>
          <w:lang w:val="en-US" w:eastAsia="en-GB"/>
        </w:rPr>
        <w:t xml:space="preserve"> of their investment decisions. We note, however, that the template for the Principal Adverse Impacts Statement (i.e. Tables 1, 2 and 3 in Annex I) contains </w:t>
      </w:r>
      <w:r>
        <w:rPr>
          <w:rFonts w:ascii="CIDFont+F1" w:hAnsi="CIDFont+F1" w:cs="CIDFont+F1"/>
          <w:sz w:val="21"/>
          <w:szCs w:val="21"/>
          <w:lang w:val="en-US" w:eastAsia="en-GB"/>
        </w:rPr>
        <w:lastRenderedPageBreak/>
        <w:t>many proposed indicators that are more significant to some</w:t>
      </w:r>
      <w:r w:rsidRPr="008B3727">
        <w:rPr>
          <w:rFonts w:ascii="CIDFont+F1" w:hAnsi="CIDFont+F1" w:cs="CIDFont+F1"/>
          <w:sz w:val="21"/>
          <w:szCs w:val="21"/>
          <w:lang w:val="en-US" w:eastAsia="en-GB"/>
        </w:rPr>
        <w:t xml:space="preserve"> sectors than </w:t>
      </w:r>
      <w:r>
        <w:rPr>
          <w:rFonts w:ascii="CIDFont+F1" w:hAnsi="CIDFont+F1" w:cs="CIDFont+F1"/>
          <w:sz w:val="21"/>
          <w:szCs w:val="21"/>
          <w:lang w:val="en-US" w:eastAsia="en-GB"/>
        </w:rPr>
        <w:t>to</w:t>
      </w:r>
      <w:r w:rsidRPr="008B3727">
        <w:rPr>
          <w:rFonts w:ascii="CIDFont+F1" w:hAnsi="CIDFont+F1" w:cs="CIDFont+F1"/>
          <w:sz w:val="21"/>
          <w:szCs w:val="21"/>
          <w:lang w:val="en-US" w:eastAsia="en-GB"/>
        </w:rPr>
        <w:t xml:space="preserve"> others</w:t>
      </w:r>
      <w:r>
        <w:rPr>
          <w:rFonts w:ascii="CIDFont+F1" w:hAnsi="CIDFont+F1" w:cs="CIDFont+F1"/>
          <w:sz w:val="21"/>
          <w:szCs w:val="21"/>
          <w:lang w:val="en-US" w:eastAsia="en-GB"/>
        </w:rPr>
        <w:t>. A</w:t>
      </w:r>
      <w:r w:rsidRPr="008B3727">
        <w:rPr>
          <w:rFonts w:ascii="CIDFont+F1" w:hAnsi="CIDFont+F1" w:cs="CIDFont+F1"/>
          <w:sz w:val="21"/>
          <w:szCs w:val="21"/>
          <w:lang w:val="en-US" w:eastAsia="en-GB"/>
        </w:rPr>
        <w:t xml:space="preserve"> </w:t>
      </w:r>
      <w:r>
        <w:rPr>
          <w:rFonts w:ascii="CIDFont+F1" w:hAnsi="CIDFont+F1" w:cs="CIDFont+F1"/>
          <w:sz w:val="21"/>
          <w:szCs w:val="21"/>
          <w:lang w:val="en-US" w:eastAsia="en-GB"/>
        </w:rPr>
        <w:t>given metric disclosed at the level of the whole entity and for</w:t>
      </w:r>
      <w:r w:rsidRPr="008B3727">
        <w:rPr>
          <w:rFonts w:ascii="CIDFont+F1" w:hAnsi="CIDFont+F1" w:cs="CIDFont+F1"/>
          <w:sz w:val="21"/>
          <w:szCs w:val="21"/>
          <w:lang w:val="en-US" w:eastAsia="en-GB"/>
        </w:rPr>
        <w:t xml:space="preserve"> the whole portfolio </w:t>
      </w:r>
      <w:r>
        <w:rPr>
          <w:rFonts w:ascii="CIDFont+F1" w:hAnsi="CIDFont+F1" w:cs="CIDFont+F1"/>
          <w:sz w:val="21"/>
          <w:szCs w:val="21"/>
          <w:lang w:val="en-US" w:eastAsia="en-GB"/>
        </w:rPr>
        <w:t>may not be meaningful or obscure important trends in the sectors where it is material to that sector’s stakeholders</w:t>
      </w:r>
      <w:r w:rsidRPr="008B3727">
        <w:rPr>
          <w:rFonts w:ascii="CIDFont+F1" w:hAnsi="CIDFont+F1" w:cs="CIDFont+F1"/>
          <w:sz w:val="21"/>
          <w:szCs w:val="21"/>
          <w:lang w:val="en-US" w:eastAsia="en-GB"/>
        </w:rPr>
        <w:t>.</w:t>
      </w:r>
      <w:r>
        <w:rPr>
          <w:rFonts w:ascii="CIDFont+F1" w:hAnsi="CIDFont+F1" w:cs="CIDFont+F1"/>
          <w:sz w:val="21"/>
          <w:szCs w:val="21"/>
          <w:lang w:val="en-US" w:eastAsia="en-GB"/>
        </w:rPr>
        <w:t xml:space="preserve"> The determination of which adverse sustainability indicators are “principal” under Article 6 will, in many cases, be sector-driven. We therefore believe that it’s important for asset managers to include sector considerations in their disclosure (see further suggestions under (4) below). </w:t>
      </w:r>
    </w:p>
    <w:p w14:paraId="7394957E" w14:textId="77777777" w:rsidR="00361684" w:rsidRPr="004D0A3D" w:rsidRDefault="00361684" w:rsidP="00361684">
      <w:pPr>
        <w:pStyle w:val="ListParagraph"/>
        <w:numPr>
          <w:ilvl w:val="1"/>
          <w:numId w:val="41"/>
        </w:numPr>
        <w:rPr>
          <w:rFonts w:ascii="CIDFont+F1" w:hAnsi="CIDFont+F1" w:cs="CIDFont+F1"/>
          <w:sz w:val="21"/>
          <w:szCs w:val="21"/>
          <w:lang w:val="en-US" w:eastAsia="en-GB"/>
        </w:rPr>
      </w:pPr>
      <w:r w:rsidRPr="003B501E">
        <w:rPr>
          <w:rFonts w:ascii="CIDFont+F1" w:hAnsi="CIDFont+F1" w:cs="CIDFont+F1"/>
          <w:b/>
          <w:bCs/>
          <w:sz w:val="21"/>
          <w:szCs w:val="21"/>
          <w:u w:val="single"/>
          <w:lang w:val="en-US" w:eastAsia="en-GB"/>
        </w:rPr>
        <w:t>Data source disclosure.</w:t>
      </w:r>
      <w:r>
        <w:rPr>
          <w:rFonts w:ascii="CIDFont+F1" w:hAnsi="CIDFont+F1" w:cs="CIDFont+F1"/>
          <w:sz w:val="21"/>
          <w:szCs w:val="21"/>
          <w:u w:val="single"/>
          <w:lang w:val="en-US" w:eastAsia="en-GB"/>
        </w:rPr>
        <w:t xml:space="preserve"> By requiring asset managers</w:t>
      </w:r>
      <w:r w:rsidRPr="00C81440">
        <w:rPr>
          <w:rFonts w:ascii="CIDFont+F1" w:hAnsi="CIDFont+F1" w:cs="CIDFont+F1"/>
          <w:sz w:val="21"/>
          <w:szCs w:val="21"/>
          <w:u w:val="single"/>
          <w:lang w:val="en-US" w:eastAsia="en-GB"/>
        </w:rPr>
        <w:t xml:space="preserve"> to disclose the data sources they used to report the </w:t>
      </w:r>
      <w:r>
        <w:rPr>
          <w:rFonts w:ascii="CIDFont+F1" w:hAnsi="CIDFont+F1" w:cs="CIDFont+F1"/>
          <w:sz w:val="21"/>
          <w:szCs w:val="21"/>
          <w:u w:val="single"/>
          <w:lang w:val="en-US" w:eastAsia="en-GB"/>
        </w:rPr>
        <w:t xml:space="preserve">principal adverse sustainability impact </w:t>
      </w:r>
      <w:r w:rsidRPr="00C81440">
        <w:rPr>
          <w:rFonts w:ascii="CIDFont+F1" w:hAnsi="CIDFont+F1" w:cs="CIDFont+F1"/>
          <w:sz w:val="21"/>
          <w:szCs w:val="21"/>
          <w:u w:val="single"/>
          <w:lang w:val="en-US" w:eastAsia="en-GB"/>
        </w:rPr>
        <w:t>indicators.</w:t>
      </w:r>
      <w:r w:rsidRPr="00CD3927">
        <w:rPr>
          <w:rFonts w:ascii="CIDFont+F1" w:hAnsi="CIDFont+F1" w:cs="CIDFont+F1"/>
          <w:sz w:val="21"/>
          <w:szCs w:val="21"/>
          <w:lang w:val="en-US" w:eastAsia="en-GB"/>
        </w:rPr>
        <w:t xml:space="preserve"> We</w:t>
      </w:r>
      <w:r>
        <w:rPr>
          <w:rFonts w:ascii="CIDFont+F1" w:hAnsi="CIDFont+F1" w:cs="CIDFont+F1"/>
          <w:sz w:val="21"/>
          <w:szCs w:val="21"/>
          <w:lang w:val="en-US" w:eastAsia="en-GB"/>
        </w:rPr>
        <w:t xml:space="preserve"> acknowledge that Article 7 of the RTS broadly requires assets managers to provide </w:t>
      </w:r>
      <w:r w:rsidRPr="001E09F0">
        <w:rPr>
          <w:rFonts w:ascii="CIDFont+F1" w:hAnsi="CIDFont+F1" w:cs="CIDFont+F1"/>
          <w:sz w:val="21"/>
          <w:szCs w:val="21"/>
          <w:lang w:val="en-US" w:eastAsia="en-GB"/>
        </w:rPr>
        <w:t>a description of the data sources used</w:t>
      </w:r>
      <w:r>
        <w:rPr>
          <w:rFonts w:ascii="CIDFont+F1" w:hAnsi="CIDFont+F1" w:cs="CIDFont+F1"/>
          <w:sz w:val="21"/>
          <w:szCs w:val="21"/>
          <w:lang w:val="en-US" w:eastAsia="en-GB"/>
        </w:rPr>
        <w:t xml:space="preserve"> </w:t>
      </w:r>
      <w:r w:rsidRPr="001E09F0">
        <w:rPr>
          <w:rFonts w:ascii="CIDFont+F1" w:hAnsi="CIDFont+F1" w:cs="CIDFont+F1"/>
          <w:sz w:val="21"/>
          <w:szCs w:val="21"/>
          <w:lang w:val="en-US" w:eastAsia="en-GB"/>
        </w:rPr>
        <w:t xml:space="preserve">to identify and </w:t>
      </w:r>
      <w:proofErr w:type="spellStart"/>
      <w:r w:rsidRPr="001E09F0">
        <w:rPr>
          <w:rFonts w:ascii="CIDFont+F1" w:hAnsi="CIDFont+F1" w:cs="CIDFont+F1"/>
          <w:sz w:val="21"/>
          <w:szCs w:val="21"/>
          <w:lang w:val="en-US" w:eastAsia="en-GB"/>
        </w:rPr>
        <w:t>prioriti</w:t>
      </w:r>
      <w:r>
        <w:rPr>
          <w:rFonts w:ascii="CIDFont+F1" w:hAnsi="CIDFont+F1" w:cs="CIDFont+F1"/>
          <w:sz w:val="21"/>
          <w:szCs w:val="21"/>
          <w:lang w:val="en-US" w:eastAsia="en-GB"/>
        </w:rPr>
        <w:t>s</w:t>
      </w:r>
      <w:r w:rsidRPr="001E09F0">
        <w:rPr>
          <w:rFonts w:ascii="CIDFont+F1" w:hAnsi="CIDFont+F1" w:cs="CIDFont+F1"/>
          <w:sz w:val="21"/>
          <w:szCs w:val="21"/>
          <w:lang w:val="en-US" w:eastAsia="en-GB"/>
        </w:rPr>
        <w:t>e</w:t>
      </w:r>
      <w:proofErr w:type="spellEnd"/>
      <w:r w:rsidRPr="001E09F0">
        <w:rPr>
          <w:rFonts w:ascii="CIDFont+F1" w:hAnsi="CIDFont+F1" w:cs="CIDFont+F1"/>
          <w:sz w:val="21"/>
          <w:szCs w:val="21"/>
          <w:lang w:val="en-US" w:eastAsia="en-GB"/>
        </w:rPr>
        <w:t xml:space="preserve"> principal adverse sustainability impacts</w:t>
      </w:r>
      <w:r>
        <w:rPr>
          <w:rFonts w:ascii="CIDFont+F1" w:hAnsi="CIDFont+F1" w:cs="CIDFont+F1"/>
          <w:sz w:val="21"/>
          <w:szCs w:val="21"/>
          <w:lang w:val="en-US" w:eastAsia="en-GB"/>
        </w:rPr>
        <w:t xml:space="preserve">. However, the proposed template for the Principal Adverse Impacts Statement does not explicitly require disclosure of information that would help users evaluate the reliability and comparability of individual metrics reported. We note that many of the indicators listed in Tables 1, 2, and 3 of Annex I rely on availability of ESG data that, given current state of the market, is often </w:t>
      </w:r>
      <w:r w:rsidRPr="004D0A3D">
        <w:rPr>
          <w:rFonts w:ascii="CIDFont+F1" w:hAnsi="CIDFont+F1" w:cs="CIDFont+F1"/>
          <w:sz w:val="21"/>
          <w:szCs w:val="21"/>
          <w:lang w:val="en-US" w:eastAsia="en-GB"/>
        </w:rPr>
        <w:t>of inconsistent reliability and quality</w:t>
      </w:r>
      <w:r>
        <w:rPr>
          <w:rFonts w:ascii="CIDFont+F1" w:hAnsi="CIDFont+F1" w:cs="CIDFont+F1"/>
          <w:sz w:val="21"/>
          <w:szCs w:val="21"/>
          <w:lang w:val="en-US" w:eastAsia="en-GB"/>
        </w:rPr>
        <w:t xml:space="preserve">. A broad disclosure of various data sources used to prepare the entire Principal Adverse Impacts Statement may be insufficient to allow users to evaluate and understand individual metrics. We therefore suggest that the template explicitly require disclosure of data sources used for each indicator reported, as well as its </w:t>
      </w:r>
      <w:r w:rsidRPr="004F4A53">
        <w:rPr>
          <w:rFonts w:ascii="CIDFont+F1" w:hAnsi="CIDFont+F1" w:cs="CIDFont+F1"/>
          <w:sz w:val="21"/>
          <w:szCs w:val="21"/>
          <w:lang w:val="en-US" w:eastAsia="en-GB"/>
        </w:rPr>
        <w:t>coverage</w:t>
      </w:r>
      <w:r>
        <w:rPr>
          <w:rFonts w:ascii="CIDFont+F1" w:hAnsi="CIDFont+F1" w:cs="CIDFont+F1"/>
          <w:i/>
          <w:iCs/>
          <w:sz w:val="21"/>
          <w:szCs w:val="21"/>
          <w:lang w:val="en-US" w:eastAsia="en-GB"/>
        </w:rPr>
        <w:t xml:space="preserve"> </w:t>
      </w:r>
      <w:r>
        <w:rPr>
          <w:rFonts w:ascii="CIDFont+F1" w:hAnsi="CIDFont+F1" w:cs="CIDFont+F1"/>
          <w:sz w:val="21"/>
          <w:szCs w:val="21"/>
          <w:lang w:val="en-US" w:eastAsia="en-GB"/>
        </w:rPr>
        <w:t>(i.e. the proportion of the portfolio for which data is actually available).</w:t>
      </w:r>
    </w:p>
    <w:p w14:paraId="26380021" w14:textId="77777777" w:rsidR="00361684" w:rsidRPr="00CD3927" w:rsidRDefault="00361684" w:rsidP="00361684">
      <w:pPr>
        <w:pStyle w:val="ListParagraph"/>
        <w:rPr>
          <w:rFonts w:ascii="CIDFont+F1" w:hAnsi="CIDFont+F1" w:cs="CIDFont+F1"/>
          <w:sz w:val="21"/>
          <w:szCs w:val="21"/>
          <w:lang w:val="en-US" w:eastAsia="en-GB"/>
        </w:rPr>
      </w:pPr>
    </w:p>
    <w:p w14:paraId="4D69C77B" w14:textId="77777777" w:rsidR="00361684" w:rsidRPr="00C0329A" w:rsidRDefault="00361684" w:rsidP="00361684">
      <w:pPr>
        <w:pStyle w:val="ListParagraph"/>
        <w:numPr>
          <w:ilvl w:val="0"/>
          <w:numId w:val="41"/>
        </w:numPr>
        <w:rPr>
          <w:rFonts w:ascii="CIDFont+F1" w:hAnsi="CIDFont+F1" w:cs="CIDFont+F1"/>
          <w:sz w:val="21"/>
          <w:szCs w:val="21"/>
          <w:lang w:val="en-US" w:eastAsia="en-GB"/>
        </w:rPr>
      </w:pPr>
      <w:r w:rsidRPr="003041CE">
        <w:rPr>
          <w:rFonts w:ascii="CIDFont+F1" w:hAnsi="CIDFont+F1" w:cs="CIDFont+F1"/>
          <w:b/>
          <w:bCs/>
          <w:sz w:val="21"/>
          <w:szCs w:val="21"/>
          <w:lang w:val="en-US" w:eastAsia="en-GB"/>
        </w:rPr>
        <w:t>Mitigating implementation burdens</w:t>
      </w:r>
      <w:r>
        <w:rPr>
          <w:rFonts w:ascii="CIDFont+F1" w:hAnsi="CIDFont+F1" w:cs="CIDFont+F1"/>
          <w:sz w:val="21"/>
          <w:szCs w:val="21"/>
          <w:lang w:val="en-US" w:eastAsia="en-GB"/>
        </w:rPr>
        <w:t xml:space="preserve">. </w:t>
      </w:r>
      <w:r w:rsidRPr="00CD3927">
        <w:rPr>
          <w:rFonts w:ascii="CIDFont+F1" w:hAnsi="CIDFont+F1" w:cs="CIDFont+F1"/>
          <w:sz w:val="21"/>
          <w:szCs w:val="21"/>
          <w:lang w:val="en-US" w:eastAsia="en-GB"/>
        </w:rPr>
        <w:t>We believe that the implementation of the proposals may be cumbersome and difficult</w:t>
      </w:r>
      <w:r>
        <w:rPr>
          <w:rFonts w:ascii="CIDFont+F1" w:hAnsi="CIDFont+F1" w:cs="CIDFont+F1"/>
          <w:sz w:val="21"/>
          <w:szCs w:val="21"/>
          <w:lang w:val="en-US" w:eastAsia="en-GB"/>
        </w:rPr>
        <w:t xml:space="preserve"> </w:t>
      </w:r>
      <w:r>
        <w:rPr>
          <w:rFonts w:ascii="CIDFont+F1" w:hAnsi="CIDFont+F1" w:cs="CIDFont+F1"/>
          <w:sz w:val="21"/>
          <w:szCs w:val="21"/>
          <w:highlight w:val="cyan"/>
          <w:lang w:val="en-US" w:eastAsia="en-GB"/>
        </w:rPr>
        <w:t xml:space="preserve">for </w:t>
      </w:r>
      <w:r w:rsidRPr="000D523B">
        <w:rPr>
          <w:rFonts w:ascii="CIDFont+F1" w:hAnsi="CIDFont+F1" w:cs="CIDFont+F1"/>
          <w:sz w:val="21"/>
          <w:szCs w:val="21"/>
          <w:highlight w:val="cyan"/>
          <w:lang w:val="en-US" w:eastAsia="en-GB"/>
        </w:rPr>
        <w:t>asset managers</w:t>
      </w:r>
      <w:r w:rsidRPr="00CD3927">
        <w:rPr>
          <w:rFonts w:ascii="CIDFont+F1" w:hAnsi="CIDFont+F1" w:cs="CIDFont+F1"/>
          <w:sz w:val="21"/>
          <w:szCs w:val="21"/>
          <w:lang w:val="en-US" w:eastAsia="en-GB"/>
        </w:rPr>
        <w:t xml:space="preserve">, due to issues with the consistency and reliability of ESG </w:t>
      </w:r>
      <w:r>
        <w:rPr>
          <w:rFonts w:ascii="CIDFont+F1" w:hAnsi="CIDFont+F1" w:cs="CIDFont+F1"/>
          <w:sz w:val="21"/>
          <w:szCs w:val="21"/>
          <w:lang w:val="en-US" w:eastAsia="en-GB"/>
        </w:rPr>
        <w:t>data available in the market</w:t>
      </w:r>
      <w:r w:rsidRPr="00CD3927">
        <w:rPr>
          <w:rFonts w:ascii="CIDFont+F1" w:hAnsi="CIDFont+F1" w:cs="CIDFont+F1"/>
          <w:sz w:val="21"/>
          <w:szCs w:val="21"/>
          <w:lang w:val="en-US" w:eastAsia="en-GB"/>
        </w:rPr>
        <w:t xml:space="preserve">. </w:t>
      </w:r>
      <w:r>
        <w:rPr>
          <w:rFonts w:ascii="CIDFont+F1" w:hAnsi="CIDFont+F1" w:cs="CIDFont+F1"/>
          <w:sz w:val="21"/>
          <w:szCs w:val="21"/>
          <w:lang w:val="en-US" w:eastAsia="en-GB"/>
        </w:rPr>
        <w:t xml:space="preserve">In order to collect the necessary information, asset managers may need to query </w:t>
      </w:r>
      <w:r w:rsidRPr="004D0A3D">
        <w:rPr>
          <w:rFonts w:ascii="CIDFont+F1" w:hAnsi="CIDFont+F1" w:cs="CIDFont+F1"/>
          <w:sz w:val="21"/>
          <w:szCs w:val="21"/>
          <w:lang w:val="en-US" w:eastAsia="en-GB"/>
        </w:rPr>
        <w:t>investee companies,</w:t>
      </w:r>
      <w:r>
        <w:rPr>
          <w:rFonts w:ascii="CIDFont+F1" w:hAnsi="CIDFont+F1" w:cs="CIDFont+F1"/>
          <w:sz w:val="21"/>
          <w:szCs w:val="21"/>
          <w:lang w:val="en-US" w:eastAsia="en-GB"/>
        </w:rPr>
        <w:t xml:space="preserve"> consult external </w:t>
      </w:r>
      <w:r w:rsidRPr="004D0A3D">
        <w:rPr>
          <w:rFonts w:ascii="CIDFont+F1" w:hAnsi="CIDFont+F1" w:cs="CIDFont+F1"/>
          <w:sz w:val="21"/>
          <w:szCs w:val="21"/>
          <w:lang w:val="en-US" w:eastAsia="en-GB"/>
        </w:rPr>
        <w:t>specialists,</w:t>
      </w:r>
      <w:r>
        <w:rPr>
          <w:rFonts w:ascii="CIDFont+F1" w:hAnsi="CIDFont+F1" w:cs="CIDFont+F1"/>
          <w:sz w:val="21"/>
          <w:szCs w:val="21"/>
          <w:lang w:val="en-US" w:eastAsia="en-GB"/>
        </w:rPr>
        <w:t xml:space="preserve"> or look to information that is </w:t>
      </w:r>
      <w:r w:rsidRPr="004D0A3D">
        <w:rPr>
          <w:rFonts w:ascii="CIDFont+F1" w:hAnsi="CIDFont+F1" w:cs="CIDFont+F1"/>
          <w:sz w:val="21"/>
          <w:szCs w:val="21"/>
          <w:lang w:val="en-US" w:eastAsia="en-GB"/>
        </w:rPr>
        <w:t>publicly</w:t>
      </w:r>
      <w:r>
        <w:rPr>
          <w:rFonts w:ascii="CIDFont+F1" w:hAnsi="CIDFont+F1" w:cs="CIDFont+F1"/>
          <w:sz w:val="21"/>
          <w:szCs w:val="21"/>
          <w:lang w:val="en-US" w:eastAsia="en-GB"/>
        </w:rPr>
        <w:t xml:space="preserve"> </w:t>
      </w:r>
      <w:r w:rsidRPr="004D0A3D">
        <w:rPr>
          <w:rFonts w:ascii="CIDFont+F1" w:hAnsi="CIDFont+F1" w:cs="CIDFont+F1"/>
          <w:sz w:val="21"/>
          <w:szCs w:val="21"/>
          <w:lang w:val="en-US" w:eastAsia="en-GB"/>
        </w:rPr>
        <w:t xml:space="preserve">available </w:t>
      </w:r>
      <w:r>
        <w:rPr>
          <w:rFonts w:ascii="CIDFont+F1" w:hAnsi="CIDFont+F1" w:cs="CIDFont+F1"/>
          <w:sz w:val="21"/>
          <w:szCs w:val="21"/>
          <w:lang w:val="en-US" w:eastAsia="en-GB"/>
        </w:rPr>
        <w:t xml:space="preserve">but not regulated or independently verified. </w:t>
      </w:r>
      <w:r w:rsidRPr="00CD3927">
        <w:rPr>
          <w:rFonts w:ascii="CIDFont+F1" w:hAnsi="CIDFont+F1" w:cs="CIDFont+F1"/>
          <w:sz w:val="21"/>
          <w:szCs w:val="21"/>
          <w:lang w:val="en-US" w:eastAsia="en-GB"/>
        </w:rPr>
        <w:t>The implementation process</w:t>
      </w:r>
      <w:r>
        <w:rPr>
          <w:rFonts w:ascii="CIDFont+F1" w:hAnsi="CIDFont+F1" w:cs="CIDFont+F1"/>
          <w:sz w:val="21"/>
          <w:szCs w:val="21"/>
          <w:lang w:val="en-US" w:eastAsia="en-GB"/>
        </w:rPr>
        <w:t xml:space="preserve"> can be made</w:t>
      </w:r>
      <w:r w:rsidRPr="00CD3927">
        <w:rPr>
          <w:rFonts w:ascii="CIDFont+F1" w:hAnsi="CIDFont+F1" w:cs="CIDFont+F1"/>
          <w:sz w:val="21"/>
          <w:szCs w:val="21"/>
          <w:lang w:val="en-US" w:eastAsia="en-GB"/>
        </w:rPr>
        <w:t xml:space="preserve"> easier by</w:t>
      </w:r>
      <w:r>
        <w:rPr>
          <w:rFonts w:ascii="CIDFont+F1" w:hAnsi="CIDFont+F1" w:cs="CIDFont+F1"/>
          <w:sz w:val="21"/>
          <w:szCs w:val="21"/>
          <w:lang w:val="en-US" w:eastAsia="en-GB"/>
        </w:rPr>
        <w:t xml:space="preserve"> </w:t>
      </w:r>
      <w:r w:rsidRPr="00C0329A">
        <w:rPr>
          <w:rFonts w:ascii="CIDFont+F1" w:hAnsi="CIDFont+F1" w:cs="CIDFont+F1"/>
          <w:sz w:val="21"/>
          <w:szCs w:val="21"/>
          <w:lang w:val="en-US" w:eastAsia="en-GB"/>
        </w:rPr>
        <w:t xml:space="preserve">allowing market participants not to report on a particular indicator if the underlying ESG data is not yet available, provided they also discuss what they are doing to obtain the requisite information. </w:t>
      </w:r>
    </w:p>
    <w:p w14:paraId="6E169D30" w14:textId="77777777" w:rsidR="00361684" w:rsidRDefault="00361684" w:rsidP="00361684">
      <w:pPr>
        <w:pStyle w:val="ListParagraph"/>
        <w:ind w:left="1440"/>
        <w:rPr>
          <w:rFonts w:ascii="CIDFont+F1" w:hAnsi="CIDFont+F1" w:cs="CIDFont+F1"/>
          <w:sz w:val="21"/>
          <w:szCs w:val="21"/>
          <w:lang w:val="en-US" w:eastAsia="en-GB"/>
        </w:rPr>
      </w:pPr>
      <w:r>
        <w:rPr>
          <w:rFonts w:ascii="CIDFont+F1" w:hAnsi="CIDFont+F1" w:cs="CIDFont+F1"/>
          <w:sz w:val="21"/>
          <w:szCs w:val="21"/>
          <w:lang w:val="en-US" w:eastAsia="en-GB"/>
        </w:rPr>
        <w:br/>
      </w:r>
    </w:p>
    <w:p w14:paraId="74991CAA" w14:textId="77777777" w:rsidR="00361684" w:rsidRPr="000662D9" w:rsidRDefault="00361684" w:rsidP="00361684">
      <w:pPr>
        <w:pStyle w:val="ListParagraph"/>
        <w:numPr>
          <w:ilvl w:val="0"/>
          <w:numId w:val="41"/>
        </w:numPr>
        <w:rPr>
          <w:rFonts w:ascii="CIDFont+F1" w:hAnsi="CIDFont+F1" w:cs="CIDFont+F1"/>
          <w:sz w:val="21"/>
          <w:szCs w:val="21"/>
          <w:lang w:val="en-US" w:eastAsia="en-GB"/>
        </w:rPr>
      </w:pPr>
      <w:r w:rsidRPr="00CD5931">
        <w:rPr>
          <w:rFonts w:ascii="CIDFont+F1" w:hAnsi="CIDFont+F1" w:cs="CIDFont+F1"/>
          <w:b/>
          <w:bCs/>
          <w:sz w:val="21"/>
          <w:szCs w:val="21"/>
          <w:lang w:val="en-US" w:eastAsia="en-GB"/>
        </w:rPr>
        <w:t>Proportionality principle.</w:t>
      </w:r>
      <w:r>
        <w:rPr>
          <w:rFonts w:ascii="CIDFont+F1" w:hAnsi="CIDFont+F1" w:cs="CIDFont+F1"/>
          <w:sz w:val="21"/>
          <w:szCs w:val="21"/>
          <w:lang w:val="en-US" w:eastAsia="en-GB"/>
        </w:rPr>
        <w:t xml:space="preserve"> As a practical solution to observations under (2) and (3) above, we would suggest that for each indicator, asset managers are required to disclose:</w:t>
      </w:r>
    </w:p>
    <w:p w14:paraId="30EDAB0E" w14:textId="77777777" w:rsidR="00361684" w:rsidRPr="000662D9" w:rsidRDefault="00361684" w:rsidP="00361684">
      <w:pPr>
        <w:pStyle w:val="ListParagraph"/>
        <w:numPr>
          <w:ilvl w:val="1"/>
          <w:numId w:val="41"/>
        </w:numPr>
        <w:rPr>
          <w:rFonts w:ascii="CIDFont+F1" w:hAnsi="CIDFont+F1" w:cs="CIDFont+F1"/>
          <w:sz w:val="21"/>
          <w:szCs w:val="21"/>
          <w:lang w:val="en-US" w:eastAsia="en-GB"/>
        </w:rPr>
      </w:pPr>
      <w:r w:rsidRPr="000662D9">
        <w:rPr>
          <w:rFonts w:ascii="CIDFont+F1" w:hAnsi="CIDFont+F1" w:cs="CIDFont+F1"/>
          <w:sz w:val="21"/>
          <w:szCs w:val="21"/>
          <w:lang w:val="en-US" w:eastAsia="en-GB"/>
        </w:rPr>
        <w:t>The proportion of the portfolio where they judge the potential impact is likely to be immaterial</w:t>
      </w:r>
      <w:r>
        <w:rPr>
          <w:rFonts w:ascii="CIDFont+F1" w:hAnsi="CIDFont+F1" w:cs="CIDFont+F1"/>
          <w:sz w:val="21"/>
          <w:szCs w:val="21"/>
          <w:lang w:val="en-US" w:eastAsia="en-GB"/>
        </w:rPr>
        <w:t xml:space="preserve">, as well as </w:t>
      </w:r>
      <w:r w:rsidRPr="000662D9">
        <w:rPr>
          <w:rFonts w:ascii="CIDFont+F1" w:hAnsi="CIDFont+F1" w:cs="CIDFont+F1"/>
          <w:sz w:val="21"/>
          <w:szCs w:val="21"/>
          <w:lang w:val="en-US" w:eastAsia="en-GB"/>
        </w:rPr>
        <w:t xml:space="preserve">the basis for that judgement </w:t>
      </w:r>
      <w:r>
        <w:rPr>
          <w:rFonts w:ascii="CIDFont+F1" w:hAnsi="CIDFont+F1" w:cs="CIDFont+F1"/>
          <w:sz w:val="21"/>
          <w:szCs w:val="21"/>
          <w:lang w:val="en-US" w:eastAsia="en-GB"/>
        </w:rPr>
        <w:t>and any relevant data sources used to make that judgment</w:t>
      </w:r>
    </w:p>
    <w:p w14:paraId="28C81752" w14:textId="77777777" w:rsidR="00361684" w:rsidRPr="000662D9" w:rsidRDefault="00361684" w:rsidP="00361684">
      <w:pPr>
        <w:pStyle w:val="ListParagraph"/>
        <w:numPr>
          <w:ilvl w:val="1"/>
          <w:numId w:val="41"/>
        </w:numPr>
        <w:rPr>
          <w:rFonts w:ascii="CIDFont+F1" w:hAnsi="CIDFont+F1" w:cs="CIDFont+F1"/>
          <w:sz w:val="21"/>
          <w:szCs w:val="21"/>
          <w:lang w:val="en-US" w:eastAsia="en-GB"/>
        </w:rPr>
      </w:pPr>
      <w:r w:rsidRPr="000662D9">
        <w:rPr>
          <w:rFonts w:ascii="CIDFont+F1" w:hAnsi="CIDFont+F1" w:cs="CIDFont+F1"/>
          <w:sz w:val="21"/>
          <w:szCs w:val="21"/>
          <w:lang w:val="en-US" w:eastAsia="en-GB"/>
        </w:rPr>
        <w:t xml:space="preserve">The proportion of the portfolio where there are potentially material impacts but they have been unable to assess them </w:t>
      </w:r>
      <w:r>
        <w:rPr>
          <w:rFonts w:ascii="CIDFont+F1" w:hAnsi="CIDFont+F1" w:cs="CIDFont+F1"/>
          <w:sz w:val="21"/>
          <w:szCs w:val="21"/>
          <w:lang w:val="en-US" w:eastAsia="en-GB"/>
        </w:rPr>
        <w:t>due to</w:t>
      </w:r>
      <w:r w:rsidRPr="000662D9">
        <w:rPr>
          <w:rFonts w:ascii="CIDFont+F1" w:hAnsi="CIDFont+F1" w:cs="CIDFont+F1"/>
          <w:sz w:val="21"/>
          <w:szCs w:val="21"/>
          <w:lang w:val="en-US" w:eastAsia="en-GB"/>
        </w:rPr>
        <w:t xml:space="preserve"> lack of data</w:t>
      </w:r>
      <w:r>
        <w:rPr>
          <w:rFonts w:ascii="CIDFont+F1" w:hAnsi="CIDFont+F1" w:cs="CIDFont+F1"/>
          <w:sz w:val="21"/>
          <w:szCs w:val="21"/>
          <w:lang w:val="en-US" w:eastAsia="en-GB"/>
        </w:rPr>
        <w:t xml:space="preserve">, as well as </w:t>
      </w:r>
      <w:r w:rsidRPr="000662D9">
        <w:rPr>
          <w:rFonts w:ascii="CIDFont+F1" w:hAnsi="CIDFont+F1" w:cs="CIDFont+F1"/>
          <w:sz w:val="21"/>
          <w:szCs w:val="21"/>
          <w:lang w:val="en-US" w:eastAsia="en-GB"/>
        </w:rPr>
        <w:t>what steps they are taking with service providers or directly with companies to address that gap</w:t>
      </w:r>
    </w:p>
    <w:p w14:paraId="1F337976" w14:textId="77777777" w:rsidR="00361684" w:rsidRPr="000662D9" w:rsidRDefault="00361684" w:rsidP="00361684">
      <w:pPr>
        <w:pStyle w:val="ListParagraph"/>
        <w:numPr>
          <w:ilvl w:val="1"/>
          <w:numId w:val="41"/>
        </w:numPr>
        <w:rPr>
          <w:rFonts w:ascii="CIDFont+F1" w:hAnsi="CIDFont+F1" w:cs="CIDFont+F1"/>
          <w:sz w:val="21"/>
          <w:szCs w:val="21"/>
          <w:lang w:val="en-US" w:eastAsia="en-GB"/>
        </w:rPr>
      </w:pPr>
      <w:r w:rsidRPr="000662D9">
        <w:rPr>
          <w:rFonts w:ascii="CIDFont+F1" w:hAnsi="CIDFont+F1" w:cs="CIDFont+F1"/>
          <w:sz w:val="21"/>
          <w:szCs w:val="21"/>
          <w:lang w:val="en-US" w:eastAsia="en-GB"/>
        </w:rPr>
        <w:t xml:space="preserve">The proportion of the portfolio </w:t>
      </w:r>
      <w:r>
        <w:rPr>
          <w:rFonts w:ascii="CIDFont+F1" w:hAnsi="CIDFont+F1" w:cs="CIDFont+F1"/>
          <w:sz w:val="21"/>
          <w:szCs w:val="21"/>
          <w:lang w:val="en-US" w:eastAsia="en-GB"/>
        </w:rPr>
        <w:t xml:space="preserve">deemed to be materially </w:t>
      </w:r>
      <w:r w:rsidRPr="000662D9">
        <w:rPr>
          <w:rFonts w:ascii="CIDFont+F1" w:hAnsi="CIDFont+F1" w:cs="CIDFont+F1"/>
          <w:sz w:val="21"/>
          <w:szCs w:val="21"/>
          <w:lang w:val="en-US" w:eastAsia="en-GB"/>
        </w:rPr>
        <w:t>exposed to the impact</w:t>
      </w:r>
      <w:r>
        <w:rPr>
          <w:rFonts w:ascii="CIDFont+F1" w:hAnsi="CIDFont+F1" w:cs="CIDFont+F1"/>
          <w:sz w:val="21"/>
          <w:szCs w:val="21"/>
          <w:lang w:val="en-US" w:eastAsia="en-GB"/>
        </w:rPr>
        <w:t xml:space="preserve"> indicator, </w:t>
      </w:r>
      <w:r w:rsidRPr="000662D9">
        <w:rPr>
          <w:rFonts w:ascii="CIDFont+F1" w:hAnsi="CIDFont+F1" w:cs="CIDFont+F1"/>
          <w:sz w:val="21"/>
          <w:szCs w:val="21"/>
          <w:lang w:val="en-US" w:eastAsia="en-GB"/>
        </w:rPr>
        <w:t xml:space="preserve">their methods and approach </w:t>
      </w:r>
      <w:r>
        <w:rPr>
          <w:rFonts w:ascii="CIDFont+F1" w:hAnsi="CIDFont+F1" w:cs="CIDFont+F1"/>
          <w:sz w:val="21"/>
          <w:szCs w:val="21"/>
          <w:lang w:val="en-US" w:eastAsia="en-GB"/>
        </w:rPr>
        <w:t xml:space="preserve">to that determination, the relevant quantitative metric, </w:t>
      </w:r>
      <w:r w:rsidRPr="000662D9">
        <w:rPr>
          <w:rFonts w:ascii="CIDFont+F1" w:hAnsi="CIDFont+F1" w:cs="CIDFont+F1"/>
          <w:sz w:val="21"/>
          <w:szCs w:val="21"/>
          <w:lang w:val="en-US" w:eastAsia="en-GB"/>
        </w:rPr>
        <w:t>and the</w:t>
      </w:r>
      <w:r>
        <w:rPr>
          <w:rFonts w:ascii="CIDFont+F1" w:hAnsi="CIDFont+F1" w:cs="CIDFont+F1"/>
          <w:sz w:val="21"/>
          <w:szCs w:val="21"/>
          <w:lang w:val="en-US" w:eastAsia="en-GB"/>
        </w:rPr>
        <w:t xml:space="preserve"> data</w:t>
      </w:r>
      <w:r w:rsidRPr="000662D9">
        <w:rPr>
          <w:rFonts w:ascii="CIDFont+F1" w:hAnsi="CIDFont+F1" w:cs="CIDFont+F1"/>
          <w:sz w:val="21"/>
          <w:szCs w:val="21"/>
          <w:lang w:val="en-US" w:eastAsia="en-GB"/>
        </w:rPr>
        <w:t xml:space="preserve"> sources used</w:t>
      </w:r>
      <w:r>
        <w:rPr>
          <w:rFonts w:ascii="CIDFont+F1" w:hAnsi="CIDFont+F1" w:cs="CIDFont+F1"/>
          <w:sz w:val="21"/>
          <w:szCs w:val="21"/>
          <w:lang w:val="en-US" w:eastAsia="en-GB"/>
        </w:rPr>
        <w:t xml:space="preserve"> for measurement.</w:t>
      </w:r>
    </w:p>
    <w:p w14:paraId="14C76116" w14:textId="77777777" w:rsidR="00361684" w:rsidRPr="00A057FF" w:rsidRDefault="00361684" w:rsidP="00361684">
      <w:pPr>
        <w:rPr>
          <w:rFonts w:ascii="CIDFont+F1" w:hAnsi="CIDFont+F1" w:cs="CIDFont+F1"/>
          <w:sz w:val="21"/>
          <w:szCs w:val="21"/>
          <w:lang w:val="en-US" w:eastAsia="en-GB"/>
        </w:rPr>
      </w:pPr>
    </w:p>
    <w:p w14:paraId="3FE44BD4" w14:textId="77777777" w:rsidR="00361684" w:rsidRPr="00CD3927" w:rsidRDefault="00361684" w:rsidP="00361684">
      <w:pPr>
        <w:pStyle w:val="ListParagraph"/>
        <w:numPr>
          <w:ilvl w:val="0"/>
          <w:numId w:val="41"/>
        </w:numPr>
        <w:rPr>
          <w:rFonts w:ascii="CIDFont+F1" w:hAnsi="CIDFont+F1" w:cs="CIDFont+F1"/>
          <w:sz w:val="21"/>
          <w:szCs w:val="21"/>
          <w:lang w:val="en-US" w:eastAsia="en-GB"/>
        </w:rPr>
      </w:pPr>
      <w:r w:rsidRPr="008D6C12">
        <w:rPr>
          <w:rFonts w:ascii="CIDFont+F1" w:hAnsi="CIDFont+F1" w:cs="CIDFont+F1"/>
          <w:b/>
          <w:bCs/>
          <w:sz w:val="21"/>
          <w:szCs w:val="21"/>
          <w:lang w:val="en-US" w:eastAsia="en-GB"/>
        </w:rPr>
        <w:t>Consistency across EU regulations</w:t>
      </w:r>
      <w:r>
        <w:rPr>
          <w:rFonts w:ascii="CIDFont+F1" w:hAnsi="CIDFont+F1" w:cs="CIDFont+F1"/>
          <w:sz w:val="21"/>
          <w:szCs w:val="21"/>
          <w:lang w:val="en-US" w:eastAsia="en-GB"/>
        </w:rPr>
        <w:t xml:space="preserve">. </w:t>
      </w:r>
      <w:r w:rsidRPr="00CD3927">
        <w:rPr>
          <w:rFonts w:ascii="CIDFont+F1" w:hAnsi="CIDFont+F1" w:cs="CIDFont+F1"/>
          <w:sz w:val="21"/>
          <w:szCs w:val="21"/>
          <w:lang w:val="en-US" w:eastAsia="en-GB"/>
        </w:rPr>
        <w:t xml:space="preserve">The Do No Significant Harm </w:t>
      </w:r>
      <w:r>
        <w:rPr>
          <w:rFonts w:ascii="CIDFont+F1" w:hAnsi="CIDFont+F1" w:cs="CIDFont+F1"/>
          <w:sz w:val="21"/>
          <w:szCs w:val="21"/>
          <w:lang w:val="en-US" w:eastAsia="en-GB"/>
        </w:rPr>
        <w:t xml:space="preserve">(DNSH) </w:t>
      </w:r>
      <w:r w:rsidRPr="00CD3927">
        <w:rPr>
          <w:rFonts w:ascii="CIDFont+F1" w:hAnsi="CIDFont+F1" w:cs="CIDFont+F1"/>
          <w:sz w:val="21"/>
          <w:szCs w:val="21"/>
          <w:lang w:val="en-US" w:eastAsia="en-GB"/>
        </w:rPr>
        <w:t xml:space="preserve">provisions of the EU Taxonomy should be cross-referenced to the mandatory </w:t>
      </w:r>
      <w:r>
        <w:rPr>
          <w:rFonts w:ascii="CIDFont+F1" w:hAnsi="CIDFont+F1" w:cs="CIDFont+F1"/>
          <w:sz w:val="21"/>
          <w:szCs w:val="21"/>
          <w:lang w:val="en-US" w:eastAsia="en-GB"/>
        </w:rPr>
        <w:t xml:space="preserve">principal </w:t>
      </w:r>
      <w:r w:rsidRPr="00CD3927">
        <w:rPr>
          <w:rFonts w:ascii="CIDFont+F1" w:hAnsi="CIDFont+F1" w:cs="CIDFont+F1"/>
          <w:sz w:val="21"/>
          <w:szCs w:val="21"/>
          <w:lang w:val="en-US" w:eastAsia="en-GB"/>
        </w:rPr>
        <w:t>adverse impact indicators. As both pieces of regulation evolve</w:t>
      </w:r>
      <w:r>
        <w:rPr>
          <w:rFonts w:ascii="CIDFont+F1" w:hAnsi="CIDFont+F1" w:cs="CIDFont+F1"/>
          <w:sz w:val="21"/>
          <w:szCs w:val="21"/>
          <w:lang w:val="en-US" w:eastAsia="en-GB"/>
        </w:rPr>
        <w:t xml:space="preserve"> over time</w:t>
      </w:r>
      <w:r w:rsidRPr="00CD3927">
        <w:rPr>
          <w:rFonts w:ascii="CIDFont+F1" w:hAnsi="CIDFont+F1" w:cs="CIDFont+F1"/>
          <w:sz w:val="21"/>
          <w:szCs w:val="21"/>
          <w:lang w:val="en-US" w:eastAsia="en-GB"/>
        </w:rPr>
        <w:t xml:space="preserve">, </w:t>
      </w:r>
      <w:r>
        <w:rPr>
          <w:rFonts w:ascii="CIDFont+F1" w:hAnsi="CIDFont+F1" w:cs="CIDFont+F1"/>
          <w:sz w:val="21"/>
          <w:szCs w:val="21"/>
          <w:lang w:val="en-US" w:eastAsia="en-GB"/>
        </w:rPr>
        <w:t>the</w:t>
      </w:r>
      <w:r w:rsidRPr="00CD3927">
        <w:rPr>
          <w:rFonts w:ascii="CIDFont+F1" w:hAnsi="CIDFont+F1" w:cs="CIDFont+F1"/>
          <w:sz w:val="21"/>
          <w:szCs w:val="21"/>
          <w:lang w:val="en-US" w:eastAsia="en-GB"/>
        </w:rPr>
        <w:t xml:space="preserve"> guidelines on how they are cross-linked</w:t>
      </w:r>
      <w:r>
        <w:rPr>
          <w:rFonts w:ascii="CIDFont+F1" w:hAnsi="CIDFont+F1" w:cs="CIDFont+F1"/>
          <w:sz w:val="21"/>
          <w:szCs w:val="21"/>
          <w:lang w:val="en-US" w:eastAsia="en-GB"/>
        </w:rPr>
        <w:t xml:space="preserve"> should also be updated</w:t>
      </w:r>
      <w:r w:rsidRPr="00CD3927">
        <w:rPr>
          <w:rFonts w:ascii="CIDFont+F1" w:hAnsi="CIDFont+F1" w:cs="CIDFont+F1"/>
          <w:sz w:val="21"/>
          <w:szCs w:val="21"/>
          <w:lang w:val="en-US" w:eastAsia="en-GB"/>
        </w:rPr>
        <w:t xml:space="preserve">. Having misaligned DNSH provisions and </w:t>
      </w:r>
      <w:r>
        <w:rPr>
          <w:rFonts w:ascii="CIDFont+F1" w:hAnsi="CIDFont+F1" w:cs="CIDFont+F1"/>
          <w:sz w:val="21"/>
          <w:szCs w:val="21"/>
          <w:lang w:val="en-US" w:eastAsia="en-GB"/>
        </w:rPr>
        <w:t xml:space="preserve">principal </w:t>
      </w:r>
      <w:r w:rsidRPr="00CD3927">
        <w:rPr>
          <w:rFonts w:ascii="CIDFont+F1" w:hAnsi="CIDFont+F1" w:cs="CIDFont+F1"/>
          <w:sz w:val="21"/>
          <w:szCs w:val="21"/>
          <w:lang w:val="en-US" w:eastAsia="en-GB"/>
        </w:rPr>
        <w:t xml:space="preserve">adverse impact indicators </w:t>
      </w:r>
      <w:r w:rsidRPr="0067186C">
        <w:rPr>
          <w:rFonts w:ascii="CIDFont+F1" w:hAnsi="CIDFont+F1" w:cs="CIDFont+F1"/>
          <w:sz w:val="21"/>
          <w:szCs w:val="21"/>
          <w:lang w:val="en-US" w:eastAsia="en-GB"/>
        </w:rPr>
        <w:t>could be counterproductive to clarity, comparability and consistency of ESG data disclosure in the market</w:t>
      </w:r>
      <w:r>
        <w:rPr>
          <w:rFonts w:ascii="CIDFont+F1" w:hAnsi="CIDFont+F1" w:cs="CIDFont+F1"/>
          <w:sz w:val="21"/>
          <w:szCs w:val="21"/>
          <w:lang w:val="en-US" w:eastAsia="en-GB"/>
        </w:rPr>
        <w:t>.</w:t>
      </w:r>
      <w:r>
        <w:rPr>
          <w:rFonts w:ascii="CIDFont+F1" w:hAnsi="CIDFont+F1" w:cs="CIDFont+F1"/>
          <w:sz w:val="21"/>
          <w:szCs w:val="21"/>
          <w:lang w:val="en-US" w:eastAsia="en-GB"/>
        </w:rPr>
        <w:br/>
      </w:r>
    </w:p>
    <w:p w14:paraId="343DDEC1" w14:textId="77777777" w:rsidR="00361684" w:rsidRDefault="00361684" w:rsidP="00361684">
      <w:pPr>
        <w:pStyle w:val="ListParagraph"/>
        <w:numPr>
          <w:ilvl w:val="0"/>
          <w:numId w:val="41"/>
        </w:numPr>
        <w:rPr>
          <w:rFonts w:ascii="CIDFont+F1" w:hAnsi="CIDFont+F1" w:cs="CIDFont+F1"/>
          <w:sz w:val="21"/>
          <w:szCs w:val="21"/>
          <w:lang w:val="en-US" w:eastAsia="en-GB"/>
        </w:rPr>
      </w:pPr>
      <w:r w:rsidRPr="00560DCD">
        <w:rPr>
          <w:rFonts w:ascii="CIDFont+F1" w:hAnsi="CIDFont+F1" w:cs="CIDFont+F1"/>
          <w:b/>
          <w:bCs/>
          <w:sz w:val="21"/>
          <w:szCs w:val="21"/>
          <w:lang w:val="en-US" w:eastAsia="en-GB"/>
        </w:rPr>
        <w:t>Indicator</w:t>
      </w:r>
      <w:r>
        <w:rPr>
          <w:rFonts w:ascii="CIDFont+F1" w:hAnsi="CIDFont+F1" w:cs="CIDFont+F1"/>
          <w:b/>
          <w:bCs/>
          <w:sz w:val="21"/>
          <w:szCs w:val="21"/>
          <w:lang w:val="en-US" w:eastAsia="en-GB"/>
        </w:rPr>
        <w:t xml:space="preserve"> </w:t>
      </w:r>
      <w:r w:rsidRPr="00560DCD">
        <w:rPr>
          <w:rFonts w:ascii="CIDFont+F1" w:hAnsi="CIDFont+F1" w:cs="CIDFont+F1"/>
          <w:b/>
          <w:bCs/>
          <w:sz w:val="21"/>
          <w:szCs w:val="21"/>
          <w:lang w:val="en-US" w:eastAsia="en-GB"/>
        </w:rPr>
        <w:t>specifics.</w:t>
      </w:r>
      <w:r>
        <w:rPr>
          <w:rFonts w:ascii="CIDFont+F1" w:hAnsi="CIDFont+F1" w:cs="CIDFont+F1"/>
          <w:sz w:val="21"/>
          <w:szCs w:val="21"/>
          <w:lang w:val="en-US" w:eastAsia="en-GB"/>
        </w:rPr>
        <w:t xml:space="preserve"> In the responses that follow, w</w:t>
      </w:r>
      <w:r w:rsidRPr="00CD3927">
        <w:rPr>
          <w:rFonts w:ascii="CIDFont+F1" w:hAnsi="CIDFont+F1" w:cs="CIDFont+F1"/>
          <w:sz w:val="21"/>
          <w:szCs w:val="21"/>
          <w:lang w:val="en-US" w:eastAsia="en-GB"/>
        </w:rPr>
        <w:t>e also have some detailed suggestions on the indicators proposed, including</w:t>
      </w:r>
      <w:r>
        <w:rPr>
          <w:rFonts w:ascii="CIDFont+F1" w:hAnsi="CIDFont+F1" w:cs="CIDFont+F1"/>
          <w:sz w:val="21"/>
          <w:szCs w:val="21"/>
          <w:lang w:val="en-US" w:eastAsia="en-GB"/>
        </w:rPr>
        <w:t xml:space="preserve"> the balance achieved between environmental and social</w:t>
      </w:r>
      <w:r w:rsidRPr="00CD3927">
        <w:rPr>
          <w:rFonts w:ascii="CIDFont+F1" w:hAnsi="CIDFont+F1" w:cs="CIDFont+F1"/>
          <w:sz w:val="21"/>
          <w:szCs w:val="21"/>
          <w:lang w:val="en-US" w:eastAsia="en-GB"/>
        </w:rPr>
        <w:t xml:space="preserve"> </w:t>
      </w:r>
      <w:r>
        <w:rPr>
          <w:rFonts w:ascii="CIDFont+F1" w:hAnsi="CIDFont+F1" w:cs="CIDFont+F1"/>
          <w:sz w:val="21"/>
          <w:szCs w:val="21"/>
          <w:lang w:val="en-US" w:eastAsia="en-GB"/>
        </w:rPr>
        <w:t xml:space="preserve">indicators, </w:t>
      </w:r>
      <w:r>
        <w:rPr>
          <w:rFonts w:ascii="CIDFont+F1" w:hAnsi="CIDFont+F1" w:cs="CIDFont+F1"/>
          <w:sz w:val="21"/>
          <w:szCs w:val="21"/>
          <w:lang w:val="en-US" w:eastAsia="en-GB"/>
        </w:rPr>
        <w:lastRenderedPageBreak/>
        <w:t>measures of quality of relevant policies, and impact metrics in</w:t>
      </w:r>
      <w:r w:rsidRPr="00CD3927">
        <w:rPr>
          <w:rFonts w:ascii="CIDFont+F1" w:hAnsi="CIDFont+F1" w:cs="CIDFont+F1"/>
          <w:sz w:val="21"/>
          <w:szCs w:val="21"/>
          <w:lang w:val="en-US" w:eastAsia="en-GB"/>
        </w:rPr>
        <w:t xml:space="preserve"> the areas of</w:t>
      </w:r>
      <w:r>
        <w:rPr>
          <w:rFonts w:ascii="CIDFont+F1" w:hAnsi="CIDFont+F1" w:cs="CIDFont+F1"/>
          <w:sz w:val="21"/>
          <w:szCs w:val="21"/>
          <w:lang w:val="en-US" w:eastAsia="en-GB"/>
        </w:rPr>
        <w:t xml:space="preserve"> climate, child labor, and career development,</w:t>
      </w:r>
      <w:r w:rsidRPr="00CD3927">
        <w:rPr>
          <w:rFonts w:ascii="CIDFont+F1" w:hAnsi="CIDFont+F1" w:cs="CIDFont+F1"/>
          <w:sz w:val="21"/>
          <w:szCs w:val="21"/>
          <w:lang w:val="en-US" w:eastAsia="en-GB"/>
        </w:rPr>
        <w:t xml:space="preserve"> </w:t>
      </w:r>
      <w:r>
        <w:rPr>
          <w:rFonts w:ascii="CIDFont+F1" w:hAnsi="CIDFont+F1" w:cs="CIDFont+F1"/>
          <w:sz w:val="21"/>
          <w:szCs w:val="21"/>
          <w:lang w:val="en-US" w:eastAsia="en-GB"/>
        </w:rPr>
        <w:t>among others. For example:</w:t>
      </w:r>
    </w:p>
    <w:p w14:paraId="44976AAE" w14:textId="77777777" w:rsidR="00361684" w:rsidRDefault="00361684" w:rsidP="00361684">
      <w:pPr>
        <w:pStyle w:val="ListParagraph"/>
        <w:numPr>
          <w:ilvl w:val="1"/>
          <w:numId w:val="41"/>
        </w:numPr>
        <w:rPr>
          <w:rFonts w:ascii="CIDFont+F1" w:hAnsi="CIDFont+F1" w:cs="CIDFont+F1"/>
          <w:sz w:val="21"/>
          <w:szCs w:val="21"/>
          <w:lang w:val="en-US" w:eastAsia="en-GB"/>
        </w:rPr>
      </w:pPr>
      <w:r w:rsidRPr="00A03C6D">
        <w:rPr>
          <w:rFonts w:ascii="CIDFont+F1" w:hAnsi="CIDFont+F1" w:cs="CIDFont+F1"/>
          <w:sz w:val="21"/>
          <w:szCs w:val="21"/>
          <w:lang w:val="en-US" w:eastAsia="en-GB"/>
        </w:rPr>
        <w:t>Indicator 26</w:t>
      </w:r>
      <w:r>
        <w:rPr>
          <w:rFonts w:ascii="CIDFont+F1" w:hAnsi="CIDFont+F1" w:cs="CIDFont+F1"/>
          <w:sz w:val="21"/>
          <w:szCs w:val="21"/>
          <w:lang w:val="en-US" w:eastAsia="en-GB"/>
        </w:rPr>
        <w:t xml:space="preserve">, </w:t>
      </w:r>
      <w:r w:rsidRPr="000E771C">
        <w:rPr>
          <w:rFonts w:ascii="CIDFont+F1" w:hAnsi="CIDFont+F1" w:cs="CIDFont+F1"/>
          <w:b/>
          <w:bCs/>
          <w:sz w:val="21"/>
          <w:szCs w:val="21"/>
          <w:lang w:val="en-US" w:eastAsia="en-GB"/>
        </w:rPr>
        <w:t xml:space="preserve">Child </w:t>
      </w:r>
      <w:proofErr w:type="spellStart"/>
      <w:r w:rsidRPr="000E771C">
        <w:rPr>
          <w:rFonts w:ascii="CIDFont+F1" w:hAnsi="CIDFont+F1" w:cs="CIDFont+F1"/>
          <w:b/>
          <w:bCs/>
          <w:sz w:val="21"/>
          <w:szCs w:val="21"/>
          <w:lang w:val="en-US" w:eastAsia="en-GB"/>
        </w:rPr>
        <w:t>Labour</w:t>
      </w:r>
      <w:proofErr w:type="spellEnd"/>
      <w:r w:rsidRPr="000E771C">
        <w:rPr>
          <w:rFonts w:ascii="CIDFont+F1" w:hAnsi="CIDFont+F1" w:cs="CIDFont+F1"/>
          <w:b/>
          <w:bCs/>
          <w:sz w:val="21"/>
          <w:szCs w:val="21"/>
          <w:lang w:val="en-US" w:eastAsia="en-GB"/>
        </w:rPr>
        <w:t xml:space="preserve"> risks</w:t>
      </w:r>
      <w:r>
        <w:rPr>
          <w:rFonts w:ascii="CIDFont+F1" w:hAnsi="CIDFont+F1" w:cs="CIDFont+F1"/>
          <w:sz w:val="21"/>
          <w:szCs w:val="21"/>
          <w:lang w:val="en-US" w:eastAsia="en-GB"/>
        </w:rPr>
        <w:t>,</w:t>
      </w:r>
      <w:r w:rsidRPr="00A03C6D">
        <w:rPr>
          <w:rFonts w:ascii="CIDFont+F1" w:hAnsi="CIDFont+F1" w:cs="CIDFont+F1"/>
          <w:sz w:val="21"/>
          <w:szCs w:val="21"/>
          <w:lang w:val="en-US" w:eastAsia="en-GB"/>
        </w:rPr>
        <w:t xml:space="preserve"> could have the unintended consequence of simply discouraging investments in companies that deal with poorer countries</w:t>
      </w:r>
      <w:r>
        <w:rPr>
          <w:rFonts w:ascii="CIDFont+F1" w:hAnsi="CIDFont+F1" w:cs="CIDFont+F1"/>
          <w:sz w:val="21"/>
          <w:szCs w:val="21"/>
          <w:lang w:val="en-US" w:eastAsia="en-GB"/>
        </w:rPr>
        <w:t>. W</w:t>
      </w:r>
      <w:r w:rsidRPr="00A03C6D">
        <w:rPr>
          <w:rFonts w:ascii="CIDFont+F1" w:hAnsi="CIDFont+F1" w:cs="CIDFont+F1"/>
          <w:sz w:val="21"/>
          <w:szCs w:val="21"/>
          <w:lang w:val="en-US" w:eastAsia="en-GB"/>
        </w:rPr>
        <w:t>e suggest</w:t>
      </w:r>
      <w:r>
        <w:rPr>
          <w:rFonts w:ascii="CIDFont+F1" w:hAnsi="CIDFont+F1" w:cs="CIDFont+F1"/>
          <w:sz w:val="21"/>
          <w:szCs w:val="21"/>
          <w:lang w:val="en-US" w:eastAsia="en-GB"/>
        </w:rPr>
        <w:t xml:space="preserve"> that</w:t>
      </w:r>
      <w:r w:rsidRPr="00A03C6D">
        <w:rPr>
          <w:rFonts w:ascii="CIDFont+F1" w:hAnsi="CIDFont+F1" w:cs="CIDFont+F1"/>
          <w:sz w:val="21"/>
          <w:szCs w:val="21"/>
          <w:lang w:val="en-US" w:eastAsia="en-GB"/>
        </w:rPr>
        <w:t xml:space="preserve"> including measures of acting responsibly in relation to the topic would probably lead to better outcomes</w:t>
      </w:r>
      <w:r>
        <w:rPr>
          <w:rFonts w:ascii="CIDFont+F1" w:hAnsi="CIDFont+F1" w:cs="CIDFont+F1"/>
          <w:sz w:val="21"/>
          <w:szCs w:val="21"/>
          <w:lang w:val="en-US" w:eastAsia="en-GB"/>
        </w:rPr>
        <w:t xml:space="preserve"> than focusing on geographical risk exposure</w:t>
      </w:r>
    </w:p>
    <w:p w14:paraId="7FE46382" w14:textId="77777777" w:rsidR="00361684" w:rsidRPr="00A03C6D" w:rsidRDefault="00361684" w:rsidP="00361684">
      <w:pPr>
        <w:pStyle w:val="ListParagraph"/>
        <w:numPr>
          <w:ilvl w:val="1"/>
          <w:numId w:val="41"/>
        </w:numPr>
        <w:rPr>
          <w:rFonts w:ascii="CIDFont+F1" w:hAnsi="CIDFont+F1" w:cs="CIDFont+F1"/>
          <w:sz w:val="21"/>
          <w:szCs w:val="21"/>
          <w:lang w:val="en-US" w:eastAsia="en-GB"/>
        </w:rPr>
      </w:pPr>
      <w:r w:rsidRPr="00A03C6D">
        <w:rPr>
          <w:rFonts w:ascii="CIDFont+F1" w:hAnsi="CIDFont+F1" w:cs="CIDFont+F1"/>
          <w:sz w:val="21"/>
          <w:szCs w:val="21"/>
          <w:lang w:val="en-US" w:eastAsia="en-GB"/>
        </w:rPr>
        <w:t xml:space="preserve">Indicator 28, </w:t>
      </w:r>
      <w:r w:rsidRPr="000E771C">
        <w:rPr>
          <w:rFonts w:ascii="CIDFont+F1" w:hAnsi="CIDFont+F1" w:cs="CIDFont+F1"/>
          <w:b/>
          <w:bCs/>
          <w:sz w:val="21"/>
          <w:szCs w:val="21"/>
          <w:lang w:val="en-US" w:eastAsia="en-GB"/>
        </w:rPr>
        <w:t>Number and nature of identified cases of severe human rights issues and incidents</w:t>
      </w:r>
      <w:r>
        <w:rPr>
          <w:rFonts w:ascii="CIDFont+F1" w:hAnsi="CIDFont+F1" w:cs="CIDFont+F1"/>
          <w:sz w:val="21"/>
          <w:szCs w:val="21"/>
          <w:lang w:val="en-US" w:eastAsia="en-GB"/>
        </w:rPr>
        <w:t>,</w:t>
      </w:r>
      <w:r w:rsidRPr="00A03C6D">
        <w:rPr>
          <w:rFonts w:ascii="CIDFont+F1" w:hAnsi="CIDFont+F1" w:cs="CIDFont+F1"/>
          <w:sz w:val="21"/>
          <w:szCs w:val="21"/>
          <w:lang w:val="en-US" w:eastAsia="en-GB"/>
        </w:rPr>
        <w:t xml:space="preserve"> is unclear</w:t>
      </w:r>
      <w:r>
        <w:rPr>
          <w:rFonts w:ascii="CIDFont+F1" w:hAnsi="CIDFont+F1" w:cs="CIDFont+F1"/>
          <w:sz w:val="21"/>
          <w:szCs w:val="21"/>
          <w:lang w:val="en-US" w:eastAsia="en-GB"/>
        </w:rPr>
        <w:t xml:space="preserve"> since what</w:t>
      </w:r>
      <w:r w:rsidRPr="00A03C6D">
        <w:rPr>
          <w:rFonts w:ascii="CIDFont+F1" w:hAnsi="CIDFont+F1" w:cs="CIDFont+F1"/>
          <w:sz w:val="21"/>
          <w:szCs w:val="21"/>
          <w:lang w:val="en-US" w:eastAsia="en-GB"/>
        </w:rPr>
        <w:t xml:space="preserve"> is considered severe appears open to interpretation</w:t>
      </w:r>
      <w:r>
        <w:rPr>
          <w:rFonts w:ascii="CIDFont+F1" w:hAnsi="CIDFont+F1" w:cs="CIDFont+F1"/>
          <w:sz w:val="21"/>
          <w:szCs w:val="21"/>
          <w:lang w:val="en-US" w:eastAsia="en-GB"/>
        </w:rPr>
        <w:t>. W</w:t>
      </w:r>
      <w:r w:rsidRPr="00A03C6D">
        <w:rPr>
          <w:rFonts w:ascii="CIDFont+F1" w:hAnsi="CIDFont+F1" w:cs="CIDFont+F1"/>
          <w:sz w:val="21"/>
          <w:szCs w:val="21"/>
          <w:lang w:val="en-US" w:eastAsia="en-GB"/>
        </w:rPr>
        <w:t xml:space="preserve">e advise that the definition focus on the severe human rights issues for the stakeholders </w:t>
      </w:r>
      <w:r>
        <w:rPr>
          <w:rFonts w:ascii="CIDFont+F1" w:hAnsi="CIDFont+F1" w:cs="CIDFont+F1"/>
          <w:sz w:val="21"/>
          <w:szCs w:val="21"/>
          <w:lang w:val="en-US" w:eastAsia="en-GB"/>
        </w:rPr>
        <w:t>(vs. for the corporate)</w:t>
      </w:r>
      <w:r w:rsidRPr="00A03C6D">
        <w:rPr>
          <w:rFonts w:ascii="CIDFont+F1" w:hAnsi="CIDFont+F1" w:cs="CIDFont+F1"/>
          <w:sz w:val="21"/>
          <w:szCs w:val="21"/>
          <w:lang w:val="en-US" w:eastAsia="en-GB"/>
        </w:rPr>
        <w:t xml:space="preserve"> </w:t>
      </w:r>
    </w:p>
    <w:p w14:paraId="77CA6B4F" w14:textId="77777777" w:rsidR="00361684" w:rsidRPr="00CD3927" w:rsidRDefault="00361684" w:rsidP="00361684">
      <w:pPr>
        <w:pStyle w:val="ListParagraph"/>
        <w:numPr>
          <w:ilvl w:val="1"/>
          <w:numId w:val="41"/>
        </w:numPr>
        <w:rPr>
          <w:rFonts w:ascii="CIDFont+F1" w:hAnsi="CIDFont+F1" w:cs="CIDFont+F1"/>
          <w:sz w:val="21"/>
          <w:szCs w:val="21"/>
          <w:lang w:val="en-US" w:eastAsia="en-GB"/>
        </w:rPr>
      </w:pPr>
      <w:r w:rsidRPr="000E771C">
        <w:rPr>
          <w:rFonts w:ascii="CIDFont+F1" w:hAnsi="CIDFont+F1" w:cs="CIDFont+F1"/>
          <w:b/>
          <w:bCs/>
          <w:sz w:val="21"/>
          <w:szCs w:val="21"/>
          <w:lang w:val="en-US" w:eastAsia="en-GB"/>
        </w:rPr>
        <w:t>Climate related indicators</w:t>
      </w:r>
      <w:r w:rsidRPr="00A03C6D">
        <w:rPr>
          <w:rFonts w:ascii="CIDFont+F1" w:hAnsi="CIDFont+F1" w:cs="CIDFont+F1"/>
          <w:sz w:val="21"/>
          <w:szCs w:val="21"/>
          <w:lang w:val="en-US" w:eastAsia="en-GB"/>
        </w:rPr>
        <w:t xml:space="preserve"> should promote understanding of exposure to physical climate hazards</w:t>
      </w:r>
      <w:r>
        <w:rPr>
          <w:rFonts w:ascii="CIDFont+F1" w:hAnsi="CIDFont+F1" w:cs="CIDFont+F1"/>
          <w:sz w:val="21"/>
          <w:szCs w:val="21"/>
          <w:lang w:val="en-US" w:eastAsia="en-GB"/>
        </w:rPr>
        <w:t>. We</w:t>
      </w:r>
      <w:r w:rsidRPr="00A03C6D">
        <w:rPr>
          <w:rFonts w:ascii="CIDFont+F1" w:hAnsi="CIDFont+F1" w:cs="CIDFont+F1"/>
          <w:sz w:val="21"/>
          <w:szCs w:val="21"/>
          <w:lang w:val="en-US" w:eastAsia="en-GB"/>
        </w:rPr>
        <w:t xml:space="preserve"> recommend that indicators be added for hazards such as floods, hurricanes </w:t>
      </w:r>
      <w:r>
        <w:rPr>
          <w:rFonts w:ascii="CIDFont+F1" w:hAnsi="CIDFont+F1" w:cs="CIDFont+F1"/>
          <w:sz w:val="21"/>
          <w:szCs w:val="21"/>
          <w:lang w:val="en-US" w:eastAsia="en-GB"/>
        </w:rPr>
        <w:t>and</w:t>
      </w:r>
      <w:r w:rsidRPr="00A03C6D">
        <w:rPr>
          <w:rFonts w:ascii="CIDFont+F1" w:hAnsi="CIDFont+F1" w:cs="CIDFont+F1"/>
          <w:sz w:val="21"/>
          <w:szCs w:val="21"/>
          <w:lang w:val="en-US" w:eastAsia="en-GB"/>
        </w:rPr>
        <w:t xml:space="preserve"> typhoons, heat stress and sea level rise which can pose material risks to companies</w:t>
      </w:r>
      <w:r>
        <w:rPr>
          <w:rFonts w:ascii="CIDFont+F1" w:hAnsi="CIDFont+F1" w:cs="CIDFont+F1"/>
          <w:sz w:val="21"/>
          <w:szCs w:val="21"/>
          <w:lang w:val="en-US" w:eastAsia="en-GB"/>
        </w:rPr>
        <w:t>.</w:t>
      </w:r>
    </w:p>
    <w:p w14:paraId="2B83A3EC" w14:textId="77777777" w:rsidR="00361684" w:rsidRDefault="00361684" w:rsidP="00361684">
      <w:pPr>
        <w:pStyle w:val="ListParagraph"/>
        <w:rPr>
          <w:rFonts w:ascii="CIDFont+F1" w:hAnsi="CIDFont+F1" w:cs="CIDFont+F1"/>
          <w:sz w:val="21"/>
          <w:szCs w:val="21"/>
          <w:lang w:val="en-US" w:eastAsia="en-GB"/>
        </w:rPr>
      </w:pPr>
    </w:p>
    <w:p w14:paraId="74344FB3" w14:textId="77777777" w:rsidR="00361684" w:rsidRPr="00197829" w:rsidRDefault="00361684" w:rsidP="00361684">
      <w:pPr>
        <w:pStyle w:val="ListParagraph"/>
        <w:rPr>
          <w:rFonts w:ascii="CIDFont+F1" w:hAnsi="CIDFont+F1" w:cs="CIDFont+F1"/>
          <w:sz w:val="21"/>
          <w:szCs w:val="21"/>
          <w:lang w:val="en-US" w:eastAsia="en-GB"/>
        </w:rPr>
      </w:pPr>
      <w:r w:rsidRPr="00197829">
        <w:rPr>
          <w:rFonts w:ascii="CIDFont+F1" w:hAnsi="CIDFont+F1" w:cs="CIDFont+F1"/>
          <w:sz w:val="21"/>
          <w:szCs w:val="21"/>
          <w:lang w:val="en-US" w:eastAsia="en-GB"/>
        </w:rPr>
        <w:t>Yours sincerely,</w:t>
      </w:r>
    </w:p>
    <w:p w14:paraId="15E2845C" w14:textId="77777777" w:rsidR="00361684" w:rsidRPr="00197829" w:rsidRDefault="00361684" w:rsidP="00361684">
      <w:pPr>
        <w:pStyle w:val="ListParagraph"/>
        <w:rPr>
          <w:rFonts w:ascii="CIDFont+F1" w:hAnsi="CIDFont+F1" w:cs="CIDFont+F1"/>
          <w:sz w:val="21"/>
          <w:szCs w:val="21"/>
          <w:lang w:val="en-US" w:eastAsia="en-GB"/>
        </w:rPr>
      </w:pPr>
      <w:r w:rsidRPr="00197829">
        <w:rPr>
          <w:rFonts w:ascii="CIDFont+F1" w:hAnsi="CIDFont+F1" w:cs="CIDFont+F1"/>
          <w:sz w:val="21"/>
          <w:szCs w:val="21"/>
          <w:lang w:val="en-US" w:eastAsia="en-GB"/>
        </w:rPr>
        <w:t>Andrea Blackman</w:t>
      </w:r>
    </w:p>
    <w:p w14:paraId="2DFC7A7D" w14:textId="77777777" w:rsidR="00361684" w:rsidRPr="00A06DA7" w:rsidRDefault="00361684" w:rsidP="00361684">
      <w:pPr>
        <w:pStyle w:val="ListParagraph"/>
        <w:rPr>
          <w:rFonts w:ascii="CIDFont+F1" w:hAnsi="CIDFont+F1" w:cs="CIDFont+F1"/>
          <w:sz w:val="21"/>
          <w:szCs w:val="21"/>
          <w:lang w:val="en-US" w:eastAsia="en-GB"/>
        </w:rPr>
      </w:pPr>
      <w:r w:rsidRPr="00197829">
        <w:rPr>
          <w:rFonts w:ascii="CIDFont+F1" w:hAnsi="CIDFont+F1" w:cs="CIDFont+F1"/>
          <w:sz w:val="21"/>
          <w:szCs w:val="21"/>
          <w:lang w:val="en-US" w:eastAsia="en-GB"/>
        </w:rPr>
        <w:t>Managing Director – Global Head of Environmental, Social, and Governance</w:t>
      </w:r>
    </w:p>
    <w:p w14:paraId="7A0CB2D2" w14:textId="77777777" w:rsidR="00361684" w:rsidRDefault="00361684" w:rsidP="00B327E9"/>
    <w:p w14:paraId="6A3CB061" w14:textId="624B33BD" w:rsidR="00B327E9" w:rsidRDefault="00B327E9" w:rsidP="00B327E9">
      <w:r>
        <w:t>TYPE YOUR TEXT HERE</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286ED609" w14:textId="77777777" w:rsidR="00361684" w:rsidRDefault="00361684" w:rsidP="003E573C">
      <w:pPr>
        <w:rPr>
          <w:rFonts w:cs="Arial"/>
        </w:rPr>
      </w:pPr>
      <w:permStart w:id="1221819945" w:edGrp="everyone"/>
    </w:p>
    <w:p w14:paraId="24C50B66" w14:textId="77777777" w:rsidR="00361684" w:rsidRDefault="00361684" w:rsidP="00361684">
      <w:pPr>
        <w:rPr>
          <w:rFonts w:cs="Arial"/>
        </w:rPr>
      </w:pPr>
      <w:r>
        <w:rPr>
          <w:rFonts w:ascii="Arial Nova" w:hAnsi="Arial Nova"/>
          <w:sz w:val="18"/>
        </w:rPr>
        <w:t>We believe that specifying both mandatory and opt-in indicators can be an effective way to ensure consistency while allowing for some flexibility in implementation. However</w:t>
      </w:r>
      <w:r w:rsidRPr="00A33E5D">
        <w:rPr>
          <w:rFonts w:ascii="Arial Nova" w:hAnsi="Arial Nova"/>
          <w:b/>
          <w:bCs/>
          <w:sz w:val="18"/>
        </w:rPr>
        <w:t>, we recommend establishing a clearer basis for distinction between the two categories.</w:t>
      </w:r>
      <w:r>
        <w:rPr>
          <w:rFonts w:ascii="Arial Nova" w:hAnsi="Arial Nova"/>
          <w:sz w:val="18"/>
        </w:rPr>
        <w:t xml:space="preserve"> We agree that for some metrics, any value suggests an adverse sustainability impact, while other metrics are only relevant or significant for some sectors (as is further elaborated in our introductory statement). However, it is not clear whether this is how the distinction between mandatory indicators in Table 1 and “opt-in” indicators in Table 2 and Table 3 has been determined. For example, it is not always clear why some of the indicators in Tables 2 and 3 do not form part of the core mandatory group. Also,</w:t>
      </w:r>
      <w:r w:rsidRPr="003532BD">
        <w:rPr>
          <w:rFonts w:ascii="Arial Nova" w:hAnsi="Arial Nova"/>
          <w:sz w:val="18"/>
        </w:rPr>
        <w:t xml:space="preserve"> some indicators mentioned in Table 1 do not </w:t>
      </w:r>
      <w:r>
        <w:rPr>
          <w:rFonts w:ascii="Arial Nova" w:hAnsi="Arial Nova"/>
          <w:sz w:val="18"/>
        </w:rPr>
        <w:t>always</w:t>
      </w:r>
      <w:r w:rsidRPr="003532BD">
        <w:rPr>
          <w:rFonts w:ascii="Arial Nova" w:hAnsi="Arial Nova"/>
          <w:sz w:val="18"/>
        </w:rPr>
        <w:t xml:space="preserve"> </w:t>
      </w:r>
      <w:r>
        <w:rPr>
          <w:rFonts w:ascii="Arial Nova" w:hAnsi="Arial Nova"/>
          <w:sz w:val="18"/>
        </w:rPr>
        <w:t>have</w:t>
      </w:r>
      <w:r w:rsidRPr="003532BD">
        <w:rPr>
          <w:rFonts w:ascii="Arial Nova" w:hAnsi="Arial Nova"/>
          <w:sz w:val="18"/>
        </w:rPr>
        <w:t xml:space="preserve"> “adverse sustainability impact”</w:t>
      </w:r>
      <w:r>
        <w:rPr>
          <w:rFonts w:ascii="Arial Nova" w:hAnsi="Arial Nova"/>
          <w:sz w:val="18"/>
        </w:rPr>
        <w:t xml:space="preserve"> by nature. For example, in case</w:t>
      </w:r>
      <w:r w:rsidRPr="003532BD">
        <w:rPr>
          <w:rFonts w:ascii="Arial Nova" w:hAnsi="Arial Nova"/>
          <w:sz w:val="18"/>
        </w:rPr>
        <w:t xml:space="preserve">s </w:t>
      </w:r>
      <w:r>
        <w:rPr>
          <w:rFonts w:ascii="Arial Nova" w:hAnsi="Arial Nova"/>
          <w:sz w:val="18"/>
        </w:rPr>
        <w:t xml:space="preserve">of </w:t>
      </w:r>
      <w:r w:rsidRPr="003532BD">
        <w:rPr>
          <w:rFonts w:ascii="Arial Nova" w:hAnsi="Arial Nova"/>
          <w:sz w:val="18"/>
        </w:rPr>
        <w:t>indicator</w:t>
      </w:r>
      <w:r>
        <w:rPr>
          <w:rFonts w:ascii="Arial Nova" w:hAnsi="Arial Nova"/>
          <w:sz w:val="18"/>
        </w:rPr>
        <w:t>s</w:t>
      </w:r>
      <w:r w:rsidRPr="003532BD">
        <w:rPr>
          <w:rFonts w:ascii="Arial Nova" w:hAnsi="Arial Nova"/>
          <w:sz w:val="18"/>
        </w:rPr>
        <w:t xml:space="preserve"> 18, 19 or 20</w:t>
      </w:r>
      <w:r>
        <w:rPr>
          <w:rFonts w:ascii="Arial Nova" w:hAnsi="Arial Nova"/>
          <w:sz w:val="18"/>
        </w:rPr>
        <w:t xml:space="preserve">, </w:t>
      </w:r>
      <w:r w:rsidRPr="003532BD">
        <w:rPr>
          <w:rFonts w:ascii="Arial Nova" w:hAnsi="Arial Nova"/>
          <w:sz w:val="18"/>
        </w:rPr>
        <w:t xml:space="preserve">the </w:t>
      </w:r>
      <w:r>
        <w:rPr>
          <w:rFonts w:ascii="Arial Nova" w:hAnsi="Arial Nova"/>
          <w:sz w:val="18"/>
        </w:rPr>
        <w:t>measurement</w:t>
      </w:r>
      <w:r w:rsidRPr="003532BD">
        <w:rPr>
          <w:rFonts w:ascii="Arial Nova" w:hAnsi="Arial Nova"/>
          <w:sz w:val="18"/>
        </w:rPr>
        <w:t xml:space="preserve"> itself could </w:t>
      </w:r>
      <w:r>
        <w:rPr>
          <w:rFonts w:ascii="Arial Nova" w:hAnsi="Arial Nova"/>
          <w:sz w:val="18"/>
        </w:rPr>
        <w:t xml:space="preserve">be of a </w:t>
      </w:r>
      <w:r w:rsidRPr="003532BD">
        <w:rPr>
          <w:rFonts w:ascii="Arial Nova" w:hAnsi="Arial Nova"/>
          <w:sz w:val="18"/>
        </w:rPr>
        <w:t>negative</w:t>
      </w:r>
      <w:r>
        <w:rPr>
          <w:rFonts w:ascii="Arial Nova" w:hAnsi="Arial Nova"/>
          <w:sz w:val="18"/>
        </w:rPr>
        <w:t xml:space="preserve"> value, indicating a characteristic that is positive or desirable from sustainability perspective</w:t>
      </w:r>
      <w:r w:rsidRPr="003532BD">
        <w:rPr>
          <w:rFonts w:ascii="Arial Nova" w:hAnsi="Arial Nova"/>
          <w:sz w:val="18"/>
        </w:rPr>
        <w:t xml:space="preserve">. Additionally, indicators relating to the presence </w:t>
      </w:r>
      <w:r>
        <w:rPr>
          <w:rFonts w:ascii="Arial Nova" w:hAnsi="Arial Nova"/>
          <w:sz w:val="18"/>
        </w:rPr>
        <w:t>of</w:t>
      </w:r>
      <w:r w:rsidRPr="003532BD">
        <w:rPr>
          <w:rFonts w:ascii="Arial Nova" w:hAnsi="Arial Nova"/>
          <w:sz w:val="18"/>
        </w:rPr>
        <w:t xml:space="preserve"> geographical risk (such as indicators 26 and 27) do not necessarily lead to an</w:t>
      </w:r>
      <w:r>
        <w:rPr>
          <w:rFonts w:ascii="Arial Nova" w:hAnsi="Arial Nova"/>
          <w:sz w:val="18"/>
        </w:rPr>
        <w:t xml:space="preserve"> actual</w:t>
      </w:r>
      <w:r w:rsidRPr="003532BD">
        <w:rPr>
          <w:rFonts w:ascii="Arial Nova" w:hAnsi="Arial Nova"/>
          <w:sz w:val="18"/>
        </w:rPr>
        <w:t xml:space="preserve"> adverse impact</w:t>
      </w:r>
      <w:r>
        <w:rPr>
          <w:rFonts w:ascii="Arial Nova" w:hAnsi="Arial Nova"/>
          <w:sz w:val="18"/>
        </w:rPr>
        <w:t xml:space="preserve">, especially if there are </w:t>
      </w:r>
      <w:r w:rsidRPr="003532BD">
        <w:rPr>
          <w:rFonts w:ascii="Arial Nova" w:hAnsi="Arial Nova"/>
          <w:sz w:val="18"/>
        </w:rPr>
        <w:t xml:space="preserve">management systems </w:t>
      </w:r>
      <w:r>
        <w:rPr>
          <w:rFonts w:ascii="Arial Nova" w:hAnsi="Arial Nova"/>
          <w:sz w:val="18"/>
        </w:rPr>
        <w:t>in place</w:t>
      </w:r>
      <w:r w:rsidRPr="003532BD">
        <w:rPr>
          <w:rFonts w:ascii="Arial Nova" w:hAnsi="Arial Nova"/>
          <w:sz w:val="18"/>
        </w:rPr>
        <w:t xml:space="preserve"> to avoid, reduce or mitigate the impact. </w:t>
      </w:r>
      <w:r>
        <w:rPr>
          <w:rFonts w:ascii="Arial Nova" w:hAnsi="Arial Nova"/>
          <w:sz w:val="18"/>
        </w:rPr>
        <w:t>In short, to the extent that mandatory and opt-in division is retained, we would encourage more definitional clarity and a provision of a clearer rationale.</w:t>
      </w:r>
    </w:p>
    <w:p w14:paraId="45994A52" w14:textId="77777777" w:rsidR="00361684" w:rsidRDefault="00361684" w:rsidP="003E573C">
      <w:pPr>
        <w:rPr>
          <w:rFonts w:cs="Arial"/>
        </w:rPr>
      </w:pPr>
    </w:p>
    <w:p w14:paraId="6496FAC5" w14:textId="3F15E259" w:rsidR="003E573C" w:rsidRDefault="003E573C" w:rsidP="003E573C">
      <w:pPr>
        <w:rPr>
          <w:rFonts w:cs="Arial"/>
        </w:rPr>
      </w:pPr>
      <w:r>
        <w:rPr>
          <w:rFonts w:cs="Arial"/>
        </w:rPr>
        <w:t>TYPE YOUR TEXT HERE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1D9C3C0D" w14:textId="77777777" w:rsidR="00361684" w:rsidRDefault="00361684" w:rsidP="003E573C">
      <w:pPr>
        <w:rPr>
          <w:rFonts w:cs="Arial"/>
        </w:rPr>
      </w:pPr>
      <w:permStart w:id="1220688604" w:edGrp="everyone"/>
    </w:p>
    <w:p w14:paraId="451B6CF3" w14:textId="77777777" w:rsidR="00361684" w:rsidRDefault="00361684" w:rsidP="00361684">
      <w:pPr>
        <w:spacing w:line="360" w:lineRule="auto"/>
        <w:jc w:val="both"/>
        <w:rPr>
          <w:rFonts w:ascii="Arial Nova" w:hAnsi="Arial Nova"/>
          <w:sz w:val="18"/>
        </w:rPr>
      </w:pPr>
      <w:r>
        <w:rPr>
          <w:rFonts w:ascii="Arial Nova" w:hAnsi="Arial Nova"/>
          <w:sz w:val="18"/>
        </w:rPr>
        <w:t xml:space="preserve">The reporting template is simple to read and is generally clear and comprehensible. We have the following suggestions. </w:t>
      </w:r>
    </w:p>
    <w:p w14:paraId="482F6E6F" w14:textId="77777777" w:rsidR="00361684" w:rsidRPr="00E00419" w:rsidRDefault="00361684" w:rsidP="00361684">
      <w:pPr>
        <w:pStyle w:val="ListParagraph"/>
        <w:numPr>
          <w:ilvl w:val="0"/>
          <w:numId w:val="42"/>
        </w:numPr>
        <w:spacing w:line="360" w:lineRule="auto"/>
        <w:jc w:val="both"/>
        <w:rPr>
          <w:rFonts w:ascii="Arial Nova" w:hAnsi="Arial Nova"/>
          <w:sz w:val="18"/>
        </w:rPr>
      </w:pPr>
      <w:r>
        <w:rPr>
          <w:rFonts w:ascii="Arial Nova" w:hAnsi="Arial Nova"/>
          <w:sz w:val="18"/>
        </w:rPr>
        <w:t>For reasons discussed in our introductory remarks, w</w:t>
      </w:r>
      <w:r w:rsidRPr="00E00419">
        <w:rPr>
          <w:rFonts w:ascii="Arial Nova" w:hAnsi="Arial Nova"/>
          <w:sz w:val="18"/>
        </w:rPr>
        <w:t xml:space="preserve">e would suggest that for each indicator, asset managers </w:t>
      </w:r>
      <w:r>
        <w:rPr>
          <w:rFonts w:ascii="Arial Nova" w:hAnsi="Arial Nova"/>
          <w:sz w:val="18"/>
        </w:rPr>
        <w:t>are</w:t>
      </w:r>
      <w:r w:rsidRPr="00E00419">
        <w:rPr>
          <w:rFonts w:ascii="Arial Nova" w:hAnsi="Arial Nova"/>
          <w:sz w:val="18"/>
        </w:rPr>
        <w:t xml:space="preserve"> required to disclose:</w:t>
      </w:r>
    </w:p>
    <w:p w14:paraId="5EAC6F17" w14:textId="77777777" w:rsidR="00361684" w:rsidRPr="00E00419" w:rsidRDefault="00361684" w:rsidP="00361684">
      <w:pPr>
        <w:pStyle w:val="ListParagraph"/>
        <w:numPr>
          <w:ilvl w:val="1"/>
          <w:numId w:val="42"/>
        </w:numPr>
        <w:spacing w:line="360" w:lineRule="auto"/>
        <w:jc w:val="both"/>
        <w:rPr>
          <w:rFonts w:ascii="Arial Nova" w:hAnsi="Arial Nova"/>
          <w:sz w:val="18"/>
        </w:rPr>
      </w:pPr>
      <w:r w:rsidRPr="000E1F4D">
        <w:rPr>
          <w:rFonts w:ascii="Arial Nova" w:hAnsi="Arial Nova"/>
          <w:b/>
          <w:bCs/>
          <w:sz w:val="18"/>
        </w:rPr>
        <w:t>Immateriality judgement</w:t>
      </w:r>
      <w:r>
        <w:rPr>
          <w:rFonts w:ascii="Arial Nova" w:hAnsi="Arial Nova"/>
          <w:b/>
          <w:bCs/>
          <w:sz w:val="18"/>
        </w:rPr>
        <w:t xml:space="preserve"> basis</w:t>
      </w:r>
      <w:r w:rsidRPr="000E1F4D">
        <w:rPr>
          <w:rFonts w:ascii="Arial Nova" w:hAnsi="Arial Nova"/>
          <w:b/>
          <w:bCs/>
          <w:sz w:val="18"/>
        </w:rPr>
        <w:t>.</w:t>
      </w:r>
      <w:r>
        <w:rPr>
          <w:rFonts w:ascii="Arial Nova" w:hAnsi="Arial Nova"/>
          <w:sz w:val="18"/>
        </w:rPr>
        <w:t xml:space="preserve"> </w:t>
      </w:r>
      <w:r w:rsidRPr="00E00419">
        <w:rPr>
          <w:rFonts w:ascii="Arial Nova" w:hAnsi="Arial Nova"/>
          <w:sz w:val="18"/>
        </w:rPr>
        <w:t>The proportion of the portfolio where they judge the potential impact is likely to be immaterial, as well as the basis for that judgement and any relevant data sources used to make that judgment</w:t>
      </w:r>
    </w:p>
    <w:p w14:paraId="182EAC3C" w14:textId="77777777" w:rsidR="00361684" w:rsidRPr="00E00419" w:rsidRDefault="00361684" w:rsidP="00361684">
      <w:pPr>
        <w:pStyle w:val="ListParagraph"/>
        <w:numPr>
          <w:ilvl w:val="1"/>
          <w:numId w:val="42"/>
        </w:numPr>
        <w:spacing w:line="360" w:lineRule="auto"/>
        <w:jc w:val="both"/>
        <w:rPr>
          <w:rFonts w:ascii="Arial Nova" w:hAnsi="Arial Nova"/>
          <w:sz w:val="18"/>
        </w:rPr>
      </w:pPr>
      <w:r w:rsidRPr="000E1F4D">
        <w:rPr>
          <w:rFonts w:ascii="Arial Nova" w:hAnsi="Arial Nova"/>
          <w:b/>
          <w:bCs/>
          <w:sz w:val="18"/>
        </w:rPr>
        <w:lastRenderedPageBreak/>
        <w:t>Insufficient data.</w:t>
      </w:r>
      <w:r>
        <w:rPr>
          <w:rFonts w:ascii="Arial Nova" w:hAnsi="Arial Nova"/>
          <w:sz w:val="18"/>
        </w:rPr>
        <w:t xml:space="preserve"> </w:t>
      </w:r>
      <w:r w:rsidRPr="00E00419">
        <w:rPr>
          <w:rFonts w:ascii="Arial Nova" w:hAnsi="Arial Nova"/>
          <w:sz w:val="18"/>
        </w:rPr>
        <w:t>The proportion of the portfolio where there are potentially material impacts but they have been unable to assess them due to lack of data, as well as what steps they are taking with service providers or directly with companies to address that gap</w:t>
      </w:r>
    </w:p>
    <w:p w14:paraId="51923C55" w14:textId="77777777" w:rsidR="00361684" w:rsidRPr="00E00419" w:rsidRDefault="00361684" w:rsidP="00361684">
      <w:pPr>
        <w:pStyle w:val="ListParagraph"/>
        <w:numPr>
          <w:ilvl w:val="1"/>
          <w:numId w:val="42"/>
        </w:numPr>
        <w:spacing w:line="360" w:lineRule="auto"/>
        <w:jc w:val="both"/>
        <w:rPr>
          <w:rFonts w:ascii="Arial Nova" w:hAnsi="Arial Nova"/>
          <w:sz w:val="18"/>
        </w:rPr>
      </w:pPr>
      <w:r w:rsidRPr="000E1F4D">
        <w:rPr>
          <w:rFonts w:ascii="Arial Nova" w:hAnsi="Arial Nova"/>
          <w:b/>
          <w:bCs/>
          <w:sz w:val="18"/>
        </w:rPr>
        <w:t>Materiality judgement</w:t>
      </w:r>
      <w:r>
        <w:rPr>
          <w:rFonts w:ascii="Arial Nova" w:hAnsi="Arial Nova"/>
          <w:b/>
          <w:bCs/>
          <w:sz w:val="18"/>
        </w:rPr>
        <w:t xml:space="preserve"> basis</w:t>
      </w:r>
      <w:r w:rsidRPr="000E1F4D">
        <w:rPr>
          <w:rFonts w:ascii="Arial Nova" w:hAnsi="Arial Nova"/>
          <w:b/>
          <w:bCs/>
          <w:sz w:val="18"/>
        </w:rPr>
        <w:t>.</w:t>
      </w:r>
      <w:r>
        <w:rPr>
          <w:rFonts w:ascii="Arial Nova" w:hAnsi="Arial Nova"/>
          <w:sz w:val="18"/>
        </w:rPr>
        <w:t xml:space="preserve"> </w:t>
      </w:r>
      <w:r w:rsidRPr="00E00419">
        <w:rPr>
          <w:rFonts w:ascii="Arial Nova" w:hAnsi="Arial Nova"/>
          <w:sz w:val="18"/>
        </w:rPr>
        <w:t>The proportion of the portfolio deemed to be materially exposed to the impact indicator, their methods and approach to that determination, the relevant quantitative metric, and the data sources used for measurement.</w:t>
      </w:r>
    </w:p>
    <w:p w14:paraId="72216E1B" w14:textId="77777777" w:rsidR="00361684" w:rsidRPr="00E00419" w:rsidRDefault="00361684" w:rsidP="00361684">
      <w:pPr>
        <w:pStyle w:val="ListParagraph"/>
        <w:spacing w:line="360" w:lineRule="auto"/>
        <w:jc w:val="both"/>
        <w:rPr>
          <w:rFonts w:ascii="Arial Nova" w:hAnsi="Arial Nova"/>
          <w:sz w:val="18"/>
        </w:rPr>
      </w:pPr>
    </w:p>
    <w:p w14:paraId="0789EADD" w14:textId="77777777" w:rsidR="00361684" w:rsidRPr="00E00419" w:rsidRDefault="00361684" w:rsidP="00361684">
      <w:pPr>
        <w:pStyle w:val="ListParagraph"/>
        <w:numPr>
          <w:ilvl w:val="0"/>
          <w:numId w:val="42"/>
        </w:numPr>
        <w:spacing w:line="360" w:lineRule="auto"/>
        <w:jc w:val="both"/>
        <w:rPr>
          <w:rFonts w:ascii="Arial Nova" w:hAnsi="Arial Nova"/>
          <w:sz w:val="18"/>
        </w:rPr>
      </w:pPr>
      <w:r w:rsidRPr="00AF4AC2">
        <w:rPr>
          <w:rFonts w:ascii="Arial Nova" w:hAnsi="Arial Nova"/>
          <w:b/>
          <w:bCs/>
          <w:sz w:val="18"/>
        </w:rPr>
        <w:t>Definitions.</w:t>
      </w:r>
      <w:r>
        <w:rPr>
          <w:rFonts w:ascii="Arial Nova" w:hAnsi="Arial Nova"/>
          <w:sz w:val="18"/>
        </w:rPr>
        <w:t xml:space="preserve"> We note that </w:t>
      </w:r>
      <w:r w:rsidRPr="00E00419">
        <w:rPr>
          <w:rFonts w:ascii="Arial Nova" w:hAnsi="Arial Nova"/>
          <w:sz w:val="18"/>
        </w:rPr>
        <w:t xml:space="preserve">many of the readers of this table will not necessarily be versed in either ESG or the </w:t>
      </w:r>
      <w:r>
        <w:rPr>
          <w:rFonts w:ascii="Arial Nova" w:hAnsi="Arial Nova"/>
          <w:sz w:val="18"/>
        </w:rPr>
        <w:t xml:space="preserve">principal adverse impacts </w:t>
      </w:r>
      <w:r w:rsidRPr="00E00419">
        <w:rPr>
          <w:rFonts w:ascii="Arial Nova" w:hAnsi="Arial Nova"/>
          <w:sz w:val="18"/>
        </w:rPr>
        <w:t xml:space="preserve">concept. The reporting template should ideally contain a very light pedagogical element to support understanding. This could be as simple as having an additional column with synthetic </w:t>
      </w:r>
      <w:r w:rsidRPr="001566B0">
        <w:rPr>
          <w:rFonts w:ascii="Arial Nova" w:hAnsi="Arial Nova"/>
          <w:sz w:val="18"/>
        </w:rPr>
        <w:t>definitions</w:t>
      </w:r>
      <w:r w:rsidRPr="00E00419">
        <w:rPr>
          <w:rFonts w:ascii="Arial Nova" w:hAnsi="Arial Nova"/>
          <w:sz w:val="18"/>
        </w:rPr>
        <w:t xml:space="preserve"> of each indicator so that the layman can understand precisely what energy intensity, or carbon footprint</w:t>
      </w:r>
      <w:r>
        <w:rPr>
          <w:rFonts w:ascii="Arial Nova" w:hAnsi="Arial Nova"/>
          <w:sz w:val="18"/>
        </w:rPr>
        <w:t>,</w:t>
      </w:r>
      <w:r w:rsidRPr="00E00419">
        <w:rPr>
          <w:rFonts w:ascii="Arial Nova" w:hAnsi="Arial Nova"/>
          <w:sz w:val="18"/>
        </w:rPr>
        <w:t xml:space="preserve"> means.  Alternatively, these definitions could be placed in an appendix. </w:t>
      </w:r>
    </w:p>
    <w:p w14:paraId="7C6B8D5F" w14:textId="77777777" w:rsidR="00361684" w:rsidRDefault="00361684" w:rsidP="003E573C">
      <w:pPr>
        <w:rPr>
          <w:rFonts w:cs="Arial"/>
        </w:rPr>
      </w:pPr>
    </w:p>
    <w:p w14:paraId="784D9858" w14:textId="0DB88FA6" w:rsidR="003E573C" w:rsidRDefault="003E573C" w:rsidP="003E573C">
      <w:pPr>
        <w:rPr>
          <w:rFonts w:cs="Arial"/>
        </w:rPr>
      </w:pPr>
      <w:r>
        <w:rPr>
          <w:rFonts w:cs="Arial"/>
        </w:rPr>
        <w:t>TYPE YOUR TEXT HERE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1E3401D2" w14:textId="77777777" w:rsidR="00361684" w:rsidRDefault="00361684" w:rsidP="003E573C">
      <w:pPr>
        <w:rPr>
          <w:rFonts w:cs="Arial"/>
        </w:rPr>
      </w:pPr>
      <w:permStart w:id="209390932" w:edGrp="everyone"/>
    </w:p>
    <w:p w14:paraId="435F4597" w14:textId="77777777" w:rsidR="00361684" w:rsidRDefault="00361684" w:rsidP="00361684">
      <w:pPr>
        <w:spacing w:line="360" w:lineRule="auto"/>
        <w:jc w:val="both"/>
        <w:rPr>
          <w:rFonts w:ascii="Arial Nova" w:hAnsi="Arial Nova"/>
          <w:sz w:val="18"/>
        </w:rPr>
      </w:pPr>
      <w:r w:rsidRPr="00CF6E49">
        <w:rPr>
          <w:rFonts w:ascii="Arial Nova" w:hAnsi="Arial Nova"/>
          <w:sz w:val="18"/>
        </w:rPr>
        <w:t>We do not disagree with any of the indicators per se.</w:t>
      </w:r>
      <w:r>
        <w:rPr>
          <w:rFonts w:ascii="Arial Nova" w:hAnsi="Arial Nova"/>
          <w:sz w:val="18"/>
        </w:rPr>
        <w:t xml:space="preserve"> W</w:t>
      </w:r>
      <w:r w:rsidRPr="00CF6E49">
        <w:rPr>
          <w:rFonts w:ascii="Arial Nova" w:hAnsi="Arial Nova"/>
          <w:sz w:val="18"/>
        </w:rPr>
        <w:t xml:space="preserve">e do have </w:t>
      </w:r>
      <w:r>
        <w:rPr>
          <w:rFonts w:ascii="Arial Nova" w:hAnsi="Arial Nova"/>
          <w:sz w:val="18"/>
        </w:rPr>
        <w:t>the following additional</w:t>
      </w:r>
      <w:r w:rsidRPr="00CF6E49">
        <w:rPr>
          <w:rFonts w:ascii="Arial Nova" w:hAnsi="Arial Nova"/>
          <w:sz w:val="18"/>
        </w:rPr>
        <w:t xml:space="preserve"> comments</w:t>
      </w:r>
      <w:r>
        <w:rPr>
          <w:rFonts w:ascii="Arial Nova" w:hAnsi="Arial Nova"/>
          <w:sz w:val="18"/>
        </w:rPr>
        <w:t xml:space="preserve">: </w:t>
      </w:r>
    </w:p>
    <w:p w14:paraId="38FD8C5F" w14:textId="77777777" w:rsidR="00361684" w:rsidRDefault="00361684" w:rsidP="00361684">
      <w:pPr>
        <w:spacing w:line="360" w:lineRule="auto"/>
        <w:jc w:val="both"/>
        <w:rPr>
          <w:rFonts w:ascii="Arial Nova" w:hAnsi="Arial Nova"/>
          <w:sz w:val="18"/>
        </w:rPr>
      </w:pPr>
    </w:p>
    <w:p w14:paraId="71FEDC2B" w14:textId="77777777" w:rsidR="00361684" w:rsidRDefault="00361684" w:rsidP="00361684">
      <w:pPr>
        <w:pStyle w:val="ListParagraph"/>
        <w:numPr>
          <w:ilvl w:val="0"/>
          <w:numId w:val="44"/>
        </w:numPr>
        <w:spacing w:line="360" w:lineRule="auto"/>
        <w:jc w:val="both"/>
        <w:rPr>
          <w:rFonts w:ascii="Arial Nova" w:hAnsi="Arial Nova"/>
          <w:sz w:val="18"/>
        </w:rPr>
      </w:pPr>
      <w:r w:rsidRPr="001D3F6A">
        <w:rPr>
          <w:rFonts w:ascii="Arial Nova" w:hAnsi="Arial Nova"/>
          <w:b/>
          <w:bCs/>
          <w:sz w:val="18"/>
        </w:rPr>
        <w:t>Policies vs quantitative metrics.</w:t>
      </w:r>
      <w:r>
        <w:rPr>
          <w:rFonts w:ascii="Arial Nova" w:hAnsi="Arial Nova"/>
          <w:sz w:val="18"/>
          <w:u w:val="single"/>
        </w:rPr>
        <w:t xml:space="preserve"> </w:t>
      </w:r>
      <w:r w:rsidRPr="00B27CE7">
        <w:rPr>
          <w:rFonts w:ascii="Arial Nova" w:hAnsi="Arial Nova"/>
          <w:sz w:val="18"/>
          <w:u w:val="single"/>
        </w:rPr>
        <w:t>There is an imbalance between the Environment indicators and the other areas (Social, Governance</w:t>
      </w:r>
      <w:r w:rsidRPr="00B27CE7">
        <w:rPr>
          <w:rFonts w:ascii="Arial Nova" w:hAnsi="Arial Nova"/>
          <w:sz w:val="18"/>
        </w:rPr>
        <w:t>).  Within the Environment area (</w:t>
      </w:r>
      <w:r w:rsidRPr="00B27CE7">
        <w:rPr>
          <w:rFonts w:ascii="Arial Nova" w:hAnsi="Arial Nova"/>
          <w:i/>
          <w:iCs/>
          <w:sz w:val="18"/>
        </w:rPr>
        <w:t>aside from deforestation</w:t>
      </w:r>
      <w:r w:rsidRPr="00B27CE7">
        <w:rPr>
          <w:rFonts w:ascii="Arial Nova" w:hAnsi="Arial Nova"/>
          <w:sz w:val="18"/>
        </w:rPr>
        <w:t xml:space="preserve">) there are no indicators related to policies. The indicators are typically quantitative metrics.  Contrast that with the Social and Governance areas where we see almost the reverse with the majority of indicators being policy and process focused. The majority of the quantitative metrics for social and governance elements are found in the </w:t>
      </w:r>
      <w:r w:rsidRPr="00B27CE7">
        <w:rPr>
          <w:rFonts w:ascii="Arial Nova" w:hAnsi="Arial Nova"/>
          <w:sz w:val="18"/>
          <w:u w:val="single"/>
        </w:rPr>
        <w:t>optional list</w:t>
      </w:r>
      <w:r w:rsidRPr="00B27CE7">
        <w:rPr>
          <w:rFonts w:ascii="Arial Nova" w:hAnsi="Arial Nova"/>
          <w:sz w:val="18"/>
        </w:rPr>
        <w:t xml:space="preserve"> of indicators which again, warrants a clearer explanation as to why these are optional. In order to </w:t>
      </w:r>
      <w:r>
        <w:rPr>
          <w:rFonts w:ascii="Arial Nova" w:hAnsi="Arial Nova"/>
          <w:sz w:val="18"/>
        </w:rPr>
        <w:t>ensure</w:t>
      </w:r>
      <w:r w:rsidRPr="00B27CE7">
        <w:rPr>
          <w:rFonts w:ascii="Arial Nova" w:hAnsi="Arial Nova"/>
          <w:sz w:val="18"/>
        </w:rPr>
        <w:t xml:space="preserve"> a</w:t>
      </w:r>
      <w:r>
        <w:rPr>
          <w:rFonts w:ascii="Arial Nova" w:hAnsi="Arial Nova"/>
          <w:sz w:val="18"/>
        </w:rPr>
        <w:t xml:space="preserve"> balanced</w:t>
      </w:r>
      <w:r w:rsidRPr="00B27CE7">
        <w:rPr>
          <w:rFonts w:ascii="Arial Nova" w:hAnsi="Arial Nova"/>
          <w:sz w:val="18"/>
        </w:rPr>
        <w:t xml:space="preserve"> approach to disclosures across ESG matters, </w:t>
      </w:r>
      <w:r>
        <w:rPr>
          <w:rFonts w:ascii="Arial Nova" w:hAnsi="Arial Nova"/>
          <w:sz w:val="18"/>
        </w:rPr>
        <w:t xml:space="preserve">reporting of both </w:t>
      </w:r>
      <w:r w:rsidRPr="00B27CE7">
        <w:rPr>
          <w:rFonts w:ascii="Arial Nova" w:hAnsi="Arial Nova"/>
          <w:sz w:val="18"/>
        </w:rPr>
        <w:t xml:space="preserve">qualitative policies and quantitative results should be encouraged. In short – </w:t>
      </w:r>
      <w:r>
        <w:rPr>
          <w:rFonts w:ascii="Arial Nova" w:hAnsi="Arial Nova"/>
          <w:sz w:val="18"/>
        </w:rPr>
        <w:t xml:space="preserve">we advise </w:t>
      </w:r>
      <w:r w:rsidRPr="00B27CE7">
        <w:rPr>
          <w:rFonts w:ascii="Arial Nova" w:hAnsi="Arial Nova"/>
          <w:sz w:val="18"/>
        </w:rPr>
        <w:t>the introduction of a number of the quantitative metrics from tables 2</w:t>
      </w:r>
      <w:r>
        <w:rPr>
          <w:rFonts w:ascii="Arial Nova" w:hAnsi="Arial Nova"/>
          <w:sz w:val="18"/>
        </w:rPr>
        <w:t xml:space="preserve"> and</w:t>
      </w:r>
      <w:r w:rsidRPr="00B27CE7">
        <w:rPr>
          <w:rFonts w:ascii="Arial Nova" w:hAnsi="Arial Nova"/>
          <w:sz w:val="18"/>
        </w:rPr>
        <w:t xml:space="preserve"> 3 into table 1 for social and governance areas. </w:t>
      </w:r>
    </w:p>
    <w:p w14:paraId="59515EA5" w14:textId="77777777" w:rsidR="00361684" w:rsidRDefault="00361684" w:rsidP="00361684">
      <w:pPr>
        <w:pStyle w:val="ListParagraph"/>
        <w:spacing w:line="360" w:lineRule="auto"/>
        <w:jc w:val="both"/>
        <w:rPr>
          <w:rFonts w:ascii="Arial Nova" w:hAnsi="Arial Nova"/>
          <w:sz w:val="18"/>
        </w:rPr>
      </w:pPr>
    </w:p>
    <w:p w14:paraId="21A8D80E" w14:textId="77777777" w:rsidR="00361684" w:rsidRDefault="00361684" w:rsidP="00361684">
      <w:pPr>
        <w:pStyle w:val="ListParagraph"/>
        <w:numPr>
          <w:ilvl w:val="0"/>
          <w:numId w:val="44"/>
        </w:numPr>
        <w:spacing w:line="360" w:lineRule="auto"/>
        <w:jc w:val="both"/>
        <w:rPr>
          <w:rFonts w:ascii="Arial Nova" w:hAnsi="Arial Nova"/>
          <w:sz w:val="18"/>
        </w:rPr>
      </w:pPr>
      <w:r w:rsidRPr="001D3F6A">
        <w:rPr>
          <w:rFonts w:ascii="Arial Nova" w:hAnsi="Arial Nova"/>
          <w:b/>
          <w:bCs/>
          <w:sz w:val="18"/>
        </w:rPr>
        <w:t xml:space="preserve">Policy </w:t>
      </w:r>
      <w:r>
        <w:rPr>
          <w:rFonts w:ascii="Arial Nova" w:hAnsi="Arial Nova"/>
          <w:b/>
          <w:bCs/>
          <w:sz w:val="18"/>
        </w:rPr>
        <w:t xml:space="preserve">quality and </w:t>
      </w:r>
      <w:r w:rsidRPr="001D3F6A">
        <w:rPr>
          <w:rFonts w:ascii="Arial Nova" w:hAnsi="Arial Nova"/>
          <w:b/>
          <w:bCs/>
          <w:sz w:val="18"/>
        </w:rPr>
        <w:t>relevance</w:t>
      </w:r>
      <w:r>
        <w:rPr>
          <w:rFonts w:ascii="Arial Nova" w:hAnsi="Arial Nova"/>
          <w:sz w:val="18"/>
          <w:u w:val="single"/>
        </w:rPr>
        <w:t xml:space="preserve">. </w:t>
      </w:r>
      <w:r w:rsidRPr="00B27CE7">
        <w:rPr>
          <w:rFonts w:ascii="Arial Nova" w:hAnsi="Arial Nova"/>
          <w:sz w:val="18"/>
          <w:u w:val="single"/>
        </w:rPr>
        <w:t>Where disclosure of policy indicators is required, we suggest that asset managers</w:t>
      </w:r>
      <w:r>
        <w:rPr>
          <w:rFonts w:ascii="Arial Nova" w:hAnsi="Arial Nova"/>
          <w:sz w:val="18"/>
          <w:u w:val="single"/>
        </w:rPr>
        <w:t xml:space="preserve"> should be able</w:t>
      </w:r>
      <w:r w:rsidRPr="00B27CE7">
        <w:rPr>
          <w:rFonts w:ascii="Arial Nova" w:hAnsi="Arial Nova"/>
          <w:sz w:val="18"/>
          <w:u w:val="single"/>
        </w:rPr>
        <w:t xml:space="preserve"> to disclose a measure of quality</w:t>
      </w:r>
      <w:r>
        <w:rPr>
          <w:rFonts w:ascii="Arial Nova" w:hAnsi="Arial Nova"/>
          <w:sz w:val="18"/>
          <w:u w:val="single"/>
        </w:rPr>
        <w:t xml:space="preserve"> and relevance</w:t>
      </w:r>
      <w:r w:rsidRPr="00B27CE7">
        <w:rPr>
          <w:rFonts w:ascii="Arial Nova" w:hAnsi="Arial Nova"/>
          <w:sz w:val="18"/>
          <w:u w:val="single"/>
        </w:rPr>
        <w:t xml:space="preserve"> of those policies</w:t>
      </w:r>
      <w:r w:rsidRPr="00B27CE7">
        <w:rPr>
          <w:rFonts w:ascii="Arial Nova" w:hAnsi="Arial Nova"/>
          <w:sz w:val="18"/>
        </w:rPr>
        <w:t>, as opposed to a binary indicator of a share of companies with and without a relevant policy. From our experience in assessing companies, the seriousness and effectiveness of policies</w:t>
      </w:r>
      <w:r>
        <w:rPr>
          <w:rFonts w:ascii="Arial Nova" w:hAnsi="Arial Nova"/>
          <w:sz w:val="18"/>
        </w:rPr>
        <w:t xml:space="preserve"> on a given issue</w:t>
      </w:r>
      <w:r w:rsidRPr="00B27CE7">
        <w:rPr>
          <w:rFonts w:ascii="Arial Nova" w:hAnsi="Arial Nova"/>
          <w:sz w:val="18"/>
        </w:rPr>
        <w:t xml:space="preserve"> vary</w:t>
      </w:r>
      <w:r>
        <w:rPr>
          <w:rFonts w:ascii="Arial Nova" w:hAnsi="Arial Nova"/>
          <w:sz w:val="18"/>
        </w:rPr>
        <w:t>. I</w:t>
      </w:r>
      <w:r w:rsidRPr="00ED7B2D">
        <w:rPr>
          <w:rFonts w:ascii="Arial Nova" w:hAnsi="Arial Nova"/>
          <w:sz w:val="18"/>
        </w:rPr>
        <w:t>t may also be helpful to encourage reporters to differentiate</w:t>
      </w:r>
      <w:r>
        <w:rPr>
          <w:rFonts w:ascii="Arial Nova" w:hAnsi="Arial Nova"/>
          <w:sz w:val="18"/>
        </w:rPr>
        <w:t xml:space="preserve"> policy disclosure across</w:t>
      </w:r>
      <w:r w:rsidRPr="00ED7B2D">
        <w:rPr>
          <w:rFonts w:ascii="Arial Nova" w:hAnsi="Arial Nova"/>
          <w:sz w:val="18"/>
        </w:rPr>
        <w:t xml:space="preserve"> different ranges of </w:t>
      </w:r>
      <w:r>
        <w:rPr>
          <w:rFonts w:ascii="Arial Nova" w:hAnsi="Arial Nova"/>
          <w:sz w:val="18"/>
        </w:rPr>
        <w:t>measurement of the related adverse sustainability impact</w:t>
      </w:r>
      <w:r w:rsidRPr="00ED7B2D">
        <w:rPr>
          <w:rFonts w:ascii="Arial Nova" w:hAnsi="Arial Nova"/>
          <w:sz w:val="18"/>
        </w:rPr>
        <w:t>. For example in</w:t>
      </w:r>
      <w:r>
        <w:rPr>
          <w:rFonts w:ascii="Arial Nova" w:hAnsi="Arial Nova"/>
          <w:sz w:val="18"/>
        </w:rPr>
        <w:t xml:space="preserve"> disclosing policies designed to</w:t>
      </w:r>
      <w:r w:rsidRPr="00ED7B2D">
        <w:rPr>
          <w:rFonts w:ascii="Arial Nova" w:hAnsi="Arial Nova"/>
          <w:sz w:val="18"/>
        </w:rPr>
        <w:t xml:space="preserve"> address gender pay gap</w:t>
      </w:r>
      <w:r>
        <w:rPr>
          <w:rFonts w:ascii="Arial Nova" w:hAnsi="Arial Nova"/>
          <w:sz w:val="18"/>
        </w:rPr>
        <w:t>,</w:t>
      </w:r>
      <w:r w:rsidRPr="00ED7B2D">
        <w:rPr>
          <w:rFonts w:ascii="Arial Nova" w:hAnsi="Arial Nova"/>
          <w:sz w:val="18"/>
        </w:rPr>
        <w:t xml:space="preserve"> it may be more relevant to understand what part of the portfolio has the most severe gap and focus </w:t>
      </w:r>
      <w:r>
        <w:rPr>
          <w:rFonts w:ascii="Arial Nova" w:hAnsi="Arial Nova"/>
          <w:sz w:val="18"/>
        </w:rPr>
        <w:t xml:space="preserve">policy disclosure and </w:t>
      </w:r>
      <w:r w:rsidRPr="00ED7B2D">
        <w:rPr>
          <w:rFonts w:ascii="Arial Nova" w:hAnsi="Arial Nova"/>
          <w:sz w:val="18"/>
        </w:rPr>
        <w:t>due diligence processes on such cases.</w:t>
      </w:r>
    </w:p>
    <w:p w14:paraId="65754B14" w14:textId="77777777" w:rsidR="00361684" w:rsidRPr="00356033" w:rsidRDefault="00361684" w:rsidP="00361684">
      <w:pPr>
        <w:pStyle w:val="ListParagraph"/>
        <w:rPr>
          <w:rFonts w:ascii="Arial Nova" w:hAnsi="Arial Nova"/>
          <w:sz w:val="18"/>
        </w:rPr>
      </w:pPr>
    </w:p>
    <w:p w14:paraId="5FCE2EBB" w14:textId="77777777" w:rsidR="00361684" w:rsidRDefault="00361684" w:rsidP="00361684">
      <w:pPr>
        <w:pStyle w:val="ListParagraph"/>
        <w:spacing w:line="360" w:lineRule="auto"/>
        <w:jc w:val="both"/>
        <w:rPr>
          <w:rFonts w:ascii="Arial Nova" w:hAnsi="Arial Nova"/>
          <w:sz w:val="18"/>
        </w:rPr>
      </w:pPr>
    </w:p>
    <w:p w14:paraId="03E3AE6E" w14:textId="77777777" w:rsidR="00361684" w:rsidRPr="00B27CE7" w:rsidRDefault="00361684" w:rsidP="00361684">
      <w:pPr>
        <w:pStyle w:val="ListParagraph"/>
        <w:numPr>
          <w:ilvl w:val="0"/>
          <w:numId w:val="44"/>
        </w:numPr>
        <w:spacing w:line="360" w:lineRule="auto"/>
        <w:jc w:val="both"/>
        <w:rPr>
          <w:rFonts w:ascii="Arial Nova" w:hAnsi="Arial Nova"/>
          <w:sz w:val="18"/>
        </w:rPr>
      </w:pPr>
      <w:r w:rsidRPr="002712F4">
        <w:rPr>
          <w:rFonts w:ascii="Arial Nova" w:hAnsi="Arial Nova"/>
          <w:b/>
          <w:bCs/>
          <w:sz w:val="18"/>
        </w:rPr>
        <w:t>ILO considerations.</w:t>
      </w:r>
      <w:r>
        <w:rPr>
          <w:rFonts w:ascii="Arial Nova" w:hAnsi="Arial Nova"/>
          <w:sz w:val="18"/>
          <w:u w:val="single"/>
        </w:rPr>
        <w:t xml:space="preserve"> </w:t>
      </w:r>
      <w:r w:rsidRPr="00B27CE7">
        <w:rPr>
          <w:rFonts w:ascii="Arial Nova" w:hAnsi="Arial Nova"/>
          <w:sz w:val="18"/>
          <w:u w:val="single"/>
        </w:rPr>
        <w:t>Within the social area</w:t>
      </w:r>
      <w:r w:rsidRPr="00940014">
        <w:rPr>
          <w:rFonts w:ascii="Arial Nova" w:hAnsi="Arial Nova"/>
          <w:sz w:val="18"/>
          <w:u w:val="single"/>
        </w:rPr>
        <w:t>, indicator</w:t>
      </w:r>
      <w:r>
        <w:rPr>
          <w:rFonts w:ascii="Arial Nova" w:hAnsi="Arial Nova"/>
          <w:sz w:val="18"/>
          <w:u w:val="single"/>
        </w:rPr>
        <w:t xml:space="preserve"> </w:t>
      </w:r>
      <w:r w:rsidRPr="00940014">
        <w:rPr>
          <w:rFonts w:ascii="Arial Nova" w:hAnsi="Arial Nova"/>
          <w:sz w:val="18"/>
          <w:u w:val="single"/>
        </w:rPr>
        <w:t>17 related</w:t>
      </w:r>
      <w:r w:rsidRPr="00B27CE7">
        <w:rPr>
          <w:rFonts w:ascii="Arial Nova" w:hAnsi="Arial Nova"/>
          <w:sz w:val="18"/>
          <w:u w:val="single"/>
        </w:rPr>
        <w:t xml:space="preserve"> to the ILO conventions appears impractical in its set up.</w:t>
      </w:r>
      <w:r w:rsidRPr="00B27CE7">
        <w:rPr>
          <w:rFonts w:ascii="Arial Nova" w:hAnsi="Arial Nova"/>
          <w:sz w:val="18"/>
        </w:rPr>
        <w:t xml:space="preserve"> The indicator wraps the issues captured by the </w:t>
      </w:r>
      <w:r>
        <w:rPr>
          <w:rFonts w:ascii="Arial Nova" w:hAnsi="Arial Nova"/>
          <w:sz w:val="18"/>
        </w:rPr>
        <w:t>eight</w:t>
      </w:r>
      <w:r w:rsidRPr="00B27CE7">
        <w:rPr>
          <w:rFonts w:ascii="Arial Nova" w:hAnsi="Arial Nova"/>
          <w:sz w:val="18"/>
        </w:rPr>
        <w:t xml:space="preserve"> ILO Core Conventions into one indicator. </w:t>
      </w:r>
      <w:r>
        <w:rPr>
          <w:rFonts w:ascii="Arial Nova" w:hAnsi="Arial Nova"/>
          <w:sz w:val="18"/>
        </w:rPr>
        <w:t>The interpretation may be</w:t>
      </w:r>
      <w:r w:rsidRPr="00B27CE7">
        <w:rPr>
          <w:rFonts w:ascii="Arial Nova" w:hAnsi="Arial Nova"/>
          <w:sz w:val="18"/>
        </w:rPr>
        <w:t xml:space="preserve"> that </w:t>
      </w:r>
      <w:r>
        <w:rPr>
          <w:rFonts w:ascii="Arial Nova" w:hAnsi="Arial Nova"/>
          <w:sz w:val="18"/>
        </w:rPr>
        <w:t>the asset managers</w:t>
      </w:r>
      <w:r w:rsidRPr="00B27CE7">
        <w:rPr>
          <w:rFonts w:ascii="Arial Nova" w:hAnsi="Arial Nova"/>
          <w:sz w:val="18"/>
        </w:rPr>
        <w:t xml:space="preserve"> must cover the four elements below in </w:t>
      </w:r>
      <w:r>
        <w:rPr>
          <w:rFonts w:ascii="Arial Nova" w:hAnsi="Arial Nova"/>
          <w:sz w:val="18"/>
        </w:rPr>
        <w:t>one measure</w:t>
      </w:r>
      <w:r w:rsidRPr="00B27CE7">
        <w:rPr>
          <w:rFonts w:ascii="Arial Nova" w:hAnsi="Arial Nova"/>
          <w:sz w:val="18"/>
        </w:rPr>
        <w:t>:</w:t>
      </w:r>
    </w:p>
    <w:p w14:paraId="50A7540D" w14:textId="77777777" w:rsidR="00361684" w:rsidRDefault="00361684" w:rsidP="00361684">
      <w:pPr>
        <w:pStyle w:val="ListParagraph"/>
        <w:numPr>
          <w:ilvl w:val="1"/>
          <w:numId w:val="43"/>
        </w:numPr>
        <w:spacing w:line="360" w:lineRule="auto"/>
        <w:contextualSpacing w:val="0"/>
        <w:rPr>
          <w:rFonts w:ascii="Arial Nova" w:hAnsi="Arial Nova"/>
          <w:sz w:val="18"/>
        </w:rPr>
      </w:pPr>
      <w:r>
        <w:rPr>
          <w:rFonts w:ascii="Arial Nova" w:hAnsi="Arial Nova"/>
          <w:sz w:val="18"/>
        </w:rPr>
        <w:t>Forced or Compulsory Labour</w:t>
      </w:r>
    </w:p>
    <w:p w14:paraId="3E50695D" w14:textId="77777777" w:rsidR="00361684" w:rsidRDefault="00361684" w:rsidP="00361684">
      <w:pPr>
        <w:pStyle w:val="ListParagraph"/>
        <w:numPr>
          <w:ilvl w:val="1"/>
          <w:numId w:val="43"/>
        </w:numPr>
        <w:spacing w:line="360" w:lineRule="auto"/>
        <w:contextualSpacing w:val="0"/>
        <w:rPr>
          <w:rFonts w:ascii="Arial Nova" w:hAnsi="Arial Nova"/>
          <w:sz w:val="18"/>
        </w:rPr>
      </w:pPr>
      <w:r>
        <w:rPr>
          <w:rFonts w:ascii="Arial Nova" w:hAnsi="Arial Nova"/>
          <w:sz w:val="18"/>
        </w:rPr>
        <w:t>Child Labour</w:t>
      </w:r>
    </w:p>
    <w:p w14:paraId="2DE6EB2E" w14:textId="77777777" w:rsidR="00361684" w:rsidRDefault="00361684" w:rsidP="00361684">
      <w:pPr>
        <w:pStyle w:val="ListParagraph"/>
        <w:numPr>
          <w:ilvl w:val="1"/>
          <w:numId w:val="43"/>
        </w:numPr>
        <w:spacing w:line="360" w:lineRule="auto"/>
        <w:contextualSpacing w:val="0"/>
        <w:rPr>
          <w:rFonts w:ascii="Arial Nova" w:hAnsi="Arial Nova"/>
          <w:sz w:val="18"/>
        </w:rPr>
      </w:pPr>
      <w:r>
        <w:rPr>
          <w:rFonts w:ascii="Arial Nova" w:hAnsi="Arial Nova"/>
          <w:sz w:val="18"/>
        </w:rPr>
        <w:t>Non-Discrimination</w:t>
      </w:r>
    </w:p>
    <w:p w14:paraId="0ED907C0" w14:textId="77777777" w:rsidR="00361684" w:rsidRDefault="00361684" w:rsidP="00361684">
      <w:pPr>
        <w:pStyle w:val="ListParagraph"/>
        <w:numPr>
          <w:ilvl w:val="1"/>
          <w:numId w:val="43"/>
        </w:numPr>
        <w:spacing w:line="360" w:lineRule="auto"/>
        <w:contextualSpacing w:val="0"/>
        <w:rPr>
          <w:rFonts w:ascii="Arial Nova" w:hAnsi="Arial Nova"/>
          <w:sz w:val="18"/>
        </w:rPr>
      </w:pPr>
      <w:r>
        <w:rPr>
          <w:rFonts w:ascii="Arial Nova" w:hAnsi="Arial Nova"/>
          <w:sz w:val="18"/>
        </w:rPr>
        <w:t>Freedom of Association and the Right to Organise</w:t>
      </w:r>
    </w:p>
    <w:p w14:paraId="370B0187" w14:textId="77777777" w:rsidR="00361684" w:rsidRDefault="00361684" w:rsidP="00361684">
      <w:pPr>
        <w:spacing w:line="360" w:lineRule="auto"/>
        <w:rPr>
          <w:rFonts w:ascii="Arial Nova" w:hAnsi="Arial Nova"/>
          <w:sz w:val="18"/>
        </w:rPr>
      </w:pPr>
    </w:p>
    <w:p w14:paraId="3C467B66" w14:textId="77777777" w:rsidR="00361684" w:rsidRDefault="00361684" w:rsidP="00361684">
      <w:pPr>
        <w:spacing w:line="360" w:lineRule="auto"/>
        <w:ind w:left="709"/>
        <w:rPr>
          <w:rFonts w:ascii="Arial Nova" w:hAnsi="Arial Nova"/>
          <w:sz w:val="18"/>
        </w:rPr>
      </w:pPr>
      <w:r w:rsidRPr="00E75F91">
        <w:rPr>
          <w:rFonts w:ascii="Arial Nova" w:hAnsi="Arial Nova"/>
          <w:sz w:val="18"/>
        </w:rPr>
        <w:t>From our experience of assessing companies, there are almost none that express commitments to the ILO Core Conventions per se. Rather, they express individual commitments to the individual elements. In addition, there is a large gap between companies expressing commitments on Freedom of Association and the Right to Collective Bargaining, and the other elements (which are more commonly reported upon).</w:t>
      </w:r>
      <w:r>
        <w:rPr>
          <w:rFonts w:ascii="Arial Nova" w:hAnsi="Arial Nova"/>
          <w:sz w:val="18"/>
        </w:rPr>
        <w:t xml:space="preserve"> In short, wrapping all of these elements into one indicator c</w:t>
      </w:r>
      <w:r w:rsidRPr="00564F5B">
        <w:rPr>
          <w:rFonts w:ascii="Arial Nova" w:hAnsi="Arial Nova"/>
          <w:sz w:val="18"/>
        </w:rPr>
        <w:t xml:space="preserve">ould </w:t>
      </w:r>
      <w:r>
        <w:rPr>
          <w:rFonts w:ascii="Arial Nova" w:hAnsi="Arial Nova"/>
          <w:sz w:val="18"/>
        </w:rPr>
        <w:t>result in reporting that lacks in clarity and m</w:t>
      </w:r>
      <w:r w:rsidRPr="00564F5B">
        <w:rPr>
          <w:rFonts w:ascii="Arial Nova" w:hAnsi="Arial Nova"/>
          <w:sz w:val="18"/>
        </w:rPr>
        <w:t>ay end up being too harsh (failure on one, means failure on all)</w:t>
      </w:r>
      <w:r>
        <w:rPr>
          <w:rFonts w:ascii="Arial Nova" w:hAnsi="Arial Nova"/>
          <w:sz w:val="18"/>
        </w:rPr>
        <w:t>.</w:t>
      </w:r>
    </w:p>
    <w:p w14:paraId="76F8CC59" w14:textId="77777777" w:rsidR="00361684" w:rsidRDefault="00361684" w:rsidP="00361684">
      <w:pPr>
        <w:spacing w:line="360" w:lineRule="auto"/>
        <w:ind w:left="709"/>
        <w:rPr>
          <w:rFonts w:ascii="Arial Nova" w:hAnsi="Arial Nova"/>
          <w:sz w:val="18"/>
        </w:rPr>
      </w:pPr>
    </w:p>
    <w:p w14:paraId="41C4596F" w14:textId="77777777" w:rsidR="00361684" w:rsidRDefault="00361684" w:rsidP="00361684">
      <w:pPr>
        <w:spacing w:line="360" w:lineRule="auto"/>
        <w:ind w:left="709"/>
        <w:rPr>
          <w:rFonts w:ascii="Arial Nova" w:hAnsi="Arial Nova"/>
          <w:sz w:val="18"/>
        </w:rPr>
      </w:pPr>
      <w:r w:rsidRPr="00564F5B">
        <w:rPr>
          <w:rFonts w:ascii="Arial Nova" w:hAnsi="Arial Nova"/>
          <w:sz w:val="18"/>
        </w:rPr>
        <w:t xml:space="preserve">Our advice </w:t>
      </w:r>
      <w:r>
        <w:rPr>
          <w:rFonts w:ascii="Arial Nova" w:hAnsi="Arial Nova"/>
          <w:sz w:val="18"/>
        </w:rPr>
        <w:t>is</w:t>
      </w:r>
      <w:r w:rsidRPr="00564F5B">
        <w:rPr>
          <w:rFonts w:ascii="Arial Nova" w:hAnsi="Arial Nova"/>
          <w:sz w:val="18"/>
        </w:rPr>
        <w:t xml:space="preserve"> to break the four components up into four separate indicators pertaining to due diligence policies on (1) child labour, (2) forced</w:t>
      </w:r>
      <w:r>
        <w:rPr>
          <w:rFonts w:ascii="Arial Nova" w:hAnsi="Arial Nova"/>
          <w:sz w:val="18"/>
        </w:rPr>
        <w:t xml:space="preserve"> or compulsory</w:t>
      </w:r>
      <w:r w:rsidRPr="00564F5B">
        <w:rPr>
          <w:rFonts w:ascii="Arial Nova" w:hAnsi="Arial Nova"/>
          <w:sz w:val="18"/>
        </w:rPr>
        <w:t xml:space="preserve"> labour, (3) non-discrimination, and (4) </w:t>
      </w:r>
      <w:r>
        <w:rPr>
          <w:rFonts w:ascii="Arial Nova" w:hAnsi="Arial Nova"/>
          <w:sz w:val="18"/>
        </w:rPr>
        <w:t>f</w:t>
      </w:r>
      <w:r w:rsidRPr="00564F5B">
        <w:rPr>
          <w:rFonts w:ascii="Arial Nova" w:hAnsi="Arial Nova"/>
          <w:sz w:val="18"/>
        </w:rPr>
        <w:t>reedom of association and the right to collective bargaining</w:t>
      </w:r>
      <w:r>
        <w:rPr>
          <w:rFonts w:ascii="Arial Nova" w:hAnsi="Arial Nova"/>
          <w:sz w:val="18"/>
        </w:rPr>
        <w:t>.</w:t>
      </w:r>
    </w:p>
    <w:p w14:paraId="24A7CEC4" w14:textId="77777777" w:rsidR="00361684" w:rsidRDefault="00361684" w:rsidP="00361684">
      <w:pPr>
        <w:spacing w:line="360" w:lineRule="auto"/>
        <w:ind w:left="709"/>
        <w:rPr>
          <w:rFonts w:ascii="Arial Nova" w:hAnsi="Arial Nova"/>
          <w:sz w:val="18"/>
        </w:rPr>
      </w:pPr>
    </w:p>
    <w:p w14:paraId="54B40E11" w14:textId="77777777" w:rsidR="00361684" w:rsidRPr="004F79C1" w:rsidRDefault="00361684" w:rsidP="00361684">
      <w:pPr>
        <w:pStyle w:val="ListParagraph"/>
        <w:numPr>
          <w:ilvl w:val="0"/>
          <w:numId w:val="45"/>
        </w:numPr>
        <w:spacing w:line="360" w:lineRule="auto"/>
        <w:rPr>
          <w:rFonts w:ascii="Arial Nova" w:hAnsi="Arial Nova"/>
          <w:b/>
          <w:bCs/>
          <w:sz w:val="18"/>
        </w:rPr>
      </w:pPr>
      <w:r w:rsidRPr="004F79C1">
        <w:rPr>
          <w:rFonts w:ascii="Arial Nova" w:hAnsi="Arial Nova"/>
          <w:b/>
          <w:bCs/>
          <w:sz w:val="18"/>
        </w:rPr>
        <w:t>Child labo</w:t>
      </w:r>
      <w:r>
        <w:rPr>
          <w:rFonts w:ascii="Arial Nova" w:hAnsi="Arial Nova"/>
          <w:b/>
          <w:bCs/>
          <w:sz w:val="18"/>
        </w:rPr>
        <w:t>u</w:t>
      </w:r>
      <w:r w:rsidRPr="004F79C1">
        <w:rPr>
          <w:rFonts w:ascii="Arial Nova" w:hAnsi="Arial Nova"/>
          <w:b/>
          <w:bCs/>
          <w:sz w:val="18"/>
        </w:rPr>
        <w:t>r considerations.</w:t>
      </w:r>
      <w:r>
        <w:rPr>
          <w:rFonts w:ascii="Arial Nova" w:hAnsi="Arial Nova"/>
          <w:sz w:val="18"/>
          <w:u w:val="single"/>
        </w:rPr>
        <w:t xml:space="preserve"> </w:t>
      </w:r>
      <w:r w:rsidRPr="00940014">
        <w:rPr>
          <w:rFonts w:ascii="Arial Nova" w:hAnsi="Arial Nova"/>
          <w:sz w:val="18"/>
          <w:u w:val="single"/>
        </w:rPr>
        <w:t>Indicator 26</w:t>
      </w:r>
      <w:r>
        <w:rPr>
          <w:rFonts w:ascii="Arial Nova" w:hAnsi="Arial Nova"/>
          <w:sz w:val="18"/>
          <w:u w:val="single"/>
        </w:rPr>
        <w:t xml:space="preserve">, </w:t>
      </w:r>
      <w:r w:rsidRPr="00940014">
        <w:rPr>
          <w:rFonts w:ascii="Arial Nova" w:hAnsi="Arial Nova"/>
          <w:sz w:val="18"/>
          <w:u w:val="single"/>
        </w:rPr>
        <w:t>Child Labour risks</w:t>
      </w:r>
      <w:r>
        <w:rPr>
          <w:rFonts w:ascii="Arial Nova" w:hAnsi="Arial Nova"/>
          <w:sz w:val="18"/>
          <w:u w:val="single"/>
        </w:rPr>
        <w:t>,</w:t>
      </w:r>
      <w:r w:rsidRPr="002D3BB8">
        <w:rPr>
          <w:rFonts w:ascii="Arial Nova" w:hAnsi="Arial Nova"/>
          <w:sz w:val="18"/>
          <w:u w:val="single"/>
        </w:rPr>
        <w:t xml:space="preserve"> could have the unintended consequence of simply discouraging investments in companies that deal with poorer countries</w:t>
      </w:r>
      <w:r w:rsidRPr="00564F5B">
        <w:rPr>
          <w:rFonts w:ascii="Arial Nova" w:hAnsi="Arial Nova"/>
          <w:sz w:val="18"/>
        </w:rPr>
        <w:t xml:space="preserve">, </w:t>
      </w:r>
      <w:r>
        <w:rPr>
          <w:rFonts w:ascii="Arial Nova" w:hAnsi="Arial Nova"/>
          <w:sz w:val="18"/>
        </w:rPr>
        <w:t xml:space="preserve">instead of encouraging policies that promote </w:t>
      </w:r>
      <w:r w:rsidRPr="00564F5B">
        <w:rPr>
          <w:rFonts w:ascii="Arial Nova" w:hAnsi="Arial Nova"/>
          <w:sz w:val="18"/>
        </w:rPr>
        <w:t xml:space="preserve">education </w:t>
      </w:r>
      <w:r>
        <w:rPr>
          <w:rFonts w:ascii="Arial Nova" w:hAnsi="Arial Nova"/>
          <w:sz w:val="18"/>
        </w:rPr>
        <w:t>and address</w:t>
      </w:r>
      <w:r w:rsidRPr="00564F5B">
        <w:rPr>
          <w:rFonts w:ascii="Arial Nova" w:hAnsi="Arial Nova"/>
          <w:sz w:val="18"/>
        </w:rPr>
        <w:t xml:space="preserve"> the poverty drivers that create child labour. </w:t>
      </w:r>
      <w:r>
        <w:rPr>
          <w:rFonts w:ascii="Arial Nova" w:hAnsi="Arial Nova"/>
          <w:sz w:val="18"/>
        </w:rPr>
        <w:t xml:space="preserve">Similar issue exists with </w:t>
      </w:r>
      <w:r w:rsidRPr="00643AF6">
        <w:rPr>
          <w:rFonts w:ascii="Arial Nova" w:hAnsi="Arial Nova"/>
          <w:sz w:val="18"/>
        </w:rPr>
        <w:t>any other geographically focussed criteria</w:t>
      </w:r>
      <w:r>
        <w:rPr>
          <w:rFonts w:ascii="Arial Nova" w:hAnsi="Arial Nova"/>
          <w:sz w:val="18"/>
        </w:rPr>
        <w:t xml:space="preserve">. We suggest including </w:t>
      </w:r>
      <w:r w:rsidRPr="00564F5B">
        <w:rPr>
          <w:rFonts w:ascii="Arial Nova" w:hAnsi="Arial Nova"/>
          <w:sz w:val="18"/>
        </w:rPr>
        <w:t xml:space="preserve">measures of acting responsibly in relation to the topic (some of them sector specific) which would probably lead to better outcomes than simply looking at </w:t>
      </w:r>
      <w:r>
        <w:rPr>
          <w:rFonts w:ascii="Arial Nova" w:hAnsi="Arial Nova"/>
          <w:sz w:val="18"/>
        </w:rPr>
        <w:t xml:space="preserve">the </w:t>
      </w:r>
      <w:r w:rsidRPr="00564F5B">
        <w:rPr>
          <w:rFonts w:ascii="Arial Nova" w:hAnsi="Arial Nova"/>
          <w:sz w:val="18"/>
        </w:rPr>
        <w:t>geographical risk exposure. All companies with large supply chains will have a tendency to be working in the areas of risk</w:t>
      </w:r>
      <w:r>
        <w:rPr>
          <w:rFonts w:ascii="Arial Nova" w:hAnsi="Arial Nova"/>
          <w:sz w:val="18"/>
        </w:rPr>
        <w:t xml:space="preserve">, </w:t>
      </w:r>
      <w:r w:rsidRPr="00564F5B">
        <w:rPr>
          <w:rFonts w:ascii="Arial Nova" w:hAnsi="Arial Nova"/>
          <w:sz w:val="18"/>
        </w:rPr>
        <w:t xml:space="preserve">so </w:t>
      </w:r>
      <w:r>
        <w:rPr>
          <w:rFonts w:ascii="Arial Nova" w:hAnsi="Arial Nova"/>
          <w:sz w:val="18"/>
        </w:rPr>
        <w:t xml:space="preserve">it is more meaningful to evaluate the quality of relevant </w:t>
      </w:r>
      <w:r w:rsidRPr="00564F5B">
        <w:rPr>
          <w:rFonts w:ascii="Arial Nova" w:hAnsi="Arial Nova"/>
          <w:sz w:val="18"/>
        </w:rPr>
        <w:t>policies</w:t>
      </w:r>
      <w:r>
        <w:rPr>
          <w:rFonts w:ascii="Arial Nova" w:hAnsi="Arial Nova"/>
          <w:sz w:val="18"/>
        </w:rPr>
        <w:t xml:space="preserve"> they have</w:t>
      </w:r>
      <w:r w:rsidRPr="00564F5B">
        <w:rPr>
          <w:rFonts w:ascii="Arial Nova" w:hAnsi="Arial Nova"/>
          <w:sz w:val="18"/>
        </w:rPr>
        <w:t xml:space="preserve"> in place. We also believe that how companies deal with allegations when they are made is a very important indicator which is missing from </w:t>
      </w:r>
      <w:r>
        <w:rPr>
          <w:rFonts w:ascii="Arial Nova" w:hAnsi="Arial Nova"/>
          <w:sz w:val="18"/>
        </w:rPr>
        <w:t>the proposed</w:t>
      </w:r>
      <w:r w:rsidRPr="00564F5B">
        <w:rPr>
          <w:rFonts w:ascii="Arial Nova" w:hAnsi="Arial Nova"/>
          <w:sz w:val="18"/>
        </w:rPr>
        <w:t xml:space="preserve"> approach.</w:t>
      </w:r>
      <w:r>
        <w:rPr>
          <w:rFonts w:ascii="Arial Nova" w:hAnsi="Arial Nova"/>
          <w:sz w:val="18"/>
        </w:rPr>
        <w:t xml:space="preserve"> </w:t>
      </w:r>
      <w:r>
        <w:rPr>
          <w:rFonts w:ascii="Arial Nova" w:hAnsi="Arial Nova"/>
          <w:sz w:val="18"/>
        </w:rPr>
        <w:br/>
      </w:r>
    </w:p>
    <w:p w14:paraId="1A8C8C5A" w14:textId="77777777" w:rsidR="00361684" w:rsidRPr="00940014" w:rsidRDefault="00361684" w:rsidP="00361684">
      <w:pPr>
        <w:pStyle w:val="ListParagraph"/>
        <w:numPr>
          <w:ilvl w:val="0"/>
          <w:numId w:val="45"/>
        </w:numPr>
        <w:spacing w:line="360" w:lineRule="auto"/>
        <w:rPr>
          <w:rFonts w:ascii="Arial Nova" w:hAnsi="Arial Nova"/>
          <w:sz w:val="18"/>
          <w:u w:val="single"/>
        </w:rPr>
      </w:pPr>
      <w:r w:rsidRPr="004F79C1">
        <w:rPr>
          <w:rFonts w:ascii="Arial Nova" w:hAnsi="Arial Nova"/>
          <w:b/>
          <w:bCs/>
          <w:sz w:val="18"/>
        </w:rPr>
        <w:t>Hu</w:t>
      </w:r>
      <w:r>
        <w:rPr>
          <w:rFonts w:ascii="Arial Nova" w:hAnsi="Arial Nova"/>
          <w:b/>
          <w:bCs/>
          <w:sz w:val="18"/>
        </w:rPr>
        <w:t>man</w:t>
      </w:r>
      <w:r w:rsidRPr="004F79C1">
        <w:rPr>
          <w:rFonts w:ascii="Arial Nova" w:hAnsi="Arial Nova"/>
          <w:b/>
          <w:bCs/>
          <w:sz w:val="18"/>
        </w:rPr>
        <w:t xml:space="preserve"> rights considerations.</w:t>
      </w:r>
      <w:r>
        <w:rPr>
          <w:rFonts w:ascii="Arial Nova" w:hAnsi="Arial Nova"/>
          <w:sz w:val="18"/>
          <w:u w:val="single"/>
        </w:rPr>
        <w:t xml:space="preserve"> </w:t>
      </w:r>
      <w:r w:rsidRPr="00940014">
        <w:rPr>
          <w:rFonts w:ascii="Arial Nova" w:hAnsi="Arial Nova"/>
          <w:sz w:val="18"/>
          <w:u w:val="single"/>
        </w:rPr>
        <w:t>Indicator 28, Number and nature of identified cases of severe human rights issues and incidents</w:t>
      </w:r>
      <w:r>
        <w:rPr>
          <w:rFonts w:ascii="Arial Nova" w:hAnsi="Arial Nova"/>
          <w:sz w:val="18"/>
          <w:u w:val="single"/>
        </w:rPr>
        <w:t>,</w:t>
      </w:r>
      <w:r w:rsidRPr="00940014">
        <w:rPr>
          <w:rFonts w:ascii="Arial Nova" w:hAnsi="Arial Nova"/>
          <w:sz w:val="18"/>
          <w:u w:val="single"/>
        </w:rPr>
        <w:t xml:space="preserve"> </w:t>
      </w:r>
      <w:r>
        <w:rPr>
          <w:rFonts w:ascii="Arial Nova" w:hAnsi="Arial Nova"/>
          <w:sz w:val="18"/>
          <w:u w:val="single"/>
        </w:rPr>
        <w:t>is</w:t>
      </w:r>
      <w:r w:rsidRPr="00940014">
        <w:rPr>
          <w:rFonts w:ascii="Arial Nova" w:hAnsi="Arial Nova"/>
          <w:sz w:val="18"/>
          <w:u w:val="single"/>
        </w:rPr>
        <w:t xml:space="preserve"> unclear</w:t>
      </w:r>
    </w:p>
    <w:p w14:paraId="1CF11AEF" w14:textId="77777777" w:rsidR="00361684" w:rsidRPr="00940014" w:rsidRDefault="00361684" w:rsidP="00361684">
      <w:pPr>
        <w:pStyle w:val="ListParagraph"/>
        <w:spacing w:line="360" w:lineRule="auto"/>
        <w:rPr>
          <w:rFonts w:ascii="Arial Nova" w:hAnsi="Arial Nova"/>
          <w:sz w:val="18"/>
        </w:rPr>
      </w:pPr>
      <w:r w:rsidRPr="00940014">
        <w:rPr>
          <w:rFonts w:ascii="Arial Nova" w:hAnsi="Arial Nova"/>
          <w:sz w:val="18"/>
        </w:rPr>
        <w:t>What is considered severe appears open to interpretation</w:t>
      </w:r>
      <w:r>
        <w:rPr>
          <w:rFonts w:ascii="Arial Nova" w:hAnsi="Arial Nova"/>
          <w:sz w:val="18"/>
        </w:rPr>
        <w:t>, as to whether it refers to</w:t>
      </w:r>
      <w:r w:rsidRPr="00940014">
        <w:rPr>
          <w:rFonts w:ascii="Arial Nova" w:hAnsi="Arial Nova"/>
          <w:sz w:val="18"/>
        </w:rPr>
        <w:t xml:space="preserve"> the severity for the impacted stakeholder or the corporate</w:t>
      </w:r>
      <w:r>
        <w:rPr>
          <w:rFonts w:ascii="Arial Nova" w:hAnsi="Arial Nova"/>
          <w:sz w:val="18"/>
        </w:rPr>
        <w:t>.</w:t>
      </w:r>
      <w:r w:rsidRPr="00940014">
        <w:rPr>
          <w:rFonts w:ascii="Arial Nova" w:hAnsi="Arial Nova"/>
          <w:sz w:val="18"/>
        </w:rPr>
        <w:t xml:space="preserve"> This is one area where the methodology for the indicator should be tightened.  Given the nature of human rights (such that they may or may not have major</w:t>
      </w:r>
      <w:r>
        <w:rPr>
          <w:rFonts w:ascii="Arial Nova" w:hAnsi="Arial Nova"/>
          <w:sz w:val="18"/>
        </w:rPr>
        <w:t xml:space="preserve"> financial</w:t>
      </w:r>
      <w:r w:rsidRPr="00940014">
        <w:rPr>
          <w:rFonts w:ascii="Arial Nova" w:hAnsi="Arial Nova"/>
          <w:sz w:val="18"/>
        </w:rPr>
        <w:t xml:space="preserve"> implications for the company), </w:t>
      </w:r>
      <w:r>
        <w:rPr>
          <w:rFonts w:ascii="Arial Nova" w:hAnsi="Arial Nova"/>
          <w:sz w:val="18"/>
        </w:rPr>
        <w:t xml:space="preserve">and the objectives of this proposal on ESG disclosures, </w:t>
      </w:r>
      <w:r w:rsidRPr="00940014">
        <w:rPr>
          <w:rFonts w:ascii="Arial Nova" w:hAnsi="Arial Nova"/>
          <w:sz w:val="18"/>
        </w:rPr>
        <w:t>we would advise that the definition focus on the severe human rights issues for</w:t>
      </w:r>
      <w:r>
        <w:rPr>
          <w:rFonts w:ascii="Arial Nova" w:hAnsi="Arial Nova"/>
          <w:sz w:val="18"/>
        </w:rPr>
        <w:t xml:space="preserve"> the</w:t>
      </w:r>
      <w:r w:rsidRPr="00940014">
        <w:rPr>
          <w:rFonts w:ascii="Arial Nova" w:hAnsi="Arial Nova"/>
          <w:sz w:val="18"/>
        </w:rPr>
        <w:t xml:space="preserve"> stakeholders. </w:t>
      </w:r>
    </w:p>
    <w:p w14:paraId="68A30C2D" w14:textId="77777777" w:rsidR="00361684" w:rsidRDefault="00361684" w:rsidP="00361684">
      <w:pPr>
        <w:pStyle w:val="ListParagraph"/>
        <w:spacing w:line="360" w:lineRule="auto"/>
        <w:rPr>
          <w:rFonts w:ascii="Arial Nova" w:hAnsi="Arial Nova"/>
          <w:sz w:val="18"/>
        </w:rPr>
      </w:pPr>
    </w:p>
    <w:p w14:paraId="521713E1" w14:textId="77777777" w:rsidR="00361684" w:rsidRDefault="00361684" w:rsidP="00361684">
      <w:pPr>
        <w:pStyle w:val="ListParagraph"/>
        <w:numPr>
          <w:ilvl w:val="0"/>
          <w:numId w:val="45"/>
        </w:numPr>
        <w:spacing w:line="360" w:lineRule="auto"/>
        <w:rPr>
          <w:rFonts w:ascii="Arial Nova" w:hAnsi="Arial Nova"/>
          <w:sz w:val="18"/>
        </w:rPr>
      </w:pPr>
      <w:r w:rsidRPr="004F79C1">
        <w:rPr>
          <w:rFonts w:ascii="Arial Nova" w:hAnsi="Arial Nova"/>
          <w:b/>
          <w:bCs/>
          <w:sz w:val="18"/>
        </w:rPr>
        <w:lastRenderedPageBreak/>
        <w:t>Physical climate exposures.</w:t>
      </w:r>
      <w:r>
        <w:rPr>
          <w:rFonts w:ascii="Arial Nova" w:hAnsi="Arial Nova"/>
          <w:sz w:val="18"/>
          <w:u w:val="single"/>
        </w:rPr>
        <w:t xml:space="preserve"> </w:t>
      </w:r>
      <w:r w:rsidRPr="00940014">
        <w:rPr>
          <w:rFonts w:ascii="Arial Nova" w:hAnsi="Arial Nova"/>
          <w:sz w:val="18"/>
          <w:u w:val="single"/>
        </w:rPr>
        <w:t>Climate related indicators should</w:t>
      </w:r>
      <w:r w:rsidRPr="002D3BB8">
        <w:rPr>
          <w:rFonts w:ascii="Arial Nova" w:hAnsi="Arial Nova"/>
          <w:sz w:val="18"/>
          <w:u w:val="single"/>
        </w:rPr>
        <w:t xml:space="preserve"> promote understanding of exposure to physical climate hazards</w:t>
      </w:r>
      <w:r w:rsidRPr="008353F3">
        <w:rPr>
          <w:rFonts w:ascii="Arial Nova" w:hAnsi="Arial Nova"/>
          <w:sz w:val="18"/>
        </w:rPr>
        <w:t xml:space="preserve">. </w:t>
      </w:r>
      <w:r>
        <w:rPr>
          <w:rFonts w:ascii="Arial Nova" w:hAnsi="Arial Nova"/>
          <w:sz w:val="18"/>
        </w:rPr>
        <w:t>W</w:t>
      </w:r>
      <w:r w:rsidRPr="008353F3">
        <w:rPr>
          <w:rFonts w:ascii="Arial Nova" w:hAnsi="Arial Nova"/>
          <w:sz w:val="18"/>
        </w:rPr>
        <w:t xml:space="preserve">e would recommend that indicators be added for hazards such as floods, hurricanes </w:t>
      </w:r>
      <w:r>
        <w:rPr>
          <w:rFonts w:ascii="Arial Nova" w:hAnsi="Arial Nova"/>
          <w:sz w:val="18"/>
        </w:rPr>
        <w:t>and</w:t>
      </w:r>
      <w:r w:rsidRPr="008353F3">
        <w:rPr>
          <w:rFonts w:ascii="Arial Nova" w:hAnsi="Arial Nova"/>
          <w:sz w:val="18"/>
        </w:rPr>
        <w:t xml:space="preserve"> typhoons, heat stress and sea level rise which can pose material risks to companies. The guidance already includes relevant indicators on water stress (share of investee companies with sites located in areas of high water stress), and this same metric is relevant to each of the other hazards as well. </w:t>
      </w:r>
      <w:r>
        <w:rPr>
          <w:rFonts w:ascii="Arial Nova" w:hAnsi="Arial Nova"/>
          <w:sz w:val="18"/>
        </w:rPr>
        <w:t xml:space="preserve">Also, </w:t>
      </w:r>
      <w:r w:rsidRPr="008353F3">
        <w:rPr>
          <w:rFonts w:ascii="Arial Nova" w:hAnsi="Arial Nova"/>
          <w:sz w:val="18"/>
        </w:rPr>
        <w:t xml:space="preserve">as </w:t>
      </w:r>
      <w:r>
        <w:rPr>
          <w:rFonts w:ascii="Arial Nova" w:hAnsi="Arial Nova"/>
          <w:sz w:val="18"/>
        </w:rPr>
        <w:t>proposed,</w:t>
      </w:r>
      <w:r w:rsidRPr="008353F3">
        <w:rPr>
          <w:rFonts w:ascii="Arial Nova" w:hAnsi="Arial Nova"/>
          <w:sz w:val="18"/>
        </w:rPr>
        <w:t xml:space="preserve"> it</w:t>
      </w:r>
      <w:r>
        <w:rPr>
          <w:rFonts w:ascii="Arial Nova" w:hAnsi="Arial Nova"/>
          <w:sz w:val="18"/>
        </w:rPr>
        <w:t xml:space="preserve"> is</w:t>
      </w:r>
      <w:r w:rsidRPr="008353F3">
        <w:rPr>
          <w:rFonts w:ascii="Arial Nova" w:hAnsi="Arial Nova"/>
          <w:sz w:val="18"/>
        </w:rPr>
        <w:t xml:space="preserve"> ambiguous </w:t>
      </w:r>
      <w:r>
        <w:rPr>
          <w:rFonts w:ascii="Arial Nova" w:hAnsi="Arial Nova"/>
          <w:sz w:val="18"/>
        </w:rPr>
        <w:t>as to</w:t>
      </w:r>
      <w:r w:rsidRPr="008353F3">
        <w:rPr>
          <w:rFonts w:ascii="Arial Nova" w:hAnsi="Arial Nova"/>
          <w:sz w:val="18"/>
        </w:rPr>
        <w:t xml:space="preserve"> how a</w:t>
      </w:r>
      <w:r>
        <w:rPr>
          <w:rFonts w:ascii="Arial Nova" w:hAnsi="Arial Nova"/>
          <w:sz w:val="18"/>
        </w:rPr>
        <w:t>n asset manager</w:t>
      </w:r>
      <w:r w:rsidRPr="008353F3">
        <w:rPr>
          <w:rFonts w:ascii="Arial Nova" w:hAnsi="Arial Nova"/>
          <w:sz w:val="18"/>
        </w:rPr>
        <w:t xml:space="preserve"> would respond if</w:t>
      </w:r>
      <w:r>
        <w:rPr>
          <w:rFonts w:ascii="Arial Nova" w:hAnsi="Arial Nova"/>
          <w:sz w:val="18"/>
        </w:rPr>
        <w:t>,</w:t>
      </w:r>
      <w:r w:rsidRPr="008353F3">
        <w:rPr>
          <w:rFonts w:ascii="Arial Nova" w:hAnsi="Arial Nova"/>
          <w:sz w:val="18"/>
        </w:rPr>
        <w:t xml:space="preserve"> say</w:t>
      </w:r>
      <w:r>
        <w:rPr>
          <w:rFonts w:ascii="Arial Nova" w:hAnsi="Arial Nova"/>
          <w:sz w:val="18"/>
        </w:rPr>
        <w:t>,</w:t>
      </w:r>
      <w:r w:rsidRPr="008353F3">
        <w:rPr>
          <w:rFonts w:ascii="Arial Nova" w:hAnsi="Arial Nova"/>
          <w:sz w:val="18"/>
        </w:rPr>
        <w:t xml:space="preserve"> all of their investee companies have a handful of facilities exposed but only a few have more than a quarter of their facilities exposed.</w:t>
      </w:r>
      <w:r>
        <w:rPr>
          <w:rFonts w:ascii="Arial Nova" w:hAnsi="Arial Nova"/>
          <w:sz w:val="18"/>
        </w:rPr>
        <w:t xml:space="preserve"> It may be more meaningful to report on </w:t>
      </w:r>
      <w:r w:rsidRPr="008353F3">
        <w:rPr>
          <w:rFonts w:ascii="Arial Nova" w:hAnsi="Arial Nova"/>
          <w:sz w:val="18"/>
        </w:rPr>
        <w:t>the number or percent of investee companies’ facilities exposed</w:t>
      </w:r>
      <w:r>
        <w:rPr>
          <w:rFonts w:ascii="Arial Nova" w:hAnsi="Arial Nova"/>
          <w:sz w:val="18"/>
        </w:rPr>
        <w:t xml:space="preserve"> to a particular hazard. We encourage requiring asset managers</w:t>
      </w:r>
      <w:r w:rsidRPr="00946740">
        <w:rPr>
          <w:rFonts w:ascii="Arial Nova" w:hAnsi="Arial Nova"/>
          <w:sz w:val="18"/>
        </w:rPr>
        <w:t xml:space="preserve"> </w:t>
      </w:r>
      <w:r>
        <w:rPr>
          <w:rFonts w:ascii="Arial Nova" w:hAnsi="Arial Nova"/>
          <w:sz w:val="18"/>
        </w:rPr>
        <w:t>to</w:t>
      </w:r>
      <w:r w:rsidRPr="00946740">
        <w:rPr>
          <w:rFonts w:ascii="Arial Nova" w:hAnsi="Arial Nova"/>
          <w:sz w:val="18"/>
        </w:rPr>
        <w:t xml:space="preserve"> explain the approach they have taken t</w:t>
      </w:r>
      <w:r>
        <w:rPr>
          <w:rFonts w:ascii="Arial Nova" w:hAnsi="Arial Nova"/>
          <w:sz w:val="18"/>
        </w:rPr>
        <w:t>o evaluate and report on their risk exposure across portfolio.</w:t>
      </w:r>
      <w:r>
        <w:rPr>
          <w:rFonts w:ascii="Arial Nova" w:hAnsi="Arial Nova"/>
          <w:sz w:val="18"/>
        </w:rPr>
        <w:br/>
      </w:r>
    </w:p>
    <w:p w14:paraId="5A629067" w14:textId="77777777" w:rsidR="00361684" w:rsidRDefault="00361684" w:rsidP="00361684">
      <w:pPr>
        <w:pStyle w:val="ListParagraph"/>
        <w:numPr>
          <w:ilvl w:val="0"/>
          <w:numId w:val="45"/>
        </w:numPr>
        <w:spacing w:line="360" w:lineRule="auto"/>
        <w:rPr>
          <w:rFonts w:ascii="Arial Nova" w:hAnsi="Arial Nova"/>
          <w:sz w:val="18"/>
        </w:rPr>
      </w:pPr>
      <w:r w:rsidRPr="005B0F16">
        <w:rPr>
          <w:rFonts w:ascii="Arial Nova" w:hAnsi="Arial Nova"/>
          <w:b/>
          <w:bCs/>
          <w:sz w:val="18"/>
        </w:rPr>
        <w:t>Career, talent development and reorganisation indicators.</w:t>
      </w:r>
      <w:r>
        <w:rPr>
          <w:rFonts w:ascii="Arial Nova" w:hAnsi="Arial Nova"/>
          <w:sz w:val="18"/>
          <w:u w:val="single"/>
        </w:rPr>
        <w:t xml:space="preserve"> </w:t>
      </w:r>
      <w:r w:rsidRPr="00130724">
        <w:rPr>
          <w:rFonts w:ascii="Arial Nova" w:hAnsi="Arial Nova"/>
          <w:sz w:val="18"/>
          <w:u w:val="single"/>
        </w:rPr>
        <w:t xml:space="preserve">We believe that additional policy indicators related to </w:t>
      </w:r>
      <w:r w:rsidRPr="00A36A88">
        <w:rPr>
          <w:rFonts w:ascii="Arial Nova" w:hAnsi="Arial Nova"/>
          <w:sz w:val="18"/>
          <w:u w:val="single"/>
        </w:rPr>
        <w:t xml:space="preserve">Career and Talent Development and Reorganisation </w:t>
      </w:r>
      <w:r w:rsidRPr="00130724">
        <w:rPr>
          <w:rFonts w:ascii="Arial Nova" w:hAnsi="Arial Nova"/>
          <w:sz w:val="18"/>
          <w:u w:val="single"/>
        </w:rPr>
        <w:t>would be beneficial</w:t>
      </w:r>
      <w:r w:rsidRPr="00130724">
        <w:rPr>
          <w:rFonts w:ascii="Arial Nova" w:hAnsi="Arial Nova"/>
          <w:sz w:val="18"/>
        </w:rPr>
        <w:t xml:space="preserve"> given the current context of large-scale unemployment (</w:t>
      </w:r>
      <w:r w:rsidRPr="00E81DEB">
        <w:rPr>
          <w:rFonts w:ascii="Arial Nova" w:hAnsi="Arial Nova"/>
          <w:sz w:val="18"/>
        </w:rPr>
        <w:t>driven by large segments of the economy undergoing disruptive transitions (energy, digital), compounded by the impacts of COVID-1</w:t>
      </w:r>
      <w:r w:rsidRPr="00130724">
        <w:rPr>
          <w:rFonts w:ascii="Arial Nova" w:hAnsi="Arial Nova"/>
          <w:i/>
          <w:iCs/>
          <w:sz w:val="18"/>
        </w:rPr>
        <w:t>9</w:t>
      </w:r>
      <w:r>
        <w:rPr>
          <w:rFonts w:ascii="Arial Nova" w:hAnsi="Arial Nova"/>
          <w:sz w:val="18"/>
        </w:rPr>
        <w:t>).</w:t>
      </w:r>
      <w:r w:rsidRPr="00130724">
        <w:rPr>
          <w:rFonts w:ascii="Arial Nova" w:hAnsi="Arial Nova"/>
          <w:sz w:val="18"/>
        </w:rPr>
        <w:t xml:space="preserve"> </w:t>
      </w:r>
      <w:r>
        <w:rPr>
          <w:rFonts w:ascii="Arial Nova" w:hAnsi="Arial Nova"/>
          <w:sz w:val="18"/>
        </w:rPr>
        <w:br/>
      </w:r>
    </w:p>
    <w:p w14:paraId="124AAE51" w14:textId="77777777" w:rsidR="00361684" w:rsidRDefault="00361684" w:rsidP="00361684">
      <w:pPr>
        <w:pStyle w:val="ListParagraph"/>
        <w:numPr>
          <w:ilvl w:val="0"/>
          <w:numId w:val="45"/>
        </w:numPr>
        <w:spacing w:line="360" w:lineRule="auto"/>
        <w:rPr>
          <w:rFonts w:ascii="Arial Nova" w:hAnsi="Arial Nova"/>
          <w:sz w:val="18"/>
        </w:rPr>
      </w:pPr>
      <w:r>
        <w:rPr>
          <w:rFonts w:ascii="Arial Nova" w:hAnsi="Arial Nova"/>
          <w:b/>
          <w:bCs/>
          <w:sz w:val="18"/>
        </w:rPr>
        <w:t xml:space="preserve">Consumer protection. </w:t>
      </w:r>
      <w:r w:rsidRPr="00535782">
        <w:rPr>
          <w:rFonts w:ascii="Arial Nova" w:hAnsi="Arial Nova"/>
          <w:sz w:val="18"/>
        </w:rPr>
        <w:t xml:space="preserve">We note that as </w:t>
      </w:r>
      <w:r>
        <w:rPr>
          <w:rFonts w:ascii="Arial Nova" w:hAnsi="Arial Nova"/>
          <w:sz w:val="18"/>
        </w:rPr>
        <w:t>currently drafted</w:t>
      </w:r>
      <w:r w:rsidRPr="00535782">
        <w:rPr>
          <w:rFonts w:ascii="Arial Nova" w:hAnsi="Arial Nova"/>
          <w:sz w:val="18"/>
        </w:rPr>
        <w:t xml:space="preserve">, there are no adverse impact indicators related to consumer protection. We </w:t>
      </w:r>
      <w:proofErr w:type="gramStart"/>
      <w:r w:rsidRPr="00535782">
        <w:rPr>
          <w:rFonts w:ascii="Arial Nova" w:hAnsi="Arial Nova"/>
          <w:sz w:val="18"/>
        </w:rPr>
        <w:t>propose  that</w:t>
      </w:r>
      <w:proofErr w:type="gramEnd"/>
      <w:r w:rsidRPr="00535782">
        <w:rPr>
          <w:rFonts w:ascii="Arial Nova" w:hAnsi="Arial Nova"/>
          <w:sz w:val="18"/>
        </w:rPr>
        <w:t xml:space="preserve"> the </w:t>
      </w:r>
      <w:r w:rsidRPr="00535782">
        <w:rPr>
          <w:rFonts w:ascii="Arial Nova" w:hAnsi="Arial Nova"/>
          <w:sz w:val="18"/>
          <w:u w:val="single"/>
        </w:rPr>
        <w:t>addition of policy indicators related to product and service safety</w:t>
      </w:r>
      <w:r w:rsidRPr="00535782">
        <w:rPr>
          <w:rFonts w:ascii="Arial Nova" w:hAnsi="Arial Nova"/>
          <w:sz w:val="18"/>
        </w:rPr>
        <w:t xml:space="preserve"> </w:t>
      </w:r>
      <w:r>
        <w:rPr>
          <w:rFonts w:ascii="Arial Nova" w:hAnsi="Arial Nova"/>
          <w:sz w:val="18"/>
        </w:rPr>
        <w:t>will</w:t>
      </w:r>
      <w:r w:rsidRPr="00535782">
        <w:rPr>
          <w:rFonts w:ascii="Arial Nova" w:hAnsi="Arial Nova"/>
          <w:sz w:val="18"/>
        </w:rPr>
        <w:t xml:space="preserve"> make the reporting framework more holistic and capture an important angle of adverse impact</w:t>
      </w:r>
      <w:r>
        <w:rPr>
          <w:rFonts w:ascii="Arial Nova" w:hAnsi="Arial Nova"/>
          <w:sz w:val="18"/>
        </w:rPr>
        <w:t>.</w:t>
      </w:r>
    </w:p>
    <w:p w14:paraId="560E064F" w14:textId="77777777" w:rsidR="00361684" w:rsidRDefault="00361684" w:rsidP="00361684">
      <w:pPr>
        <w:rPr>
          <w:rFonts w:cs="Arial"/>
        </w:rPr>
      </w:pPr>
    </w:p>
    <w:p w14:paraId="66FAECE7" w14:textId="77777777" w:rsidR="00361684" w:rsidRDefault="00361684" w:rsidP="003E573C">
      <w:pPr>
        <w:rPr>
          <w:rFonts w:cs="Arial"/>
        </w:rPr>
      </w:pPr>
    </w:p>
    <w:p w14:paraId="4EE27C0A" w14:textId="4C36A23D" w:rsidR="003E573C" w:rsidRDefault="003E573C" w:rsidP="003E573C">
      <w:pPr>
        <w:rPr>
          <w:rFonts w:cs="Arial"/>
        </w:rPr>
      </w:pPr>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50F90073" w14:textId="77777777" w:rsidR="00361684" w:rsidRDefault="00361684" w:rsidP="003E573C">
      <w:pPr>
        <w:rPr>
          <w:rFonts w:cs="Arial"/>
        </w:rPr>
      </w:pPr>
      <w:permStart w:id="418122716" w:edGrp="everyone"/>
    </w:p>
    <w:p w14:paraId="52E534C3" w14:textId="5E79CFA7" w:rsidR="00361684" w:rsidRDefault="00361684" w:rsidP="003E573C">
      <w:pPr>
        <w:rPr>
          <w:rFonts w:cs="Arial"/>
        </w:rPr>
      </w:pPr>
      <w:r w:rsidRPr="00DB4B53">
        <w:rPr>
          <w:rFonts w:ascii="Arial Nova" w:hAnsi="Arial Nova"/>
          <w:b/>
          <w:bCs/>
          <w:sz w:val="18"/>
        </w:rPr>
        <w:t>Yes</w:t>
      </w:r>
      <w:r>
        <w:rPr>
          <w:b/>
          <w:bCs/>
          <w:color w:val="548235"/>
          <w:lang w:eastAsia="en-US"/>
        </w:rPr>
        <w:t xml:space="preserve">, </w:t>
      </w:r>
      <w:r w:rsidRPr="00DB4B53">
        <w:rPr>
          <w:rFonts w:ascii="Arial Nova" w:hAnsi="Arial Nova"/>
          <w:sz w:val="18"/>
        </w:rPr>
        <w:t>it would give an indication about the alignment of companies with the EU 2030 climate objectives. The metric could be: % of target reached or key performance indicators to assess progress against target as well as disclosure of own target if specific for the sector/company.  </w:t>
      </w:r>
      <w:r>
        <w:rPr>
          <w:rFonts w:ascii="Arial Nova" w:hAnsi="Arial Nova"/>
          <w:sz w:val="18"/>
        </w:rPr>
        <w:t>One example metric might be p</w:t>
      </w:r>
      <w:r w:rsidRPr="00DB4B53">
        <w:rPr>
          <w:rFonts w:ascii="Arial Nova" w:hAnsi="Arial Nova"/>
          <w:sz w:val="18"/>
        </w:rPr>
        <w:t>roportion of TCO2e emitted that are covered by EU ETS or other emissions trading schemes</w:t>
      </w:r>
      <w:r>
        <w:rPr>
          <w:rFonts w:ascii="Arial Nova" w:hAnsi="Arial Nova"/>
          <w:sz w:val="18"/>
        </w:rPr>
        <w:t>.</w:t>
      </w:r>
    </w:p>
    <w:p w14:paraId="46FB187E" w14:textId="7B9309A0" w:rsidR="003E573C" w:rsidRDefault="003E573C" w:rsidP="003E573C">
      <w:pPr>
        <w:rPr>
          <w:rFonts w:cs="Arial"/>
        </w:rPr>
      </w:pPr>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58CF579B" w14:textId="77777777" w:rsidR="00361684" w:rsidRDefault="00361684" w:rsidP="003E573C">
      <w:pPr>
        <w:rPr>
          <w:rFonts w:cs="Arial"/>
        </w:rPr>
      </w:pPr>
      <w:permStart w:id="569465455" w:edGrp="everyone"/>
    </w:p>
    <w:p w14:paraId="47A4CD05" w14:textId="77777777" w:rsidR="00361684" w:rsidRDefault="00361684" w:rsidP="00361684">
      <w:pPr>
        <w:rPr>
          <w:rFonts w:ascii="Arial Nova" w:hAnsi="Arial Nova"/>
          <w:sz w:val="18"/>
        </w:rPr>
      </w:pPr>
      <w:r>
        <w:rPr>
          <w:rFonts w:ascii="Arial Nova" w:hAnsi="Arial Nova"/>
          <w:sz w:val="18"/>
        </w:rPr>
        <w:t xml:space="preserve">We believe this is a value added proposal that helps to contextualise the reporting. </w:t>
      </w:r>
    </w:p>
    <w:p w14:paraId="0C878FD0" w14:textId="77777777" w:rsidR="00361684" w:rsidRDefault="00361684" w:rsidP="003E573C">
      <w:pPr>
        <w:rPr>
          <w:rFonts w:cs="Arial"/>
        </w:rPr>
      </w:pPr>
    </w:p>
    <w:p w14:paraId="74EF7BA7" w14:textId="2560C58E" w:rsidR="003E573C" w:rsidRDefault="003E573C" w:rsidP="003E573C">
      <w:pPr>
        <w:rPr>
          <w:rFonts w:cs="Arial"/>
        </w:rPr>
      </w:pPr>
      <w:r>
        <w:rPr>
          <w:rFonts w:cs="Arial"/>
        </w:rPr>
        <w:lastRenderedPageBreak/>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112C3C62" w14:textId="77777777" w:rsidR="00361684" w:rsidRDefault="00361684" w:rsidP="003E573C">
      <w:pPr>
        <w:rPr>
          <w:rFonts w:cs="Arial"/>
        </w:rPr>
      </w:pPr>
      <w:permStart w:id="221670941" w:edGrp="everyone"/>
    </w:p>
    <w:p w14:paraId="3A630D6B" w14:textId="77777777" w:rsidR="00361684" w:rsidRPr="00256514" w:rsidRDefault="00361684" w:rsidP="00361684">
      <w:pPr>
        <w:rPr>
          <w:rFonts w:cs="Arial"/>
        </w:rPr>
      </w:pPr>
      <w:r w:rsidRPr="00256514">
        <w:rPr>
          <w:rFonts w:cs="Arial"/>
        </w:rPr>
        <w:t xml:space="preserve">We agree with this approach. This holistic approach gives the regulatory initiative a better chance of achieving its overarching objectives by ensuring that the full spectrum of potential adverse ESG impacts are reported upon from the outset. Only leading with environmental indicators would have clearly limited the value of this reporting (providing a one-dimensional view) and its impact on the market overall (by stimulating disclosures on this one angle). </w:t>
      </w:r>
    </w:p>
    <w:p w14:paraId="050694D2" w14:textId="77777777" w:rsidR="00361684" w:rsidRPr="00256514" w:rsidRDefault="00361684" w:rsidP="00361684">
      <w:pPr>
        <w:rPr>
          <w:rFonts w:cs="Arial"/>
        </w:rPr>
      </w:pPr>
    </w:p>
    <w:p w14:paraId="6887F2AF" w14:textId="77777777" w:rsidR="00361684" w:rsidRDefault="00361684" w:rsidP="00361684">
      <w:pPr>
        <w:rPr>
          <w:rFonts w:cs="Arial"/>
        </w:rPr>
      </w:pPr>
      <w:r w:rsidRPr="00256514">
        <w:rPr>
          <w:rFonts w:cs="Arial"/>
        </w:rPr>
        <w:t>Social and employee matters, respect for human rights, anti-corruption and anti-bribery are also issues on which reporting maturity lags behind. Initiatives such as the Carbon Disclosure Project (CDP) and the Task Force on Climate Related Financial Disclosures (TCFD) are guiding better reporting practices in the market on climate. There are initiatives covering these types of disclosure for social and employee matters (for example the Guiding Principles on Business and Human Rights / OHCHR and the Corporate Human Rights Benchmark / CHRB), but their adoption and impact across sectors and markets remain lower. COVID-19 and its associated social impacts has triggered a shift in the ESG industry, with both corporate and investors paying more attention to these elements.  By integrating these issues into the scope of the reporting guidelines, ESAs may further stimulate necessary debates and reporting improvements in these areas.</w:t>
      </w:r>
    </w:p>
    <w:p w14:paraId="6BB92F93" w14:textId="77777777" w:rsidR="00361684" w:rsidRDefault="00361684" w:rsidP="003E573C">
      <w:pPr>
        <w:rPr>
          <w:rFonts w:cs="Arial"/>
        </w:rPr>
      </w:pPr>
    </w:p>
    <w:p w14:paraId="0A4368BF" w14:textId="69152855" w:rsidR="003E573C" w:rsidRDefault="003E573C" w:rsidP="003E573C">
      <w:pPr>
        <w:rPr>
          <w:rFonts w:cs="Arial"/>
        </w:rPr>
      </w:pPr>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54E5F869" w14:textId="77777777" w:rsidR="00361684" w:rsidRDefault="00361684" w:rsidP="003E573C">
      <w:pPr>
        <w:rPr>
          <w:rFonts w:cs="Arial"/>
        </w:rPr>
      </w:pPr>
      <w:permStart w:id="610013876" w:edGrp="everyone"/>
    </w:p>
    <w:p w14:paraId="29C2EDEC" w14:textId="77777777" w:rsidR="00361684" w:rsidRDefault="00361684" w:rsidP="00361684">
      <w:pPr>
        <w:rPr>
          <w:rFonts w:cs="Arial"/>
        </w:rPr>
      </w:pPr>
      <w:r w:rsidRPr="00256514">
        <w:rPr>
          <w:rFonts w:cs="Arial"/>
        </w:rPr>
        <w:t>We agree with the proposal to provide a back history of information. This will help contextualise the reporting and flag positive or negative trends. However, whenever providing time series data, it is vital to place a premium on quality and transparency to avoid the extended time series being misleading.  A 10-year view needs to account for the likely fluctuations in data availability year on year. This will be particularly important for indicators that represent metrics (Carbon Footprint, Energy Intensity etc). From a guidance perspective, it might be prudent to inform stakeholders of any change in the basis of measurement in future reports. Also, attention must be paid to ensuring transparency on the quality of data (coverage in particular) that lies underneath each year of reporting to ensure that the time series of data is not misleading.</w:t>
      </w:r>
    </w:p>
    <w:p w14:paraId="362E3D78" w14:textId="77777777" w:rsidR="00361684" w:rsidRDefault="00361684" w:rsidP="00361684">
      <w:pPr>
        <w:rPr>
          <w:rFonts w:cs="Arial"/>
        </w:rPr>
      </w:pPr>
    </w:p>
    <w:p w14:paraId="2B20F0CF" w14:textId="77777777" w:rsidR="00361684" w:rsidRDefault="00361684" w:rsidP="003E573C">
      <w:pPr>
        <w:rPr>
          <w:rFonts w:cs="Arial"/>
        </w:rPr>
      </w:pPr>
    </w:p>
    <w:p w14:paraId="3D5354FE" w14:textId="1577AC7D" w:rsidR="003E573C" w:rsidRDefault="003E573C" w:rsidP="003E573C">
      <w:pPr>
        <w:rPr>
          <w:rFonts w:cs="Arial"/>
        </w:rPr>
      </w:pPr>
      <w:r>
        <w:rPr>
          <w:rFonts w:cs="Arial"/>
        </w:rPr>
        <w:t>TYPE YOUR TEXT HERE</w:t>
      </w:r>
    </w:p>
    <w:permEnd w:id="610013876"/>
    <w:p w14:paraId="40F05C94" w14:textId="484F0F04" w:rsidR="003E573C" w:rsidRDefault="003E573C" w:rsidP="003E573C">
      <w:pPr>
        <w:rPr>
          <w:rFonts w:cs="Arial"/>
        </w:rPr>
      </w:pPr>
      <w:r>
        <w:rPr>
          <w:rFonts w:cs="Arial"/>
        </w:rPr>
        <w:lastRenderedPageBreak/>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20B9A96F" w14:textId="77777777" w:rsidR="00361684" w:rsidRDefault="00361684" w:rsidP="003E573C">
      <w:pPr>
        <w:rPr>
          <w:rFonts w:cs="Arial"/>
        </w:rPr>
      </w:pPr>
      <w:permStart w:id="790175202" w:edGrp="everyone"/>
    </w:p>
    <w:p w14:paraId="6B249FF1" w14:textId="77777777" w:rsidR="00361684" w:rsidRPr="00315AF5" w:rsidRDefault="00361684" w:rsidP="00361684">
      <w:pPr>
        <w:spacing w:line="360" w:lineRule="auto"/>
        <w:rPr>
          <w:rFonts w:ascii="Arial Nova" w:hAnsi="Arial Nova"/>
          <w:sz w:val="18"/>
        </w:rPr>
      </w:pPr>
      <w:r w:rsidRPr="00315AF5">
        <w:rPr>
          <w:rFonts w:ascii="Arial Nova" w:hAnsi="Arial Nova"/>
          <w:sz w:val="18"/>
        </w:rPr>
        <w:t xml:space="preserve">There </w:t>
      </w:r>
      <w:r>
        <w:rPr>
          <w:rFonts w:ascii="Arial Nova" w:hAnsi="Arial Nova"/>
          <w:sz w:val="18"/>
        </w:rPr>
        <w:t xml:space="preserve">are a number of ways to discourage window dressing: </w:t>
      </w:r>
      <w:r w:rsidRPr="00315AF5">
        <w:rPr>
          <w:rFonts w:ascii="Arial Nova" w:hAnsi="Arial Nova"/>
          <w:sz w:val="18"/>
        </w:rPr>
        <w:t xml:space="preserve"> </w:t>
      </w:r>
    </w:p>
    <w:p w14:paraId="7718C660" w14:textId="77777777" w:rsidR="00361684" w:rsidRDefault="00361684" w:rsidP="00361684">
      <w:pPr>
        <w:pStyle w:val="ListParagraph"/>
        <w:numPr>
          <w:ilvl w:val="0"/>
          <w:numId w:val="46"/>
        </w:numPr>
        <w:spacing w:line="360" w:lineRule="auto"/>
        <w:contextualSpacing w:val="0"/>
        <w:rPr>
          <w:rFonts w:ascii="Arial Nova" w:hAnsi="Arial Nova"/>
          <w:sz w:val="18"/>
        </w:rPr>
      </w:pPr>
      <w:r w:rsidRPr="00243009">
        <w:rPr>
          <w:rFonts w:ascii="Arial Nova" w:hAnsi="Arial Nova"/>
          <w:b/>
          <w:bCs/>
          <w:sz w:val="18"/>
        </w:rPr>
        <w:t xml:space="preserve">Transparency on sources at </w:t>
      </w:r>
      <w:r>
        <w:rPr>
          <w:rFonts w:ascii="Arial Nova" w:hAnsi="Arial Nova"/>
          <w:b/>
          <w:bCs/>
          <w:sz w:val="18"/>
        </w:rPr>
        <w:t xml:space="preserve">the </w:t>
      </w:r>
      <w:r w:rsidRPr="00243009">
        <w:rPr>
          <w:rFonts w:ascii="Arial Nova" w:hAnsi="Arial Nova"/>
          <w:b/>
          <w:bCs/>
          <w:sz w:val="18"/>
        </w:rPr>
        <w:t>indicator level</w:t>
      </w:r>
      <w:r w:rsidRPr="00243009">
        <w:rPr>
          <w:rFonts w:ascii="Arial Nova" w:hAnsi="Arial Nova"/>
          <w:sz w:val="18"/>
        </w:rPr>
        <w:t xml:space="preserve">: </w:t>
      </w:r>
      <w:r>
        <w:rPr>
          <w:rFonts w:ascii="Arial Nova" w:hAnsi="Arial Nova"/>
          <w:sz w:val="18"/>
        </w:rPr>
        <w:t xml:space="preserve">as discussed in our introductory remarks, </w:t>
      </w:r>
      <w:r w:rsidRPr="00243009">
        <w:rPr>
          <w:rFonts w:ascii="Arial Nova" w:hAnsi="Arial Nova"/>
          <w:sz w:val="18"/>
        </w:rPr>
        <w:t xml:space="preserve">reporters should identify clearly where the underlying data has come from. This will enable people to understand if the data has come from independent third party providers or is self-reported by the financial institution. </w:t>
      </w:r>
    </w:p>
    <w:p w14:paraId="0C7F4B63" w14:textId="77777777" w:rsidR="00361684" w:rsidRDefault="00361684" w:rsidP="00361684">
      <w:pPr>
        <w:pStyle w:val="ListParagraph"/>
        <w:numPr>
          <w:ilvl w:val="0"/>
          <w:numId w:val="46"/>
        </w:numPr>
        <w:spacing w:line="360" w:lineRule="auto"/>
        <w:contextualSpacing w:val="0"/>
        <w:rPr>
          <w:rFonts w:ascii="Arial Nova" w:hAnsi="Arial Nova"/>
          <w:sz w:val="18"/>
        </w:rPr>
      </w:pPr>
      <w:r w:rsidRPr="00243009">
        <w:rPr>
          <w:rFonts w:ascii="Arial Nova" w:hAnsi="Arial Nova"/>
          <w:b/>
          <w:bCs/>
          <w:sz w:val="18"/>
        </w:rPr>
        <w:t>Transparency</w:t>
      </w:r>
      <w:r>
        <w:rPr>
          <w:rFonts w:ascii="Arial Nova" w:hAnsi="Arial Nova"/>
          <w:b/>
          <w:bCs/>
          <w:sz w:val="18"/>
        </w:rPr>
        <w:t xml:space="preserve"> </w:t>
      </w:r>
      <w:r w:rsidRPr="00243009">
        <w:rPr>
          <w:rFonts w:ascii="Arial Nova" w:hAnsi="Arial Nova"/>
          <w:b/>
          <w:bCs/>
          <w:sz w:val="18"/>
        </w:rPr>
        <w:t>on coverage</w:t>
      </w:r>
      <w:r>
        <w:rPr>
          <w:rFonts w:ascii="Arial Nova" w:hAnsi="Arial Nova"/>
          <w:b/>
          <w:bCs/>
          <w:sz w:val="18"/>
        </w:rPr>
        <w:t xml:space="preserve"> and time horizon</w:t>
      </w:r>
      <w:r w:rsidRPr="00243009">
        <w:rPr>
          <w:rFonts w:ascii="Arial Nova" w:hAnsi="Arial Nova"/>
          <w:b/>
          <w:bCs/>
          <w:sz w:val="18"/>
        </w:rPr>
        <w:t xml:space="preserve"> at</w:t>
      </w:r>
      <w:r>
        <w:rPr>
          <w:rFonts w:ascii="Arial Nova" w:hAnsi="Arial Nova"/>
          <w:b/>
          <w:bCs/>
          <w:sz w:val="18"/>
        </w:rPr>
        <w:t xml:space="preserve"> the</w:t>
      </w:r>
      <w:r w:rsidRPr="00243009">
        <w:rPr>
          <w:rFonts w:ascii="Arial Nova" w:hAnsi="Arial Nova"/>
          <w:b/>
          <w:bCs/>
          <w:sz w:val="18"/>
        </w:rPr>
        <w:t xml:space="preserve"> indicator level</w:t>
      </w:r>
      <w:r w:rsidRPr="00243009">
        <w:rPr>
          <w:rFonts w:ascii="Arial Nova" w:hAnsi="Arial Nova"/>
          <w:sz w:val="18"/>
        </w:rPr>
        <w:t>:</w:t>
      </w:r>
      <w:r>
        <w:rPr>
          <w:rFonts w:ascii="Arial Nova" w:hAnsi="Arial Nova"/>
          <w:sz w:val="18"/>
        </w:rPr>
        <w:t xml:space="preserve"> as discussed in our introductory remarks,</w:t>
      </w:r>
      <w:r w:rsidRPr="00243009">
        <w:rPr>
          <w:rFonts w:ascii="Arial Nova" w:hAnsi="Arial Nova"/>
          <w:sz w:val="18"/>
        </w:rPr>
        <w:t xml:space="preserve"> reports should identify clearly and at indicator level the availability</w:t>
      </w:r>
      <w:r>
        <w:rPr>
          <w:rFonts w:ascii="Arial Nova" w:hAnsi="Arial Nova"/>
          <w:sz w:val="18"/>
        </w:rPr>
        <w:t xml:space="preserve"> and time horizon</w:t>
      </w:r>
      <w:r w:rsidRPr="00243009">
        <w:rPr>
          <w:rFonts w:ascii="Arial Nova" w:hAnsi="Arial Nova"/>
          <w:sz w:val="18"/>
        </w:rPr>
        <w:t xml:space="preserve"> of data for what is being reported upon. </w:t>
      </w:r>
    </w:p>
    <w:p w14:paraId="0A7BC7D8" w14:textId="77777777" w:rsidR="00361684" w:rsidRDefault="00361684" w:rsidP="00361684">
      <w:pPr>
        <w:pStyle w:val="ListParagraph"/>
        <w:numPr>
          <w:ilvl w:val="0"/>
          <w:numId w:val="46"/>
        </w:numPr>
        <w:spacing w:line="360" w:lineRule="auto"/>
        <w:contextualSpacing w:val="0"/>
        <w:rPr>
          <w:rFonts w:ascii="Arial Nova" w:hAnsi="Arial Nova"/>
          <w:sz w:val="18"/>
        </w:rPr>
      </w:pPr>
      <w:r w:rsidRPr="00243009">
        <w:rPr>
          <w:rFonts w:ascii="Arial Nova" w:hAnsi="Arial Nova"/>
          <w:b/>
          <w:bCs/>
          <w:sz w:val="18"/>
        </w:rPr>
        <w:t>Consistency of reporting windows at product level</w:t>
      </w:r>
      <w:r w:rsidRPr="00243009">
        <w:rPr>
          <w:rFonts w:ascii="Arial Nova" w:hAnsi="Arial Nova"/>
          <w:sz w:val="18"/>
        </w:rPr>
        <w:t xml:space="preserve">: whilst we do not think that the ESAs need to determine a fixed period per annum, they should ensure that reporting on a given product covers the same period year on year. </w:t>
      </w:r>
    </w:p>
    <w:p w14:paraId="2AB13400" w14:textId="77777777" w:rsidR="00361684" w:rsidRDefault="00361684" w:rsidP="003E573C">
      <w:pPr>
        <w:rPr>
          <w:rFonts w:cs="Arial"/>
        </w:rPr>
      </w:pPr>
      <w:bookmarkStart w:id="3" w:name="_GoBack"/>
      <w:bookmarkEnd w:id="3"/>
    </w:p>
    <w:p w14:paraId="5C070307" w14:textId="0DA5BF86" w:rsidR="003E573C" w:rsidRDefault="003E573C" w:rsidP="003E573C">
      <w:pPr>
        <w:rPr>
          <w:rFonts w:cs="Arial"/>
        </w:rPr>
      </w:pPr>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lastRenderedPageBreak/>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lastRenderedPageBreak/>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 xml:space="preserve">a description of the limitations to (1) methodologies and (2) data sources and how such limitations do not affect the attainment of any environmental or social characteristics </w:t>
      </w:r>
      <w:r>
        <w:lastRenderedPageBreak/>
        <w:t>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9C6C96"/>
    <w:multiLevelType w:val="hybridMultilevel"/>
    <w:tmpl w:val="19B6D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1801"/>
    <w:multiLevelType w:val="hybridMultilevel"/>
    <w:tmpl w:val="44B4F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42A07D8"/>
    <w:multiLevelType w:val="hybridMultilevel"/>
    <w:tmpl w:val="21A2B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8C3A61"/>
    <w:multiLevelType w:val="hybridMultilevel"/>
    <w:tmpl w:val="D110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224FF"/>
    <w:multiLevelType w:val="hybridMultilevel"/>
    <w:tmpl w:val="2B34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6" w15:restartNumberingAfterBreak="0">
    <w:nsid w:val="7C034C6B"/>
    <w:multiLevelType w:val="hybridMultilevel"/>
    <w:tmpl w:val="DD46700A"/>
    <w:lvl w:ilvl="0" w:tplc="15B04DE0">
      <w:numFmt w:val="bullet"/>
      <w:lvlText w:val="-"/>
      <w:lvlJc w:val="left"/>
      <w:pPr>
        <w:ind w:left="360" w:hanging="360"/>
      </w:pPr>
      <w:rPr>
        <w:rFonts w:ascii="Arial Nova" w:eastAsiaTheme="minorEastAsia" w:hAnsi="Arial Nova" w:cstheme="minorBidi" w:hint="default"/>
        <w:b w:val="0"/>
        <w:color w:val="auto"/>
        <w:sz w:val="18"/>
        <w:u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5"/>
  </w:num>
  <w:num w:numId="4">
    <w:abstractNumId w:val="28"/>
  </w:num>
  <w:num w:numId="5">
    <w:abstractNumId w:val="31"/>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7"/>
  </w:num>
  <w:num w:numId="15">
    <w:abstractNumId w:val="11"/>
  </w:num>
  <w:num w:numId="16">
    <w:abstractNumId w:val="1"/>
  </w:num>
  <w:num w:numId="17">
    <w:abstractNumId w:val="18"/>
  </w:num>
  <w:num w:numId="18">
    <w:abstractNumId w:val="19"/>
  </w:num>
  <w:num w:numId="19">
    <w:abstractNumId w:val="21"/>
  </w:num>
  <w:num w:numId="20">
    <w:abstractNumId w:val="32"/>
  </w:num>
  <w:num w:numId="21">
    <w:abstractNumId w:val="43"/>
  </w:num>
  <w:num w:numId="22">
    <w:abstractNumId w:val="30"/>
  </w:num>
  <w:num w:numId="23">
    <w:abstractNumId w:val="10"/>
  </w:num>
  <w:num w:numId="24">
    <w:abstractNumId w:val="35"/>
  </w:num>
  <w:num w:numId="25">
    <w:abstractNumId w:val="34"/>
  </w:num>
  <w:num w:numId="26">
    <w:abstractNumId w:val="23"/>
  </w:num>
  <w:num w:numId="27">
    <w:abstractNumId w:val="38"/>
  </w:num>
  <w:num w:numId="28">
    <w:abstractNumId w:val="45"/>
  </w:num>
  <w:num w:numId="29">
    <w:abstractNumId w:val="8"/>
  </w:num>
  <w:num w:numId="30">
    <w:abstractNumId w:val="4"/>
  </w:num>
  <w:num w:numId="31">
    <w:abstractNumId w:val="26"/>
  </w:num>
  <w:num w:numId="32">
    <w:abstractNumId w:val="24"/>
  </w:num>
  <w:num w:numId="33">
    <w:abstractNumId w:val="41"/>
  </w:num>
  <w:num w:numId="34">
    <w:abstractNumId w:val="40"/>
  </w:num>
  <w:num w:numId="35">
    <w:abstractNumId w:val="13"/>
  </w:num>
  <w:num w:numId="36">
    <w:abstractNumId w:val="14"/>
  </w:num>
  <w:num w:numId="37">
    <w:abstractNumId w:val="16"/>
  </w:num>
  <w:num w:numId="38">
    <w:abstractNumId w:val="29"/>
  </w:num>
  <w:num w:numId="39">
    <w:abstractNumId w:val="25"/>
  </w:num>
  <w:num w:numId="40">
    <w:abstractNumId w:val="39"/>
  </w:num>
  <w:num w:numId="41">
    <w:abstractNumId w:val="2"/>
  </w:num>
  <w:num w:numId="42">
    <w:abstractNumId w:val="7"/>
  </w:num>
  <w:num w:numId="43">
    <w:abstractNumId w:val="46"/>
  </w:num>
  <w:num w:numId="44">
    <w:abstractNumId w:val="42"/>
  </w:num>
  <w:num w:numId="45">
    <w:abstractNumId w:val="3"/>
  </w:num>
  <w:num w:numId="4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1684"/>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2006/documentManagement/types"/>
    <ds:schemaRef ds:uri="35c8e399-07b8-49e4-91bf-01a20105d4d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1530495A-9CE1-4787-B0CB-34D35FCD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5072</Words>
  <Characters>28614</Characters>
  <Application>Microsoft Office Word</Application>
  <DocSecurity>12</DocSecurity>
  <Lines>238</Lines>
  <Paragraphs>67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33619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Zubets-Anderson, Anna</cp:lastModifiedBy>
  <cp:revision>2</cp:revision>
  <cp:lastPrinted>2015-02-18T11:01:00Z</cp:lastPrinted>
  <dcterms:created xsi:type="dcterms:W3CDTF">2020-09-01T14:40:00Z</dcterms:created>
  <dcterms:modified xsi:type="dcterms:W3CDTF">2020-09-01T14:40:00Z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