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nfasissutil"/>
          <w:b w:val="0"/>
          <w:bCs/>
          <w:sz w:val="22"/>
        </w:rPr>
      </w:pPr>
      <w:r w:rsidRPr="00754AC4">
        <w:rPr>
          <w:rStyle w:val="nfasissutil"/>
          <w:b w:val="0"/>
          <w:bCs/>
          <w:sz w:val="22"/>
        </w:rPr>
        <w:t>The European Supervisory Authorities (ESAs) invite comments on all matters in this consultation paper</w:t>
      </w:r>
      <w:r>
        <w:rPr>
          <w:rStyle w:val="nfasissutil"/>
          <w:b w:val="0"/>
          <w:bCs/>
          <w:sz w:val="22"/>
        </w:rPr>
        <w:t xml:space="preserve"> on ESG disclosures under Regulation (EU) 2019/2088</w:t>
      </w:r>
      <w:r w:rsidRPr="00754AC4">
        <w:rPr>
          <w:rStyle w:val="nfasissutil"/>
          <w:b w:val="0"/>
          <w:bCs/>
          <w:sz w:val="22"/>
        </w:rPr>
        <w:t xml:space="preserve"> </w:t>
      </w:r>
      <w:r>
        <w:rPr>
          <w:rStyle w:val="nfasissutil"/>
          <w:b w:val="0"/>
          <w:bCs/>
          <w:sz w:val="22"/>
        </w:rPr>
        <w:t xml:space="preserve">on sustainability-related </w:t>
      </w:r>
      <w:r w:rsidR="00BE7C87">
        <w:rPr>
          <w:rStyle w:val="nfasissutil"/>
          <w:b w:val="0"/>
          <w:bCs/>
          <w:sz w:val="22"/>
        </w:rPr>
        <w:t>disclosures</w:t>
      </w:r>
      <w:r>
        <w:rPr>
          <w:rStyle w:val="nfasissutil"/>
          <w:b w:val="0"/>
          <w:bCs/>
          <w:sz w:val="22"/>
        </w:rPr>
        <w:t xml:space="preserve"> in the financial sector (hereinafter “SFDR”) </w:t>
      </w:r>
      <w:r w:rsidRPr="00754AC4">
        <w:rPr>
          <w:rStyle w:val="nfasissutil"/>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nfasissutil"/>
          <w:b w:val="0"/>
          <w:bCs/>
          <w:sz w:val="22"/>
        </w:rPr>
      </w:pPr>
      <w:r w:rsidRPr="00754AC4">
        <w:rPr>
          <w:rStyle w:val="nfasissutil"/>
          <w:b w:val="0"/>
          <w:bCs/>
          <w:sz w:val="22"/>
        </w:rPr>
        <w:t>Comments are most helpful if they:</w:t>
      </w:r>
    </w:p>
    <w:p w14:paraId="443F1C2C" w14:textId="77777777" w:rsidR="00754AC4" w:rsidRPr="00754AC4" w:rsidRDefault="00754AC4" w:rsidP="00754AC4">
      <w:pPr>
        <w:pStyle w:val="Prrafodelista"/>
        <w:numPr>
          <w:ilvl w:val="0"/>
          <w:numId w:val="41"/>
        </w:numPr>
        <w:spacing w:after="240"/>
        <w:jc w:val="both"/>
        <w:rPr>
          <w:rStyle w:val="nfasissutil"/>
          <w:b w:val="0"/>
          <w:bCs/>
          <w:sz w:val="22"/>
        </w:rPr>
      </w:pPr>
      <w:r w:rsidRPr="00754AC4">
        <w:rPr>
          <w:rStyle w:val="nfasissutil"/>
          <w:b w:val="0"/>
          <w:bCs/>
          <w:sz w:val="22"/>
        </w:rPr>
        <w:t>contain a clear rationale; and</w:t>
      </w:r>
    </w:p>
    <w:p w14:paraId="44288AF1" w14:textId="77777777" w:rsidR="00754AC4" w:rsidRPr="00754AC4" w:rsidRDefault="00754AC4" w:rsidP="00754AC4">
      <w:pPr>
        <w:pStyle w:val="Prrafodelista"/>
        <w:numPr>
          <w:ilvl w:val="0"/>
          <w:numId w:val="41"/>
        </w:numPr>
        <w:spacing w:after="240"/>
        <w:jc w:val="both"/>
        <w:rPr>
          <w:rStyle w:val="nfasissutil"/>
          <w:b w:val="0"/>
          <w:bCs/>
          <w:sz w:val="22"/>
        </w:rPr>
      </w:pPr>
      <w:r w:rsidRPr="00754AC4">
        <w:rPr>
          <w:rStyle w:val="nfasissutil"/>
          <w:b w:val="0"/>
          <w:bCs/>
          <w:sz w:val="22"/>
        </w:rPr>
        <w:t>describe any alternatives the ESAs should consider.</w:t>
      </w:r>
    </w:p>
    <w:p w14:paraId="122FDDB2" w14:textId="5647B0AF" w:rsidR="00C86E1C" w:rsidRDefault="00C86E1C" w:rsidP="00754AC4">
      <w:pPr>
        <w:spacing w:after="240"/>
        <w:jc w:val="both"/>
        <w:rPr>
          <w:rStyle w:val="nfasissutil"/>
          <w:b w:val="0"/>
          <w:bCs/>
          <w:sz w:val="22"/>
        </w:rPr>
      </w:pPr>
      <w:r>
        <w:rPr>
          <w:rStyle w:val="nfasissutil"/>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nfasissutil"/>
          <w:b w:val="0"/>
          <w:sz w:val="22"/>
        </w:rPr>
      </w:pPr>
    </w:p>
    <w:p w14:paraId="6A3CB03F" w14:textId="77777777" w:rsidR="009A3017" w:rsidRPr="00E40A5C" w:rsidRDefault="009A3017" w:rsidP="009A3017">
      <w:pPr>
        <w:spacing w:after="120"/>
        <w:jc w:val="both"/>
        <w:rPr>
          <w:rStyle w:val="nfasissutil"/>
          <w:sz w:val="22"/>
        </w:rPr>
      </w:pPr>
      <w:r w:rsidRPr="00E40A5C">
        <w:rPr>
          <w:rStyle w:val="nfasissutil"/>
          <w:sz w:val="22"/>
        </w:rPr>
        <w:t>Instructions</w:t>
      </w:r>
    </w:p>
    <w:p w14:paraId="6A3CB040" w14:textId="77777777"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14:paraId="6A3CB042" w14:textId="7681A708"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&lt;ESA_QUESTION_</w:t>
      </w:r>
      <w:r w:rsidR="00C86E1C">
        <w:rPr>
          <w:rStyle w:val="nfasissutil"/>
          <w:b w:val="0"/>
          <w:sz w:val="22"/>
        </w:rPr>
        <w:t>ESG</w:t>
      </w:r>
      <w:r w:rsidRPr="00E40A5C">
        <w:rPr>
          <w:rStyle w:val="nfasissutil"/>
          <w:b w:val="0"/>
          <w:sz w:val="22"/>
        </w:rPr>
        <w:t>_1&gt;. Your response to each question has to be framed by the two tags corresponding to the question.</w:t>
      </w:r>
    </w:p>
    <w:p w14:paraId="6A3CB043"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When you have drafted your response, name your response form according to the following convention: ESA_</w:t>
      </w:r>
      <w:r w:rsidR="00C86E1C">
        <w:rPr>
          <w:rStyle w:val="nfasissutil"/>
          <w:b w:val="0"/>
          <w:sz w:val="22"/>
        </w:rPr>
        <w:t>ESG</w:t>
      </w:r>
      <w:r w:rsidRPr="00E40A5C">
        <w:rPr>
          <w:rStyle w:val="nfasissutil"/>
          <w:b w:val="0"/>
          <w:sz w:val="22"/>
        </w:rPr>
        <w:t>_nameofrespondent_RESPONSEFORM. For example, for a respondent named ABCD, the response form would be entitled ESA_</w:t>
      </w:r>
      <w:r w:rsidR="00C86E1C">
        <w:rPr>
          <w:rStyle w:val="nfasissutil"/>
          <w:b w:val="0"/>
          <w:sz w:val="22"/>
        </w:rPr>
        <w:t>ESG</w:t>
      </w:r>
      <w:r w:rsidRPr="00E40A5C">
        <w:rPr>
          <w:rStyle w:val="nfasissutil"/>
          <w:b w:val="0"/>
          <w:sz w:val="22"/>
        </w:rPr>
        <w:t>_ABCD_RESPONSEFORM.</w:t>
      </w:r>
    </w:p>
    <w:p w14:paraId="180C2205" w14:textId="19B88CA2" w:rsidR="00197794" w:rsidRP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t>The consultation paper is available on the websites of the three ESAs</w:t>
      </w:r>
      <w:r w:rsidR="00764042">
        <w:rPr>
          <w:rStyle w:val="nfasissutil"/>
          <w:b w:val="0"/>
          <w:sz w:val="22"/>
        </w:rPr>
        <w:t xml:space="preserve"> and the Joint Committee</w:t>
      </w:r>
      <w:r w:rsidRPr="00197794">
        <w:rPr>
          <w:rStyle w:val="nfasissutil"/>
          <w:b w:val="0"/>
          <w:sz w:val="22"/>
        </w:rPr>
        <w:t xml:space="preserve">. Comments on this consultation paper can be sent using the response form, via the </w:t>
      </w:r>
      <w:hyperlink r:id="rId19" w:history="1">
        <w:r w:rsidRPr="00197794">
          <w:rPr>
            <w:rStyle w:val="Hipervnculo"/>
            <w:rFonts w:cs="Arial"/>
            <w:sz w:val="22"/>
          </w:rPr>
          <w:t>ESMA website</w:t>
        </w:r>
      </w:hyperlink>
      <w:r w:rsidRPr="00197794">
        <w:rPr>
          <w:rStyle w:val="nfasissutil"/>
          <w:b w:val="0"/>
          <w:sz w:val="24"/>
        </w:rPr>
        <w:t xml:space="preserve"> </w:t>
      </w:r>
      <w:r w:rsidRPr="00197794">
        <w:rPr>
          <w:rStyle w:val="nfasissutil"/>
          <w:b w:val="0"/>
          <w:sz w:val="22"/>
        </w:rPr>
        <w:t xml:space="preserve">under the heading ‘Your input - Consultations’ </w:t>
      </w:r>
      <w:r w:rsidRPr="001C240F">
        <w:rPr>
          <w:rStyle w:val="nfasissutil"/>
          <w:b w:val="0"/>
          <w:sz w:val="22"/>
        </w:rPr>
        <w:t xml:space="preserve">by </w:t>
      </w:r>
      <w:r w:rsidR="00D5594A" w:rsidRPr="001C240F">
        <w:rPr>
          <w:rStyle w:val="nfasissutil"/>
          <w:sz w:val="22"/>
        </w:rPr>
        <w:t>1 September</w:t>
      </w:r>
      <w:r w:rsidRPr="001C240F">
        <w:rPr>
          <w:rStyle w:val="nfasissutil"/>
          <w:sz w:val="22"/>
        </w:rPr>
        <w:t xml:space="preserve"> 2020</w:t>
      </w:r>
      <w:r w:rsidRPr="00197794">
        <w:rPr>
          <w:rStyle w:val="nfasissutil"/>
          <w:b w:val="0"/>
          <w:sz w:val="22"/>
        </w:rPr>
        <w:t>.</w:t>
      </w:r>
    </w:p>
    <w:p w14:paraId="2481E1E6" w14:textId="67CDDA3F" w:rsid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nfasissutil"/>
          <w:b w:val="0"/>
          <w:sz w:val="22"/>
        </w:rPr>
      </w:pPr>
    </w:p>
    <w:p w14:paraId="5E94D042" w14:textId="77777777" w:rsidR="00D5594A" w:rsidRPr="00197794" w:rsidRDefault="00D5594A" w:rsidP="00197794">
      <w:pPr>
        <w:spacing w:after="240" w:line="276" w:lineRule="auto"/>
        <w:jc w:val="both"/>
        <w:rPr>
          <w:rStyle w:val="nfasissutil"/>
          <w:b w:val="0"/>
          <w:sz w:val="22"/>
        </w:rPr>
      </w:pPr>
    </w:p>
    <w:p w14:paraId="6A3CB046" w14:textId="77777777" w:rsidR="00210E59" w:rsidRPr="00210E59" w:rsidRDefault="00210E59" w:rsidP="00210E59">
      <w:pPr>
        <w:spacing w:after="120"/>
        <w:jc w:val="both"/>
        <w:rPr>
          <w:rStyle w:val="nfasissutil"/>
          <w:sz w:val="22"/>
        </w:rPr>
      </w:pPr>
      <w:r w:rsidRPr="00210E59">
        <w:rPr>
          <w:rStyle w:val="nfasissutil"/>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nfasissutil"/>
          <w:sz w:val="22"/>
          <w:lang w:eastAsia="en-GB"/>
        </w:rPr>
      </w:pPr>
    </w:p>
    <w:p w14:paraId="3561D6A6" w14:textId="77777777" w:rsidR="00197794" w:rsidRDefault="00197794" w:rsidP="004E6AE4">
      <w:pPr>
        <w:rPr>
          <w:rStyle w:val="nfasissutil"/>
          <w:sz w:val="22"/>
          <w:lang w:eastAsia="en-GB"/>
        </w:rPr>
      </w:pPr>
    </w:p>
    <w:p w14:paraId="6A3CB048" w14:textId="1D432EA9" w:rsidR="009A3017" w:rsidRPr="00E40A5C" w:rsidRDefault="009A3017" w:rsidP="004E6AE4">
      <w:pPr>
        <w:rPr>
          <w:rStyle w:val="nfasissutil"/>
          <w:sz w:val="22"/>
          <w:lang w:eastAsia="en-GB"/>
        </w:rPr>
      </w:pPr>
      <w:r w:rsidRPr="00E40A5C">
        <w:rPr>
          <w:rStyle w:val="nfasissutil"/>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efdenotaalpie"/>
          <w:rFonts w:cs="Arial"/>
          <w:sz w:val="22"/>
        </w:rPr>
        <w:footnoteReference w:id="2"/>
      </w:r>
      <w:r w:rsidRPr="00197794">
        <w:rPr>
          <w:rFonts w:cs="Arial"/>
          <w:sz w:val="22"/>
        </w:rPr>
        <w:t xml:space="preserve">. Further information on data protection can be found under the </w:t>
      </w:r>
      <w:hyperlink r:id="rId20" w:history="1">
        <w:r w:rsidRPr="00197794">
          <w:rPr>
            <w:rStyle w:val="Hipervnculo"/>
            <w:rFonts w:cs="Arial"/>
            <w:sz w:val="22"/>
          </w:rPr>
          <w:t>Legal notice</w:t>
        </w:r>
      </w:hyperlink>
      <w:r w:rsidRPr="00197794">
        <w:rPr>
          <w:rFonts w:cs="Arial"/>
          <w:sz w:val="22"/>
        </w:rPr>
        <w:t xml:space="preserve"> section of the EBA website and under the </w:t>
      </w:r>
      <w:hyperlink r:id="rId21" w:history="1">
        <w:r w:rsidRPr="00197794">
          <w:rPr>
            <w:rStyle w:val="Hipervnculo"/>
            <w:rFonts w:cs="Arial"/>
            <w:sz w:val="22"/>
          </w:rPr>
          <w:t>Legal notice</w:t>
        </w:r>
      </w:hyperlink>
      <w:r w:rsidRPr="00197794">
        <w:rPr>
          <w:rFonts w:cs="Arial"/>
          <w:sz w:val="22"/>
        </w:rPr>
        <w:t xml:space="preserve"> section of the EIOPA website and under the </w:t>
      </w:r>
      <w:hyperlink r:id="rId22" w:history="1">
        <w:r w:rsidRPr="00197794">
          <w:rPr>
            <w:rStyle w:val="Hipervnculo"/>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nfasissutil"/>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tu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xtodelmarcadordeposicin"/>
              <w:rFonts w:cs="Arial"/>
            </w:rPr>
            <w:id w:val="-1905066999"/>
            <w:text/>
          </w:sdtPr>
          <w:sdtEndPr>
            <w:rPr>
              <w:rStyle w:val="Textodelmarcadordeposicin"/>
            </w:rPr>
          </w:sdtEndPr>
          <w:sdtContent>
            <w:tc>
              <w:tcPr>
                <w:tcW w:w="5595" w:type="dxa"/>
                <w:shd w:val="clear" w:color="auto" w:fill="auto"/>
              </w:tcPr>
              <w:p w14:paraId="6A3CB051" w14:textId="05E24E60" w:rsidR="00B327E9" w:rsidRPr="00AB6D88" w:rsidRDefault="00D918A6" w:rsidP="00F136AD">
                <w:pPr>
                  <w:rPr>
                    <w:rStyle w:val="Textodelmarcadordeposicin"/>
                    <w:rFonts w:cs="Arial"/>
                  </w:rPr>
                </w:pPr>
                <w:r>
                  <w:rPr>
                    <w:rStyle w:val="Textodelmarcadordeposicin"/>
                    <w:rFonts w:cs="Arial"/>
                  </w:rPr>
                  <w:t>Fundación ONCE</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F57F788" w:rsidR="00B327E9" w:rsidRPr="00AB6D88" w:rsidRDefault="00BF1F7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918A6">
                  <w:rPr>
                    <w:rFonts w:cs="Arial"/>
                  </w:rPr>
                  <w:t>Non-financial counterparty</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DBE9C01" w:rsidR="00B327E9" w:rsidRPr="00AB6D88" w:rsidRDefault="009D7576" w:rsidP="00F136AD">
                <w:pPr>
                  <w:rPr>
                    <w:rFonts w:cs="Arial"/>
                  </w:rPr>
                </w:pPr>
                <w:r>
                  <w:rPr>
                    <w:rFonts w:cs="Arial"/>
                  </w:rPr>
                  <w:t>Spain</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tulo1"/>
        <w:numPr>
          <w:ilvl w:val="0"/>
          <w:numId w:val="0"/>
        </w:numPr>
        <w:ind w:left="431" w:hanging="431"/>
      </w:pPr>
      <w:r>
        <w:t>Introduction</w:t>
      </w:r>
    </w:p>
    <w:p w14:paraId="6A3CB05E" w14:textId="77777777" w:rsidR="00B327E9" w:rsidRPr="00E40A5C" w:rsidRDefault="00B327E9" w:rsidP="00B327E9">
      <w:pPr>
        <w:rPr>
          <w:rStyle w:val="nfasisintenso"/>
          <w:sz w:val="22"/>
        </w:rPr>
      </w:pPr>
      <w:r w:rsidRPr="00E40A5C">
        <w:rPr>
          <w:rStyle w:val="nfasisintenso"/>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nfasissutil"/>
          <w:b w:val="0"/>
          <w:sz w:val="22"/>
        </w:rPr>
        <w:t>ESG</w:t>
      </w:r>
      <w:r w:rsidRPr="006F4535">
        <w:t>_1&gt;</w:t>
      </w:r>
    </w:p>
    <w:p w14:paraId="2A12502B" w14:textId="26117513" w:rsidR="009D7576" w:rsidRDefault="009D7576" w:rsidP="00932564">
      <w:pPr>
        <w:spacing w:line="276" w:lineRule="auto"/>
        <w:jc w:val="both"/>
        <w:rPr>
          <w:rFonts w:cs="Arial"/>
          <w:lang w:val="en-US"/>
        </w:rPr>
      </w:pPr>
      <w:permStart w:id="411981036" w:edGrp="everyone"/>
      <w:r>
        <w:rPr>
          <w:rFonts w:cs="Arial"/>
          <w:lang w:val="en-US"/>
        </w:rPr>
        <w:t>There are o</w:t>
      </w:r>
      <w:r w:rsidR="009B22E3" w:rsidRPr="009B22E3">
        <w:rPr>
          <w:rFonts w:cs="Arial"/>
          <w:lang w:val="en-US"/>
        </w:rPr>
        <w:t>ver a billion people</w:t>
      </w:r>
      <w:r>
        <w:rPr>
          <w:rFonts w:cs="Arial"/>
          <w:lang w:val="en-US"/>
        </w:rPr>
        <w:t xml:space="preserve"> </w:t>
      </w:r>
      <w:r w:rsidR="0099505F">
        <w:rPr>
          <w:rFonts w:cs="Arial"/>
          <w:lang w:val="en-US"/>
        </w:rPr>
        <w:t>with</w:t>
      </w:r>
      <w:r>
        <w:rPr>
          <w:rFonts w:cs="Arial"/>
          <w:lang w:val="en-US"/>
        </w:rPr>
        <w:t xml:space="preserve"> disabilities</w:t>
      </w:r>
      <w:r w:rsidR="0099505F">
        <w:rPr>
          <w:rFonts w:cs="Arial"/>
          <w:lang w:val="en-US"/>
        </w:rPr>
        <w:t xml:space="preserve"> in the world, which represent</w:t>
      </w:r>
      <w:r w:rsidR="009B22E3">
        <w:rPr>
          <w:rFonts w:cs="Arial"/>
          <w:lang w:val="en-US"/>
        </w:rPr>
        <w:t xml:space="preserve"> </w:t>
      </w:r>
      <w:r w:rsidR="009B22E3" w:rsidRPr="009B22E3">
        <w:rPr>
          <w:rFonts w:cs="Arial"/>
          <w:lang w:val="en-US"/>
        </w:rPr>
        <w:t>15% of the world</w:t>
      </w:r>
      <w:r w:rsidR="009B22E3" w:rsidRPr="009B22E3">
        <w:rPr>
          <w:rFonts w:cs="Arial" w:hint="eastAsia"/>
          <w:lang w:val="en-US"/>
        </w:rPr>
        <w:t>’</w:t>
      </w:r>
      <w:r w:rsidR="009B22E3" w:rsidRPr="009B22E3">
        <w:rPr>
          <w:rFonts w:cs="Arial"/>
          <w:lang w:val="en-US"/>
        </w:rPr>
        <w:t>s</w:t>
      </w:r>
      <w:r w:rsidR="009B22E3">
        <w:rPr>
          <w:rFonts w:cs="Arial"/>
          <w:lang w:val="en-US"/>
        </w:rPr>
        <w:t xml:space="preserve"> </w:t>
      </w:r>
      <w:r w:rsidR="009B22E3" w:rsidRPr="009B22E3">
        <w:rPr>
          <w:rFonts w:cs="Arial"/>
          <w:lang w:val="en-US"/>
        </w:rPr>
        <w:t>population</w:t>
      </w:r>
      <w:r w:rsidR="009B22E3">
        <w:rPr>
          <w:rFonts w:cs="Arial"/>
          <w:lang w:val="en-US"/>
        </w:rPr>
        <w:t xml:space="preserve">. In Europe, people with disabilities are estimated to be 100 million. </w:t>
      </w:r>
    </w:p>
    <w:p w14:paraId="2DEB4968" w14:textId="51A7D594" w:rsidR="009D7576" w:rsidRDefault="009D7576" w:rsidP="00932564">
      <w:pPr>
        <w:spacing w:line="276" w:lineRule="auto"/>
        <w:jc w:val="both"/>
        <w:rPr>
          <w:rFonts w:cs="Arial"/>
          <w:lang w:val="en-US"/>
        </w:rPr>
      </w:pPr>
    </w:p>
    <w:p w14:paraId="211673D3" w14:textId="639215EE" w:rsidR="009A6C85" w:rsidRDefault="009B22E3" w:rsidP="00932564">
      <w:pPr>
        <w:spacing w:line="276" w:lineRule="auto"/>
        <w:jc w:val="both"/>
        <w:rPr>
          <w:rFonts w:cs="Arial"/>
          <w:lang w:val="en-US"/>
        </w:rPr>
      </w:pPr>
      <w:r>
        <w:rPr>
          <w:rFonts w:cs="Arial"/>
          <w:lang w:val="en-US"/>
        </w:rPr>
        <w:t xml:space="preserve">In order to </w:t>
      </w:r>
      <w:r>
        <w:t xml:space="preserve">endow the EU with a sustainable, fair and inclusive economy, the European Commission has taken relevant steps </w:t>
      </w:r>
      <w:r w:rsidR="009A6C85" w:rsidRPr="00932564">
        <w:rPr>
          <w:rFonts w:cs="Arial"/>
          <w:lang w:val="en-US"/>
        </w:rPr>
        <w:t>during the last 10 years to include disability and accessibility as part of the corporate social responsibility (CSR), diversity, sustainability, business &amp; human rights, and non-financial reporting agendas,</w:t>
      </w:r>
      <w:r>
        <w:rPr>
          <w:rFonts w:cs="Arial"/>
          <w:lang w:val="en-US"/>
        </w:rPr>
        <w:t xml:space="preserve"> and</w:t>
      </w:r>
      <w:r w:rsidR="009A6C85" w:rsidRPr="00932564">
        <w:rPr>
          <w:rFonts w:cs="Arial"/>
          <w:lang w:val="en-US"/>
        </w:rPr>
        <w:t xml:space="preserve"> </w:t>
      </w:r>
      <w:r w:rsidR="009A6C85" w:rsidRPr="00932564">
        <w:rPr>
          <w:rFonts w:cs="Arial"/>
          <w:b/>
          <w:lang w:val="en-US"/>
        </w:rPr>
        <w:t xml:space="preserve">Fundación ONCE would like to underline the need and opportunity to include diversity and disability related indicators </w:t>
      </w:r>
      <w:r w:rsidR="009A6C85" w:rsidRPr="00932564">
        <w:rPr>
          <w:rFonts w:cs="Arial"/>
          <w:lang w:val="en-US"/>
        </w:rPr>
        <w:t>in the Regulatory Technical Standards (RTS) on sustainability-related disclosures</w:t>
      </w:r>
      <w:r w:rsidR="000A6FA0">
        <w:rPr>
          <w:rFonts w:cs="Arial"/>
          <w:lang w:val="en-US"/>
        </w:rPr>
        <w:t xml:space="preserve"> consolidating a coherent evolution in this field.</w:t>
      </w:r>
      <w:r>
        <w:rPr>
          <w:rFonts w:cs="Arial"/>
          <w:lang w:val="en-US"/>
        </w:rPr>
        <w:t xml:space="preserve"> These are relevant milestones to take into account for this purpose:</w:t>
      </w:r>
    </w:p>
    <w:p w14:paraId="70D56F7D" w14:textId="693CCD1C" w:rsidR="009D7576" w:rsidRDefault="009D7576" w:rsidP="00932564">
      <w:pPr>
        <w:spacing w:line="276" w:lineRule="auto"/>
        <w:jc w:val="both"/>
        <w:rPr>
          <w:rFonts w:cs="Arial"/>
          <w:lang w:val="en-US"/>
        </w:rPr>
      </w:pPr>
    </w:p>
    <w:p w14:paraId="7B226142" w14:textId="266693D1" w:rsidR="009D7576" w:rsidRDefault="009D7576" w:rsidP="009D7576">
      <w:pPr>
        <w:pStyle w:val="Prrafodelista"/>
        <w:numPr>
          <w:ilvl w:val="0"/>
          <w:numId w:val="44"/>
        </w:numPr>
        <w:spacing w:line="276" w:lineRule="auto"/>
        <w:jc w:val="both"/>
        <w:rPr>
          <w:rFonts w:cs="Arial"/>
          <w:szCs w:val="22"/>
          <w:lang w:val="en-US" w:eastAsia="en-US"/>
        </w:rPr>
      </w:pPr>
      <w:r>
        <w:rPr>
          <w:rFonts w:cs="Arial"/>
          <w:lang w:val="en-US"/>
        </w:rPr>
        <w:t xml:space="preserve">The </w:t>
      </w:r>
      <w:r w:rsidRPr="00EC492E">
        <w:rPr>
          <w:rFonts w:cs="Arial"/>
          <w:b/>
          <w:lang w:val="en-US"/>
        </w:rPr>
        <w:t>2030 Agenda and the SDG</w:t>
      </w:r>
      <w:r>
        <w:rPr>
          <w:rFonts w:cs="Arial"/>
          <w:b/>
          <w:lang w:val="en-US"/>
        </w:rPr>
        <w:t>s</w:t>
      </w:r>
      <w:r>
        <w:rPr>
          <w:rFonts w:cs="Arial"/>
          <w:lang w:val="en-US"/>
        </w:rPr>
        <w:t xml:space="preserve">, the </w:t>
      </w:r>
      <w:r w:rsidRPr="00EC492E">
        <w:rPr>
          <w:rFonts w:cs="Arial"/>
          <w:b/>
          <w:lang w:val="en-US"/>
        </w:rPr>
        <w:t>UN Convention on the Rights of Persons with Disabilities</w:t>
      </w:r>
      <w:r>
        <w:rPr>
          <w:rFonts w:cs="Arial"/>
          <w:lang w:val="en-US"/>
        </w:rPr>
        <w:t xml:space="preserve"> (ratified by the EU and all EU member states), together with </w:t>
      </w:r>
      <w:r w:rsidRPr="00EC492E">
        <w:rPr>
          <w:rFonts w:cs="Arial"/>
          <w:b/>
          <w:lang w:val="en-US"/>
        </w:rPr>
        <w:t>EU non-discrimination legislation</w:t>
      </w:r>
      <w:r w:rsidRPr="00957B20">
        <w:rPr>
          <w:rStyle w:val="Refdenotaalpie"/>
          <w:rFonts w:cs="Arial"/>
          <w:lang w:val="en-US"/>
        </w:rPr>
        <w:footnoteReference w:id="3"/>
      </w:r>
      <w:r w:rsidRPr="00957B20">
        <w:rPr>
          <w:rFonts w:cs="Arial"/>
          <w:lang w:val="en-US"/>
        </w:rPr>
        <w:t xml:space="preserve"> including the </w:t>
      </w:r>
      <w:r w:rsidRPr="009D7576">
        <w:rPr>
          <w:rFonts w:cs="Arial"/>
          <w:b/>
          <w:lang w:val="en-US"/>
        </w:rPr>
        <w:t>European Accessibility Act</w:t>
      </w:r>
      <w:r>
        <w:rPr>
          <w:rFonts w:cs="Arial"/>
          <w:lang w:val="en-US"/>
        </w:rPr>
        <w:t xml:space="preserve">, the </w:t>
      </w:r>
      <w:r w:rsidRPr="00EC492E">
        <w:rPr>
          <w:rFonts w:cs="Arial"/>
          <w:b/>
          <w:lang w:val="en-US"/>
        </w:rPr>
        <w:t>European Disability Strategy</w:t>
      </w:r>
      <w:r>
        <w:rPr>
          <w:rFonts w:cs="Arial"/>
          <w:lang w:val="en-US"/>
        </w:rPr>
        <w:t xml:space="preserve"> and the </w:t>
      </w:r>
      <w:r w:rsidRPr="00EC492E">
        <w:rPr>
          <w:rFonts w:cs="Arial"/>
          <w:b/>
          <w:lang w:val="en-US"/>
        </w:rPr>
        <w:t>European Pillar of Social Rights</w:t>
      </w:r>
      <w:r>
        <w:rPr>
          <w:rFonts w:cs="Arial"/>
          <w:b/>
          <w:lang w:val="en-US"/>
        </w:rPr>
        <w:t>,</w:t>
      </w:r>
      <w:r>
        <w:rPr>
          <w:rFonts w:cs="Arial"/>
          <w:lang w:val="en-US"/>
        </w:rPr>
        <w:t xml:space="preserve"> among others, lead us to consider that disability and accessibility need to be present in the coming developments and regulations</w:t>
      </w:r>
      <w:r>
        <w:rPr>
          <w:rFonts w:cs="Arial"/>
          <w:lang w:val="en-US"/>
        </w:rPr>
        <w:t xml:space="preserve"> related to</w:t>
      </w:r>
      <w:r w:rsidR="000A6FA0">
        <w:rPr>
          <w:rFonts w:cs="Arial"/>
          <w:lang w:val="en-US"/>
        </w:rPr>
        <w:t xml:space="preserve"> ESG disclosure developed by ESAs.</w:t>
      </w:r>
    </w:p>
    <w:p w14:paraId="5CFEF4B2" w14:textId="736C652D" w:rsidR="009D7576" w:rsidRPr="009B22E3" w:rsidRDefault="009D7576" w:rsidP="00932564">
      <w:pPr>
        <w:spacing w:line="276" w:lineRule="auto"/>
        <w:jc w:val="both"/>
        <w:rPr>
          <w:rFonts w:cs="Arial"/>
          <w:lang w:val="en-US"/>
        </w:rPr>
      </w:pPr>
    </w:p>
    <w:p w14:paraId="1C52B7C4" w14:textId="0C548246" w:rsidR="004455A8" w:rsidRDefault="004455A8" w:rsidP="004455A8">
      <w:pPr>
        <w:pStyle w:val="Prrafodelista"/>
        <w:numPr>
          <w:ilvl w:val="0"/>
          <w:numId w:val="44"/>
        </w:numPr>
        <w:spacing w:line="276" w:lineRule="auto"/>
        <w:jc w:val="both"/>
        <w:rPr>
          <w:rFonts w:cs="Arial"/>
          <w:szCs w:val="22"/>
          <w:lang w:val="en-US" w:eastAsia="en-US"/>
        </w:rPr>
      </w:pPr>
      <w:r>
        <w:rPr>
          <w:rFonts w:cs="Arial"/>
          <w:lang w:val="en-US"/>
        </w:rPr>
        <w:t xml:space="preserve">The renewed </w:t>
      </w:r>
      <w:r>
        <w:rPr>
          <w:rFonts w:cs="Arial"/>
          <w:b/>
          <w:lang w:val="en-US"/>
        </w:rPr>
        <w:t>EU Strategy 2011-14 for Corporate Social Responsibility</w:t>
      </w:r>
      <w:r>
        <w:rPr>
          <w:rFonts w:cs="Arial"/>
          <w:lang w:val="en-US"/>
        </w:rPr>
        <w:t xml:space="preserve"> explicitly recognized, for the first time, disability as part of the CSR agenda. The disability dimension in CSR has been further reinforced in the </w:t>
      </w:r>
      <w:r>
        <w:rPr>
          <w:rFonts w:cs="Arial"/>
          <w:b/>
          <w:lang w:val="en-US"/>
        </w:rPr>
        <w:t>European Parliament resolutions</w:t>
      </w:r>
      <w:r>
        <w:rPr>
          <w:rFonts w:cs="Arial"/>
          <w:lang w:val="en-US"/>
        </w:rPr>
        <w:t xml:space="preserve"> of 6 February 2013 on CSR.</w:t>
      </w:r>
    </w:p>
    <w:p w14:paraId="2C6095D9" w14:textId="77777777" w:rsidR="004455A8" w:rsidRDefault="004455A8" w:rsidP="004455A8">
      <w:pPr>
        <w:pStyle w:val="Prrafodelista"/>
        <w:ind w:left="360"/>
        <w:jc w:val="both"/>
        <w:rPr>
          <w:rFonts w:cs="Arial"/>
          <w:lang w:val="en-US"/>
        </w:rPr>
      </w:pPr>
    </w:p>
    <w:p w14:paraId="10616FCA" w14:textId="5BD9D8E1" w:rsidR="004455A8" w:rsidRDefault="004455A8" w:rsidP="004455A8">
      <w:pPr>
        <w:pStyle w:val="Prrafodelista"/>
        <w:numPr>
          <w:ilvl w:val="0"/>
          <w:numId w:val="44"/>
        </w:numPr>
        <w:spacing w:line="276" w:lineRule="auto"/>
        <w:jc w:val="both"/>
        <w:rPr>
          <w:rFonts w:cs="Arial"/>
          <w:lang w:val="en-US"/>
        </w:rPr>
      </w:pPr>
      <w:r>
        <w:rPr>
          <w:rFonts w:cs="Arial"/>
          <w:b/>
          <w:lang w:val="en-US"/>
        </w:rPr>
        <w:t xml:space="preserve">2030 Agenda for Sustainable Development </w:t>
      </w:r>
      <w:r>
        <w:rPr>
          <w:rFonts w:cs="Arial"/>
          <w:lang w:val="en-US"/>
        </w:rPr>
        <w:t>explicitly recognized people with disabilities as a vulnerable group. Different SDGs also refer to people with disabilities, such as SDG 8 on Decent Work and Economic Growth, SDG 10 on Reduced inequalities or SDG 11 on Sustainable Cities and Communities (with a specific mention of accessibility). Also, SDG 4 on Quality Education and SDG 17 on Partnerships for the Goals refer to people with disabilities.</w:t>
      </w:r>
    </w:p>
    <w:p w14:paraId="050A5694" w14:textId="77777777" w:rsidR="004455A8" w:rsidRDefault="004455A8" w:rsidP="004455A8">
      <w:pPr>
        <w:pStyle w:val="Prrafodelista"/>
        <w:ind w:left="360"/>
        <w:rPr>
          <w:rFonts w:cs="Arial"/>
          <w:lang w:val="en-US"/>
        </w:rPr>
      </w:pPr>
    </w:p>
    <w:p w14:paraId="7B62C849" w14:textId="484E7274" w:rsidR="00733235" w:rsidRPr="00733235" w:rsidRDefault="004455A8" w:rsidP="00733235">
      <w:pPr>
        <w:pStyle w:val="Prrafodelista"/>
        <w:numPr>
          <w:ilvl w:val="0"/>
          <w:numId w:val="44"/>
        </w:numPr>
        <w:spacing w:line="276" w:lineRule="auto"/>
        <w:jc w:val="both"/>
        <w:rPr>
          <w:rFonts w:cs="Arial"/>
          <w:lang w:val="en-US"/>
        </w:rPr>
      </w:pPr>
      <w:r w:rsidRPr="00733235">
        <w:rPr>
          <w:rFonts w:cs="Arial"/>
          <w:lang w:val="en-US"/>
        </w:rPr>
        <w:t xml:space="preserve">In the context of </w:t>
      </w:r>
      <w:r w:rsidRPr="00733235">
        <w:rPr>
          <w:rFonts w:cs="Arial"/>
          <w:b/>
          <w:lang w:val="en-US"/>
        </w:rPr>
        <w:t>business and human rights</w:t>
      </w:r>
      <w:r w:rsidRPr="00733235">
        <w:rPr>
          <w:rFonts w:cs="Arial"/>
          <w:lang w:val="en-US"/>
        </w:rPr>
        <w:t xml:space="preserve">, the Guiding Principles on Business and Human Rights implementing the UN ‘Protect, Respect and Remedy’ Framework (UNGPs) or the OECD Guidelines for </w:t>
      </w:r>
      <w:r w:rsidRPr="00733235">
        <w:rPr>
          <w:rFonts w:cs="Arial"/>
          <w:lang w:val="en-US"/>
        </w:rPr>
        <w:lastRenderedPageBreak/>
        <w:t>Multinational Enterprises include disability and so do other Commission instruments</w:t>
      </w:r>
      <w:r w:rsidR="009D7576">
        <w:rPr>
          <w:rStyle w:val="Refdenotaalpie"/>
          <w:rFonts w:cs="Arial"/>
          <w:lang w:val="en-US"/>
        </w:rPr>
        <w:footnoteReference w:id="4"/>
      </w:r>
      <w:r w:rsidRPr="00733235">
        <w:rPr>
          <w:rFonts w:cs="Arial"/>
          <w:lang w:val="en-US"/>
        </w:rPr>
        <w:t xml:space="preserve">. Other reference institutions have underlined the link between business, human rights and disability, as is the case of the 2017 “Guide for business on the rights of persons with disabilities” by ILO and Global Compact. </w:t>
      </w:r>
    </w:p>
    <w:p w14:paraId="1F9A0F13" w14:textId="77777777" w:rsidR="004455A8" w:rsidRDefault="004455A8" w:rsidP="004455A8">
      <w:pPr>
        <w:pStyle w:val="Prrafodelista"/>
        <w:ind w:left="360"/>
        <w:jc w:val="both"/>
        <w:rPr>
          <w:rFonts w:cs="Arial"/>
          <w:lang w:val="en-US"/>
        </w:rPr>
      </w:pPr>
    </w:p>
    <w:p w14:paraId="08F2E276" w14:textId="1BCDD160" w:rsidR="004455A8" w:rsidRPr="00733235" w:rsidRDefault="004455A8" w:rsidP="00733235">
      <w:pPr>
        <w:pStyle w:val="Prrafodelista"/>
        <w:numPr>
          <w:ilvl w:val="0"/>
          <w:numId w:val="44"/>
        </w:numPr>
        <w:spacing w:line="276" w:lineRule="auto"/>
        <w:jc w:val="both"/>
        <w:rPr>
          <w:rFonts w:cs="Arial"/>
          <w:lang w:val="en-US"/>
        </w:rPr>
      </w:pPr>
      <w:r w:rsidRPr="00733235">
        <w:rPr>
          <w:rFonts w:cs="Arial"/>
          <w:lang w:val="en-US"/>
        </w:rPr>
        <w:t>Regarding current</w:t>
      </w:r>
      <w:r w:rsidRPr="00733235">
        <w:rPr>
          <w:rFonts w:cs="Arial"/>
          <w:b/>
          <w:lang w:val="en-US"/>
        </w:rPr>
        <w:t xml:space="preserve"> Directive 2014/95/EU</w:t>
      </w:r>
      <w:r w:rsidR="000A6FA0">
        <w:rPr>
          <w:rFonts w:cs="Arial"/>
          <w:lang w:val="en-US"/>
        </w:rPr>
        <w:t xml:space="preserve">, </w:t>
      </w:r>
      <w:r w:rsidR="00733235">
        <w:rPr>
          <w:rFonts w:cs="Arial"/>
          <w:lang w:val="en-US"/>
        </w:rPr>
        <w:t>t</w:t>
      </w:r>
      <w:r w:rsidRPr="00733235">
        <w:rPr>
          <w:rFonts w:cs="Arial"/>
          <w:lang w:val="en-US"/>
        </w:rPr>
        <w:t xml:space="preserve">he </w:t>
      </w:r>
      <w:r w:rsidRPr="00733235">
        <w:rPr>
          <w:rFonts w:cs="Arial"/>
          <w:b/>
          <w:lang w:val="en-US"/>
        </w:rPr>
        <w:t>EC guidelines on non-financial reporting adopted in June 2017 do contain specific and various references to people with disabilities</w:t>
      </w:r>
      <w:r w:rsidRPr="00733235">
        <w:rPr>
          <w:rFonts w:cs="Arial"/>
          <w:lang w:val="en-US"/>
        </w:rPr>
        <w:t xml:space="preserve"> in relation to employee and board diversity, accessibility of products and services, and human rights, including examples of key performance indicators</w:t>
      </w:r>
      <w:r>
        <w:rPr>
          <w:rStyle w:val="Refdenotaalpie"/>
          <w:rFonts w:cs="Arial"/>
          <w:lang w:val="en-US"/>
        </w:rPr>
        <w:footnoteReference w:id="5"/>
      </w:r>
      <w:r>
        <w:rPr>
          <w:rStyle w:val="Refdenotaalpie"/>
          <w:rFonts w:cs="Arial"/>
          <w:lang w:val="en-US"/>
        </w:rPr>
        <w:footnoteReference w:id="6"/>
      </w:r>
      <w:r w:rsidRPr="00733235">
        <w:rPr>
          <w:rFonts w:cs="Arial"/>
          <w:lang w:val="en-US"/>
        </w:rPr>
        <w:t>.</w:t>
      </w:r>
    </w:p>
    <w:p w14:paraId="68E676DF" w14:textId="77777777" w:rsidR="004455A8" w:rsidRDefault="004455A8" w:rsidP="004455A8">
      <w:pPr>
        <w:jc w:val="both"/>
        <w:rPr>
          <w:rFonts w:cs="Arial"/>
          <w:lang w:val="en-US"/>
        </w:rPr>
      </w:pPr>
    </w:p>
    <w:p w14:paraId="1930FD44" w14:textId="10D00526" w:rsidR="00733235" w:rsidRPr="00733235" w:rsidRDefault="00733235" w:rsidP="00733235">
      <w:pPr>
        <w:pStyle w:val="Prrafodelista"/>
        <w:numPr>
          <w:ilvl w:val="0"/>
          <w:numId w:val="44"/>
        </w:numPr>
        <w:spacing w:after="200" w:line="276" w:lineRule="auto"/>
        <w:jc w:val="both"/>
        <w:rPr>
          <w:rFonts w:cs="Arial"/>
          <w:lang w:val="en-US"/>
        </w:rPr>
      </w:pPr>
      <w:r>
        <w:rPr>
          <w:rFonts w:cs="Arial"/>
          <w:lang w:val="en-US"/>
        </w:rPr>
        <w:t>Indeed, i</w:t>
      </w:r>
      <w:r w:rsidR="004455A8">
        <w:rPr>
          <w:rFonts w:cs="Arial"/>
          <w:lang w:val="en-US"/>
        </w:rPr>
        <w:t xml:space="preserve">nternational frameworks such as </w:t>
      </w:r>
      <w:r w:rsidR="004455A8">
        <w:rPr>
          <w:rFonts w:cs="Arial"/>
          <w:b/>
          <w:lang w:val="en-US"/>
        </w:rPr>
        <w:t>Global Reporting Initiative-GRI</w:t>
      </w:r>
      <w:r w:rsidR="004455A8">
        <w:rPr>
          <w:rFonts w:cs="Arial"/>
          <w:lang w:val="en-US"/>
        </w:rPr>
        <w:t xml:space="preserve"> have highlighted the importance of the </w:t>
      </w:r>
      <w:r w:rsidR="004455A8">
        <w:rPr>
          <w:rFonts w:cs="Arial"/>
          <w:b/>
          <w:lang w:val="en-US"/>
        </w:rPr>
        <w:t>disability dimension</w:t>
      </w:r>
      <w:r w:rsidR="004455A8">
        <w:rPr>
          <w:rFonts w:cs="Arial"/>
          <w:lang w:val="en-US"/>
        </w:rPr>
        <w:t xml:space="preserve"> in non-financial and sustainability reporting. An example is the Guide on “</w:t>
      </w:r>
      <w:hyperlink r:id="rId23" w:history="1">
        <w:r w:rsidR="004455A8">
          <w:rPr>
            <w:rStyle w:val="Hipervnculo"/>
            <w:rFonts w:cs="Arial"/>
            <w:lang w:val="en-US"/>
          </w:rPr>
          <w:t>Disability in Sustainability Reporting</w:t>
        </w:r>
      </w:hyperlink>
      <w:r w:rsidR="004455A8">
        <w:rPr>
          <w:rFonts w:cs="Arial"/>
          <w:lang w:val="en-US"/>
        </w:rPr>
        <w:t>” (published by GRI and Fundación</w:t>
      </w:r>
      <w:r>
        <w:rPr>
          <w:rFonts w:cs="Arial"/>
          <w:lang w:val="en-US"/>
        </w:rPr>
        <w:t xml:space="preserve"> with the co-funding of the European Social Fund</w:t>
      </w:r>
      <w:r w:rsidR="004455A8">
        <w:rPr>
          <w:rFonts w:cs="Arial"/>
          <w:lang w:val="en-US"/>
        </w:rPr>
        <w:t>, with specific guidance and indicators related to business and disability).</w:t>
      </w:r>
    </w:p>
    <w:p w14:paraId="36A0BAF7" w14:textId="77777777" w:rsidR="00733235" w:rsidRPr="00733235" w:rsidRDefault="00733235" w:rsidP="00733235">
      <w:pPr>
        <w:pStyle w:val="Prrafodelista"/>
        <w:spacing w:after="200" w:line="276" w:lineRule="auto"/>
        <w:ind w:left="360"/>
        <w:jc w:val="both"/>
        <w:rPr>
          <w:rFonts w:cs="Arial"/>
          <w:lang w:val="en-US"/>
        </w:rPr>
      </w:pPr>
    </w:p>
    <w:p w14:paraId="09BC6F28" w14:textId="7378B3AC" w:rsidR="00733235" w:rsidRDefault="00733235" w:rsidP="00733235">
      <w:pPr>
        <w:pStyle w:val="Prrafodelista"/>
        <w:numPr>
          <w:ilvl w:val="0"/>
          <w:numId w:val="44"/>
        </w:numPr>
        <w:spacing w:line="276" w:lineRule="auto"/>
        <w:jc w:val="both"/>
        <w:rPr>
          <w:rFonts w:cs="Arial"/>
          <w:lang w:val="en-US"/>
        </w:rPr>
      </w:pPr>
      <w:r>
        <w:rPr>
          <w:rFonts w:cs="Arial"/>
          <w:lang w:val="en-US"/>
        </w:rPr>
        <w:t>F</w:t>
      </w:r>
      <w:r>
        <w:rPr>
          <w:rFonts w:cs="Arial"/>
          <w:lang w:val="en-US"/>
        </w:rPr>
        <w:t>inally</w:t>
      </w:r>
      <w:r>
        <w:rPr>
          <w:rFonts w:cs="Arial"/>
          <w:lang w:val="en-US"/>
        </w:rPr>
        <w:t xml:space="preserve">, Fundación ONCE recognizes </w:t>
      </w:r>
      <w:r>
        <w:rPr>
          <w:rFonts w:cs="Arial"/>
          <w:b/>
          <w:lang w:val="en-US"/>
        </w:rPr>
        <w:t>disability</w:t>
      </w:r>
      <w:r>
        <w:rPr>
          <w:rFonts w:cs="Arial"/>
          <w:lang w:val="en-US"/>
        </w:rPr>
        <w:t xml:space="preserve"> as an element of </w:t>
      </w:r>
      <w:r>
        <w:rPr>
          <w:rFonts w:cs="Arial"/>
          <w:b/>
          <w:lang w:val="en-US"/>
        </w:rPr>
        <w:t>diversity</w:t>
      </w:r>
      <w:r>
        <w:rPr>
          <w:rFonts w:cs="Arial"/>
          <w:lang w:val="en-US"/>
        </w:rPr>
        <w:t xml:space="preserve">, and people with disabilities as a source of </w:t>
      </w:r>
      <w:r>
        <w:rPr>
          <w:rFonts w:cs="Arial"/>
          <w:b/>
          <w:lang w:val="en-US"/>
        </w:rPr>
        <w:t>talent, growth, innovation and market opportunities</w:t>
      </w:r>
      <w:r>
        <w:rPr>
          <w:rFonts w:cs="Arial"/>
          <w:lang w:val="en-US"/>
        </w:rPr>
        <w:t>. The potential of inclusive businesses is being increasingly identified by companies, institutions and thematic initiatives around the world</w:t>
      </w:r>
      <w:r>
        <w:rPr>
          <w:rStyle w:val="Refdenotaalpie"/>
          <w:rFonts w:cs="Arial"/>
          <w:lang w:val="en-US"/>
        </w:rPr>
        <w:footnoteReference w:id="7"/>
      </w:r>
      <w:r>
        <w:rPr>
          <w:rFonts w:cs="Arial"/>
          <w:lang w:val="en-US"/>
        </w:rPr>
        <w:t xml:space="preserve">. Fundación ONCE underlines the potential of the </w:t>
      </w:r>
      <w:r>
        <w:rPr>
          <w:rFonts w:cs="Arial"/>
          <w:b/>
          <w:lang w:val="en-US"/>
        </w:rPr>
        <w:t>360º approach to business and disability</w:t>
      </w:r>
      <w:r>
        <w:rPr>
          <w:rFonts w:cs="Arial"/>
          <w:lang w:val="en-US"/>
        </w:rPr>
        <w:t xml:space="preserve">, where people with disabilities are seen as stakeholders from a wide perspective, valuing their roles as employees, consumers (including their families seeking for accessible products and services), providers, employers, investors and part of the community in which a company operates. </w:t>
      </w:r>
    </w:p>
    <w:p w14:paraId="5065CA48" w14:textId="77777777" w:rsidR="00932564" w:rsidRPr="00932564" w:rsidRDefault="00932564" w:rsidP="00932564">
      <w:pPr>
        <w:pStyle w:val="Prrafodelista"/>
        <w:rPr>
          <w:rFonts w:cs="Arial"/>
          <w:lang w:val="en-US"/>
        </w:rPr>
      </w:pPr>
    </w:p>
    <w:p w14:paraId="1A00BF07" w14:textId="7F4241FF" w:rsidR="00932564" w:rsidRPr="000A6FA0" w:rsidRDefault="00932564" w:rsidP="000A6FA0">
      <w:pPr>
        <w:rPr>
          <w:rFonts w:cs="Arial"/>
          <w:b/>
          <w:lang w:val="en-US"/>
        </w:rPr>
      </w:pPr>
      <w:r w:rsidRPr="000A6FA0">
        <w:rPr>
          <w:rFonts w:cs="Arial"/>
          <w:lang w:val="en-US"/>
        </w:rPr>
        <w:t>Considering the relevance that disability is taking in sustainability, CSR, human rights, non-financial reporting agendas</w:t>
      </w:r>
      <w:r w:rsidR="0099505F" w:rsidRPr="000A6FA0">
        <w:rPr>
          <w:rFonts w:cs="Arial"/>
          <w:lang w:val="en-US"/>
        </w:rPr>
        <w:t>,</w:t>
      </w:r>
      <w:r w:rsidRPr="000A6FA0">
        <w:rPr>
          <w:rFonts w:cs="Arial"/>
          <w:lang w:val="en-US"/>
        </w:rPr>
        <w:t xml:space="preserve"> Fundación ONCE proposes to </w:t>
      </w:r>
      <w:r w:rsidRPr="000A6FA0">
        <w:rPr>
          <w:rFonts w:cs="Arial"/>
          <w:b/>
          <w:lang w:val="en-US"/>
        </w:rPr>
        <w:t xml:space="preserve">include </w:t>
      </w:r>
      <w:r w:rsidR="000A6FA0" w:rsidRPr="000A6FA0">
        <w:rPr>
          <w:rFonts w:cs="Arial"/>
          <w:b/>
          <w:lang w:val="en-US"/>
        </w:rPr>
        <w:t xml:space="preserve">an </w:t>
      </w:r>
      <w:r w:rsidRPr="000A6FA0">
        <w:rPr>
          <w:rFonts w:cs="Arial"/>
          <w:b/>
          <w:lang w:val="en-US"/>
        </w:rPr>
        <w:t xml:space="preserve">additional indicator within the </w:t>
      </w:r>
      <w:r w:rsidR="000A6FA0" w:rsidRPr="000A6FA0">
        <w:rPr>
          <w:rFonts w:cs="Arial"/>
          <w:b/>
          <w:lang w:val="en-US"/>
        </w:rPr>
        <w:t>Table 1, as explained in question 5.</w:t>
      </w:r>
    </w:p>
    <w:p w14:paraId="09D300EA" w14:textId="77777777" w:rsidR="000A6FA0" w:rsidRPr="000A6FA0" w:rsidRDefault="000A6FA0" w:rsidP="000A6FA0">
      <w:pPr>
        <w:rPr>
          <w:rFonts w:cs="Arial"/>
          <w:b/>
          <w:lang w:val="en-US"/>
        </w:rPr>
      </w:pPr>
    </w:p>
    <w:permEnd w:id="411981036"/>
    <w:p w14:paraId="6A3CB062" w14:textId="67968787" w:rsidR="00B327E9" w:rsidRPr="00BF28DA" w:rsidRDefault="00B327E9" w:rsidP="00B327E9">
      <w:r w:rsidRPr="00BF28DA">
        <w:t>&lt;ESA_COMMENT_</w:t>
      </w:r>
      <w:r w:rsidR="00C86E1C">
        <w:rPr>
          <w:rStyle w:val="nfasissutil"/>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696102A0" w14:textId="48C1CB0C" w:rsidR="001616DC" w:rsidRPr="0099505F" w:rsidRDefault="000A6FA0" w:rsidP="001616DC">
      <w:pPr>
        <w:rPr>
          <w:rFonts w:cs="Arial"/>
          <w:lang w:val="en-US"/>
        </w:rPr>
      </w:pPr>
      <w:bookmarkStart w:id="1" w:name="_Hlk49780619"/>
      <w:permStart w:id="209390932" w:edGrp="everyone"/>
      <w:r>
        <w:rPr>
          <w:rFonts w:cs="Arial"/>
        </w:rPr>
        <w:t>C</w:t>
      </w:r>
      <w:proofErr w:type="spellStart"/>
      <w:r w:rsidR="00131283" w:rsidRPr="0099505F">
        <w:rPr>
          <w:rFonts w:cs="Arial"/>
          <w:lang w:val="en-US"/>
        </w:rPr>
        <w:t>onsidering</w:t>
      </w:r>
      <w:proofErr w:type="spellEnd"/>
      <w:r w:rsidR="00131283" w:rsidRPr="0099505F">
        <w:rPr>
          <w:rFonts w:cs="Arial"/>
          <w:lang w:val="en-US"/>
        </w:rPr>
        <w:t xml:space="preserve"> the argument above</w:t>
      </w:r>
      <w:r w:rsidR="001616DC" w:rsidRPr="0099505F">
        <w:rPr>
          <w:rFonts w:cs="Arial"/>
          <w:lang w:val="en-US"/>
        </w:rPr>
        <w:t xml:space="preserve">, Fundación ONCE proposes to include the following indicator within the Table 1, under the “Adverse sustainability Indicator” column, section “SOCIAL AND EMPLOYEE, RESPECT FOR HUMAN RIGHTS, ANTI-CORRUPTION AND ANTI-BRIBERY MATTERS”, within the category “social and employee”: </w:t>
      </w:r>
    </w:p>
    <w:p w14:paraId="49AEB36E" w14:textId="67CCABFC" w:rsidR="001616DC" w:rsidRPr="0099505F" w:rsidRDefault="001616DC" w:rsidP="001616DC">
      <w:pPr>
        <w:rPr>
          <w:rFonts w:cs="Arial"/>
          <w:lang w:val="en-US"/>
        </w:rPr>
      </w:pPr>
      <w:r w:rsidRPr="0099505F">
        <w:rPr>
          <w:rFonts w:cs="Arial"/>
          <w:lang w:val="en-US"/>
        </w:rPr>
        <w:t xml:space="preserve">Indicator # 23: Commitment to persons with disabilities and universal accessibility </w:t>
      </w:r>
    </w:p>
    <w:p w14:paraId="4E264DBD" w14:textId="77777777" w:rsidR="001616DC" w:rsidRPr="0099505F" w:rsidRDefault="001616DC" w:rsidP="001616DC">
      <w:pPr>
        <w:rPr>
          <w:rFonts w:cs="Arial"/>
        </w:rPr>
      </w:pPr>
      <w:r w:rsidRPr="0099505F">
        <w:rPr>
          <w:rFonts w:cs="Arial"/>
        </w:rPr>
        <w:t>Metric 1: Share of investments in investee companies with no disclosure on number of employees with disabilities</w:t>
      </w:r>
    </w:p>
    <w:p w14:paraId="160FE564" w14:textId="563FF993" w:rsidR="00131283" w:rsidRPr="0099505F" w:rsidRDefault="001616DC" w:rsidP="003E573C">
      <w:pPr>
        <w:rPr>
          <w:rFonts w:cs="Arial"/>
          <w:b/>
          <w:lang w:val="en-US"/>
        </w:rPr>
      </w:pPr>
      <w:r w:rsidRPr="0099505F">
        <w:rPr>
          <w:rFonts w:cs="Arial"/>
        </w:rPr>
        <w:t xml:space="preserve">Metric 2: Share of investments in investee companies with no measures of </w:t>
      </w:r>
      <w:r w:rsidR="000A6FA0">
        <w:rPr>
          <w:rFonts w:cs="Arial"/>
        </w:rPr>
        <w:t xml:space="preserve">universal </w:t>
      </w:r>
      <w:r w:rsidRPr="0099505F">
        <w:rPr>
          <w:rFonts w:cs="Arial"/>
        </w:rPr>
        <w:t>accessi</w:t>
      </w:r>
      <w:r w:rsidR="00BF1F7E">
        <w:rPr>
          <w:rFonts w:cs="Arial"/>
        </w:rPr>
        <w:t>bility of products and services.</w:t>
      </w:r>
      <w:r w:rsidRPr="0099505F">
        <w:rPr>
          <w:rFonts w:cs="Arial"/>
        </w:rPr>
        <w:t xml:space="preserve"> </w:t>
      </w:r>
      <w:bookmarkEnd w:id="1"/>
    </w:p>
    <w:permEnd w:id="209390932"/>
    <w:p w14:paraId="61BD6C84" w14:textId="61DA7D90"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lastRenderedPageBreak/>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rrafodelista"/>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rrafodelista"/>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17EB1671" w14:textId="498B1176" w:rsidR="0099505F" w:rsidRDefault="00F72A25" w:rsidP="003E573C">
      <w:pPr>
        <w:rPr>
          <w:rFonts w:cs="Arial"/>
          <w:lang w:val="en-US"/>
        </w:rPr>
      </w:pPr>
      <w:permStart w:id="221670941" w:edGrp="everyone"/>
      <w:r w:rsidRPr="009A6C85">
        <w:rPr>
          <w:rFonts w:cs="Arial"/>
          <w:lang w:val="en-US"/>
        </w:rPr>
        <w:t xml:space="preserve">Yes, </w:t>
      </w:r>
      <w:r w:rsidR="0039135F" w:rsidRPr="009A6C85">
        <w:rPr>
          <w:rFonts w:cs="Arial"/>
          <w:lang w:val="en-US"/>
        </w:rPr>
        <w:t>Fundación ONCE does</w:t>
      </w:r>
      <w:r w:rsidRPr="009A6C85">
        <w:rPr>
          <w:rFonts w:cs="Arial"/>
          <w:lang w:val="en-US"/>
        </w:rPr>
        <w:t xml:space="preserve">. </w:t>
      </w:r>
      <w:r w:rsidR="00161E59" w:rsidRPr="00161E59">
        <w:rPr>
          <w:rFonts w:cs="Arial"/>
          <w:lang w:val="en-US"/>
        </w:rPr>
        <w:t>Considering that the 2030 Agenda and the SDGs have not only an environmental dimension but have also a social dimension, social and employee matters and respect for human rights related indicators should be delivered at the same time as the environmental indicators. If special attention to social targets include</w:t>
      </w:r>
      <w:r w:rsidR="0099505F">
        <w:rPr>
          <w:rFonts w:cs="Arial"/>
          <w:lang w:val="en-US"/>
        </w:rPr>
        <w:t>d in the 2030 Agenda is not given</w:t>
      </w:r>
      <w:r w:rsidR="00161E59" w:rsidRPr="00161E59">
        <w:rPr>
          <w:rFonts w:cs="Arial"/>
          <w:lang w:val="en-US"/>
        </w:rPr>
        <w:t>, the SDGs will not be achieved. More specifically,</w:t>
      </w:r>
      <w:r w:rsidR="005A0E96">
        <w:rPr>
          <w:rFonts w:cs="Arial"/>
          <w:lang w:val="en-US"/>
        </w:rPr>
        <w:t xml:space="preserve"> and as stated above,</w:t>
      </w:r>
      <w:r w:rsidR="00161E59" w:rsidRPr="00161E59">
        <w:rPr>
          <w:rFonts w:cs="Arial"/>
          <w:lang w:val="en-US"/>
        </w:rPr>
        <w:t xml:space="preserve"> the 2030 Agenda for Sustainable Development</w:t>
      </w:r>
      <w:r w:rsidR="00161E59" w:rsidRPr="00161E59">
        <w:rPr>
          <w:rFonts w:cs="Arial"/>
          <w:b/>
          <w:lang w:val="en-US"/>
        </w:rPr>
        <w:t xml:space="preserve"> </w:t>
      </w:r>
      <w:r w:rsidR="00161E59" w:rsidRPr="00161E59">
        <w:rPr>
          <w:rFonts w:cs="Arial"/>
          <w:lang w:val="en-US"/>
        </w:rPr>
        <w:t>explicitly recognized people with disabilities (1 billion people in the world) as a vulnerable group. Different SDGs also refer to people with disabiliti</w:t>
      </w:r>
      <w:r w:rsidR="0099505F">
        <w:rPr>
          <w:rFonts w:cs="Arial"/>
          <w:lang w:val="en-US"/>
        </w:rPr>
        <w:t>es</w:t>
      </w:r>
      <w:r w:rsidR="00BF1F7E">
        <w:rPr>
          <w:rFonts w:cs="Arial"/>
          <w:lang w:val="en-US"/>
        </w:rPr>
        <w:t>.</w:t>
      </w:r>
      <w:bookmarkStart w:id="2" w:name="_GoBack"/>
      <w:bookmarkEnd w:id="2"/>
    </w:p>
    <w:p w14:paraId="57161E15" w14:textId="01258850" w:rsidR="003E573C" w:rsidRDefault="00161E59" w:rsidP="003E573C">
      <w:pPr>
        <w:rPr>
          <w:rFonts w:cs="Arial"/>
        </w:rPr>
      </w:pPr>
      <w:proofErr w:type="gramStart"/>
      <w:r w:rsidRPr="00161E59">
        <w:rPr>
          <w:rFonts w:cs="Arial"/>
          <w:lang w:val="en-US"/>
        </w:rPr>
        <w:t>.</w:t>
      </w:r>
      <w:permEnd w:id="221670941"/>
      <w:r w:rsidR="003E573C">
        <w:rPr>
          <w:rFonts w:cs="Arial"/>
        </w:rPr>
        <w:t>&lt;</w:t>
      </w:r>
      <w:proofErr w:type="gramEnd"/>
      <w:r w:rsidR="003E573C">
        <w:rPr>
          <w:rFonts w:cs="Arial"/>
        </w:rPr>
        <w:t>ESA_QUESTION_</w:t>
      </w:r>
      <w:r w:rsidR="00C86E1C">
        <w:rPr>
          <w:rFonts w:cs="Arial"/>
        </w:rPr>
        <w:t>ESG</w:t>
      </w:r>
      <w:r w:rsidR="003E573C">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3"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3"/>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lastRenderedPageBreak/>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 xml:space="preserve">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w:t>
      </w:r>
      <w:r w:rsidR="002A73F1" w:rsidRPr="002A73F1">
        <w:lastRenderedPageBreak/>
        <w:t>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lastRenderedPageBreak/>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2"/>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2"/>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2"/>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2"/>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8F65D5" w:rsidRDefault="008F65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E73783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F1F7E">
            <w:rPr>
              <w:rFonts w:cs="Arial"/>
              <w:noProof/>
              <w:sz w:val="22"/>
              <w:szCs w:val="22"/>
            </w:rPr>
            <w:t>10</w:t>
          </w:r>
          <w:r w:rsidRPr="00616B9B">
            <w:rPr>
              <w:rFonts w:cs="Arial"/>
              <w:noProof/>
              <w:sz w:val="22"/>
              <w:szCs w:val="22"/>
            </w:rPr>
            <w:fldChar w:fldCharType="end"/>
          </w:r>
        </w:p>
      </w:tc>
    </w:tr>
  </w:tbl>
  <w:p w14:paraId="6A3CB0F0" w14:textId="77777777" w:rsidR="00811EDA" w:rsidRDefault="00811ED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8F65D5" w:rsidRDefault="008F65D5">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811EDA" w:rsidRDefault="00811E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Textonotapie"/>
      </w:pPr>
      <w:r>
        <w:rPr>
          <w:rStyle w:val="Refdenotaalpi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589AE268" w14:textId="77777777" w:rsidR="009D7576" w:rsidRPr="00457969" w:rsidRDefault="009D7576" w:rsidP="009D7576">
      <w:pPr>
        <w:pStyle w:val="Textonotapie"/>
        <w:jc w:val="both"/>
        <w:rPr>
          <w:rFonts w:cs="Arial"/>
          <w:sz w:val="18"/>
          <w:szCs w:val="18"/>
          <w:lang w:val="en-US"/>
        </w:rPr>
      </w:pPr>
      <w:r>
        <w:rPr>
          <w:rStyle w:val="Refdenotaalpie"/>
        </w:rPr>
        <w:footnoteRef/>
      </w:r>
      <w:r w:rsidRPr="00457969">
        <w:rPr>
          <w:lang w:val="en-US"/>
        </w:rPr>
        <w:t xml:space="preserve"> </w:t>
      </w:r>
      <w:r w:rsidRPr="00457969">
        <w:rPr>
          <w:rFonts w:cs="Arial"/>
          <w:sz w:val="18"/>
          <w:szCs w:val="18"/>
          <w:lang w:val="en-US"/>
        </w:rPr>
        <w:t>Disability is one of the discrimination grounds addressed by EU’s non-discrimination legislation (Directive 2000/78/EC establishing a general framework for equal treatment in employment and occupation) and it is also recognized by the EU Treaty together with age, gender, racial or ethnic origin, religion or belief, or sexual orientation (article 10), as well as in the EU Charter of Fundamental Rights (article 21 and 26).</w:t>
      </w:r>
    </w:p>
    <w:p w14:paraId="48EC9FCC" w14:textId="77777777" w:rsidR="009D7576" w:rsidRPr="00457969" w:rsidRDefault="009D7576" w:rsidP="009D7576">
      <w:pPr>
        <w:pStyle w:val="Textonotapie"/>
        <w:jc w:val="both"/>
        <w:rPr>
          <w:rFonts w:cs="Arial"/>
          <w:sz w:val="18"/>
          <w:szCs w:val="18"/>
          <w:lang w:val="en-US"/>
        </w:rPr>
      </w:pPr>
    </w:p>
  </w:footnote>
  <w:footnote w:id="4">
    <w:p w14:paraId="3C67C803" w14:textId="79B3FCD8" w:rsidR="009D7576" w:rsidRDefault="009D7576" w:rsidP="009D7576">
      <w:pPr>
        <w:pStyle w:val="Textonotapie"/>
        <w:jc w:val="both"/>
        <w:rPr>
          <w:rFonts w:cs="Arial"/>
          <w:sz w:val="18"/>
          <w:szCs w:val="18"/>
          <w:lang w:val="en-US"/>
        </w:rPr>
      </w:pPr>
      <w:r>
        <w:rPr>
          <w:rFonts w:cs="Arial"/>
          <w:sz w:val="18"/>
          <w:szCs w:val="18"/>
          <w:lang w:val="en-US"/>
        </w:rPr>
        <w:t xml:space="preserve">3 </w:t>
      </w:r>
      <w:r>
        <w:rPr>
          <w:rFonts w:cs="Arial"/>
          <w:sz w:val="18"/>
          <w:szCs w:val="18"/>
          <w:lang w:val="en-US"/>
        </w:rPr>
        <w:t>Such as the Sector Guides for implementing the UNGPs as well as in the Guide for SME “My business and human rights”, and various references to disability are included in the 2015 EC staff working document on implementing the UNGPs. In addition, the recent EU Action Plan on Human Rights and Democracy 2020-2024 refers specifically to people with disabilities, in relation to many areas, including accessibility to infrastructure, transport and ICT as well and employment.</w:t>
      </w:r>
    </w:p>
    <w:p w14:paraId="7470DD53" w14:textId="77777777" w:rsidR="009D7576" w:rsidRDefault="009D7576" w:rsidP="009D7576">
      <w:pPr>
        <w:pStyle w:val="Textonotapie"/>
        <w:jc w:val="both"/>
        <w:rPr>
          <w:rFonts w:cs="Arial"/>
          <w:sz w:val="18"/>
          <w:szCs w:val="18"/>
          <w:lang w:val="en-US"/>
        </w:rPr>
      </w:pPr>
    </w:p>
  </w:footnote>
  <w:footnote w:id="5">
    <w:p w14:paraId="0648FF5C" w14:textId="58B7784A" w:rsidR="004455A8" w:rsidRDefault="004455A8" w:rsidP="004455A8">
      <w:pPr>
        <w:pStyle w:val="Textonotapie"/>
        <w:jc w:val="both"/>
        <w:rPr>
          <w:rFonts w:cs="Arial"/>
          <w:sz w:val="18"/>
          <w:szCs w:val="18"/>
          <w:lang w:val="en-US"/>
        </w:rPr>
      </w:pPr>
      <w:r>
        <w:rPr>
          <w:rStyle w:val="Refdenotaalpie"/>
          <w:rFonts w:cs="Arial"/>
          <w:sz w:val="18"/>
          <w:szCs w:val="18"/>
        </w:rPr>
        <w:footnoteRef/>
      </w:r>
      <w:r>
        <w:rPr>
          <w:rFonts w:cs="Arial"/>
          <w:sz w:val="18"/>
          <w:szCs w:val="18"/>
          <w:lang w:val="en-US"/>
        </w:rPr>
        <w:t xml:space="preserve"> References are included in the </w:t>
      </w:r>
      <w:r w:rsidR="00733235">
        <w:rPr>
          <w:rFonts w:cs="Arial"/>
          <w:sz w:val="18"/>
          <w:szCs w:val="18"/>
          <w:lang w:val="en-US"/>
        </w:rPr>
        <w:t xml:space="preserve">EC </w:t>
      </w:r>
      <w:r>
        <w:rPr>
          <w:rFonts w:cs="Arial"/>
          <w:sz w:val="18"/>
          <w:szCs w:val="18"/>
          <w:lang w:val="en-US"/>
        </w:rPr>
        <w:t>guidelines’ sections 4.6 Thematic aspects: b) social employee matters and c) respect to human rights; and 6 Board diversity disclosure – footnote. Examples of indicators included are: the number of people with disabilities employed or how accessible companies’ facilities, documents and websites are to people with disabilities</w:t>
      </w:r>
    </w:p>
    <w:p w14:paraId="39792897" w14:textId="77777777" w:rsidR="004455A8" w:rsidRDefault="004455A8" w:rsidP="004455A8">
      <w:pPr>
        <w:pStyle w:val="Textonotapie"/>
        <w:jc w:val="both"/>
        <w:rPr>
          <w:rFonts w:cs="Arial"/>
          <w:sz w:val="18"/>
          <w:szCs w:val="18"/>
          <w:lang w:val="en-US"/>
        </w:rPr>
      </w:pPr>
    </w:p>
  </w:footnote>
  <w:footnote w:id="6">
    <w:p w14:paraId="7816FD39" w14:textId="77777777" w:rsidR="004455A8" w:rsidRDefault="004455A8" w:rsidP="004455A8">
      <w:pPr>
        <w:jc w:val="both"/>
        <w:rPr>
          <w:rFonts w:cs="Arial"/>
          <w:sz w:val="18"/>
          <w:szCs w:val="18"/>
          <w:lang w:val="en-US"/>
        </w:rPr>
      </w:pPr>
      <w:r>
        <w:rPr>
          <w:rStyle w:val="Refdenotaalpie"/>
          <w:rFonts w:cs="Arial"/>
          <w:sz w:val="18"/>
          <w:szCs w:val="18"/>
        </w:rPr>
        <w:footnoteRef/>
      </w:r>
      <w:r>
        <w:rPr>
          <w:rFonts w:cs="Arial"/>
          <w:sz w:val="18"/>
          <w:szCs w:val="18"/>
          <w:lang w:val="en-US"/>
        </w:rPr>
        <w:t xml:space="preserve"> An interesting example can be found in the case of Spain where Directive 2014/95/EU transposition, by means of the Law 11/2018, did include specific reference to disability and accessibility. </w:t>
      </w:r>
      <w:hyperlink r:id="rId1" w:history="1">
        <w:r>
          <w:rPr>
            <w:rStyle w:val="Hipervnculo"/>
            <w:rFonts w:cs="Arial"/>
            <w:sz w:val="18"/>
            <w:szCs w:val="18"/>
            <w:lang w:val="en-US"/>
          </w:rPr>
          <w:t>2019 Guide on Disability, SDG and non-financial reporting</w:t>
        </w:r>
      </w:hyperlink>
      <w:r>
        <w:rPr>
          <w:rFonts w:cs="Arial"/>
          <w:sz w:val="18"/>
          <w:szCs w:val="18"/>
          <w:lang w:val="en-US"/>
        </w:rPr>
        <w:t xml:space="preserve"> (in Spanish only), by the Spanish Committee of Representatives of People with Disabilities, Fundación ONCE and Fundación Bequal, analyses this milestone from a disability perspective </w:t>
      </w:r>
    </w:p>
    <w:p w14:paraId="24FD61C7" w14:textId="77777777" w:rsidR="004455A8" w:rsidRDefault="004455A8" w:rsidP="004455A8">
      <w:pPr>
        <w:pStyle w:val="Textonotapie"/>
        <w:rPr>
          <w:rFonts w:cs="Arial"/>
          <w:sz w:val="18"/>
          <w:szCs w:val="18"/>
          <w:lang w:val="en-US"/>
        </w:rPr>
      </w:pPr>
    </w:p>
  </w:footnote>
  <w:footnote w:id="7">
    <w:p w14:paraId="1D00F86C" w14:textId="237C48D3" w:rsidR="00733235" w:rsidRDefault="00733235" w:rsidP="00733235">
      <w:pPr>
        <w:pStyle w:val="Textonotapie"/>
        <w:jc w:val="both"/>
        <w:rPr>
          <w:rFonts w:cs="Arial"/>
          <w:sz w:val="18"/>
          <w:szCs w:val="18"/>
          <w:lang w:val="en-US"/>
        </w:rPr>
      </w:pPr>
      <w:r>
        <w:rPr>
          <w:rStyle w:val="Refdenotaalpie"/>
          <w:rFonts w:cs="Arial"/>
          <w:sz w:val="18"/>
          <w:szCs w:val="18"/>
        </w:rPr>
        <w:footnoteRef/>
      </w:r>
      <w:r>
        <w:rPr>
          <w:rFonts w:cs="Arial"/>
          <w:sz w:val="18"/>
          <w:szCs w:val="18"/>
          <w:lang w:val="en-US"/>
        </w:rPr>
        <w:t xml:space="preserve"> Relevant international examples are the </w:t>
      </w:r>
      <w:r>
        <w:rPr>
          <w:rFonts w:cs="Arial"/>
          <w:i/>
          <w:sz w:val="18"/>
          <w:szCs w:val="18"/>
          <w:lang w:val="en-US"/>
        </w:rPr>
        <w:t xml:space="preserve">ILO Global Business and Disability Network (ILO GBDN), the Valuable 500 initiative and </w:t>
      </w:r>
      <w:hyperlink r:id="rId2" w:history="1">
        <w:r w:rsidRPr="0099505F">
          <w:rPr>
            <w:rStyle w:val="Hipervnculo"/>
            <w:rFonts w:cs="Arial"/>
            <w:i/>
            <w:sz w:val="18"/>
            <w:szCs w:val="18"/>
            <w:lang w:val="en-US"/>
          </w:rPr>
          <w:t>Disability Hub Europe</w:t>
        </w:r>
      </w:hyperlink>
      <w:r>
        <w:rPr>
          <w:rFonts w:cs="Arial"/>
          <w:i/>
          <w:sz w:val="18"/>
          <w:szCs w:val="18"/>
          <w:lang w:val="en-US"/>
        </w:rPr>
        <w:t>, led by Fundación ONCE with the co-funding of the ESF</w:t>
      </w:r>
      <w:r>
        <w:rPr>
          <w:rFonts w:cs="Arial"/>
          <w:i/>
          <w:sz w:val="18"/>
          <w:szCs w:val="18"/>
          <w:lang w:val="en-US"/>
        </w:rPr>
        <w:t xml:space="preserve"> in the EU.</w:t>
      </w:r>
      <w:r>
        <w:rPr>
          <w:rFonts w:cs="Arial"/>
          <w:sz w:val="18"/>
          <w:szCs w:val="18"/>
          <w:lang w:val="en-US"/>
        </w:rPr>
        <w:t xml:space="preserve"> At national level, there are other examples, such as the </w:t>
      </w:r>
      <w:r>
        <w:rPr>
          <w:rFonts w:cs="Arial"/>
          <w:i/>
          <w:sz w:val="18"/>
          <w:szCs w:val="18"/>
          <w:lang w:val="en-US"/>
        </w:rPr>
        <w:t xml:space="preserve">Inserta Responsible Forum in Spain, </w:t>
      </w:r>
      <w:r>
        <w:rPr>
          <w:rFonts w:cs="Arial"/>
          <w:sz w:val="18"/>
          <w:szCs w:val="18"/>
          <w:lang w:val="en-US"/>
        </w:rPr>
        <w:t xml:space="preserve">the </w:t>
      </w:r>
      <w:r>
        <w:rPr>
          <w:rFonts w:cs="Arial"/>
          <w:i/>
          <w:sz w:val="18"/>
          <w:szCs w:val="18"/>
          <w:lang w:val="en-US"/>
        </w:rPr>
        <w:t>UK Business and Disability Forum</w:t>
      </w:r>
      <w:r>
        <w:rPr>
          <w:rFonts w:cs="Arial"/>
          <w:sz w:val="18"/>
          <w:szCs w:val="18"/>
          <w:lang w:val="en-US"/>
        </w:rPr>
        <w:t xml:space="preserve">, the </w:t>
      </w:r>
      <w:r>
        <w:rPr>
          <w:rFonts w:cs="Arial"/>
          <w:i/>
          <w:sz w:val="18"/>
          <w:szCs w:val="18"/>
          <w:lang w:val="en-US"/>
        </w:rPr>
        <w:t>Austrian Disability Business Forum</w:t>
      </w:r>
      <w:r>
        <w:rPr>
          <w:rFonts w:cs="Arial"/>
          <w:sz w:val="18"/>
          <w:szCs w:val="18"/>
          <w:lang w:val="en-US"/>
        </w:rPr>
        <w:t xml:space="preserve">, The </w:t>
      </w:r>
      <w:r>
        <w:rPr>
          <w:rFonts w:cs="Arial"/>
          <w:i/>
          <w:sz w:val="18"/>
          <w:szCs w:val="18"/>
          <w:lang w:val="en-US"/>
        </w:rPr>
        <w:t>UnternehmensForum</w:t>
      </w:r>
      <w:r>
        <w:rPr>
          <w:rFonts w:cs="Arial"/>
          <w:sz w:val="18"/>
          <w:szCs w:val="18"/>
          <w:lang w:val="en-US"/>
        </w:rPr>
        <w:t xml:space="preserve"> in Germany, or the </w:t>
      </w:r>
      <w:r>
        <w:rPr>
          <w:rFonts w:cs="Arial"/>
          <w:i/>
          <w:sz w:val="18"/>
          <w:szCs w:val="18"/>
          <w:lang w:val="en-US"/>
        </w:rPr>
        <w:t>Come CloSeR to Disability Task Force</w:t>
      </w:r>
      <w:r>
        <w:rPr>
          <w:rFonts w:cs="Arial"/>
          <w:sz w:val="18"/>
          <w:szCs w:val="18"/>
          <w:lang w:val="en-US"/>
        </w:rPr>
        <w:t xml:space="preserve"> in Poland.</w:t>
      </w:r>
    </w:p>
    <w:p w14:paraId="49470520" w14:textId="77777777" w:rsidR="00733235" w:rsidRDefault="00733235" w:rsidP="00733235">
      <w:pPr>
        <w:pStyle w:val="Textonotapie"/>
        <w:jc w:val="both"/>
        <w:rPr>
          <w:rFonts w:cs="Arial"/>
          <w:sz w:val="18"/>
          <w:szCs w:val="18"/>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8F65D5" w:rsidRDefault="008F65D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811EDA" w:rsidRDefault="008F65D5">
    <w:pPr>
      <w:pStyle w:val="Encabezado"/>
    </w:pPr>
    <w:r>
      <w:rPr>
        <w:noProof/>
        <w:lang w:val="es-ES" w:eastAsia="es-ES"/>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r w:rsidR="00DE66EB">
      <w:rPr>
        <w:noProof/>
        <w:lang w:val="es-ES" w:eastAsia="es-ES"/>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811EDA" w:rsidRDefault="008F65D5" w:rsidP="00013CCE">
    <w:pPr>
      <w:pStyle w:val="Encabezado"/>
      <w:jc w:val="right"/>
    </w:pPr>
    <w:r>
      <w:rPr>
        <w:noProof/>
        <w:lang w:val="es-ES" w:eastAsia="es-ES"/>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r w:rsidR="00DE66EB">
      <w:rPr>
        <w:noProof/>
        <w:lang w:val="es-ES" w:eastAsia="es-ES"/>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811EDA" w:rsidRDefault="00811ED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Encabezado"/>
      <w:rPr>
        <w:lang w:val="fr-FR"/>
      </w:rPr>
    </w:pPr>
  </w:p>
  <w:p w14:paraId="6A3CB0F8" w14:textId="77777777" w:rsidR="00811EDA" w:rsidRPr="002F4496" w:rsidRDefault="00811EDA" w:rsidP="000C06C9">
    <w:pPr>
      <w:pStyle w:val="Encabezado"/>
      <w:tabs>
        <w:tab w:val="clear" w:pos="4536"/>
        <w:tab w:val="clear" w:pos="9072"/>
        <w:tab w:val="left" w:pos="8227"/>
      </w:tabs>
      <w:rPr>
        <w:lang w:val="fr-FR"/>
      </w:rPr>
    </w:pPr>
  </w:p>
  <w:p w14:paraId="6A3CB0F9" w14:textId="77777777" w:rsidR="00811EDA" w:rsidRPr="002F4496" w:rsidRDefault="00811EDA" w:rsidP="000C06C9">
    <w:pPr>
      <w:pStyle w:val="Encabezado"/>
      <w:tabs>
        <w:tab w:val="clear" w:pos="4536"/>
        <w:tab w:val="clear" w:pos="9072"/>
        <w:tab w:val="left" w:pos="8227"/>
      </w:tabs>
      <w:rPr>
        <w:lang w:val="fr-FR"/>
      </w:rPr>
    </w:pPr>
  </w:p>
  <w:p w14:paraId="6A3CB0FA" w14:textId="77777777" w:rsidR="00811EDA" w:rsidRPr="002F4496" w:rsidRDefault="00811EDA">
    <w:pPr>
      <w:pStyle w:val="Encabezado"/>
      <w:rPr>
        <w:lang w:val="fr-FR"/>
      </w:rPr>
    </w:pPr>
  </w:p>
  <w:p w14:paraId="6A3CB0FB" w14:textId="77777777" w:rsidR="00811EDA" w:rsidRPr="002F4496" w:rsidRDefault="00811EDA">
    <w:pPr>
      <w:pStyle w:val="Encabezado"/>
      <w:rPr>
        <w:lang w:val="fr-FR"/>
      </w:rPr>
    </w:pPr>
  </w:p>
  <w:p w14:paraId="6A3CB0FC" w14:textId="77777777" w:rsidR="00811EDA" w:rsidRPr="002F4496" w:rsidRDefault="00811EDA">
    <w:pPr>
      <w:pStyle w:val="Encabezado"/>
      <w:rPr>
        <w:lang w:val="fr-FR"/>
      </w:rPr>
    </w:pPr>
  </w:p>
  <w:p w14:paraId="6A3CB0FD" w14:textId="77777777" w:rsidR="00811EDA" w:rsidRPr="002F4496" w:rsidRDefault="00811EDA">
    <w:pPr>
      <w:pStyle w:val="Encabezado"/>
      <w:rPr>
        <w:lang w:val="fr-FR"/>
      </w:rPr>
    </w:pPr>
  </w:p>
  <w:p w14:paraId="6A3CB0FE" w14:textId="77777777" w:rsidR="00811EDA" w:rsidRPr="002F4496" w:rsidRDefault="00811EDA">
    <w:pPr>
      <w:pStyle w:val="Encabezado"/>
      <w:rPr>
        <w:highlight w:val="yellow"/>
        <w:lang w:val="fr-FR"/>
      </w:rPr>
    </w:pPr>
  </w:p>
  <w:p w14:paraId="6A3CB0FF" w14:textId="05D5FF53"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es-ES" w:eastAsia="es-ES"/>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4" w15:restartNumberingAfterBreak="0">
    <w:nsid w:val="62CF79D2"/>
    <w:multiLevelType w:val="multilevel"/>
    <w:tmpl w:val="733AF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6F30DB3"/>
    <w:multiLevelType w:val="hybridMultilevel"/>
    <w:tmpl w:val="6C3489E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19"/>
  </w:num>
  <w:num w:numId="27">
    <w:abstractNumId w:val="35"/>
  </w:num>
  <w:num w:numId="28">
    <w:abstractNumId w:val="42"/>
  </w:num>
  <w:num w:numId="29">
    <w:abstractNumId w:val="5"/>
  </w:num>
  <w:num w:numId="30">
    <w:abstractNumId w:val="2"/>
  </w:num>
  <w:num w:numId="31">
    <w:abstractNumId w:val="22"/>
  </w:num>
  <w:num w:numId="32">
    <w:abstractNumId w:val="20"/>
  </w:num>
  <w:num w:numId="33">
    <w:abstractNumId w:val="38"/>
  </w:num>
  <w:num w:numId="34">
    <w:abstractNumId w:val="37"/>
  </w:num>
  <w:num w:numId="35">
    <w:abstractNumId w:val="9"/>
  </w:num>
  <w:num w:numId="36">
    <w:abstractNumId w:val="10"/>
  </w:num>
  <w:num w:numId="37">
    <w:abstractNumId w:val="12"/>
  </w:num>
  <w:num w:numId="38">
    <w:abstractNumId w:val="25"/>
  </w:num>
  <w:num w:numId="39">
    <w:abstractNumId w:val="21"/>
  </w:num>
  <w:num w:numId="40">
    <w:abstractNumId w:val="36"/>
  </w:num>
  <w:num w:numId="41">
    <w:abstractNumId w:val="34"/>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3276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FA0"/>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1283"/>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6DC"/>
    <w:rsid w:val="00161E59"/>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371"/>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135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5A8"/>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303"/>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0E96"/>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235"/>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88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AE8"/>
    <w:rsid w:val="00923BCF"/>
    <w:rsid w:val="009252EC"/>
    <w:rsid w:val="00925AEC"/>
    <w:rsid w:val="0092751A"/>
    <w:rsid w:val="009305C4"/>
    <w:rsid w:val="00931FAF"/>
    <w:rsid w:val="00932564"/>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05F"/>
    <w:rsid w:val="0099544B"/>
    <w:rsid w:val="00996770"/>
    <w:rsid w:val="009A053D"/>
    <w:rsid w:val="009A07A6"/>
    <w:rsid w:val="009A0D56"/>
    <w:rsid w:val="009A3017"/>
    <w:rsid w:val="009A31B9"/>
    <w:rsid w:val="009A4D4F"/>
    <w:rsid w:val="009A53D8"/>
    <w:rsid w:val="009A597F"/>
    <w:rsid w:val="009A6C85"/>
    <w:rsid w:val="009A7B72"/>
    <w:rsid w:val="009A7F49"/>
    <w:rsid w:val="009B03C4"/>
    <w:rsid w:val="009B0AA2"/>
    <w:rsid w:val="009B1D02"/>
    <w:rsid w:val="009B22E3"/>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D7576"/>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1F7E"/>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459C"/>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18A6"/>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2A25"/>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4480"/>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0539446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disabilityhub.eu/sites/disabilitybub/files/gri_disability_reporting_0.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isabilityhub.eu/" TargetMode="External"/><Relationship Id="rId1" Type="http://schemas.openxmlformats.org/officeDocument/2006/relationships/hyperlink" Target="https://www.cermi.es/sites/default/files/docs/colecciones/gu%C3%ADa%20ODS%20II%20de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http://schemas.microsoft.com/office/infopath/2007/PartnerControls"/>
    <ds:schemaRef ds:uri="http://www.w3.org/XML/1998/namespace"/>
    <ds:schemaRef ds:uri="http://purl.org/dc/terms/"/>
    <ds:schemaRef ds:uri="35c8e399-07b8-49e4-91bf-01a20105d4df"/>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81CE8F6-343D-409F-9398-FBC8CF53ABA4}">
  <ds:schemaRefs>
    <ds:schemaRef ds:uri="http://schemas.openxmlformats.org/officeDocument/2006/bibliography"/>
  </ds:schemaRefs>
</ds:datastoreItem>
</file>

<file path=customXml/itemProps6.xml><?xml version="1.0" encoding="utf-8"?>
<ds:datastoreItem xmlns:ds="http://schemas.openxmlformats.org/officeDocument/2006/customXml" ds:itemID="{7E32B2F5-5EF3-4AE3-83EB-1AFB93E7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2616</Words>
  <Characters>15590</Characters>
  <Application>Microsoft Office Word</Application>
  <DocSecurity>8</DocSecurity>
  <Lines>129</Lines>
  <Paragraphs>36</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18170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Bonino Covas, Carla</cp:lastModifiedBy>
  <cp:revision>3</cp:revision>
  <cp:lastPrinted>2015-02-18T11:01:00Z</cp:lastPrinted>
  <dcterms:created xsi:type="dcterms:W3CDTF">2020-08-31T16:16:00Z</dcterms:created>
  <dcterms:modified xsi:type="dcterms:W3CDTF">2020-09-01T08:12:00Z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