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tblPr>
      <w:tblGrid>
        <w:gridCol w:w="10051"/>
      </w:tblGrid>
      <w:tr w:rsidR="006F4535" w:rsidRPr="00616B9B" w:rsidTr="00210E59">
        <w:trPr>
          <w:trHeight w:hRule="exact" w:val="1620"/>
        </w:trPr>
        <w:tc>
          <w:tcPr>
            <w:tcW w:w="10051" w:type="dxa"/>
            <w:vAlign w:val="bottom"/>
          </w:tcPr>
          <w:p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rsidR="006F4535" w:rsidRPr="009A053D" w:rsidRDefault="006F4535" w:rsidP="00210E59">
            <w:pPr>
              <w:pStyle w:val="01aDBTitle"/>
              <w:jc w:val="left"/>
              <w:rPr>
                <w:rFonts w:cs="Arial"/>
                <w:sz w:val="32"/>
              </w:rPr>
            </w:pPr>
          </w:p>
        </w:tc>
      </w:tr>
      <w:tr w:rsidR="006F4535" w:rsidRPr="00616B9B" w:rsidTr="00210E59">
        <w:trPr>
          <w:trHeight w:hRule="exact" w:val="809"/>
        </w:trPr>
        <w:tc>
          <w:tcPr>
            <w:tcW w:w="10051"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54AC4" w:rsidRDefault="00754AC4" w:rsidP="00754AC4">
      <w:pPr>
        <w:spacing w:after="240"/>
        <w:jc w:val="both"/>
        <w:rPr>
          <w:rStyle w:val="Enfasidelicata"/>
          <w:b w:val="0"/>
          <w:bCs/>
          <w:sz w:val="22"/>
        </w:rPr>
      </w:pPr>
      <w:r w:rsidRPr="00754AC4">
        <w:rPr>
          <w:rStyle w:val="Enfasidelicata"/>
          <w:b w:val="0"/>
          <w:bCs/>
          <w:sz w:val="22"/>
        </w:rPr>
        <w:t>The European Supervisory Authorities (ESAs) invite comments on all matters in this consultation paper</w:t>
      </w:r>
      <w:r>
        <w:rPr>
          <w:rStyle w:val="Enfasidelicata"/>
          <w:b w:val="0"/>
          <w:bCs/>
          <w:sz w:val="22"/>
        </w:rPr>
        <w:t xml:space="preserve"> on ESG disclosures under Regulation (EU) 2019/2088</w:t>
      </w:r>
      <w:r w:rsidRPr="00754AC4">
        <w:rPr>
          <w:rStyle w:val="Enfasidelicata"/>
          <w:b w:val="0"/>
          <w:bCs/>
          <w:sz w:val="22"/>
        </w:rPr>
        <w:t xml:space="preserve"> </w:t>
      </w:r>
      <w:r>
        <w:rPr>
          <w:rStyle w:val="Enfasidelicata"/>
          <w:b w:val="0"/>
          <w:bCs/>
          <w:sz w:val="22"/>
        </w:rPr>
        <w:t xml:space="preserve">on sustainability-related </w:t>
      </w:r>
      <w:r w:rsidR="00BE7C87">
        <w:rPr>
          <w:rStyle w:val="Enfasidelicata"/>
          <w:b w:val="0"/>
          <w:bCs/>
          <w:sz w:val="22"/>
        </w:rPr>
        <w:t>discl</w:t>
      </w:r>
      <w:r w:rsidR="00BE7C87">
        <w:rPr>
          <w:rStyle w:val="Enfasidelicata"/>
          <w:b w:val="0"/>
          <w:bCs/>
          <w:sz w:val="22"/>
        </w:rPr>
        <w:t>o</w:t>
      </w:r>
      <w:r w:rsidR="00BE7C87">
        <w:rPr>
          <w:rStyle w:val="Enfasidelicata"/>
          <w:b w:val="0"/>
          <w:bCs/>
          <w:sz w:val="22"/>
        </w:rPr>
        <w:t>sures</w:t>
      </w:r>
      <w:r>
        <w:rPr>
          <w:rStyle w:val="Enfasidelicata"/>
          <w:b w:val="0"/>
          <w:bCs/>
          <w:sz w:val="22"/>
        </w:rPr>
        <w:t xml:space="preserve"> in the financial sector (hereinafter “SFDR”) </w:t>
      </w:r>
      <w:r w:rsidRPr="00754AC4">
        <w:rPr>
          <w:rStyle w:val="Enfasidelicata"/>
          <w:b w:val="0"/>
          <w:bCs/>
          <w:sz w:val="22"/>
        </w:rPr>
        <w:t xml:space="preserve">and in particular on the specific questions summarised in Section 3 of the consultation paper under “Questions to stakeholders”. </w:t>
      </w:r>
    </w:p>
    <w:p w:rsidR="00754AC4" w:rsidRPr="00754AC4" w:rsidRDefault="00754AC4" w:rsidP="00754AC4">
      <w:pPr>
        <w:spacing w:after="240"/>
        <w:jc w:val="both"/>
        <w:rPr>
          <w:rStyle w:val="Enfasidelicata"/>
          <w:b w:val="0"/>
          <w:bCs/>
          <w:sz w:val="22"/>
        </w:rPr>
      </w:pPr>
      <w:r w:rsidRPr="00754AC4">
        <w:rPr>
          <w:rStyle w:val="Enfasidelicata"/>
          <w:b w:val="0"/>
          <w:bCs/>
          <w:sz w:val="22"/>
        </w:rPr>
        <w:t>Comments are most helpful if they:</w:t>
      </w:r>
    </w:p>
    <w:p w:rsidR="00754AC4" w:rsidRPr="00754AC4" w:rsidRDefault="00754AC4" w:rsidP="00754AC4">
      <w:pPr>
        <w:pStyle w:val="Paragrafoelenco"/>
        <w:numPr>
          <w:ilvl w:val="0"/>
          <w:numId w:val="49"/>
        </w:numPr>
        <w:spacing w:after="240"/>
        <w:jc w:val="both"/>
        <w:rPr>
          <w:rStyle w:val="Enfasidelicata"/>
          <w:b w:val="0"/>
          <w:bCs/>
          <w:sz w:val="22"/>
        </w:rPr>
      </w:pPr>
      <w:r w:rsidRPr="00754AC4">
        <w:rPr>
          <w:rStyle w:val="Enfasidelicata"/>
          <w:b w:val="0"/>
          <w:bCs/>
          <w:sz w:val="22"/>
        </w:rPr>
        <w:t>contain a clear rationale; and</w:t>
      </w:r>
    </w:p>
    <w:p w:rsidR="00754AC4" w:rsidRPr="00754AC4" w:rsidRDefault="00754AC4" w:rsidP="00754AC4">
      <w:pPr>
        <w:pStyle w:val="Paragrafoelenco"/>
        <w:numPr>
          <w:ilvl w:val="0"/>
          <w:numId w:val="49"/>
        </w:numPr>
        <w:spacing w:after="240"/>
        <w:jc w:val="both"/>
        <w:rPr>
          <w:rStyle w:val="Enfasidelicata"/>
          <w:b w:val="0"/>
          <w:bCs/>
          <w:sz w:val="22"/>
        </w:rPr>
      </w:pPr>
      <w:r w:rsidRPr="00754AC4">
        <w:rPr>
          <w:rStyle w:val="Enfasidelicata"/>
          <w:b w:val="0"/>
          <w:bCs/>
          <w:sz w:val="22"/>
        </w:rPr>
        <w:t>describe any alternatives the ESAs should consider.</w:t>
      </w:r>
    </w:p>
    <w:p w:rsidR="00C86E1C" w:rsidRDefault="00C86E1C" w:rsidP="00754AC4">
      <w:pPr>
        <w:spacing w:after="240"/>
        <w:jc w:val="both"/>
        <w:rPr>
          <w:rStyle w:val="Enfasidelicata"/>
          <w:b w:val="0"/>
          <w:bCs/>
          <w:sz w:val="22"/>
        </w:rPr>
      </w:pPr>
      <w:r>
        <w:rPr>
          <w:rStyle w:val="Enfasidelicata"/>
          <w:b w:val="0"/>
          <w:bCs/>
          <w:sz w:val="22"/>
        </w:rPr>
        <w:t>When describing alternative approaches the ESAs encourage stakeholders to consider how the approach would achieve the aims of SFDR.</w:t>
      </w:r>
    </w:p>
    <w:p w:rsidR="00EC1154" w:rsidRDefault="00EC1154" w:rsidP="00AF38AF">
      <w:pPr>
        <w:rPr>
          <w:rStyle w:val="Enfasidelicata"/>
          <w:b w:val="0"/>
          <w:sz w:val="22"/>
        </w:rPr>
      </w:pPr>
    </w:p>
    <w:p w:rsidR="009A3017" w:rsidRPr="00E40A5C" w:rsidRDefault="009A3017" w:rsidP="009A3017">
      <w:pPr>
        <w:spacing w:after="120"/>
        <w:jc w:val="both"/>
        <w:rPr>
          <w:rStyle w:val="Enfasidelicata"/>
          <w:sz w:val="22"/>
        </w:rPr>
      </w:pPr>
      <w:r w:rsidRPr="00E40A5C">
        <w:rPr>
          <w:rStyle w:val="Enfasidelicata"/>
          <w:sz w:val="22"/>
        </w:rPr>
        <w:t>Instructions</w:t>
      </w:r>
    </w:p>
    <w:p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C86E1C">
        <w:rPr>
          <w:rStyle w:val="Enfasidelicata"/>
          <w:b w:val="0"/>
          <w:sz w:val="22"/>
        </w:rPr>
        <w:t>ESG</w:t>
      </w:r>
      <w:r w:rsidRPr="00E40A5C">
        <w:rPr>
          <w:rStyle w:val="Enfasidelicata"/>
          <w:b w:val="0"/>
          <w:sz w:val="22"/>
        </w:rPr>
        <w:t>_1&gt;. Your response to each question has to be framed by the two tags corresponding to the question.</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t>
      </w:r>
      <w:r w:rsidRPr="00E40A5C">
        <w:rPr>
          <w:rStyle w:val="Enfasidelicata"/>
          <w:b w:val="0"/>
          <w:sz w:val="22"/>
        </w:rPr>
        <w:t>w</w:t>
      </w:r>
      <w:r w:rsidRPr="00E40A5C">
        <w:rPr>
          <w:rStyle w:val="Enfasidelicata"/>
          <w:b w:val="0"/>
          <w:sz w:val="22"/>
        </w:rPr>
        <w:t>ing convention: ESA_</w:t>
      </w:r>
      <w:r w:rsidR="00C86E1C">
        <w:rPr>
          <w:rStyle w:val="Enfasidelicata"/>
          <w:b w:val="0"/>
          <w:sz w:val="22"/>
        </w:rPr>
        <w:t>ESG</w:t>
      </w:r>
      <w:r w:rsidRPr="00E40A5C">
        <w:rPr>
          <w:rStyle w:val="Enfasidelicata"/>
          <w:b w:val="0"/>
          <w:sz w:val="22"/>
        </w:rPr>
        <w:t>_nameofrespondent_RESPONSEFORM. For example, for a r</w:t>
      </w:r>
      <w:r w:rsidRPr="00E40A5C">
        <w:rPr>
          <w:rStyle w:val="Enfasidelicata"/>
          <w:b w:val="0"/>
          <w:sz w:val="22"/>
        </w:rPr>
        <w:t>e</w:t>
      </w:r>
      <w:r w:rsidRPr="00E40A5C">
        <w:rPr>
          <w:rStyle w:val="Enfasidelicata"/>
          <w:b w:val="0"/>
          <w:sz w:val="22"/>
        </w:rPr>
        <w:t>spondent named ABCD, the response form would be entitled ESA_</w:t>
      </w:r>
      <w:r w:rsidR="00C86E1C">
        <w:rPr>
          <w:rStyle w:val="Enfasidelicata"/>
          <w:b w:val="0"/>
          <w:sz w:val="22"/>
        </w:rPr>
        <w:t>ESG</w:t>
      </w:r>
      <w:r w:rsidRPr="00E40A5C">
        <w:rPr>
          <w:rStyle w:val="Enfasidelicata"/>
          <w:b w:val="0"/>
          <w:sz w:val="22"/>
        </w:rPr>
        <w:t>_ABCD_RESPONSEFORM.</w:t>
      </w:r>
    </w:p>
    <w:p w:rsidR="00197794" w:rsidRP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The consultation paper is available on the websites of the three ESAs</w:t>
      </w:r>
      <w:r w:rsidR="00764042">
        <w:rPr>
          <w:rStyle w:val="Enfasidelicata"/>
          <w:b w:val="0"/>
          <w:sz w:val="22"/>
        </w:rPr>
        <w:t xml:space="preserve"> and the Joint Co</w:t>
      </w:r>
      <w:r w:rsidR="00764042">
        <w:rPr>
          <w:rStyle w:val="Enfasidelicata"/>
          <w:b w:val="0"/>
          <w:sz w:val="22"/>
        </w:rPr>
        <w:t>m</w:t>
      </w:r>
      <w:r w:rsidR="00764042">
        <w:rPr>
          <w:rStyle w:val="Enfasidelicata"/>
          <w:b w:val="0"/>
          <w:sz w:val="22"/>
        </w:rPr>
        <w:t>mittee</w:t>
      </w:r>
      <w:r w:rsidRPr="00197794">
        <w:rPr>
          <w:rStyle w:val="Enfasidelicata"/>
          <w:b w:val="0"/>
          <w:sz w:val="22"/>
        </w:rPr>
        <w:t xml:space="preserve">. Comments on this consultation paper can be sent using the response form, via the </w:t>
      </w:r>
      <w:hyperlink r:id="rId19"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 xml:space="preserve">under the heading ‘Your input - Consultations’ </w:t>
      </w:r>
      <w:r w:rsidRPr="001C240F">
        <w:rPr>
          <w:rStyle w:val="Enfasidelicata"/>
          <w:b w:val="0"/>
          <w:sz w:val="22"/>
        </w:rPr>
        <w:t xml:space="preserve">by </w:t>
      </w:r>
      <w:r w:rsidR="00D5594A" w:rsidRPr="001C240F">
        <w:rPr>
          <w:rStyle w:val="Enfasidelicata"/>
          <w:sz w:val="22"/>
        </w:rPr>
        <w:t>1 September</w:t>
      </w:r>
      <w:r w:rsidRPr="001C240F">
        <w:rPr>
          <w:rStyle w:val="Enfasidelicata"/>
          <w:sz w:val="22"/>
        </w:rPr>
        <w:t xml:space="preserve"> 2020</w:t>
      </w:r>
      <w:r w:rsidRPr="00197794">
        <w:rPr>
          <w:rStyle w:val="Enfasidelicata"/>
          <w:b w:val="0"/>
          <w:sz w:val="22"/>
        </w:rPr>
        <w:t>.</w:t>
      </w:r>
    </w:p>
    <w:p w:rsid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rsidR="00197794" w:rsidRDefault="00197794" w:rsidP="00197794">
      <w:pPr>
        <w:spacing w:after="240" w:line="276" w:lineRule="auto"/>
        <w:jc w:val="both"/>
        <w:rPr>
          <w:rStyle w:val="Enfasidelicata"/>
          <w:b w:val="0"/>
          <w:sz w:val="22"/>
        </w:rPr>
      </w:pPr>
    </w:p>
    <w:p w:rsidR="00D5594A" w:rsidRPr="00197794" w:rsidRDefault="00D5594A" w:rsidP="00197794">
      <w:pPr>
        <w:spacing w:after="240" w:line="276" w:lineRule="auto"/>
        <w:jc w:val="both"/>
        <w:rPr>
          <w:rStyle w:val="Enfasidelicata"/>
          <w:b w:val="0"/>
          <w:sz w:val="22"/>
        </w:rPr>
      </w:pPr>
    </w:p>
    <w:p w:rsidR="00210E59" w:rsidRPr="00210E59" w:rsidRDefault="00210E59" w:rsidP="00210E59">
      <w:pPr>
        <w:spacing w:after="120"/>
        <w:jc w:val="both"/>
        <w:rPr>
          <w:rStyle w:val="Enfasidelicata"/>
          <w:sz w:val="22"/>
        </w:rPr>
      </w:pPr>
      <w:r w:rsidRPr="00210E59">
        <w:rPr>
          <w:rStyle w:val="Enfasidelicata"/>
          <w:sz w:val="22"/>
        </w:rPr>
        <w:lastRenderedPageBreak/>
        <w:t>Publication of responses</w:t>
      </w:r>
    </w:p>
    <w:p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rsidR="00197794" w:rsidRDefault="00197794" w:rsidP="004E6AE4">
      <w:pPr>
        <w:rPr>
          <w:rStyle w:val="Enfasidelicata"/>
          <w:sz w:val="22"/>
          <w:lang w:eastAsia="en-GB"/>
        </w:rPr>
      </w:pPr>
    </w:p>
    <w:p w:rsidR="00197794" w:rsidRDefault="00197794" w:rsidP="004E6AE4">
      <w:pPr>
        <w:rPr>
          <w:rStyle w:val="Enfasidelicata"/>
          <w:sz w:val="22"/>
          <w:lang w:eastAsia="en-GB"/>
        </w:rPr>
      </w:pPr>
    </w:p>
    <w:p w:rsidR="009A3017" w:rsidRPr="00E40A5C" w:rsidRDefault="009A3017" w:rsidP="004E6AE4">
      <w:pPr>
        <w:rPr>
          <w:rStyle w:val="Enfasidelicata"/>
          <w:sz w:val="22"/>
          <w:lang w:eastAsia="en-GB"/>
        </w:rPr>
      </w:pPr>
      <w:r w:rsidRPr="00E40A5C">
        <w:rPr>
          <w:rStyle w:val="Enfasidelicata"/>
          <w:sz w:val="22"/>
          <w:lang w:eastAsia="en-GB"/>
        </w:rPr>
        <w:t>Data protection</w:t>
      </w:r>
    </w:p>
    <w:p w:rsidR="00197794" w:rsidRDefault="00197794" w:rsidP="00210E59">
      <w:pPr>
        <w:rPr>
          <w:sz w:val="22"/>
        </w:rPr>
      </w:pPr>
    </w:p>
    <w:p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2"/>
      </w:r>
      <w:r w:rsidRPr="00197794">
        <w:rPr>
          <w:rFonts w:cs="Arial"/>
          <w:sz w:val="22"/>
        </w:rPr>
        <w:t xml:space="preserve">. Further information on data protection can be found under the </w:t>
      </w:r>
      <w:hyperlink r:id="rId20" w:history="1">
        <w:r w:rsidRPr="00197794">
          <w:rPr>
            <w:rStyle w:val="Collegamentoipertestuale"/>
            <w:rFonts w:cs="Arial"/>
            <w:sz w:val="22"/>
          </w:rPr>
          <w:t>Legal notice</w:t>
        </w:r>
      </w:hyperlink>
      <w:r w:rsidRPr="00197794">
        <w:rPr>
          <w:rFonts w:cs="Arial"/>
          <w:sz w:val="22"/>
        </w:rPr>
        <w:t xml:space="preserve"> section of the EBA website and under the </w:t>
      </w:r>
      <w:hyperlink r:id="rId21"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22" w:history="1">
        <w:r w:rsidRPr="00197794">
          <w:rPr>
            <w:rStyle w:val="Collegamentoipertestuale"/>
            <w:rFonts w:cs="Arial"/>
            <w:sz w:val="22"/>
          </w:rPr>
          <w:t>Legal notice</w:t>
        </w:r>
      </w:hyperlink>
      <w:r w:rsidRPr="00197794">
        <w:rPr>
          <w:rFonts w:cs="Arial"/>
          <w:sz w:val="22"/>
        </w:rPr>
        <w:t xml:space="preserve"> section of the ESMA website.</w:t>
      </w:r>
    </w:p>
    <w:p w:rsidR="00210E59" w:rsidRDefault="00210E59" w:rsidP="009A3017">
      <w:pPr>
        <w:spacing w:after="120"/>
        <w:jc w:val="both"/>
        <w:rPr>
          <w:rStyle w:val="Enfasidelicata"/>
          <w:sz w:val="22"/>
          <w:lang w:eastAsia="en-GB"/>
        </w:rPr>
      </w:pPr>
    </w:p>
    <w:bookmarkEnd w:id="0"/>
    <w:p w:rsidR="002E4F86" w:rsidRPr="00EC1154" w:rsidRDefault="002E4F86" w:rsidP="00EC1154">
      <w:pPr>
        <w:rPr>
          <w:sz w:val="22"/>
        </w:rPr>
      </w:pPr>
    </w:p>
    <w:p w:rsidR="00332304" w:rsidRDefault="00332304" w:rsidP="004E6AE4">
      <w:pPr>
        <w:rPr>
          <w:rFonts w:cs="Arial"/>
          <w:b/>
          <w:bCs/>
          <w:kern w:val="32"/>
          <w:sz w:val="24"/>
          <w:szCs w:val="32"/>
        </w:rPr>
      </w:pPr>
      <w:r>
        <w:br w:type="page"/>
      </w:r>
    </w:p>
    <w:p w:rsidR="00B327E9" w:rsidRPr="00AB6D88" w:rsidRDefault="00B327E9" w:rsidP="00B327E9">
      <w:pPr>
        <w:pStyle w:val="Titolo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Intestazione"/>
            </w:rPr>
            <w:id w:val="-1905066999"/>
            <w:text/>
          </w:sdtPr>
          <w:sdtContent>
            <w:tc>
              <w:tcPr>
                <w:tcW w:w="5595" w:type="dxa"/>
                <w:shd w:val="clear" w:color="auto" w:fill="auto"/>
              </w:tcPr>
              <w:p w:rsidR="00B327E9" w:rsidRPr="00AB6D88" w:rsidRDefault="0057398F" w:rsidP="00F136AD">
                <w:pPr>
                  <w:rPr>
                    <w:rStyle w:val="Testosegnaposto"/>
                    <w:rFonts w:cs="Arial"/>
                  </w:rPr>
                </w:pPr>
                <w:r w:rsidRPr="0057398F">
                  <w:rPr>
                    <w:rStyle w:val="Intestazione"/>
                  </w:rPr>
                  <w:t>European Federation of Financial Advisers and Financial Intermediaries (FECIF)</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21055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7398F">
                  <w:rPr>
                    <w:rFonts w:cs="Arial"/>
                  </w:rPr>
                  <w:t>Insurance and Pension</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r w:rsidR="0057398F">
                  <w:rPr>
                    <w:rFonts w:ascii="MS Gothic" w:eastAsia="MS Gothic" w:hAnsi="MS Gothic" w:cs="Arial"/>
                  </w:rPr>
                  <w:t>x</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57398F" w:rsidP="00F136AD">
                <w:pPr>
                  <w:rPr>
                    <w:rFonts w:cs="Arial"/>
                  </w:rPr>
                </w:pPr>
                <w:r>
                  <w:rPr>
                    <w:rFonts w:cs="Arial"/>
                  </w:rPr>
                  <w:t>Belgium</w:t>
                </w:r>
              </w:p>
            </w:tc>
          </w:sdtContent>
        </w:sdt>
      </w:tr>
      <w:permEnd w:id="3"/>
    </w:tbl>
    <w:p w:rsidR="00B327E9" w:rsidRDefault="00B327E9" w:rsidP="00B327E9">
      <w:pPr>
        <w:spacing w:after="120" w:line="264" w:lineRule="auto"/>
      </w:pPr>
    </w:p>
    <w:p w:rsidR="00B327E9" w:rsidRDefault="00B327E9" w:rsidP="00B327E9">
      <w:pPr>
        <w:pStyle w:val="Titolo1"/>
        <w:numPr>
          <w:ilvl w:val="0"/>
          <w:numId w:val="0"/>
        </w:numPr>
        <w:ind w:left="431" w:hanging="431"/>
      </w:pPr>
      <w:r>
        <w:t>Introduction</w:t>
      </w:r>
    </w:p>
    <w:p w:rsidR="00B327E9" w:rsidRPr="00E40A5C" w:rsidRDefault="00B327E9" w:rsidP="00B327E9">
      <w:pPr>
        <w:rPr>
          <w:rStyle w:val="Enfasiintensa"/>
          <w:sz w:val="22"/>
        </w:rPr>
      </w:pPr>
      <w:r w:rsidRPr="00E40A5C">
        <w:rPr>
          <w:rStyle w:val="Enfasiintensa"/>
          <w:sz w:val="22"/>
        </w:rPr>
        <w:t>Please make your introductory comments below, if any:</w:t>
      </w:r>
    </w:p>
    <w:p w:rsidR="00B327E9" w:rsidRPr="00BF28DA" w:rsidRDefault="00B327E9" w:rsidP="00B327E9"/>
    <w:p w:rsidR="00B327E9" w:rsidRPr="006F4535" w:rsidRDefault="00B327E9" w:rsidP="00B327E9">
      <w:r w:rsidRPr="006F4535">
        <w:t>&lt;ESA_COMMENT_</w:t>
      </w:r>
      <w:r w:rsidR="00C86E1C">
        <w:rPr>
          <w:rStyle w:val="Enfasidelicata"/>
          <w:b w:val="0"/>
          <w:sz w:val="22"/>
        </w:rPr>
        <w:t>ESG</w:t>
      </w:r>
      <w:r w:rsidRPr="006F4535">
        <w:t>_1&gt;</w:t>
      </w:r>
    </w:p>
    <w:p w:rsidR="00B327E9" w:rsidRDefault="00B327E9" w:rsidP="00B327E9">
      <w:permStart w:id="4" w:edGrp="everyone"/>
      <w:r>
        <w:t>TYPE YOUR TEXT HERE</w:t>
      </w:r>
    </w:p>
    <w:permEnd w:id="4"/>
    <w:p w:rsidR="00B327E9" w:rsidRPr="00BF28DA" w:rsidRDefault="00B327E9" w:rsidP="00B327E9">
      <w:r w:rsidRPr="00BF28DA">
        <w:t>&lt;ESA_COMMENT_</w:t>
      </w:r>
      <w:r w:rsidR="00C86E1C">
        <w:rPr>
          <w:rStyle w:val="Enfasidelicata"/>
          <w:b w:val="0"/>
          <w:sz w:val="22"/>
        </w:rPr>
        <w:t>ESG</w:t>
      </w:r>
      <w:r w:rsidR="000A58BE">
        <w:t>_</w:t>
      </w:r>
      <w:r w:rsidRPr="00BF28DA">
        <w:t>1&gt;</w:t>
      </w:r>
    </w:p>
    <w:p w:rsidR="00F31E57" w:rsidRPr="00BF28DA" w:rsidRDefault="00F31E57" w:rsidP="00D34282"/>
    <w:p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w:t>
      </w:r>
      <w:r w:rsidR="00D5594A" w:rsidRPr="00D5594A">
        <w:t>e</w:t>
      </w:r>
      <w:r w:rsidR="00D5594A" w:rsidRPr="00D5594A">
        <w:t>quiring consistent disclosure, and the indicators in Table 2 and 3 are subject to an “opt-in” r</w:t>
      </w:r>
      <w:r w:rsidR="00D5594A" w:rsidRPr="00D5594A">
        <w:t>e</w:t>
      </w:r>
      <w:r w:rsidR="00D5594A" w:rsidRPr="00D5594A">
        <w:t>gime for disclosure?</w:t>
      </w:r>
      <w:r w:rsidR="003E573C" w:rsidRPr="00763760">
        <w:t>?</w:t>
      </w:r>
    </w:p>
    <w:p w:rsidR="003E573C" w:rsidRDefault="003E573C" w:rsidP="003E573C">
      <w:pPr>
        <w:rPr>
          <w:rFonts w:cs="Arial"/>
        </w:rPr>
      </w:pPr>
      <w:r>
        <w:rPr>
          <w:rFonts w:cs="Arial"/>
        </w:rPr>
        <w:t>&lt;ESA_QUESTION_</w:t>
      </w:r>
      <w:r w:rsidR="00C86E1C">
        <w:rPr>
          <w:rFonts w:cs="Arial"/>
        </w:rPr>
        <w:t>ESG</w:t>
      </w:r>
      <w:r>
        <w:rPr>
          <w:rFonts w:cs="Arial"/>
        </w:rPr>
        <w:t>_1&gt;</w:t>
      </w:r>
    </w:p>
    <w:p w:rsidR="003E573C" w:rsidRDefault="003E573C" w:rsidP="003E573C">
      <w:pPr>
        <w:rPr>
          <w:rFonts w:cs="Arial"/>
        </w:rPr>
      </w:pPr>
      <w:permStart w:id="5" w:edGrp="everyone"/>
      <w:r>
        <w:rPr>
          <w:rFonts w:cs="Arial"/>
        </w:rPr>
        <w:t>TYPE YOUR TEXT HERE</w:t>
      </w:r>
    </w:p>
    <w:permEnd w:id="5"/>
    <w:p w:rsidR="003E573C" w:rsidRDefault="003E573C" w:rsidP="003E573C">
      <w:pPr>
        <w:rPr>
          <w:rFonts w:cs="Arial"/>
        </w:rPr>
      </w:pPr>
      <w:r>
        <w:rPr>
          <w:rFonts w:cs="Arial"/>
        </w:rPr>
        <w:t>&lt;ESA_QUESTION_</w:t>
      </w:r>
      <w:r w:rsidR="00C86E1C">
        <w:rPr>
          <w:rFonts w:cs="Arial"/>
        </w:rPr>
        <w:t>ESG</w:t>
      </w:r>
      <w:r>
        <w:rPr>
          <w:rFonts w:cs="Arial"/>
        </w:rPr>
        <w:t>_1&gt;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rsidR="003E573C" w:rsidRDefault="003E573C" w:rsidP="003E573C">
      <w:pPr>
        <w:rPr>
          <w:rFonts w:cs="Arial"/>
        </w:rPr>
      </w:pPr>
      <w:r>
        <w:rPr>
          <w:rFonts w:cs="Arial"/>
        </w:rPr>
        <w:t>&lt;ESA_QUESTION_</w:t>
      </w:r>
      <w:r w:rsidR="00C86E1C">
        <w:rPr>
          <w:rFonts w:cs="Arial"/>
        </w:rPr>
        <w:t>ESG</w:t>
      </w:r>
      <w:r>
        <w:rPr>
          <w:rFonts w:cs="Arial"/>
        </w:rPr>
        <w:t>_2&gt;</w:t>
      </w:r>
    </w:p>
    <w:p w:rsidR="003E573C" w:rsidRDefault="003E573C" w:rsidP="003E573C">
      <w:pPr>
        <w:rPr>
          <w:rFonts w:cs="Arial"/>
        </w:rPr>
      </w:pPr>
      <w:permStart w:id="6" w:edGrp="everyone"/>
      <w:r>
        <w:rPr>
          <w:rFonts w:cs="Arial"/>
        </w:rPr>
        <w:t>TYPE YOUR TEXT HERE</w:t>
      </w:r>
    </w:p>
    <w:permEnd w:id="6"/>
    <w:p w:rsidR="003E573C" w:rsidRDefault="003E573C" w:rsidP="003E573C">
      <w:pPr>
        <w:rPr>
          <w:rFonts w:cs="Arial"/>
        </w:rPr>
      </w:pPr>
      <w:r>
        <w:rPr>
          <w:rFonts w:cs="Arial"/>
        </w:rPr>
        <w:t>&lt;ESA_QUESTION_</w:t>
      </w:r>
      <w:r w:rsidR="00C86E1C">
        <w:rPr>
          <w:rFonts w:cs="Arial"/>
        </w:rPr>
        <w:t>ESG</w:t>
      </w:r>
      <w:r>
        <w:rPr>
          <w:rFonts w:cs="Arial"/>
        </w:rPr>
        <w:t>_2&gt;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w:t>
      </w:r>
      <w:r w:rsidR="00D5594A" w:rsidRPr="00D5594A">
        <w:t>n</w:t>
      </w:r>
      <w:r w:rsidR="00D5594A" w:rsidRPr="00D5594A">
        <w:t>sure sufficiently comparable disclosure against key indicators?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_3&gt;</w:t>
      </w:r>
    </w:p>
    <w:p w:rsidR="003E573C" w:rsidRPr="0057398F" w:rsidRDefault="0057398F" w:rsidP="003E573C">
      <w:pPr>
        <w:rPr>
          <w:rFonts w:cs="Arial"/>
          <w:lang w:val="en-US"/>
        </w:rPr>
      </w:pPr>
      <w:permStart w:id="7" w:edGrp="everyone"/>
      <w:r>
        <w:rPr>
          <w:rFonts w:ascii="Calibri" w:hAnsi="Calibri"/>
          <w:sz w:val="22"/>
          <w:szCs w:val="22"/>
          <w:lang w:val="en-US"/>
        </w:rPr>
        <w:t>We would firstly like to point out the incorrect and misleading definition of financial advisor, which derives from Regulation (EU) 2019/2088, which includes subjects such as financial and insurance inte</w:t>
      </w:r>
      <w:r>
        <w:rPr>
          <w:rFonts w:ascii="Calibri" w:hAnsi="Calibri"/>
          <w:sz w:val="22"/>
          <w:szCs w:val="22"/>
          <w:lang w:val="en-US"/>
        </w:rPr>
        <w:t>r</w:t>
      </w:r>
      <w:r>
        <w:rPr>
          <w:rFonts w:ascii="Calibri" w:hAnsi="Calibri"/>
          <w:sz w:val="22"/>
          <w:szCs w:val="22"/>
          <w:lang w:val="en-US"/>
        </w:rPr>
        <w:t>mediaries, investment firms, credit institutions, management companies etc. deviating from the defin</w:t>
      </w:r>
      <w:r>
        <w:rPr>
          <w:rFonts w:ascii="Calibri" w:hAnsi="Calibri"/>
          <w:sz w:val="22"/>
          <w:szCs w:val="22"/>
          <w:lang w:val="en-US"/>
        </w:rPr>
        <w:t>i</w:t>
      </w:r>
      <w:r>
        <w:rPr>
          <w:rFonts w:ascii="Calibri" w:hAnsi="Calibri"/>
          <w:sz w:val="22"/>
          <w:szCs w:val="22"/>
          <w:lang w:val="en-US"/>
        </w:rPr>
        <w:t xml:space="preserve">tion generally used which refers to the natural or legal person who provides </w:t>
      </w:r>
      <w:r w:rsidRPr="00320550">
        <w:rPr>
          <w:rFonts w:ascii="Calibri" w:hAnsi="Calibri"/>
          <w:sz w:val="22"/>
          <w:szCs w:val="22"/>
        </w:rPr>
        <w:t>an</w:t>
      </w:r>
      <w:r>
        <w:rPr>
          <w:rFonts w:ascii="Calibri" w:hAnsi="Calibri"/>
          <w:sz w:val="22"/>
          <w:szCs w:val="22"/>
          <w:lang w:val="en-US"/>
        </w:rPr>
        <w:t xml:space="preserve"> investment advisory service. The definition used in the regulation and in this regulatory text creates confusion</w:t>
      </w:r>
      <w:r w:rsidRPr="00320550">
        <w:rPr>
          <w:rFonts w:ascii="Calibri" w:hAnsi="Calibri"/>
          <w:sz w:val="22"/>
          <w:szCs w:val="22"/>
        </w:rPr>
        <w:t>,</w:t>
      </w:r>
      <w:r>
        <w:rPr>
          <w:rFonts w:ascii="Calibri" w:hAnsi="Calibri"/>
          <w:sz w:val="22"/>
          <w:szCs w:val="22"/>
          <w:lang w:val="en-US"/>
        </w:rPr>
        <w:t xml:space="preserve"> with respect to the roles commonly used by the market and other regulatory sources (see for example the </w:t>
      </w:r>
      <w:proofErr w:type="spellStart"/>
      <w:r>
        <w:rPr>
          <w:rFonts w:ascii="Calibri" w:hAnsi="Calibri"/>
          <w:sz w:val="22"/>
          <w:szCs w:val="22"/>
          <w:lang w:val="en-US"/>
        </w:rPr>
        <w:t>MiFID</w:t>
      </w:r>
      <w:proofErr w:type="spellEnd"/>
      <w:r>
        <w:rPr>
          <w:rFonts w:ascii="Calibri" w:hAnsi="Calibri"/>
          <w:sz w:val="22"/>
          <w:szCs w:val="22"/>
          <w:lang w:val="en-US"/>
        </w:rPr>
        <w:t xml:space="preserve"> II directive).</w:t>
      </w:r>
      <w:r w:rsidRPr="00320550">
        <w:rPr>
          <w:rFonts w:ascii="Calibri" w:hAnsi="Calibri"/>
          <w:sz w:val="22"/>
          <w:szCs w:val="22"/>
        </w:rPr>
        <w:t xml:space="preserve"> </w:t>
      </w:r>
      <w:r>
        <w:rPr>
          <w:rFonts w:ascii="Calibri" w:hAnsi="Calibri"/>
          <w:sz w:val="22"/>
          <w:szCs w:val="22"/>
          <w:lang w:val="en-US"/>
        </w:rPr>
        <w:t>Coming to the topic of consultation, in the introduction, we would like to remind you that it is necessary to find the right balance between the ESG parameters, that is, between social, environmental and governance issues. For example, if only the environmental impact of an investment choice is taken into account, without considering its social impact, there is a risk of not complying with the ESG criteria.</w:t>
      </w:r>
      <w:r w:rsidRPr="00320550">
        <w:rPr>
          <w:rFonts w:ascii="Calibri" w:hAnsi="Calibri"/>
          <w:sz w:val="22"/>
          <w:szCs w:val="22"/>
        </w:rPr>
        <w:t xml:space="preserve"> </w:t>
      </w:r>
      <w:r>
        <w:rPr>
          <w:rFonts w:ascii="Calibri" w:hAnsi="Calibri"/>
          <w:sz w:val="22"/>
          <w:szCs w:val="22"/>
          <w:lang w:val="en-US"/>
        </w:rPr>
        <w:t>We propose the compatibility of the ESG criteria</w:t>
      </w:r>
      <w:r w:rsidRPr="00320550">
        <w:rPr>
          <w:rFonts w:ascii="Calibri" w:hAnsi="Calibri"/>
          <w:sz w:val="22"/>
          <w:szCs w:val="22"/>
        </w:rPr>
        <w:t xml:space="preserve"> to</w:t>
      </w:r>
      <w:r>
        <w:rPr>
          <w:rFonts w:ascii="Calibri" w:hAnsi="Calibri"/>
          <w:sz w:val="22"/>
          <w:szCs w:val="22"/>
          <w:lang w:val="en-US"/>
        </w:rPr>
        <w:t xml:space="preserve"> be summarized in an overall index, similar to that adopted by the PRIIPs KID. We also believe that it would be </w:t>
      </w:r>
      <w:r w:rsidRPr="00320550">
        <w:rPr>
          <w:rFonts w:ascii="Calibri" w:hAnsi="Calibri"/>
          <w:sz w:val="22"/>
          <w:szCs w:val="22"/>
        </w:rPr>
        <w:t>useful</w:t>
      </w:r>
      <w:r>
        <w:rPr>
          <w:rFonts w:ascii="Calibri" w:hAnsi="Calibri"/>
          <w:sz w:val="22"/>
          <w:szCs w:val="22"/>
          <w:lang w:val="en-US"/>
        </w:rPr>
        <w:t xml:space="preserve"> to provide information on non-financial aspects, which accounts for environmental, social and staff-related issues, respect for human rights and the fight against active and passive corruption not only for large companies, but for all inte</w:t>
      </w:r>
      <w:r>
        <w:rPr>
          <w:rFonts w:ascii="Calibri" w:hAnsi="Calibri"/>
          <w:sz w:val="22"/>
          <w:szCs w:val="22"/>
          <w:lang w:val="en-US"/>
        </w:rPr>
        <w:t>r</w:t>
      </w:r>
      <w:r>
        <w:rPr>
          <w:rFonts w:ascii="Calibri" w:hAnsi="Calibri"/>
          <w:sz w:val="22"/>
          <w:szCs w:val="22"/>
          <w:lang w:val="en-US"/>
        </w:rPr>
        <w:t xml:space="preserve">mediaries. This will help all citizens to begin to familiarize themselves with these concepts and also understand the greater resilience of ESG investment products in situations of </w:t>
      </w:r>
      <w:r w:rsidRPr="00320550">
        <w:rPr>
          <w:rFonts w:ascii="Calibri" w:hAnsi="Calibri"/>
          <w:sz w:val="22"/>
          <w:szCs w:val="22"/>
        </w:rPr>
        <w:t xml:space="preserve">huge crisis. </w:t>
      </w:r>
    </w:p>
    <w:permEnd w:id="7"/>
    <w:p w:rsidR="003E573C" w:rsidRDefault="003E573C" w:rsidP="003E573C">
      <w:pPr>
        <w:rPr>
          <w:rFonts w:cs="Arial"/>
        </w:rPr>
      </w:pPr>
      <w:r>
        <w:rPr>
          <w:rFonts w:cs="Arial"/>
        </w:rPr>
        <w:t>&lt;ESA_QUESTION_</w:t>
      </w:r>
      <w:r w:rsidR="00C86E1C">
        <w:rPr>
          <w:rFonts w:cs="Arial"/>
        </w:rPr>
        <w:t>ESG</w:t>
      </w:r>
      <w:r>
        <w:rPr>
          <w:rFonts w:cs="Arial"/>
        </w:rPr>
        <w:t>_3&gt;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rsidR="003E573C" w:rsidRDefault="003E573C" w:rsidP="003E573C">
      <w:pPr>
        <w:rPr>
          <w:rFonts w:cs="Arial"/>
        </w:rPr>
      </w:pPr>
      <w:r>
        <w:rPr>
          <w:rFonts w:cs="Arial"/>
        </w:rPr>
        <w:t>&lt;ESA_QUESTION_</w:t>
      </w:r>
      <w:r w:rsidR="00C86E1C">
        <w:rPr>
          <w:rFonts w:cs="Arial"/>
        </w:rPr>
        <w:t>ESG</w:t>
      </w:r>
      <w:r>
        <w:rPr>
          <w:rFonts w:cs="Arial"/>
        </w:rPr>
        <w:t>_4&gt;</w:t>
      </w:r>
    </w:p>
    <w:p w:rsidR="007F1879" w:rsidRPr="00C328D1" w:rsidRDefault="007F1879" w:rsidP="007F187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8" w:edGrp="everyone"/>
      <w:r>
        <w:rPr>
          <w:rFonts w:ascii="Calibri" w:hAnsi="Calibri"/>
          <w:sz w:val="22"/>
          <w:szCs w:val="22"/>
          <w:lang w:val="en-US"/>
        </w:rPr>
        <w:t>The negative impact indicators identified in Table 1 of Annex 1 are well represented, but it is necessary to make the table proposed, to be published on the website of the reference entity, more intelligible for customers. The table, even if published on the website of the reference subject, should contain an intr</w:t>
      </w:r>
      <w:r>
        <w:rPr>
          <w:rFonts w:ascii="Calibri" w:hAnsi="Calibri"/>
          <w:sz w:val="22"/>
          <w:szCs w:val="22"/>
          <w:lang w:val="en-US"/>
        </w:rPr>
        <w:t>o</w:t>
      </w:r>
      <w:r>
        <w:rPr>
          <w:rFonts w:ascii="Calibri" w:hAnsi="Calibri"/>
          <w:sz w:val="22"/>
          <w:szCs w:val="22"/>
          <w:lang w:val="en-US"/>
        </w:rPr>
        <w:t xml:space="preserve">ductory narrative explanation, which </w:t>
      </w:r>
      <w:r w:rsidRPr="00320550">
        <w:rPr>
          <w:rFonts w:ascii="Calibri" w:hAnsi="Calibri"/>
          <w:sz w:val="22"/>
          <w:szCs w:val="22"/>
          <w:lang w:val="en-GB"/>
        </w:rPr>
        <w:t>indicate</w:t>
      </w:r>
      <w:r>
        <w:rPr>
          <w:rFonts w:ascii="Calibri" w:hAnsi="Calibri"/>
          <w:sz w:val="22"/>
          <w:szCs w:val="22"/>
          <w:lang w:val="en-GB"/>
        </w:rPr>
        <w:t>s</w:t>
      </w:r>
      <w:r>
        <w:rPr>
          <w:rFonts w:ascii="Calibri" w:hAnsi="Calibri"/>
          <w:sz w:val="22"/>
          <w:szCs w:val="22"/>
          <w:lang w:val="en-US"/>
        </w:rPr>
        <w:t xml:space="preserve"> the meaning of the ESG criteria and what is meant by negative impact. Also, it should provide a graphic example based on a scale of values </w:t>
      </w:r>
      <w:r>
        <w:rPr>
          <w:rFonts w:ascii="Calibri" w:hAnsi="Calibri"/>
          <w:sz w:val="22"/>
          <w:szCs w:val="22"/>
          <w:lang w:val="es-ES_tradnl"/>
        </w:rPr>
        <w:t>​​</w:t>
      </w:r>
      <w:r>
        <w:rPr>
          <w:rFonts w:ascii="Calibri" w:hAnsi="Calibri"/>
          <w:sz w:val="22"/>
          <w:szCs w:val="22"/>
          <w:lang w:val="en-US"/>
        </w:rPr>
        <w:t>that assigns the score of 100 to the intermediary that perfectly meets all ESG requirements.</w:t>
      </w:r>
      <w:r w:rsidRPr="00320550">
        <w:rPr>
          <w:rFonts w:ascii="Calibri" w:hAnsi="Calibri"/>
          <w:sz w:val="22"/>
          <w:szCs w:val="22"/>
          <w:lang w:val="en-GB"/>
        </w:rPr>
        <w:t xml:space="preserve"> </w:t>
      </w:r>
      <w:r>
        <w:rPr>
          <w:rFonts w:ascii="Calibri" w:hAnsi="Calibri"/>
          <w:sz w:val="22"/>
          <w:szCs w:val="22"/>
          <w:lang w:val="en-US"/>
        </w:rPr>
        <w:t xml:space="preserve">The understanding of the investor must be fostered, also taking into account that the investor may be personally interested only in </w:t>
      </w:r>
      <w:r>
        <w:rPr>
          <w:rFonts w:ascii="Calibri" w:hAnsi="Calibri"/>
          <w:sz w:val="22"/>
          <w:szCs w:val="22"/>
          <w:lang w:val="en-US"/>
        </w:rPr>
        <w:lastRenderedPageBreak/>
        <w:t>specific criteria, for example social, without being interested in the governance of a company.</w:t>
      </w:r>
      <w:r w:rsidRPr="00320550">
        <w:rPr>
          <w:rFonts w:ascii="Calibri" w:hAnsi="Calibri"/>
          <w:sz w:val="22"/>
          <w:szCs w:val="22"/>
          <w:lang w:val="en-GB"/>
        </w:rPr>
        <w:t xml:space="preserve"> </w:t>
      </w:r>
      <w:r>
        <w:rPr>
          <w:rFonts w:ascii="Calibri" w:hAnsi="Calibri"/>
          <w:sz w:val="22"/>
          <w:szCs w:val="22"/>
          <w:lang w:val="en-US"/>
        </w:rPr>
        <w:t xml:space="preserve">A graphic illustration could help the investor to understand. </w:t>
      </w:r>
      <w:r w:rsidRPr="00320550">
        <w:rPr>
          <w:rFonts w:ascii="Calibri" w:hAnsi="Calibri"/>
          <w:sz w:val="22"/>
          <w:szCs w:val="22"/>
          <w:lang w:val="en-GB"/>
        </w:rPr>
        <w:t>T</w:t>
      </w:r>
      <w:r>
        <w:rPr>
          <w:rFonts w:ascii="Calibri" w:hAnsi="Calibri"/>
          <w:sz w:val="22"/>
          <w:szCs w:val="22"/>
          <w:lang w:val="en-US"/>
        </w:rPr>
        <w:t xml:space="preserve">he following example </w:t>
      </w:r>
      <w:r w:rsidRPr="00320550">
        <w:rPr>
          <w:rFonts w:ascii="Calibri" w:hAnsi="Calibri"/>
          <w:sz w:val="22"/>
          <w:szCs w:val="22"/>
          <w:lang w:val="en-GB"/>
        </w:rPr>
        <w:t>shows</w:t>
      </w:r>
      <w:r>
        <w:rPr>
          <w:rFonts w:ascii="Calibri" w:hAnsi="Calibri"/>
          <w:sz w:val="22"/>
          <w:szCs w:val="22"/>
          <w:lang w:val="en-US"/>
        </w:rPr>
        <w:t xml:space="preserve"> the case of a company that has no negative impact from an environmental point of view, has a partial negative impact on social criteria and a completely negative impact with respect to governance.</w:t>
      </w:r>
    </w:p>
    <w:tbl>
      <w:tblPr>
        <w:tblStyle w:val="TableNormal1"/>
        <w:tblW w:w="84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826"/>
        <w:gridCol w:w="2826"/>
        <w:gridCol w:w="2826"/>
      </w:tblGrid>
      <w:tr w:rsidR="007F1879" w:rsidTr="00804C4A">
        <w:trPr>
          <w:trHeight w:val="452"/>
        </w:trPr>
        <w:tc>
          <w:tcPr>
            <w:tcW w:w="2826" w:type="dxa"/>
            <w:tcBorders>
              <w:top w:val="single" w:sz="8" w:space="0" w:color="000000"/>
              <w:left w:val="single" w:sz="8" w:space="0" w:color="000000"/>
              <w:bottom w:val="single" w:sz="8" w:space="0" w:color="000000"/>
              <w:right w:val="single" w:sz="8" w:space="0" w:color="FFFFFF"/>
            </w:tcBorders>
            <w:shd w:val="clear" w:color="auto" w:fill="FFFFFF"/>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ENVIRONMENTAL</w:t>
            </w:r>
          </w:p>
        </w:tc>
        <w:tc>
          <w:tcPr>
            <w:tcW w:w="2826" w:type="dxa"/>
            <w:tcBorders>
              <w:top w:val="single" w:sz="8" w:space="0" w:color="000000"/>
              <w:left w:val="single" w:sz="8" w:space="0" w:color="FFFFFF"/>
              <w:bottom w:val="single" w:sz="8" w:space="0" w:color="000000"/>
              <w:right w:val="single" w:sz="8" w:space="0" w:color="FFFFFF"/>
            </w:tcBorders>
            <w:shd w:val="clear" w:color="auto" w:fill="FFFFFF"/>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SOCIAL</w:t>
            </w:r>
          </w:p>
        </w:tc>
        <w:tc>
          <w:tcPr>
            <w:tcW w:w="2826" w:type="dxa"/>
            <w:tcBorders>
              <w:top w:val="single" w:sz="8" w:space="0" w:color="000000"/>
              <w:left w:val="single" w:sz="8" w:space="0" w:color="FFFFFF"/>
              <w:bottom w:val="single" w:sz="8" w:space="0" w:color="000000"/>
              <w:right w:val="single" w:sz="8" w:space="0" w:color="000000"/>
            </w:tcBorders>
            <w:shd w:val="clear" w:color="auto" w:fill="FFFFFF"/>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GOVERNANCE</w:t>
            </w:r>
          </w:p>
        </w:tc>
      </w:tr>
      <w:tr w:rsidR="007F1879" w:rsidTr="00804C4A">
        <w:trPr>
          <w:trHeight w:val="452"/>
        </w:trPr>
        <w:tc>
          <w:tcPr>
            <w:tcW w:w="2826" w:type="dxa"/>
            <w:tcBorders>
              <w:top w:val="single" w:sz="8" w:space="0" w:color="000000"/>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100</w:t>
            </w:r>
          </w:p>
        </w:tc>
        <w:tc>
          <w:tcPr>
            <w:tcW w:w="2826" w:type="dxa"/>
            <w:tcBorders>
              <w:top w:val="single" w:sz="8" w:space="0" w:color="000000"/>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100</w:t>
            </w:r>
          </w:p>
        </w:tc>
        <w:tc>
          <w:tcPr>
            <w:tcW w:w="2826" w:type="dxa"/>
            <w:tcBorders>
              <w:top w:val="single" w:sz="8" w:space="0" w:color="000000"/>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90</w:t>
            </w:r>
          </w:p>
        </w:tc>
        <w:tc>
          <w:tcPr>
            <w:tcW w:w="2826" w:type="dxa"/>
            <w:tcBorders>
              <w:top w:val="single" w:sz="8" w:space="0" w:color="FFFFFF"/>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90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90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80</w:t>
            </w:r>
          </w:p>
        </w:tc>
        <w:tc>
          <w:tcPr>
            <w:tcW w:w="2826" w:type="dxa"/>
            <w:tcBorders>
              <w:top w:val="single" w:sz="8" w:space="0" w:color="FFFFFF"/>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80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80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70</w:t>
            </w:r>
          </w:p>
        </w:tc>
        <w:tc>
          <w:tcPr>
            <w:tcW w:w="2826" w:type="dxa"/>
            <w:tcBorders>
              <w:top w:val="single" w:sz="8" w:space="0" w:color="FFFFFF"/>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70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70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60</w:t>
            </w:r>
          </w:p>
        </w:tc>
        <w:tc>
          <w:tcPr>
            <w:tcW w:w="2826" w:type="dxa"/>
            <w:tcBorders>
              <w:top w:val="single" w:sz="8" w:space="0" w:color="FFFFFF"/>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60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60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50</w:t>
            </w:r>
          </w:p>
        </w:tc>
        <w:tc>
          <w:tcPr>
            <w:tcW w:w="2826" w:type="dxa"/>
            <w:tcBorders>
              <w:top w:val="single" w:sz="8" w:space="0" w:color="FFFFFF"/>
              <w:left w:val="single" w:sz="8" w:space="0" w:color="FFFFFF"/>
              <w:bottom w:val="single" w:sz="8" w:space="0" w:color="FFFFFF"/>
              <w:right w:val="single" w:sz="8" w:space="0" w:color="FFFFFF"/>
            </w:tcBorders>
            <w:shd w:val="clear" w:color="auto" w:fill="BBBBBB"/>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50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50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40</w:t>
            </w:r>
          </w:p>
        </w:tc>
        <w:tc>
          <w:tcPr>
            <w:tcW w:w="2826" w:type="dxa"/>
            <w:tcBorders>
              <w:top w:val="single" w:sz="8" w:space="0" w:color="FFFFFF"/>
              <w:left w:val="single" w:sz="8" w:space="0" w:color="FFFFFF"/>
              <w:bottom w:val="single" w:sz="8" w:space="0" w:color="FFFFFF"/>
              <w:right w:val="single" w:sz="8" w:space="0" w:color="FFFFFF"/>
            </w:tcBorders>
            <w:shd w:val="clear" w:color="auto" w:fill="B7D6A3"/>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40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40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30</w:t>
            </w:r>
          </w:p>
        </w:tc>
        <w:tc>
          <w:tcPr>
            <w:tcW w:w="2826" w:type="dxa"/>
            <w:tcBorders>
              <w:top w:val="single" w:sz="8" w:space="0" w:color="FFFFFF"/>
              <w:left w:val="single" w:sz="8" w:space="0" w:color="FFFFFF"/>
              <w:bottom w:val="single" w:sz="8" w:space="0" w:color="FFFFFF"/>
              <w:right w:val="single" w:sz="8" w:space="0" w:color="FFFFFF"/>
            </w:tcBorders>
            <w:shd w:val="clear" w:color="auto" w:fill="B7D6A3"/>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30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30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20</w:t>
            </w:r>
          </w:p>
        </w:tc>
        <w:tc>
          <w:tcPr>
            <w:tcW w:w="2826" w:type="dxa"/>
            <w:tcBorders>
              <w:top w:val="single" w:sz="8" w:space="0" w:color="FFFFFF"/>
              <w:left w:val="single" w:sz="8" w:space="0" w:color="FFFFFF"/>
              <w:bottom w:val="single" w:sz="8" w:space="0" w:color="FFFFFF"/>
              <w:right w:val="single" w:sz="8" w:space="0" w:color="FFFFFF"/>
            </w:tcBorders>
            <w:shd w:val="clear" w:color="auto" w:fill="B7D6A3"/>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20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20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w:t>
            </w:r>
          </w:p>
        </w:tc>
        <w:tc>
          <w:tcPr>
            <w:tcW w:w="2826" w:type="dxa"/>
            <w:tcBorders>
              <w:top w:val="single" w:sz="8" w:space="0" w:color="FFFFFF"/>
              <w:left w:val="single" w:sz="8" w:space="0" w:color="FFFFFF"/>
              <w:bottom w:val="single" w:sz="8" w:space="0" w:color="FFFFFF"/>
              <w:right w:val="single" w:sz="8" w:space="0" w:color="FFFFFF"/>
            </w:tcBorders>
            <w:shd w:val="clear" w:color="auto" w:fill="B7D6A3"/>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10</w:t>
            </w:r>
          </w:p>
        </w:tc>
      </w:tr>
      <w:tr w:rsidR="007F1879" w:rsidTr="00804C4A">
        <w:trPr>
          <w:trHeight w:val="452"/>
        </w:trPr>
        <w:tc>
          <w:tcPr>
            <w:tcW w:w="2826" w:type="dxa"/>
            <w:tcBorders>
              <w:top w:val="single" w:sz="8" w:space="0" w:color="FFFFFF"/>
              <w:left w:val="single" w:sz="8" w:space="0" w:color="FFFFFF"/>
              <w:bottom w:val="single" w:sz="8" w:space="0" w:color="FFFFFF"/>
              <w:right w:val="single" w:sz="8" w:space="0" w:color="FFFFFF"/>
            </w:tcBorders>
            <w:shd w:val="clear" w:color="auto" w:fill="70AD47"/>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0</w:t>
            </w:r>
          </w:p>
        </w:tc>
        <w:tc>
          <w:tcPr>
            <w:tcW w:w="2826" w:type="dxa"/>
            <w:tcBorders>
              <w:top w:val="single" w:sz="8" w:space="0" w:color="FFFFFF"/>
              <w:left w:val="single" w:sz="8" w:space="0" w:color="FFFFFF"/>
              <w:bottom w:val="single" w:sz="8" w:space="0" w:color="FFFFFF"/>
              <w:right w:val="single" w:sz="8" w:space="0" w:color="FFFFFF"/>
            </w:tcBorders>
            <w:shd w:val="clear" w:color="auto" w:fill="B7D6A3"/>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0</w:t>
            </w:r>
          </w:p>
        </w:tc>
        <w:tc>
          <w:tcPr>
            <w:tcW w:w="2826" w:type="dxa"/>
            <w:tcBorders>
              <w:top w:val="single" w:sz="8" w:space="0" w:color="FFFFFF"/>
              <w:left w:val="single" w:sz="8" w:space="0" w:color="FFFFFF"/>
              <w:bottom w:val="single" w:sz="8" w:space="0" w:color="FFFFFF"/>
              <w:right w:val="single" w:sz="8" w:space="0" w:color="FFFFFF"/>
            </w:tcBorders>
            <w:shd w:val="clear" w:color="auto" w:fill="848484"/>
            <w:tcMar>
              <w:top w:w="0" w:type="dxa"/>
              <w:left w:w="0" w:type="dxa"/>
              <w:bottom w:w="0" w:type="dxa"/>
              <w:right w:w="0" w:type="dxa"/>
            </w:tcMar>
          </w:tcPr>
          <w:p w:rsidR="007F1879" w:rsidRDefault="007F1879" w:rsidP="00804C4A">
            <w:pPr>
              <w:tabs>
                <w:tab w:val="left" w:pos="1440"/>
              </w:tabs>
              <w:suppressAutoHyphens/>
              <w:jc w:val="center"/>
              <w:outlineLvl w:val="0"/>
            </w:pPr>
            <w:r>
              <w:rPr>
                <w:sz w:val="26"/>
                <w:szCs w:val="26"/>
              </w:rPr>
              <w:t>0</w:t>
            </w:r>
          </w:p>
        </w:tc>
      </w:tr>
    </w:tbl>
    <w:p w:rsidR="007F1879" w:rsidRDefault="007F1879" w:rsidP="007F187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rPr>
      </w:pPr>
    </w:p>
    <w:p w:rsidR="003E573C" w:rsidRPr="0057398F" w:rsidRDefault="007F1879" w:rsidP="0057398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r w:rsidRPr="00320550">
        <w:rPr>
          <w:rFonts w:ascii="Calibri" w:hAnsi="Calibri"/>
          <w:sz w:val="22"/>
          <w:szCs w:val="22"/>
          <w:lang w:val="en-GB"/>
        </w:rPr>
        <w:t>Furthermore</w:t>
      </w:r>
      <w:r>
        <w:rPr>
          <w:rFonts w:ascii="Calibri" w:hAnsi="Calibri"/>
          <w:sz w:val="22"/>
          <w:szCs w:val="22"/>
          <w:lang w:val="en-GB"/>
        </w:rPr>
        <w:t>,</w:t>
      </w:r>
      <w:r w:rsidRPr="00320550">
        <w:rPr>
          <w:rFonts w:ascii="Calibri" w:hAnsi="Calibri"/>
          <w:sz w:val="22"/>
          <w:szCs w:val="22"/>
          <w:lang w:val="en-GB"/>
        </w:rPr>
        <w:t xml:space="preserve"> we </w:t>
      </w:r>
      <w:r>
        <w:rPr>
          <w:rFonts w:ascii="Calibri" w:hAnsi="Calibri"/>
          <w:sz w:val="22"/>
          <w:szCs w:val="22"/>
          <w:lang w:val="en-US"/>
        </w:rPr>
        <w:t xml:space="preserve">want to emphasize that the concept </w:t>
      </w:r>
      <w:r w:rsidRPr="00320550">
        <w:rPr>
          <w:rFonts w:ascii="Calibri" w:hAnsi="Calibri"/>
          <w:sz w:val="22"/>
          <w:szCs w:val="22"/>
          <w:lang w:val="en-GB"/>
        </w:rPr>
        <w:t>“</w:t>
      </w:r>
      <w:r w:rsidRPr="006037A6">
        <w:rPr>
          <w:rFonts w:ascii="Calibri" w:hAnsi="Calibri"/>
          <w:sz w:val="22"/>
          <w:szCs w:val="22"/>
          <w:lang w:val="en-US"/>
        </w:rPr>
        <w:t>do</w:t>
      </w:r>
      <w:r w:rsidRPr="00320550">
        <w:rPr>
          <w:rFonts w:ascii="Calibri" w:hAnsi="Calibri"/>
          <w:sz w:val="22"/>
          <w:szCs w:val="22"/>
          <w:lang w:val="en-GB"/>
        </w:rPr>
        <w:t xml:space="preserve"> not significantly harm</w:t>
      </w:r>
      <w:r>
        <w:rPr>
          <w:rFonts w:ascii="Calibri" w:hAnsi="Calibri"/>
          <w:sz w:val="22"/>
          <w:szCs w:val="22"/>
          <w:lang w:val="en-US"/>
        </w:rPr>
        <w:t xml:space="preserve">" itself </w:t>
      </w:r>
      <w:r w:rsidRPr="00320550">
        <w:rPr>
          <w:rFonts w:ascii="Calibri" w:hAnsi="Calibri"/>
          <w:sz w:val="22"/>
          <w:szCs w:val="22"/>
          <w:lang w:val="en-GB"/>
        </w:rPr>
        <w:t>comes</w:t>
      </w:r>
      <w:r>
        <w:rPr>
          <w:rFonts w:ascii="Calibri" w:hAnsi="Calibri"/>
          <w:sz w:val="22"/>
          <w:szCs w:val="22"/>
          <w:lang w:val="en-US"/>
        </w:rPr>
        <w:t xml:space="preserve"> from an incorrect approach; a reversed key would be more efficient in communication. In other words, it would be necessary to start from the positive impacts and then indicate which negative impacts do not allow the ESG objectives to be achieved.</w:t>
      </w:r>
    </w:p>
    <w:permEnd w:id="8"/>
    <w:p w:rsidR="003E573C" w:rsidRDefault="003E573C" w:rsidP="003E573C">
      <w:pPr>
        <w:rPr>
          <w:rFonts w:cs="Arial"/>
        </w:rPr>
      </w:pPr>
      <w:r>
        <w:rPr>
          <w:rFonts w:cs="Arial"/>
        </w:rPr>
        <w:t>&lt;ESA_QUESTION_</w:t>
      </w:r>
      <w:r w:rsidR="00C86E1C">
        <w:rPr>
          <w:rFonts w:cs="Arial"/>
        </w:rPr>
        <w:t>ESG</w:t>
      </w:r>
      <w:r>
        <w:rPr>
          <w:rFonts w:cs="Arial"/>
        </w:rPr>
        <w:t>_4&gt;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rsidR="003E573C" w:rsidRDefault="003E573C" w:rsidP="003E573C">
      <w:pPr>
        <w:rPr>
          <w:rFonts w:cs="Arial"/>
        </w:rPr>
      </w:pPr>
      <w:r>
        <w:rPr>
          <w:rFonts w:cs="Arial"/>
        </w:rPr>
        <w:t>&lt;ESA_QUESTION_</w:t>
      </w:r>
      <w:r w:rsidR="00C86E1C">
        <w:rPr>
          <w:rFonts w:cs="Arial"/>
        </w:rPr>
        <w:t>ESG</w:t>
      </w:r>
      <w:r>
        <w:rPr>
          <w:rFonts w:cs="Arial"/>
        </w:rPr>
        <w:t>_5&gt;</w:t>
      </w:r>
    </w:p>
    <w:p w:rsidR="00B439BD" w:rsidRPr="00C328D1" w:rsidRDefault="00B439BD" w:rsidP="00B439B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9" w:edGrp="everyone"/>
      <w:r>
        <w:rPr>
          <w:rFonts w:ascii="Calibri" w:hAnsi="Calibri"/>
          <w:sz w:val="22"/>
          <w:szCs w:val="22"/>
          <w:lang w:val="en-US"/>
        </w:rPr>
        <w:t xml:space="preserve">The negative impact indicators are valid and in-depth, </w:t>
      </w:r>
      <w:r w:rsidRPr="00320550">
        <w:rPr>
          <w:rFonts w:ascii="Calibri" w:hAnsi="Calibri"/>
          <w:sz w:val="22"/>
          <w:szCs w:val="22"/>
          <w:lang w:val="en-GB"/>
        </w:rPr>
        <w:t>while</w:t>
      </w:r>
      <w:r>
        <w:rPr>
          <w:rFonts w:ascii="Calibri" w:hAnsi="Calibri"/>
          <w:sz w:val="22"/>
          <w:szCs w:val="22"/>
          <w:lang w:val="en-US"/>
        </w:rPr>
        <w:t xml:space="preserve"> the graphic representation of the table should be reviewed as indicated. These indicators will then have to be periodically reviewed and weighed on the basis of their impact over </w:t>
      </w:r>
      <w:r w:rsidRPr="000D70DC">
        <w:rPr>
          <w:rFonts w:ascii="Calibri" w:hAnsi="Calibri"/>
          <w:sz w:val="22"/>
          <w:szCs w:val="22"/>
          <w:lang w:val="en-US"/>
        </w:rPr>
        <w:t>time. Forecast indicators</w:t>
      </w:r>
      <w:r>
        <w:rPr>
          <w:rFonts w:ascii="Calibri" w:hAnsi="Calibri"/>
          <w:sz w:val="22"/>
          <w:szCs w:val="22"/>
          <w:lang w:val="en-US"/>
        </w:rPr>
        <w:t xml:space="preserve"> can also be useful, indicating their develo</w:t>
      </w:r>
      <w:r>
        <w:rPr>
          <w:rFonts w:ascii="Calibri" w:hAnsi="Calibri"/>
          <w:sz w:val="22"/>
          <w:szCs w:val="22"/>
          <w:lang w:val="en-US"/>
        </w:rPr>
        <w:t>p</w:t>
      </w:r>
      <w:r>
        <w:rPr>
          <w:rFonts w:ascii="Calibri" w:hAnsi="Calibri"/>
          <w:sz w:val="22"/>
          <w:szCs w:val="22"/>
          <w:lang w:val="en-US"/>
        </w:rPr>
        <w:t>ment. The indicators must be weighed in</w:t>
      </w:r>
      <w:r w:rsidRPr="00320550">
        <w:rPr>
          <w:rFonts w:ascii="Calibri" w:hAnsi="Calibri"/>
          <w:sz w:val="22"/>
          <w:szCs w:val="22"/>
          <w:lang w:val="en-GB"/>
        </w:rPr>
        <w:t xml:space="preserve"> order to </w:t>
      </w:r>
      <w:r>
        <w:rPr>
          <w:rFonts w:ascii="Calibri" w:hAnsi="Calibri"/>
          <w:sz w:val="22"/>
          <w:szCs w:val="22"/>
          <w:lang w:val="en-US"/>
        </w:rPr>
        <w:t xml:space="preserve">be usable </w:t>
      </w:r>
      <w:r w:rsidRPr="00320550">
        <w:rPr>
          <w:rFonts w:ascii="Calibri" w:hAnsi="Calibri"/>
          <w:sz w:val="22"/>
          <w:szCs w:val="22"/>
          <w:lang w:val="en-GB"/>
        </w:rPr>
        <w:t>for</w:t>
      </w:r>
      <w:r>
        <w:rPr>
          <w:rFonts w:ascii="Calibri" w:hAnsi="Calibri"/>
          <w:sz w:val="22"/>
          <w:szCs w:val="22"/>
          <w:lang w:val="en-US"/>
        </w:rPr>
        <w:t xml:space="preserve"> the subjects, for example financial adv</w:t>
      </w:r>
      <w:r>
        <w:rPr>
          <w:rFonts w:ascii="Calibri" w:hAnsi="Calibri"/>
          <w:sz w:val="22"/>
          <w:szCs w:val="22"/>
          <w:lang w:val="en-US"/>
        </w:rPr>
        <w:t>i</w:t>
      </w:r>
      <w:r>
        <w:rPr>
          <w:rFonts w:ascii="Calibri" w:hAnsi="Calibri"/>
          <w:sz w:val="22"/>
          <w:szCs w:val="22"/>
          <w:lang w:val="en-US"/>
        </w:rPr>
        <w:t>sors who interface with clients and who must explain the meaning of the indicators and their impact on investment choices.</w:t>
      </w:r>
    </w:p>
    <w:permEnd w:id="9"/>
    <w:p w:rsidR="003E573C" w:rsidRDefault="003E573C" w:rsidP="003E573C">
      <w:pPr>
        <w:rPr>
          <w:rFonts w:cs="Arial"/>
        </w:rPr>
      </w:pPr>
      <w:r>
        <w:rPr>
          <w:rFonts w:cs="Arial"/>
        </w:rPr>
        <w:t>&lt;ESA_QUESTION_</w:t>
      </w:r>
      <w:r w:rsidR="00C86E1C">
        <w:rPr>
          <w:rFonts w:cs="Arial"/>
        </w:rPr>
        <w:t>ESG</w:t>
      </w:r>
      <w:r>
        <w:rPr>
          <w:rFonts w:cs="Arial"/>
        </w:rPr>
        <w:t>_5&gt;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w:t>
      </w:r>
      <w:r w:rsidR="002A73F1" w:rsidRPr="002A73F1">
        <w:t>l</w:t>
      </w:r>
      <w:r w:rsidR="002A73F1" w:rsidRPr="002A73F1">
        <w:t>ing carbon price?</w:t>
      </w:r>
    </w:p>
    <w:p w:rsidR="003E573C" w:rsidRDefault="003E573C" w:rsidP="003E573C">
      <w:pPr>
        <w:rPr>
          <w:rFonts w:cs="Arial"/>
        </w:rPr>
      </w:pPr>
      <w:r>
        <w:rPr>
          <w:rFonts w:cs="Arial"/>
        </w:rPr>
        <w:t>&lt;ESA_QUESTION_</w:t>
      </w:r>
      <w:r w:rsidR="00C86E1C">
        <w:rPr>
          <w:rFonts w:cs="Arial"/>
        </w:rPr>
        <w:t>ESG</w:t>
      </w:r>
      <w:r>
        <w:rPr>
          <w:rFonts w:cs="Arial"/>
        </w:rPr>
        <w:t>_6&gt;</w:t>
      </w:r>
    </w:p>
    <w:p w:rsidR="003E573C" w:rsidRDefault="003E573C" w:rsidP="003E573C">
      <w:pPr>
        <w:rPr>
          <w:rFonts w:cs="Arial"/>
        </w:rPr>
      </w:pPr>
      <w:permStart w:id="10" w:edGrp="everyone"/>
      <w:r>
        <w:rPr>
          <w:rFonts w:cs="Arial"/>
        </w:rPr>
        <w:t>TYPE YOUR TEXT HERE</w:t>
      </w:r>
    </w:p>
    <w:permEnd w:id="10"/>
    <w:p w:rsidR="003E573C" w:rsidRDefault="003E573C" w:rsidP="003E573C">
      <w:pPr>
        <w:rPr>
          <w:rFonts w:cs="Arial"/>
        </w:rPr>
      </w:pPr>
      <w:r>
        <w:rPr>
          <w:rFonts w:cs="Arial"/>
        </w:rPr>
        <w:t>&lt;ESA_QUESTION_</w:t>
      </w:r>
      <w:r w:rsidR="00C86E1C">
        <w:rPr>
          <w:rFonts w:cs="Arial"/>
        </w:rPr>
        <w:t>ESG</w:t>
      </w:r>
      <w:r>
        <w:rPr>
          <w:rFonts w:cs="Arial"/>
        </w:rPr>
        <w:t>_6&gt;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w:t>
      </w:r>
      <w:r w:rsidR="002A73F1" w:rsidRPr="002A73F1">
        <w:t>a</w:t>
      </w:r>
      <w:r w:rsidR="002A73F1" w:rsidRPr="002A73F1">
        <w:t>nies in the investments without that issue. Do you have any feedback on this proposal?</w:t>
      </w:r>
    </w:p>
    <w:p w:rsidR="003E573C" w:rsidRDefault="003E573C" w:rsidP="003E573C">
      <w:pPr>
        <w:rPr>
          <w:rFonts w:cs="Arial"/>
        </w:rPr>
      </w:pPr>
      <w:r>
        <w:rPr>
          <w:rFonts w:cs="Arial"/>
        </w:rPr>
        <w:t>&lt;ESA_QUESTION_</w:t>
      </w:r>
      <w:r w:rsidR="00C86E1C">
        <w:rPr>
          <w:rFonts w:cs="Arial"/>
        </w:rPr>
        <w:t>ESG</w:t>
      </w:r>
      <w:r>
        <w:rPr>
          <w:rFonts w:cs="Arial"/>
        </w:rPr>
        <w:t>_7&gt;</w:t>
      </w:r>
    </w:p>
    <w:p w:rsidR="003E573C" w:rsidRDefault="003E573C" w:rsidP="003E573C">
      <w:pPr>
        <w:rPr>
          <w:rFonts w:cs="Arial"/>
        </w:rPr>
      </w:pPr>
      <w:permStart w:id="11" w:edGrp="everyone"/>
      <w:r>
        <w:rPr>
          <w:rFonts w:cs="Arial"/>
        </w:rPr>
        <w:t>TYPE YOUR TEXT HERE</w:t>
      </w:r>
    </w:p>
    <w:permEnd w:id="11"/>
    <w:p w:rsidR="003E573C" w:rsidRDefault="003E573C" w:rsidP="003E573C">
      <w:pPr>
        <w:rPr>
          <w:rFonts w:cs="Arial"/>
        </w:rPr>
      </w:pPr>
      <w:r>
        <w:rPr>
          <w:rFonts w:cs="Arial"/>
        </w:rPr>
        <w:t>&lt;ESA_QUESTION_</w:t>
      </w:r>
      <w:r w:rsidR="00C86E1C">
        <w:rPr>
          <w:rFonts w:cs="Arial"/>
        </w:rPr>
        <w:t>ESG</w:t>
      </w:r>
      <w:r>
        <w:rPr>
          <w:rFonts w:cs="Arial"/>
        </w:rPr>
        <w:t>_7&gt;</w:t>
      </w:r>
    </w:p>
    <w:p w:rsidR="003E573C" w:rsidRDefault="003E573C" w:rsidP="003E573C">
      <w:pPr>
        <w:rPr>
          <w:rFonts w:cs="Arial"/>
        </w:rPr>
      </w:pPr>
    </w:p>
    <w:p w:rsidR="003E573C" w:rsidRDefault="003E573C" w:rsidP="002A73F1">
      <w:pPr>
        <w:pStyle w:val="Paragrafoelenco"/>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w:t>
      </w:r>
      <w:r w:rsidR="002A73F1" w:rsidRPr="002A73F1">
        <w:rPr>
          <w:rFonts w:asciiTheme="minorHAnsi" w:eastAsiaTheme="minorEastAsia" w:hAnsiTheme="minorHAnsi" w:cstheme="minorBidi"/>
          <w:b/>
          <w:sz w:val="22"/>
          <w:szCs w:val="20"/>
          <w:lang w:eastAsia="en-US"/>
        </w:rPr>
        <w:t>r</w:t>
      </w:r>
      <w:r w:rsidR="002A73F1" w:rsidRPr="002A73F1">
        <w:rPr>
          <w:rFonts w:asciiTheme="minorHAnsi" w:eastAsiaTheme="minorEastAsia" w:hAnsiTheme="minorHAnsi" w:cstheme="minorBidi"/>
          <w:b/>
          <w:sz w:val="22"/>
          <w:szCs w:val="20"/>
          <w:lang w:eastAsia="en-US"/>
        </w:rPr>
        <w:t>ket participants to capture activities by investee companies to reduce GHG emissions? If yes, how would such advanced metrics capture adverse impacts?</w:t>
      </w:r>
    </w:p>
    <w:p w:rsidR="002A73F1" w:rsidRPr="002A73F1" w:rsidRDefault="002A73F1" w:rsidP="002A73F1">
      <w:pPr>
        <w:pStyle w:val="Paragrafoelenco"/>
        <w:rPr>
          <w:rFonts w:asciiTheme="minorHAnsi" w:eastAsiaTheme="minorEastAsia" w:hAnsiTheme="minorHAnsi" w:cstheme="minorBidi"/>
          <w:b/>
          <w:sz w:val="22"/>
          <w:szCs w:val="20"/>
          <w:lang w:eastAsia="en-US"/>
        </w:rPr>
      </w:pPr>
    </w:p>
    <w:p w:rsidR="003E573C" w:rsidRDefault="003E573C" w:rsidP="003E573C">
      <w:pPr>
        <w:rPr>
          <w:rFonts w:cs="Arial"/>
        </w:rPr>
      </w:pPr>
      <w:r>
        <w:rPr>
          <w:rFonts w:cs="Arial"/>
        </w:rPr>
        <w:t>&lt;ESA_QUESTION_</w:t>
      </w:r>
      <w:r w:rsidR="00C86E1C">
        <w:rPr>
          <w:rFonts w:cs="Arial"/>
        </w:rPr>
        <w:t>ESG</w:t>
      </w:r>
      <w:r>
        <w:rPr>
          <w:rFonts w:cs="Arial"/>
        </w:rPr>
        <w:t>_8&gt;</w:t>
      </w:r>
    </w:p>
    <w:p w:rsidR="003E573C" w:rsidRDefault="003E573C" w:rsidP="003E573C">
      <w:pPr>
        <w:rPr>
          <w:rFonts w:cs="Arial"/>
        </w:rPr>
      </w:pPr>
      <w:permStart w:id="12" w:edGrp="everyone"/>
      <w:r>
        <w:rPr>
          <w:rFonts w:cs="Arial"/>
        </w:rPr>
        <w:t>TYPE YOUR TEXT HERE</w:t>
      </w:r>
    </w:p>
    <w:permEnd w:id="12"/>
    <w:p w:rsidR="003E573C" w:rsidRDefault="003E573C" w:rsidP="003E573C">
      <w:pPr>
        <w:rPr>
          <w:rFonts w:cs="Arial"/>
        </w:rPr>
      </w:pPr>
      <w:r>
        <w:rPr>
          <w:rFonts w:cs="Arial"/>
        </w:rPr>
        <w:t>&lt;ESA_QUESTION_</w:t>
      </w:r>
      <w:r w:rsidR="00C86E1C">
        <w:rPr>
          <w:rFonts w:cs="Arial"/>
        </w:rPr>
        <w:t>ESG</w:t>
      </w:r>
      <w:r>
        <w:rPr>
          <w:rFonts w:cs="Arial"/>
        </w:rPr>
        <w:t>_8&gt;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w:t>
      </w:r>
      <w:r w:rsidR="002A73F1" w:rsidRPr="002A73F1">
        <w:t>e</w:t>
      </w:r>
      <w:r w:rsidR="002A73F1" w:rsidRPr="002A73F1">
        <w:t>spect for human rights, anti-corruption and anti-bribery matters at the same time as the env</w:t>
      </w:r>
      <w:r w:rsidR="002A73F1" w:rsidRPr="002A73F1">
        <w:t>i</w:t>
      </w:r>
      <w:r w:rsidR="002A73F1" w:rsidRPr="002A73F1">
        <w:t>ronmental indicators?</w:t>
      </w:r>
    </w:p>
    <w:p w:rsidR="003E573C" w:rsidRDefault="003E573C" w:rsidP="003E573C">
      <w:pPr>
        <w:rPr>
          <w:rFonts w:cs="Arial"/>
        </w:rPr>
      </w:pPr>
      <w:r>
        <w:rPr>
          <w:rFonts w:cs="Arial"/>
        </w:rPr>
        <w:t>&lt;ESA_QUESTION_</w:t>
      </w:r>
      <w:r w:rsidR="00C86E1C">
        <w:rPr>
          <w:rFonts w:cs="Arial"/>
        </w:rPr>
        <w:t>ESG</w:t>
      </w:r>
      <w:r>
        <w:rPr>
          <w:rFonts w:cs="Arial"/>
        </w:rPr>
        <w:t>_9&gt;</w:t>
      </w:r>
    </w:p>
    <w:p w:rsidR="003E573C" w:rsidRDefault="003E573C" w:rsidP="003E573C">
      <w:pPr>
        <w:rPr>
          <w:rFonts w:cs="Arial"/>
        </w:rPr>
      </w:pPr>
      <w:permStart w:id="13" w:edGrp="everyone"/>
      <w:r>
        <w:rPr>
          <w:rFonts w:cs="Arial"/>
        </w:rPr>
        <w:t>TYPE YOUR TEXT HERE</w:t>
      </w:r>
    </w:p>
    <w:permEnd w:id="13"/>
    <w:p w:rsidR="003E573C" w:rsidRDefault="003E573C" w:rsidP="003E573C">
      <w:pPr>
        <w:rPr>
          <w:rFonts w:cs="Arial"/>
        </w:rPr>
      </w:pPr>
      <w:r>
        <w:rPr>
          <w:rFonts w:cs="Arial"/>
        </w:rPr>
        <w:t>&lt;ESA_QUESTION_</w:t>
      </w:r>
      <w:r w:rsidR="00C86E1C">
        <w:rPr>
          <w:rFonts w:cs="Arial"/>
        </w:rPr>
        <w:t>ESG</w:t>
      </w:r>
      <w:r>
        <w:rPr>
          <w:rFonts w:cs="Arial"/>
        </w:rPr>
        <w:t>_9&gt;</w:t>
      </w:r>
    </w:p>
    <w:p w:rsidR="003E573C" w:rsidRDefault="003E573C" w:rsidP="003E573C">
      <w:pPr>
        <w:rPr>
          <w:rFonts w:cs="Arial"/>
        </w:rPr>
      </w:pPr>
    </w:p>
    <w:p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rsidR="003E573C" w:rsidRDefault="003E573C" w:rsidP="003E573C">
      <w:pPr>
        <w:rPr>
          <w:rFonts w:cs="Arial"/>
        </w:rPr>
      </w:pPr>
      <w:r>
        <w:rPr>
          <w:rFonts w:cs="Arial"/>
        </w:rPr>
        <w:t>&lt;ESA_QUESTION_</w:t>
      </w:r>
      <w:r w:rsidR="00C86E1C">
        <w:rPr>
          <w:rFonts w:cs="Arial"/>
        </w:rPr>
        <w:t>ESG</w:t>
      </w:r>
      <w:r>
        <w:rPr>
          <w:rFonts w:cs="Arial"/>
        </w:rPr>
        <w:t>_10&gt;</w:t>
      </w:r>
    </w:p>
    <w:p w:rsidR="003E573C" w:rsidRPr="00F41C0B" w:rsidRDefault="00F41C0B" w:rsidP="00F41C0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14" w:edGrp="everyone"/>
      <w:r>
        <w:rPr>
          <w:rFonts w:ascii="Calibri" w:hAnsi="Calibri"/>
          <w:sz w:val="22"/>
          <w:szCs w:val="22"/>
          <w:lang w:val="en-US"/>
        </w:rPr>
        <w:t>These values are not always available and, above all, they could be misleading for investors. It is unlikely that there will be congruent data with a ten-year retrospective. We could start with a comparison limited to 2/3 years, to extend the temporal assessment parameter to ten in the future.</w:t>
      </w:r>
    </w:p>
    <w:permEnd w:id="14"/>
    <w:p w:rsidR="003E573C" w:rsidRDefault="003E573C" w:rsidP="003E573C">
      <w:pPr>
        <w:rPr>
          <w:rFonts w:cs="Arial"/>
        </w:rPr>
      </w:pPr>
      <w:r>
        <w:rPr>
          <w:rFonts w:cs="Arial"/>
        </w:rPr>
        <w:t>&lt;ESA_QUESTION_</w:t>
      </w:r>
      <w:r w:rsidR="00C86E1C">
        <w:rPr>
          <w:rFonts w:cs="Arial"/>
        </w:rPr>
        <w:t>ESG</w:t>
      </w:r>
      <w:r>
        <w:rPr>
          <w:rFonts w:cs="Arial"/>
        </w:rPr>
        <w:t>_10&gt;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Are there any ways to discourage potential “window dressing” techniques in the pri</w:t>
      </w:r>
      <w:r w:rsidR="002A73F1" w:rsidRPr="002A73F1">
        <w:t>n</w:t>
      </w:r>
      <w:r w:rsidR="002A73F1" w:rsidRPr="002A73F1">
        <w:t>cipal adverse impact reporting? Should the ESAs consider harmonising the methodology and timing of reporting across the reference period, e.g. on what dates the composition of inves</w:t>
      </w:r>
      <w:r w:rsidR="002A73F1" w:rsidRPr="002A73F1">
        <w:t>t</w:t>
      </w:r>
      <w:r w:rsidR="002A73F1" w:rsidRPr="002A73F1">
        <w:t>ments must be taken into account? If not, what alternative would you suggest to curtail wi</w:t>
      </w:r>
      <w:r w:rsidR="002A73F1" w:rsidRPr="002A73F1">
        <w:t>n</w:t>
      </w:r>
      <w:r w:rsidR="002A73F1" w:rsidRPr="002A73F1">
        <w:t>dow dressing techniques?</w:t>
      </w:r>
    </w:p>
    <w:p w:rsidR="003E573C" w:rsidRDefault="003E573C" w:rsidP="003E573C">
      <w:pPr>
        <w:rPr>
          <w:rFonts w:cs="Arial"/>
        </w:rPr>
      </w:pPr>
      <w:r>
        <w:rPr>
          <w:rFonts w:cs="Arial"/>
        </w:rPr>
        <w:lastRenderedPageBreak/>
        <w:t>&lt;ESA_QUESTION_</w:t>
      </w:r>
      <w:r w:rsidR="00C86E1C">
        <w:rPr>
          <w:rFonts w:cs="Arial"/>
        </w:rPr>
        <w:t>ESG</w:t>
      </w:r>
      <w:r>
        <w:rPr>
          <w:rFonts w:cs="Arial"/>
        </w:rPr>
        <w:t>_11&gt;</w:t>
      </w:r>
    </w:p>
    <w:p w:rsidR="003E573C" w:rsidRPr="00F41C0B" w:rsidRDefault="00F41C0B" w:rsidP="00F41C0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15" w:edGrp="everyone"/>
      <w:r>
        <w:rPr>
          <w:rFonts w:ascii="Calibri" w:hAnsi="Calibri"/>
          <w:sz w:val="22"/>
          <w:szCs w:val="22"/>
          <w:lang w:val="en-US"/>
        </w:rPr>
        <w:t xml:space="preserve">Engagement work is needed </w:t>
      </w:r>
      <w:r w:rsidRPr="00320550">
        <w:rPr>
          <w:rFonts w:ascii="Calibri" w:hAnsi="Calibri"/>
          <w:sz w:val="22"/>
          <w:szCs w:val="22"/>
          <w:lang w:val="en-GB"/>
        </w:rPr>
        <w:t>and should</w:t>
      </w:r>
      <w:r>
        <w:rPr>
          <w:rFonts w:ascii="Calibri" w:hAnsi="Calibri"/>
          <w:sz w:val="22"/>
          <w:szCs w:val="22"/>
          <w:lang w:val="en-US"/>
        </w:rPr>
        <w:t xml:space="preserve"> start with the managers. The assessment of the real negative impact is inherent in the weighing capacity of the investment components and the algorithm underlying it. If the weighing of the negative impact parameters is correct and well represented, the possibility of using window dressing is limited.</w:t>
      </w:r>
    </w:p>
    <w:permEnd w:id="15"/>
    <w:p w:rsidR="003E573C" w:rsidRDefault="003E573C" w:rsidP="003E573C">
      <w:pPr>
        <w:rPr>
          <w:rFonts w:cs="Arial"/>
        </w:rPr>
      </w:pPr>
      <w:r>
        <w:rPr>
          <w:rFonts w:cs="Arial"/>
        </w:rPr>
        <w:t>&lt;ESA_QUESTION_</w:t>
      </w:r>
      <w:r w:rsidR="00C86E1C">
        <w:rPr>
          <w:rFonts w:cs="Arial"/>
        </w:rPr>
        <w:t>ESG</w:t>
      </w:r>
      <w:r>
        <w:rPr>
          <w:rFonts w:cs="Arial"/>
        </w:rPr>
        <w:t>_11&gt;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approach to have mandatory (1) pre-contractual and (2) per</w:t>
      </w:r>
      <w:r w:rsidR="002A73F1" w:rsidRPr="002A73F1">
        <w:t>i</w:t>
      </w:r>
      <w:r w:rsidR="002A73F1" w:rsidRPr="002A73F1">
        <w:t>odic templates for financial products?</w:t>
      </w:r>
    </w:p>
    <w:p w:rsidR="003E573C" w:rsidRDefault="003E573C" w:rsidP="003E573C">
      <w:pPr>
        <w:rPr>
          <w:rFonts w:cs="Arial"/>
        </w:rPr>
      </w:pPr>
      <w:r>
        <w:rPr>
          <w:rFonts w:cs="Arial"/>
        </w:rPr>
        <w:t>&lt;ESA_QUESTION_</w:t>
      </w:r>
      <w:r w:rsidR="00C86E1C">
        <w:rPr>
          <w:rFonts w:cs="Arial"/>
        </w:rPr>
        <w:t>ESG</w:t>
      </w:r>
      <w:r>
        <w:rPr>
          <w:rFonts w:cs="Arial"/>
        </w:rPr>
        <w:t>_12&gt;</w:t>
      </w:r>
    </w:p>
    <w:p w:rsidR="003E573C" w:rsidRPr="00EC6ED7" w:rsidRDefault="00EC6ED7" w:rsidP="00EC6ED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16" w:edGrp="everyone"/>
      <w:r>
        <w:rPr>
          <w:rFonts w:ascii="Calibri" w:hAnsi="Calibri"/>
          <w:sz w:val="22"/>
          <w:szCs w:val="22"/>
          <w:lang w:val="en-US"/>
        </w:rPr>
        <w:t>We agree, assisting the information from the further indications entered on the website.</w:t>
      </w:r>
    </w:p>
    <w:permEnd w:id="16"/>
    <w:p w:rsidR="003E573C" w:rsidRDefault="003E573C" w:rsidP="003E573C">
      <w:pPr>
        <w:rPr>
          <w:rFonts w:cs="Arial"/>
        </w:rPr>
      </w:pPr>
      <w:r>
        <w:rPr>
          <w:rFonts w:cs="Arial"/>
        </w:rPr>
        <w:t>&lt;ESA_QUESTION_</w:t>
      </w:r>
      <w:r w:rsidR="00C86E1C">
        <w:rPr>
          <w:rFonts w:cs="Arial"/>
        </w:rPr>
        <w:t>ESG</w:t>
      </w:r>
      <w:r>
        <w:rPr>
          <w:rFonts w:cs="Arial"/>
        </w:rPr>
        <w:t>_12&gt;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rsidR="003E573C" w:rsidRDefault="003E573C" w:rsidP="003E573C">
      <w:pPr>
        <w:rPr>
          <w:rFonts w:cs="Arial"/>
        </w:rPr>
      </w:pPr>
      <w:r>
        <w:rPr>
          <w:rFonts w:cs="Arial"/>
        </w:rPr>
        <w:t>&lt;ESA_QUESTION_</w:t>
      </w:r>
      <w:r w:rsidR="00C86E1C">
        <w:rPr>
          <w:rFonts w:cs="Arial"/>
        </w:rPr>
        <w:t>ESG</w:t>
      </w:r>
      <w:r>
        <w:rPr>
          <w:rFonts w:cs="Arial"/>
        </w:rPr>
        <w:t>_13&gt;</w:t>
      </w:r>
    </w:p>
    <w:p w:rsidR="003E573C" w:rsidRPr="00C37B59" w:rsidRDefault="00C37B59" w:rsidP="00C37B5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17" w:edGrp="everyone"/>
      <w:r>
        <w:rPr>
          <w:rFonts w:ascii="Calibri" w:hAnsi="Calibri"/>
          <w:sz w:val="22"/>
          <w:szCs w:val="22"/>
          <w:lang w:val="en-GB"/>
        </w:rPr>
        <w:t>Please s</w:t>
      </w:r>
      <w:r w:rsidRPr="00320550">
        <w:rPr>
          <w:rFonts w:ascii="Calibri" w:hAnsi="Calibri"/>
          <w:sz w:val="22"/>
          <w:szCs w:val="22"/>
          <w:lang w:val="en-GB"/>
        </w:rPr>
        <w:t xml:space="preserve">ee </w:t>
      </w:r>
      <w:r>
        <w:rPr>
          <w:rFonts w:ascii="Calibri" w:hAnsi="Calibri"/>
          <w:sz w:val="22"/>
          <w:szCs w:val="22"/>
          <w:lang w:val="en-GB"/>
        </w:rPr>
        <w:t xml:space="preserve">our </w:t>
      </w:r>
      <w:r w:rsidRPr="00320550">
        <w:rPr>
          <w:rFonts w:ascii="Calibri" w:hAnsi="Calibri"/>
          <w:sz w:val="22"/>
          <w:szCs w:val="22"/>
          <w:lang w:val="en-GB"/>
        </w:rPr>
        <w:t>answer to question 3.</w:t>
      </w:r>
    </w:p>
    <w:permEnd w:id="17"/>
    <w:p w:rsidR="003E573C" w:rsidRDefault="003E573C" w:rsidP="003E573C">
      <w:pPr>
        <w:rPr>
          <w:rFonts w:cs="Arial"/>
        </w:rPr>
      </w:pPr>
      <w:r>
        <w:rPr>
          <w:rFonts w:cs="Arial"/>
        </w:rPr>
        <w:t>&lt;ESA_QUESTION_</w:t>
      </w:r>
      <w:r w:rsidR="00C86E1C">
        <w:rPr>
          <w:rFonts w:cs="Arial"/>
        </w:rPr>
        <w:t>ESG</w:t>
      </w:r>
      <w:r>
        <w:rPr>
          <w:rFonts w:cs="Arial"/>
        </w:rPr>
        <w:t>_13&gt;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w:t>
      </w:r>
      <w:r w:rsidR="002A73F1" w:rsidRPr="002A73F1">
        <w:t>e</w:t>
      </w:r>
      <w:r w:rsidR="002A73F1" w:rsidRPr="002A73F1">
        <w:t>tween products.</w:t>
      </w:r>
    </w:p>
    <w:p w:rsidR="003E573C" w:rsidRDefault="003E573C" w:rsidP="003E573C">
      <w:pPr>
        <w:rPr>
          <w:rFonts w:cs="Arial"/>
        </w:rPr>
      </w:pPr>
      <w:r>
        <w:rPr>
          <w:rFonts w:cs="Arial"/>
        </w:rPr>
        <w:t>&lt;ESA_QUESTION_</w:t>
      </w:r>
      <w:r w:rsidR="00C86E1C">
        <w:rPr>
          <w:rFonts w:cs="Arial"/>
        </w:rPr>
        <w:t>ESG</w:t>
      </w:r>
      <w:r>
        <w:rPr>
          <w:rFonts w:cs="Arial"/>
        </w:rPr>
        <w:t>_14&gt;</w:t>
      </w:r>
    </w:p>
    <w:p w:rsidR="003E573C" w:rsidRDefault="003E573C" w:rsidP="003E573C">
      <w:pPr>
        <w:rPr>
          <w:rFonts w:cs="Arial"/>
        </w:rPr>
      </w:pPr>
      <w:permStart w:id="18" w:edGrp="everyone"/>
      <w:r>
        <w:rPr>
          <w:rFonts w:cs="Arial"/>
        </w:rPr>
        <w:t>TYPE YOUR TEXT HERE</w:t>
      </w:r>
    </w:p>
    <w:permEnd w:id="18"/>
    <w:p w:rsidR="003E573C" w:rsidRDefault="003E573C" w:rsidP="003E573C">
      <w:pPr>
        <w:rPr>
          <w:rFonts w:cs="Arial"/>
        </w:rPr>
      </w:pPr>
      <w:r>
        <w:rPr>
          <w:rFonts w:cs="Arial"/>
        </w:rPr>
        <w:t>&lt;ESA_QUESTION_</w:t>
      </w:r>
      <w:r w:rsidR="00C86E1C">
        <w:rPr>
          <w:rFonts w:cs="Arial"/>
        </w:rPr>
        <w:t>ESG</w:t>
      </w:r>
      <w:r>
        <w:rPr>
          <w:rFonts w:cs="Arial"/>
        </w:rPr>
        <w:t>_14&gt;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rsidR="003E573C" w:rsidRDefault="003E573C" w:rsidP="003E573C">
      <w:pPr>
        <w:rPr>
          <w:rFonts w:cs="Arial"/>
        </w:rPr>
      </w:pPr>
      <w:r>
        <w:rPr>
          <w:rFonts w:cs="Arial"/>
        </w:rPr>
        <w:t>&lt;ESA_QUESTION_</w:t>
      </w:r>
      <w:r w:rsidR="00C86E1C">
        <w:rPr>
          <w:rFonts w:cs="Arial"/>
        </w:rPr>
        <w:t>ESG</w:t>
      </w:r>
      <w:r>
        <w:rPr>
          <w:rFonts w:cs="Arial"/>
        </w:rPr>
        <w:t>_15&gt;</w:t>
      </w:r>
    </w:p>
    <w:p w:rsidR="003E573C" w:rsidRPr="004F4041" w:rsidRDefault="004F4041" w:rsidP="004F404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19" w:edGrp="everyone"/>
      <w:r>
        <w:rPr>
          <w:rFonts w:ascii="Calibri" w:hAnsi="Calibri"/>
          <w:sz w:val="22"/>
          <w:szCs w:val="22"/>
          <w:lang w:val="en-US"/>
        </w:rPr>
        <w:t>We agree with what is indicated in the articles referred to in question 25</w:t>
      </w:r>
      <w:r w:rsidRPr="00320550">
        <w:rPr>
          <w:rFonts w:ascii="Calibri" w:hAnsi="Calibri"/>
          <w:sz w:val="22"/>
          <w:szCs w:val="22"/>
          <w:lang w:val="en-GB"/>
        </w:rPr>
        <w:t>.</w:t>
      </w:r>
    </w:p>
    <w:permEnd w:id="19"/>
    <w:p w:rsidR="003E573C" w:rsidRDefault="003E573C" w:rsidP="003E573C">
      <w:pPr>
        <w:rPr>
          <w:rFonts w:cs="Arial"/>
        </w:rPr>
      </w:pPr>
      <w:r>
        <w:rPr>
          <w:rFonts w:cs="Arial"/>
        </w:rPr>
        <w:t>&lt;ESA_QUESTION_</w:t>
      </w:r>
      <w:r w:rsidR="00C86E1C">
        <w:rPr>
          <w:rFonts w:cs="Arial"/>
        </w:rPr>
        <w:t>ESG</w:t>
      </w:r>
      <w:r>
        <w:rPr>
          <w:rFonts w:cs="Arial"/>
        </w:rPr>
        <w:t>_15&gt;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rsidR="003E573C" w:rsidRDefault="003E573C" w:rsidP="003E573C">
      <w:pPr>
        <w:rPr>
          <w:rFonts w:cs="Arial"/>
        </w:rPr>
      </w:pPr>
      <w:r>
        <w:rPr>
          <w:rFonts w:cs="Arial"/>
        </w:rPr>
        <w:t>&lt;ESA_QUESTION_</w:t>
      </w:r>
      <w:r w:rsidR="00C86E1C">
        <w:rPr>
          <w:rFonts w:cs="Arial"/>
        </w:rPr>
        <w:t>ESG</w:t>
      </w:r>
      <w:r>
        <w:rPr>
          <w:rFonts w:cs="Arial"/>
        </w:rPr>
        <w:t>_16&gt;</w:t>
      </w:r>
    </w:p>
    <w:p w:rsidR="004F4041" w:rsidRPr="00C328D1" w:rsidRDefault="004F4041" w:rsidP="004F404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0" w:edGrp="everyone"/>
      <w:r>
        <w:rPr>
          <w:rFonts w:ascii="Calibri" w:hAnsi="Calibri"/>
          <w:sz w:val="22"/>
          <w:szCs w:val="22"/>
          <w:lang w:val="en-US"/>
        </w:rPr>
        <w:t>We believe that the proposed differences are clear and well regulated.</w:t>
      </w:r>
    </w:p>
    <w:permEnd w:id="20"/>
    <w:p w:rsidR="003E573C" w:rsidRDefault="003E573C" w:rsidP="003E573C">
      <w:pPr>
        <w:rPr>
          <w:rFonts w:cs="Arial"/>
        </w:rPr>
      </w:pPr>
      <w:r>
        <w:rPr>
          <w:rFonts w:cs="Arial"/>
        </w:rPr>
        <w:t>&lt;ESA_QUESTION_</w:t>
      </w:r>
      <w:r w:rsidR="00C86E1C">
        <w:rPr>
          <w:rFonts w:cs="Arial"/>
        </w:rPr>
        <w:t>ESG</w:t>
      </w:r>
      <w:r>
        <w:rPr>
          <w:rFonts w:cs="Arial"/>
        </w:rPr>
        <w:t>_16&gt;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Do the graphical and narrative descriptions of investment proportions capture ind</w:t>
      </w:r>
      <w:r w:rsidR="002A73F1" w:rsidRPr="002A73F1">
        <w:t>i</w:t>
      </w:r>
      <w:r w:rsidR="002A73F1" w:rsidRPr="002A73F1">
        <w:t>rect investments sufficiently?</w:t>
      </w:r>
    </w:p>
    <w:p w:rsidR="003E573C" w:rsidRDefault="003E573C" w:rsidP="003E573C">
      <w:pPr>
        <w:rPr>
          <w:rFonts w:cs="Arial"/>
        </w:rPr>
      </w:pPr>
      <w:r>
        <w:rPr>
          <w:rFonts w:cs="Arial"/>
        </w:rPr>
        <w:t>&lt;ESA_QUESTION_</w:t>
      </w:r>
      <w:r w:rsidR="00C86E1C">
        <w:rPr>
          <w:rFonts w:cs="Arial"/>
        </w:rPr>
        <w:t>ESG</w:t>
      </w:r>
      <w:r>
        <w:rPr>
          <w:rFonts w:cs="Arial"/>
        </w:rPr>
        <w:t>_17&gt;</w:t>
      </w:r>
    </w:p>
    <w:p w:rsidR="003E573C" w:rsidRPr="00CC3BD7" w:rsidRDefault="00CC3BD7" w:rsidP="00CC3BD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1" w:edGrp="everyone"/>
      <w:r w:rsidRPr="00320550">
        <w:rPr>
          <w:rFonts w:ascii="Calibri" w:hAnsi="Calibri"/>
          <w:sz w:val="22"/>
          <w:szCs w:val="22"/>
          <w:lang w:val="en-GB"/>
        </w:rPr>
        <w:t>Yes, w</w:t>
      </w:r>
      <w:r>
        <w:rPr>
          <w:rFonts w:ascii="Calibri" w:hAnsi="Calibri"/>
          <w:sz w:val="22"/>
          <w:szCs w:val="22"/>
          <w:lang w:val="en-US"/>
        </w:rPr>
        <w:t>e believe that graphic and narrative descriptions clearly indicate what indirect investments are.</w:t>
      </w:r>
    </w:p>
    <w:permEnd w:id="21"/>
    <w:p w:rsidR="003E573C" w:rsidRDefault="003E573C" w:rsidP="003E573C">
      <w:pPr>
        <w:rPr>
          <w:rFonts w:cs="Arial"/>
        </w:rPr>
      </w:pPr>
      <w:r>
        <w:rPr>
          <w:rFonts w:cs="Arial"/>
        </w:rPr>
        <w:t>&lt;ESA_QUESTION_</w:t>
      </w:r>
      <w:r w:rsidR="00C86E1C">
        <w:rPr>
          <w:rFonts w:cs="Arial"/>
        </w:rPr>
        <w:t>ESG</w:t>
      </w:r>
      <w:r>
        <w:rPr>
          <w:rFonts w:cs="Arial"/>
        </w:rPr>
        <w:t>_17&gt;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draft RTS require in Article 15(2) that for Article 8 products graphical represent</w:t>
      </w:r>
      <w:r w:rsidR="002A73F1" w:rsidRPr="002A73F1">
        <w:t>a</w:t>
      </w:r>
      <w:r w:rsidR="002A73F1" w:rsidRPr="002A73F1">
        <w:t>tions illustrate the proportion of investments screened against the environmental or social characteristics of the financial product. However, as characteristics can widely vary from pro</w:t>
      </w:r>
      <w:r w:rsidR="002A73F1" w:rsidRPr="002A73F1">
        <w:t>d</w:t>
      </w:r>
      <w:r w:rsidR="002A73F1" w:rsidRPr="002A73F1">
        <w:t>uct to product do you think using the same graphical representation for very different types of products could be misleading to end-investors? If yes, how should such graphic representation be adapted?</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_18&gt;</w:t>
      </w:r>
    </w:p>
    <w:p w:rsidR="003E573C" w:rsidRPr="00CF0A09" w:rsidRDefault="00CF0A09" w:rsidP="00CF0A0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2" w:edGrp="everyone"/>
      <w:r>
        <w:rPr>
          <w:rFonts w:ascii="Calibri" w:hAnsi="Calibri"/>
          <w:sz w:val="22"/>
          <w:szCs w:val="22"/>
          <w:lang w:val="en-US"/>
        </w:rPr>
        <w:t>We don't think it is misleading, if the algorithms used are correct and with the right weight.</w:t>
      </w:r>
    </w:p>
    <w:permEnd w:id="22"/>
    <w:p w:rsidR="003E573C" w:rsidRDefault="003E573C" w:rsidP="003E573C">
      <w:pPr>
        <w:rPr>
          <w:rFonts w:cs="Arial"/>
        </w:rPr>
      </w:pPr>
      <w:r>
        <w:rPr>
          <w:rFonts w:cs="Arial"/>
        </w:rPr>
        <w:t>&lt;ESA_QUESTION_</w:t>
      </w:r>
      <w:r w:rsidR="00C86E1C">
        <w:rPr>
          <w:rFonts w:cs="Arial"/>
        </w:rPr>
        <w:t>ESG</w:t>
      </w:r>
      <w:r>
        <w:rPr>
          <w:rFonts w:cs="Arial"/>
        </w:rPr>
        <w:t>_18&gt;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rsidR="003E573C" w:rsidRDefault="003E573C" w:rsidP="003E573C">
      <w:pPr>
        <w:rPr>
          <w:rFonts w:cs="Arial"/>
        </w:rPr>
      </w:pPr>
      <w:r>
        <w:rPr>
          <w:rFonts w:cs="Arial"/>
        </w:rPr>
        <w:t>&lt;ESA_QUESTION_</w:t>
      </w:r>
      <w:r w:rsidR="00C86E1C">
        <w:rPr>
          <w:rFonts w:cs="Arial"/>
        </w:rPr>
        <w:t>ESG</w:t>
      </w:r>
      <w:r>
        <w:rPr>
          <w:rFonts w:cs="Arial"/>
        </w:rPr>
        <w:t>_19&gt;</w:t>
      </w:r>
    </w:p>
    <w:p w:rsidR="003E573C" w:rsidRPr="005206B2" w:rsidRDefault="005206B2" w:rsidP="005206B2">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3" w:edGrp="everyone"/>
      <w:r w:rsidRPr="00320550">
        <w:rPr>
          <w:rFonts w:ascii="Calibri" w:hAnsi="Calibri"/>
          <w:sz w:val="22"/>
          <w:szCs w:val="22"/>
          <w:lang w:val="en-GB"/>
        </w:rPr>
        <w:t>Yes, we agree.</w:t>
      </w:r>
    </w:p>
    <w:permEnd w:id="23"/>
    <w:p w:rsidR="003E573C" w:rsidRDefault="003E573C" w:rsidP="003E573C">
      <w:pPr>
        <w:rPr>
          <w:rFonts w:cs="Arial"/>
        </w:rPr>
      </w:pPr>
      <w:r>
        <w:rPr>
          <w:rFonts w:cs="Arial"/>
        </w:rPr>
        <w:t>&lt;ESA_QUESTION_</w:t>
      </w:r>
      <w:r w:rsidR="00C86E1C">
        <w:rPr>
          <w:rFonts w:cs="Arial"/>
        </w:rPr>
        <w:t>ESG</w:t>
      </w:r>
      <w:r>
        <w:rPr>
          <w:rFonts w:cs="Arial"/>
        </w:rPr>
        <w:t>_19&gt;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rsidR="003E573C" w:rsidRDefault="003E573C" w:rsidP="003E573C">
      <w:pPr>
        <w:rPr>
          <w:rFonts w:cs="Arial"/>
        </w:rPr>
      </w:pPr>
      <w:r>
        <w:rPr>
          <w:rFonts w:cs="Arial"/>
        </w:rPr>
        <w:t>&lt;ESA_QUESTION_</w:t>
      </w:r>
      <w:r w:rsidR="00C86E1C">
        <w:rPr>
          <w:rFonts w:cs="Arial"/>
        </w:rPr>
        <w:t>ESG</w:t>
      </w:r>
      <w:r>
        <w:rPr>
          <w:rFonts w:cs="Arial"/>
        </w:rPr>
        <w:t>_20&gt;</w:t>
      </w:r>
    </w:p>
    <w:p w:rsidR="003E573C" w:rsidRDefault="003E573C" w:rsidP="003E573C">
      <w:pPr>
        <w:rPr>
          <w:rFonts w:cs="Arial"/>
        </w:rPr>
      </w:pPr>
      <w:permStart w:id="24" w:edGrp="everyone"/>
      <w:r>
        <w:rPr>
          <w:rFonts w:cs="Arial"/>
        </w:rPr>
        <w:t>TYPE YOUR TEXT HERE</w:t>
      </w:r>
    </w:p>
    <w:permEnd w:id="24"/>
    <w:p w:rsidR="003E573C" w:rsidRDefault="003E573C" w:rsidP="003E573C">
      <w:pPr>
        <w:rPr>
          <w:rFonts w:cs="Arial"/>
        </w:rPr>
      </w:pPr>
      <w:r>
        <w:rPr>
          <w:rFonts w:cs="Arial"/>
        </w:rPr>
        <w:t>&lt;ESA_QUESTION_</w:t>
      </w:r>
      <w:r w:rsidR="00C86E1C">
        <w:rPr>
          <w:rFonts w:cs="Arial"/>
        </w:rPr>
        <w:t>ESG</w:t>
      </w:r>
      <w:r>
        <w:rPr>
          <w:rFonts w:cs="Arial"/>
        </w:rPr>
        <w:t>_20&gt;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w:t>
      </w:r>
      <w:r w:rsidR="002A73F1" w:rsidRPr="002A73F1">
        <w:t>s</w:t>
      </w:r>
      <w:r w:rsidR="002A73F1" w:rsidRPr="002A73F1">
        <w:t>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rsidR="003E573C" w:rsidRDefault="003E573C" w:rsidP="003E573C">
      <w:pPr>
        <w:rPr>
          <w:rFonts w:cs="Arial"/>
        </w:rPr>
      </w:pPr>
      <w:r>
        <w:rPr>
          <w:rFonts w:cs="Arial"/>
        </w:rPr>
        <w:t>&lt;ESA_QUESTION_</w:t>
      </w:r>
      <w:r w:rsidR="00C86E1C">
        <w:rPr>
          <w:rFonts w:cs="Arial"/>
        </w:rPr>
        <w:t>ESG</w:t>
      </w:r>
      <w:r>
        <w:rPr>
          <w:rFonts w:cs="Arial"/>
        </w:rPr>
        <w:t>_21&gt;</w:t>
      </w:r>
    </w:p>
    <w:p w:rsidR="003E573C" w:rsidRPr="006460E3" w:rsidRDefault="006460E3" w:rsidP="006460E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5" w:edGrp="everyone"/>
      <w:r w:rsidRPr="00320550">
        <w:rPr>
          <w:rFonts w:ascii="Calibri" w:hAnsi="Calibri"/>
          <w:sz w:val="22"/>
          <w:szCs w:val="22"/>
          <w:lang w:val="en-GB"/>
        </w:rPr>
        <w:t>Yes, we believe that the requirements should capture all these elements.</w:t>
      </w:r>
    </w:p>
    <w:permEnd w:id="25"/>
    <w:p w:rsidR="003E573C" w:rsidRDefault="003E573C" w:rsidP="003E573C">
      <w:pPr>
        <w:rPr>
          <w:rFonts w:cs="Arial"/>
        </w:rPr>
      </w:pPr>
      <w:r>
        <w:rPr>
          <w:rFonts w:cs="Arial"/>
        </w:rPr>
        <w:t>&lt;ESA_QUESTION_</w:t>
      </w:r>
      <w:r w:rsidR="00C86E1C">
        <w:rPr>
          <w:rFonts w:cs="Arial"/>
        </w:rPr>
        <w:t>ESG</w:t>
      </w:r>
      <w:r>
        <w:rPr>
          <w:rFonts w:cs="Arial"/>
        </w:rPr>
        <w:t>_21&gt;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rsidR="003E573C" w:rsidRDefault="003E573C" w:rsidP="003E573C">
      <w:pPr>
        <w:rPr>
          <w:rFonts w:cs="Arial"/>
        </w:rPr>
      </w:pPr>
      <w:r>
        <w:rPr>
          <w:rFonts w:cs="Arial"/>
        </w:rPr>
        <w:t>&lt;ESA_QUESTION_</w:t>
      </w:r>
      <w:r w:rsidR="00C86E1C">
        <w:rPr>
          <w:rFonts w:cs="Arial"/>
        </w:rPr>
        <w:t>ESG</w:t>
      </w:r>
      <w:r>
        <w:rPr>
          <w:rFonts w:cs="Arial"/>
        </w:rPr>
        <w:t>_22&gt;</w:t>
      </w:r>
    </w:p>
    <w:p w:rsidR="003E573C" w:rsidRDefault="003E573C" w:rsidP="003E573C">
      <w:pPr>
        <w:rPr>
          <w:rFonts w:cs="Arial"/>
        </w:rPr>
      </w:pPr>
      <w:permStart w:id="26" w:edGrp="everyone"/>
      <w:r>
        <w:rPr>
          <w:rFonts w:cs="Arial"/>
        </w:rPr>
        <w:t>TYPE YOUR TEXT HERE</w:t>
      </w:r>
    </w:p>
    <w:permEnd w:id="26"/>
    <w:p w:rsidR="003E573C" w:rsidRDefault="003E573C" w:rsidP="003E573C">
      <w:pPr>
        <w:rPr>
          <w:rFonts w:cs="Arial"/>
        </w:rPr>
      </w:pPr>
      <w:r>
        <w:rPr>
          <w:rFonts w:cs="Arial"/>
        </w:rPr>
        <w:t>&lt;ESA_QUESTION_</w:t>
      </w:r>
      <w:r w:rsidR="00C86E1C">
        <w:rPr>
          <w:rFonts w:cs="Arial"/>
        </w:rPr>
        <w:t>ESG</w:t>
      </w:r>
      <w:r>
        <w:rPr>
          <w:rFonts w:cs="Arial"/>
        </w:rPr>
        <w:t>_22&gt;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w:t>
      </w:r>
      <w:r w:rsidR="002A73F1" w:rsidRPr="002A73F1">
        <w:t>p</w:t>
      </w:r>
      <w:r w:rsidR="002A73F1" w:rsidRPr="002A73F1">
        <w:t>portunity to disclose the use of such strategies, where relevant? If yes, how would you define such widely used strategies?</w:t>
      </w:r>
    </w:p>
    <w:p w:rsidR="003E573C" w:rsidRDefault="003E573C" w:rsidP="003E573C">
      <w:pPr>
        <w:rPr>
          <w:rFonts w:cs="Arial"/>
        </w:rPr>
      </w:pPr>
      <w:r>
        <w:rPr>
          <w:rFonts w:cs="Arial"/>
        </w:rPr>
        <w:t>&lt;ESA_QUESTION_</w:t>
      </w:r>
      <w:r w:rsidR="00C86E1C">
        <w:rPr>
          <w:rFonts w:cs="Arial"/>
        </w:rPr>
        <w:t>ESG</w:t>
      </w:r>
      <w:r>
        <w:rPr>
          <w:rFonts w:cs="Arial"/>
        </w:rPr>
        <w:t>_23&gt;</w:t>
      </w:r>
    </w:p>
    <w:p w:rsidR="00A17926" w:rsidRPr="00C328D1" w:rsidRDefault="00A17926" w:rsidP="00A1792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7" w:edGrp="everyone"/>
      <w:r>
        <w:rPr>
          <w:rFonts w:ascii="Calibri" w:hAnsi="Calibri"/>
          <w:sz w:val="22"/>
          <w:szCs w:val="22"/>
          <w:lang w:val="en-US"/>
        </w:rPr>
        <w:t xml:space="preserve">The classifications used are those commonly recognized, therefore it is correct to start from </w:t>
      </w:r>
      <w:proofErr w:type="spellStart"/>
      <w:r>
        <w:rPr>
          <w:rFonts w:ascii="Calibri" w:hAnsi="Calibri"/>
          <w:sz w:val="22"/>
          <w:szCs w:val="22"/>
          <w:lang w:val="en-US"/>
        </w:rPr>
        <w:t>th</w:t>
      </w:r>
      <w:r w:rsidRPr="00320550">
        <w:rPr>
          <w:rFonts w:ascii="Calibri" w:hAnsi="Calibri"/>
          <w:sz w:val="22"/>
          <w:szCs w:val="22"/>
          <w:lang w:val="en-GB"/>
        </w:rPr>
        <w:t>em</w:t>
      </w:r>
      <w:proofErr w:type="spellEnd"/>
      <w:r w:rsidRPr="006037A6">
        <w:rPr>
          <w:rFonts w:ascii="Calibri" w:hAnsi="Calibri"/>
          <w:sz w:val="22"/>
          <w:szCs w:val="22"/>
          <w:lang w:val="en-US"/>
        </w:rPr>
        <w:t>.</w:t>
      </w:r>
    </w:p>
    <w:permEnd w:id="27"/>
    <w:p w:rsidR="003E573C" w:rsidRDefault="003E573C" w:rsidP="003E573C">
      <w:pPr>
        <w:rPr>
          <w:rFonts w:cs="Arial"/>
        </w:rPr>
      </w:pPr>
      <w:r>
        <w:rPr>
          <w:rFonts w:cs="Arial"/>
        </w:rPr>
        <w:t>&lt;ESA_QUESTION_</w:t>
      </w:r>
      <w:r w:rsidR="00C86E1C">
        <w:rPr>
          <w:rFonts w:cs="Arial"/>
        </w:rPr>
        <w:t>ESG</w:t>
      </w:r>
      <w:r>
        <w:rPr>
          <w:rFonts w:cs="Arial"/>
        </w:rPr>
        <w:t>_23&gt;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agree with the approach on the disclosure of financial products’ top inves</w:t>
      </w:r>
      <w:r w:rsidR="006920C8" w:rsidRPr="006920C8">
        <w:t>t</w:t>
      </w:r>
      <w:r w:rsidR="006920C8" w:rsidRPr="006920C8">
        <w:t>ments in periodic disclosures as currently set out in Articles 39 and 46 of the draft RTS?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_24&gt;</w:t>
      </w:r>
    </w:p>
    <w:p w:rsidR="003E573C" w:rsidRPr="00AC4672" w:rsidRDefault="00AC4672" w:rsidP="00AC4672">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rFonts w:ascii="Calibri" w:eastAsia="Calibri" w:hAnsi="Calibri" w:cs="Calibri"/>
          <w:sz w:val="22"/>
          <w:szCs w:val="22"/>
          <w:lang w:val="en-US"/>
        </w:rPr>
      </w:pPr>
      <w:permStart w:id="28" w:edGrp="everyone"/>
      <w:r w:rsidRPr="00320550">
        <w:rPr>
          <w:rFonts w:ascii="Calibri" w:hAnsi="Calibri"/>
          <w:sz w:val="22"/>
          <w:szCs w:val="22"/>
          <w:lang w:val="en-GB"/>
        </w:rPr>
        <w:t>Yes, we agree, it is already commonly used.</w:t>
      </w:r>
    </w:p>
    <w:permEnd w:id="28"/>
    <w:p w:rsidR="003E573C" w:rsidRDefault="003E573C" w:rsidP="003E573C">
      <w:pPr>
        <w:rPr>
          <w:rFonts w:cs="Arial"/>
        </w:rPr>
      </w:pPr>
      <w:r>
        <w:rPr>
          <w:rFonts w:cs="Arial"/>
        </w:rPr>
        <w:t>&lt;ESA_QUESTION_</w:t>
      </w:r>
      <w:r w:rsidR="00C86E1C">
        <w:rPr>
          <w:rFonts w:cs="Arial"/>
        </w:rPr>
        <w:t>ESG</w:t>
      </w:r>
      <w:r>
        <w:rPr>
          <w:rFonts w:cs="Arial"/>
        </w:rPr>
        <w:t>_24&gt;</w:t>
      </w:r>
    </w:p>
    <w:p w:rsidR="003E573C" w:rsidRDefault="003E573C" w:rsidP="003E573C">
      <w:pPr>
        <w:rPr>
          <w:rFonts w:cs="Arial"/>
        </w:rPr>
      </w:pPr>
    </w:p>
    <w:p w:rsidR="006920C8" w:rsidRDefault="003E573C" w:rsidP="006920C8">
      <w:pPr>
        <w:pStyle w:val="Questionstyle"/>
        <w:numPr>
          <w:ilvl w:val="0"/>
          <w:numId w:val="39"/>
        </w:numPr>
      </w:pPr>
      <w:r>
        <w:t xml:space="preserve">: </w:t>
      </w:r>
      <w:r w:rsidR="006920C8">
        <w:t>For each of the following four elements, please indicate whether you believe it is be</w:t>
      </w:r>
      <w:r w:rsidR="006920C8">
        <w:t>t</w:t>
      </w:r>
      <w:r w:rsidR="006920C8">
        <w:t>ter to include the item in the pre-contractual or the website disclosures for financial products? Please explain your reasoning.</w:t>
      </w:r>
    </w:p>
    <w:p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w:t>
      </w:r>
      <w:r>
        <w:t>a</w:t>
      </w:r>
      <w:r>
        <w:t>tion of the investment strategy - in the draft RTS below it is in the pre-contractual di</w:t>
      </w:r>
      <w:r>
        <w:t>s</w:t>
      </w:r>
      <w:r>
        <w:t>closure Articles 17(b) and 26(b);</w:t>
      </w:r>
    </w:p>
    <w:p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w:t>
      </w:r>
      <w:r>
        <w:t>r</w:t>
      </w:r>
      <w:r>
        <w:t>istics or sustainable investment objective of the financial product - in the draft RTS b</w:t>
      </w:r>
      <w:r>
        <w:t>e</w:t>
      </w:r>
      <w:r>
        <w:t>low it is in the website disclosure under Article 34(1)(k) and Article 35(1)(k); and</w:t>
      </w:r>
    </w:p>
    <w:p w:rsidR="006920C8" w:rsidRDefault="006920C8" w:rsidP="006920C8">
      <w:pPr>
        <w:pStyle w:val="Questionstyle"/>
        <w:numPr>
          <w:ilvl w:val="0"/>
          <w:numId w:val="50"/>
        </w:numPr>
      </w:pPr>
      <w:r>
        <w:t>a reference to whether data sources are external or internal and in what proportions - not currently reflected in the draft RTS but could complement the pre-contractual di</w:t>
      </w:r>
      <w:r>
        <w:t>s</w:t>
      </w:r>
      <w:r>
        <w:t xml:space="preserve">closures under Article 17. </w:t>
      </w:r>
    </w:p>
    <w:p w:rsidR="003E573C" w:rsidRDefault="003E573C" w:rsidP="006920C8">
      <w:pPr>
        <w:pStyle w:val="Questionstyle"/>
        <w:ind w:left="720"/>
      </w:pP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_25&gt;</w:t>
      </w:r>
    </w:p>
    <w:p w:rsidR="00711544" w:rsidRDefault="00711544" w:rsidP="00C946E0">
      <w:pPr>
        <w:pStyle w:val="Didefault"/>
        <w:numPr>
          <w:ilvl w:val="0"/>
          <w:numId w:val="42"/>
        </w:numPr>
        <w:spacing w:before="0" w:after="240"/>
        <w:jc w:val="both"/>
        <w:rPr>
          <w:rFonts w:ascii="Calibri" w:hAnsi="Calibri"/>
          <w:sz w:val="22"/>
          <w:szCs w:val="22"/>
          <w:lang w:val="en-US"/>
        </w:rPr>
      </w:pPr>
      <w:permStart w:id="29" w:edGrp="everyone"/>
      <w:r>
        <w:rPr>
          <w:rFonts w:ascii="Calibri" w:hAnsi="Calibri"/>
          <w:sz w:val="22"/>
          <w:szCs w:val="22"/>
          <w:lang w:val="en-US"/>
        </w:rPr>
        <w:lastRenderedPageBreak/>
        <w:t>an indication of any commitment of a minimum reduction rate of the investments (sometimes r</w:t>
      </w:r>
      <w:r>
        <w:rPr>
          <w:rFonts w:ascii="Calibri" w:hAnsi="Calibri"/>
          <w:sz w:val="22"/>
          <w:szCs w:val="22"/>
          <w:lang w:val="en-US"/>
        </w:rPr>
        <w:t>e</w:t>
      </w:r>
      <w:r>
        <w:rPr>
          <w:rFonts w:ascii="Calibri" w:hAnsi="Calibri"/>
          <w:sz w:val="22"/>
          <w:szCs w:val="22"/>
          <w:lang w:val="en-US"/>
        </w:rPr>
        <w:t xml:space="preserve">ferred to as the </w:t>
      </w:r>
      <w:r>
        <w:rPr>
          <w:rFonts w:ascii="Calibri" w:hAnsi="Calibri"/>
          <w:sz w:val="22"/>
          <w:szCs w:val="22"/>
          <w:rtl/>
          <w:lang w:val="ar-SA"/>
        </w:rPr>
        <w:t>“</w:t>
      </w:r>
      <w:r>
        <w:rPr>
          <w:rFonts w:ascii="Calibri" w:hAnsi="Calibri"/>
          <w:sz w:val="22"/>
          <w:szCs w:val="22"/>
          <w:lang w:val="en-US"/>
        </w:rPr>
        <w:t>investable universe</w:t>
      </w:r>
      <w:r w:rsidRPr="006037A6">
        <w:rPr>
          <w:rFonts w:ascii="Calibri" w:hAnsi="Calibri"/>
          <w:sz w:val="22"/>
          <w:szCs w:val="22"/>
          <w:lang w:val="en-US"/>
        </w:rPr>
        <w:t>”</w:t>
      </w:r>
      <w:r>
        <w:rPr>
          <w:rFonts w:ascii="Calibri" w:hAnsi="Calibri"/>
          <w:sz w:val="22"/>
          <w:szCs w:val="22"/>
          <w:lang w:val="en-US"/>
        </w:rPr>
        <w:t xml:space="preserve">) considered prior to the application of the investment strategy </w:t>
      </w:r>
      <w:r w:rsidRPr="006037A6">
        <w:rPr>
          <w:rFonts w:ascii="Calibri" w:hAnsi="Calibri"/>
          <w:sz w:val="22"/>
          <w:szCs w:val="22"/>
          <w:lang w:val="en-US"/>
        </w:rPr>
        <w:t xml:space="preserve">– </w:t>
      </w:r>
      <w:r>
        <w:rPr>
          <w:rFonts w:ascii="Calibri" w:hAnsi="Calibri"/>
          <w:sz w:val="22"/>
          <w:szCs w:val="22"/>
          <w:lang w:val="en-US"/>
        </w:rPr>
        <w:t xml:space="preserve">in the draft RTS below it is in the pre-contractual disclosure Articles 17(b) and 26(b); </w:t>
      </w:r>
    </w:p>
    <w:p w:rsidR="00711544" w:rsidRDefault="00711544" w:rsidP="00C946E0">
      <w:pPr>
        <w:pStyle w:val="Didefault"/>
        <w:numPr>
          <w:ilvl w:val="0"/>
          <w:numId w:val="42"/>
        </w:numPr>
        <w:spacing w:before="0" w:after="240"/>
        <w:jc w:val="both"/>
        <w:rPr>
          <w:rFonts w:ascii="Calibri" w:hAnsi="Calibri"/>
          <w:sz w:val="22"/>
          <w:szCs w:val="22"/>
          <w:lang w:val="en-US"/>
        </w:rPr>
      </w:pPr>
      <w:r>
        <w:rPr>
          <w:rFonts w:ascii="Calibri" w:hAnsi="Calibri"/>
          <w:sz w:val="22"/>
          <w:szCs w:val="22"/>
          <w:lang w:val="en-US"/>
        </w:rPr>
        <w:t xml:space="preserve">a short description of the policy to assess good governance practices of the investee companies </w:t>
      </w:r>
      <w:r w:rsidRPr="006037A6">
        <w:rPr>
          <w:rFonts w:ascii="Calibri" w:hAnsi="Calibri"/>
          <w:sz w:val="22"/>
          <w:szCs w:val="22"/>
          <w:lang w:val="en-US"/>
        </w:rPr>
        <w:t xml:space="preserve">– </w:t>
      </w:r>
      <w:r>
        <w:rPr>
          <w:rFonts w:ascii="Calibri" w:hAnsi="Calibri"/>
          <w:sz w:val="22"/>
          <w:szCs w:val="22"/>
          <w:lang w:val="en-US"/>
        </w:rPr>
        <w:t xml:space="preserve">in the draft RTS below it is in pre-contractual disclosure Articles 17(c) and 26(c); </w:t>
      </w:r>
    </w:p>
    <w:p w:rsidR="00711544" w:rsidRDefault="00711544" w:rsidP="00C946E0">
      <w:pPr>
        <w:pStyle w:val="Didefault"/>
        <w:numPr>
          <w:ilvl w:val="0"/>
          <w:numId w:val="42"/>
        </w:numPr>
        <w:spacing w:before="0" w:after="240"/>
        <w:jc w:val="both"/>
        <w:rPr>
          <w:rFonts w:ascii="Calibri" w:hAnsi="Calibri"/>
          <w:sz w:val="22"/>
          <w:szCs w:val="22"/>
          <w:lang w:val="en-US"/>
        </w:rPr>
      </w:pPr>
      <w:r>
        <w:rPr>
          <w:rFonts w:ascii="Calibri" w:hAnsi="Calibri"/>
          <w:sz w:val="22"/>
          <w:szCs w:val="22"/>
          <w:lang w:val="en-US"/>
        </w:rPr>
        <w:t>a description of the limitations to (1) methodologies and (2) data sources and how such limitations do not affect the attainment of any environmental or social characteristics or sustainable investment o</w:t>
      </w:r>
      <w:r>
        <w:rPr>
          <w:rFonts w:ascii="Calibri" w:hAnsi="Calibri"/>
          <w:sz w:val="22"/>
          <w:szCs w:val="22"/>
          <w:lang w:val="en-US"/>
        </w:rPr>
        <w:t>b</w:t>
      </w:r>
      <w:r>
        <w:rPr>
          <w:rFonts w:ascii="Calibri" w:hAnsi="Calibri"/>
          <w:sz w:val="22"/>
          <w:szCs w:val="22"/>
          <w:lang w:val="en-US"/>
        </w:rPr>
        <w:t xml:space="preserve">jective of the financial product </w:t>
      </w:r>
      <w:r w:rsidRPr="006037A6">
        <w:rPr>
          <w:rFonts w:ascii="Calibri" w:hAnsi="Calibri"/>
          <w:sz w:val="22"/>
          <w:szCs w:val="22"/>
          <w:lang w:val="en-US"/>
        </w:rPr>
        <w:t xml:space="preserve">– </w:t>
      </w:r>
      <w:r>
        <w:rPr>
          <w:rFonts w:ascii="Calibri" w:hAnsi="Calibri"/>
          <w:sz w:val="22"/>
          <w:szCs w:val="22"/>
          <w:lang w:val="en-US"/>
        </w:rPr>
        <w:t xml:space="preserve">in the draft RTS below it is in the website disclosure under Article 34(1)(k) and Article 35(1)(k); and </w:t>
      </w:r>
    </w:p>
    <w:p w:rsidR="00711544" w:rsidRPr="009F5954" w:rsidRDefault="00711544" w:rsidP="00C946E0">
      <w:pPr>
        <w:pStyle w:val="Didefault"/>
        <w:numPr>
          <w:ilvl w:val="0"/>
          <w:numId w:val="42"/>
        </w:numPr>
        <w:spacing w:before="0" w:after="240"/>
        <w:jc w:val="both"/>
        <w:rPr>
          <w:rFonts w:ascii="Calibri" w:hAnsi="Calibri"/>
          <w:sz w:val="22"/>
          <w:szCs w:val="22"/>
          <w:lang w:val="en-US"/>
        </w:rPr>
      </w:pPr>
      <w:r>
        <w:rPr>
          <w:rFonts w:ascii="Calibri" w:hAnsi="Calibri"/>
          <w:sz w:val="22"/>
          <w:szCs w:val="22"/>
          <w:lang w:val="en-US"/>
        </w:rPr>
        <w:t xml:space="preserve">a reference to whether data sources are external or internal and in what proportions </w:t>
      </w:r>
      <w:r w:rsidRPr="006037A6">
        <w:rPr>
          <w:rFonts w:ascii="Calibri" w:hAnsi="Calibri"/>
          <w:sz w:val="22"/>
          <w:szCs w:val="22"/>
          <w:lang w:val="en-US"/>
        </w:rPr>
        <w:t xml:space="preserve">– </w:t>
      </w:r>
      <w:r>
        <w:rPr>
          <w:rFonts w:ascii="Calibri" w:hAnsi="Calibri"/>
          <w:sz w:val="22"/>
          <w:szCs w:val="22"/>
          <w:lang w:val="en-US"/>
        </w:rPr>
        <w:t xml:space="preserve">not currently reflected in the draft RTS but could complement the pre-contractual disclosures under Article 17. </w:t>
      </w:r>
      <w:r w:rsidRPr="00711544">
        <w:rPr>
          <w:rFonts w:ascii="Calibri" w:hAnsi="Calibri"/>
          <w:bCs/>
          <w:color w:val="auto"/>
          <w:sz w:val="22"/>
          <w:szCs w:val="22"/>
          <w:lang w:val="it-IT"/>
        </w:rPr>
        <w:t>On the website.</w:t>
      </w:r>
    </w:p>
    <w:permEnd w:id="29"/>
    <w:p w:rsidR="003E573C" w:rsidRDefault="003E573C" w:rsidP="003E573C">
      <w:pPr>
        <w:rPr>
          <w:rFonts w:cs="Arial"/>
        </w:rPr>
      </w:pPr>
      <w:r>
        <w:rPr>
          <w:rFonts w:cs="Arial"/>
        </w:rPr>
        <w:t>&lt;ESA_QUESTION_</w:t>
      </w:r>
      <w:r w:rsidR="00C86E1C">
        <w:rPr>
          <w:rFonts w:cs="Arial"/>
        </w:rPr>
        <w:t>ESG</w:t>
      </w:r>
      <w:r>
        <w:rPr>
          <w:rFonts w:cs="Arial"/>
        </w:rPr>
        <w:t>_25&gt;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rsidR="003E573C" w:rsidRDefault="003E573C" w:rsidP="003E573C">
      <w:pPr>
        <w:rPr>
          <w:rFonts w:cs="Arial"/>
        </w:rPr>
      </w:pPr>
      <w:r>
        <w:rPr>
          <w:rFonts w:cs="Arial"/>
        </w:rPr>
        <w:t>&lt;ESA_QUESTION_</w:t>
      </w:r>
      <w:r w:rsidR="00C86E1C">
        <w:rPr>
          <w:rFonts w:cs="Arial"/>
        </w:rPr>
        <w:t>ESG</w:t>
      </w:r>
      <w:r>
        <w:rPr>
          <w:rFonts w:cs="Arial"/>
        </w:rPr>
        <w:t>_26&gt;</w:t>
      </w:r>
    </w:p>
    <w:p w:rsidR="005D0A17" w:rsidRDefault="005D0A17" w:rsidP="005D0A1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both"/>
        <w:rPr>
          <w:sz w:val="22"/>
          <w:szCs w:val="22"/>
          <w:lang w:val="en-US"/>
        </w:rPr>
      </w:pPr>
      <w:permStart w:id="30" w:edGrp="everyone"/>
      <w:r>
        <w:rPr>
          <w:rFonts w:ascii="Calibri" w:hAnsi="Calibri"/>
          <w:sz w:val="22"/>
          <w:szCs w:val="22"/>
          <w:lang w:val="en-US"/>
        </w:rPr>
        <w:t>We believe it is appropriate to integrate the section with a graphic and narrative explanation.</w:t>
      </w:r>
      <w:r w:rsidRPr="006037A6">
        <w:rPr>
          <w:rFonts w:ascii="Times Roman" w:eastAsia="Times Roman" w:hAnsi="Times Roman" w:cs="Times Roman"/>
          <w:lang w:val="en-US"/>
        </w:rPr>
        <w:t xml:space="preserve"> </w:t>
      </w:r>
    </w:p>
    <w:permEnd w:id="30"/>
    <w:p w:rsidR="003E573C" w:rsidRDefault="003E573C" w:rsidP="003E573C">
      <w:pPr>
        <w:rPr>
          <w:rFonts w:cs="Arial"/>
        </w:rPr>
      </w:pPr>
      <w:r>
        <w:rPr>
          <w:rFonts w:cs="Arial"/>
        </w:rPr>
        <w:t>&lt;ESA_QUESTION_</w:t>
      </w:r>
      <w:r w:rsidR="00C86E1C">
        <w:rPr>
          <w:rFonts w:cs="Arial"/>
        </w:rPr>
        <w:t>ESG</w:t>
      </w:r>
      <w:r>
        <w:rPr>
          <w:rFonts w:cs="Arial"/>
        </w:rPr>
        <w:t>_26&gt;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have any views regarding the preliminary impact assessments? Can you pr</w:t>
      </w:r>
      <w:r w:rsidR="006920C8" w:rsidRPr="006920C8">
        <w:t>o</w:t>
      </w:r>
      <w:r w:rsidR="006920C8" w:rsidRPr="006920C8">
        <w:t>vide more granular examples of costs associated with the policy options?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_27&gt;</w:t>
      </w:r>
    </w:p>
    <w:p w:rsidR="003E573C" w:rsidRDefault="003E573C" w:rsidP="003E573C">
      <w:pPr>
        <w:rPr>
          <w:rFonts w:cs="Arial"/>
        </w:rPr>
      </w:pPr>
      <w:permStart w:id="31" w:edGrp="everyone"/>
      <w:r>
        <w:rPr>
          <w:rFonts w:cs="Arial"/>
        </w:rPr>
        <w:t>TYPE YOUR TEXT HERE</w:t>
      </w:r>
    </w:p>
    <w:permEnd w:id="31"/>
    <w:p w:rsidR="003E573C" w:rsidRDefault="003E573C" w:rsidP="003E573C">
      <w:pPr>
        <w:rPr>
          <w:rFonts w:cs="Arial"/>
        </w:rPr>
      </w:pPr>
      <w:r>
        <w:rPr>
          <w:rFonts w:cs="Arial"/>
        </w:rPr>
        <w:t>&lt;ESA_QUESTION_</w:t>
      </w:r>
      <w:r w:rsidR="00C86E1C">
        <w:rPr>
          <w:rFonts w:cs="Arial"/>
        </w:rPr>
        <w:t>ESG</w:t>
      </w:r>
      <w:r>
        <w:rPr>
          <w:rFonts w:cs="Arial"/>
        </w:rPr>
        <w:t>_27&gt;</w:t>
      </w:r>
    </w:p>
    <w:p w:rsidR="003E573C" w:rsidRDefault="003E573C" w:rsidP="003E573C">
      <w:pPr>
        <w:rPr>
          <w:rFonts w:cs="Arial"/>
        </w:rPr>
      </w:pPr>
    </w:p>
    <w:p w:rsidR="003E573C" w:rsidRPr="007B52B2" w:rsidRDefault="003E573C" w:rsidP="003E573C">
      <w:pPr>
        <w:rPr>
          <w:rFonts w:cs="Arial"/>
        </w:rPr>
      </w:pPr>
    </w:p>
    <w:p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E0" w:rsidRDefault="00C946E0">
      <w:r>
        <w:separator/>
      </w:r>
    </w:p>
    <w:p w:rsidR="00C946E0" w:rsidRDefault="00C946E0"/>
  </w:endnote>
  <w:endnote w:type="continuationSeparator" w:id="0">
    <w:p w:rsidR="00C946E0" w:rsidRDefault="00C946E0">
      <w:r>
        <w:continuationSeparator/>
      </w:r>
    </w:p>
    <w:p w:rsidR="00C946E0" w:rsidRDefault="00C946E0"/>
  </w:endnote>
  <w:endnote w:type="continuationNotice" w:id="1">
    <w:p w:rsidR="00C946E0" w:rsidRDefault="00C946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Arial"/>
    <w:charset w:val="00"/>
    <w:family w:val="roman"/>
    <w:pitch w:val="default"/>
    <w:sig w:usb0="00000000" w:usb1="00000000" w:usb2="00000000" w:usb3="00000000" w:csb0="00000000"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210555"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7F1879">
            <w:rPr>
              <w:rFonts w:cs="Arial"/>
              <w:noProof/>
              <w:sz w:val="22"/>
              <w:szCs w:val="22"/>
            </w:rPr>
            <w:t>5</w:t>
          </w:r>
          <w:r w:rsidRPr="00616B9B">
            <w:rPr>
              <w:rFonts w:cs="Arial"/>
              <w:noProof/>
              <w:sz w:val="22"/>
              <w:szCs w:val="22"/>
            </w:rPr>
            <w:fldChar w:fldCharType="end"/>
          </w:r>
        </w:p>
      </w:tc>
    </w:tr>
  </w:tbl>
  <w:p w:rsidR="00811EDA" w:rsidRDefault="00811ED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E0" w:rsidRDefault="00C946E0">
      <w:r>
        <w:separator/>
      </w:r>
    </w:p>
    <w:p w:rsidR="00C946E0" w:rsidRDefault="00C946E0"/>
  </w:footnote>
  <w:footnote w:type="continuationSeparator" w:id="0">
    <w:p w:rsidR="00C946E0" w:rsidRDefault="00C946E0">
      <w:r>
        <w:continuationSeparator/>
      </w:r>
    </w:p>
    <w:p w:rsidR="00C946E0" w:rsidRDefault="00C946E0"/>
  </w:footnote>
  <w:footnote w:type="continuationNotice" w:id="1">
    <w:p w:rsidR="00C946E0" w:rsidRDefault="00C946E0"/>
  </w:footnote>
  <w:footnote w:id="2">
    <w:p w:rsidR="00197794" w:rsidRDefault="0019779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F65D5">
    <w:pPr>
      <w:pStyle w:val="Intestazione"/>
    </w:pPr>
    <w:r>
      <w:rPr>
        <w:noProof/>
        <w:lang w:val="it-IT" w:eastAsia="it-IT"/>
      </w:rPr>
      <w:drawing>
        <wp:inline distT="0" distB="0" distL="0" distR="0">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r w:rsidR="00210555" w:rsidRPr="00210555">
      <w:rPr>
        <w:noProof/>
        <w:lang w:eastAsia="en-GB"/>
      </w:rPr>
      <w:pict>
        <v:line id="Line 16" o:spid="_x0000_s20482"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F65D5" w:rsidP="00013CCE">
    <w:pPr>
      <w:pStyle w:val="Intestazione"/>
      <w:jc w:val="right"/>
    </w:pPr>
    <w:r>
      <w:rPr>
        <w:noProof/>
        <w:lang w:val="it-IT" w:eastAsia="it-IT"/>
      </w:rPr>
      <w:drawing>
        <wp:inline distT="0" distB="0" distL="0" distR="0">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r w:rsidR="00DE66EB">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210555">
    <w:pPr>
      <w:pStyle w:val="Intestazione"/>
    </w:pPr>
    <w:r w:rsidRPr="00210555">
      <w:rPr>
        <w:noProof/>
        <w:lang w:eastAsia="en-GB"/>
      </w:rPr>
      <w:pict>
        <v:line id="Straight Connector 138" o:spid="_x0000_s20481"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8F65D5">
      <w:rPr>
        <w:noProof/>
        <w:lang w:val="it-IT" w:eastAsia="it-IT"/>
      </w:rPr>
      <w:drawing>
        <wp:inline distT="0" distB="0" distL="0" distR="0">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Corpodel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5059D"/>
    <w:multiLevelType w:val="hybridMultilevel"/>
    <w:tmpl w:val="B5EEFCF4"/>
    <w:numStyleLink w:val="Conlettere"/>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550423"/>
    <w:multiLevelType w:val="hybridMultilevel"/>
    <w:tmpl w:val="B5EEFCF4"/>
    <w:styleLink w:val="Conlettere"/>
    <w:lvl w:ilvl="0" w:tplc="BF941AF8">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290A5CC">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0D9692C6">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A964698">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85EE7E7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0F244800">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F869F3C">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C04F156">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172C523C">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6"/>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8"/>
  </w:num>
  <w:num w:numId="16">
    <w:abstractNumId w:val="1"/>
  </w:num>
  <w:num w:numId="17">
    <w:abstractNumId w:val="16"/>
  </w:num>
  <w:num w:numId="18">
    <w:abstractNumId w:val="17"/>
  </w:num>
  <w:num w:numId="19">
    <w:abstractNumId w:val="19"/>
  </w:num>
  <w:num w:numId="20">
    <w:abstractNumId w:val="30"/>
  </w:num>
  <w:num w:numId="21">
    <w:abstractNumId w:val="40"/>
  </w:num>
  <w:num w:numId="22">
    <w:abstractNumId w:val="28"/>
  </w:num>
  <w:num w:numId="23">
    <w:abstractNumId w:val="7"/>
  </w:num>
  <w:num w:numId="24">
    <w:abstractNumId w:val="33"/>
  </w:num>
  <w:num w:numId="25">
    <w:abstractNumId w:val="32"/>
  </w:num>
  <w:num w:numId="26">
    <w:abstractNumId w:val="21"/>
  </w:num>
  <w:num w:numId="27">
    <w:abstractNumId w:val="36"/>
  </w:num>
  <w:num w:numId="28">
    <w:abstractNumId w:val="42"/>
  </w:num>
  <w:num w:numId="29">
    <w:abstractNumId w:val="5"/>
  </w:num>
  <w:num w:numId="30">
    <w:abstractNumId w:val="2"/>
  </w:num>
  <w:num w:numId="31">
    <w:abstractNumId w:val="24"/>
  </w:num>
  <w:num w:numId="32">
    <w:abstractNumId w:val="22"/>
  </w:num>
  <w:num w:numId="33">
    <w:abstractNumId w:val="39"/>
  </w:num>
  <w:num w:numId="34">
    <w:abstractNumId w:val="38"/>
  </w:num>
  <w:num w:numId="35">
    <w:abstractNumId w:val="9"/>
  </w:num>
  <w:num w:numId="36">
    <w:abstractNumId w:val="10"/>
  </w:num>
  <w:num w:numId="37">
    <w:abstractNumId w:val="13"/>
  </w:num>
  <w:num w:numId="38">
    <w:abstractNumId w:val="27"/>
  </w:num>
  <w:num w:numId="39">
    <w:abstractNumId w:val="23"/>
  </w:num>
  <w:num w:numId="40">
    <w:abstractNumId w:val="37"/>
  </w:num>
  <w:num w:numId="41">
    <w:abstractNumId w:val="15"/>
  </w:num>
  <w:num w:numId="42">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1F01"/>
  <w:documentProtection w:edit="readOnly" w:enforcement="1" w:cryptProviderType="rsaAES" w:cryptAlgorithmClass="hash" w:cryptAlgorithmType="typeAny" w:cryptAlgorithmSid="14" w:cryptSpinCount="100000" w:hash="7TB43jRLdj3XDux783pLmb6geOQ7UJxdlwkLOHEa4DLmgdDuNy7N161DEKv/fo5NLWe9J36WNG1r&#10;zvItIynu/Q==" w:salt="IxiToWweFtJz5C1p3iFyIA=="/>
  <w:defaultTabStop w:val="709"/>
  <w:autoHyphenation/>
  <w:hyphenationZone w:val="567"/>
  <w:characterSpacingControl w:val="doNotCompress"/>
  <w:hdrShapeDefaults>
    <o:shapedefaults v:ext="edit" spidmax="21506">
      <o:colormru v:ext="edit" colors="#2d4491,#283583"/>
    </o:shapedefaults>
    <o:shapelayout v:ext="edit">
      <o:idmap v:ext="edit" data="20"/>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55"/>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2EA7"/>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4041"/>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6B2"/>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283"/>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398F"/>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0A17"/>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0E3"/>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544"/>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879"/>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926"/>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4672"/>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39BD"/>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B59"/>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6E0"/>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BD7"/>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0A09"/>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6ED7"/>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1C0B"/>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deltesto">
    <w:name w:val="Body Text"/>
    <w:basedOn w:val="Normale"/>
    <w:link w:val="Corpodel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deltestoCarattere">
    <w:name w:val="Corpo del testo Carattere"/>
    <w:link w:val="Corpodel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Arial" w:hAnsi="Arial"/>
      <w:lang/>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table" w:customStyle="1" w:styleId="TableNormal1">
    <w:name w:val="Table Normal1"/>
    <w:rsid w:val="0057398F"/>
    <w:pPr>
      <w:pBdr>
        <w:top w:val="nil"/>
        <w:left w:val="nil"/>
        <w:bottom w:val="nil"/>
        <w:right w:val="nil"/>
        <w:between w:val="nil"/>
        <w:bar w:val="nil"/>
      </w:pBdr>
    </w:pPr>
    <w:rPr>
      <w:rFonts w:eastAsia="Arial Unicode MS"/>
      <w:bdr w:val="nil"/>
      <w:lang w:val="it-IT" w:eastAsia="it-IT"/>
    </w:rPr>
    <w:tblPr>
      <w:tblInd w:w="0" w:type="dxa"/>
      <w:tblCellMar>
        <w:top w:w="0" w:type="dxa"/>
        <w:left w:w="0" w:type="dxa"/>
        <w:bottom w:w="0" w:type="dxa"/>
        <w:right w:w="0" w:type="dxa"/>
      </w:tblCellMar>
    </w:tblPr>
  </w:style>
  <w:style w:type="paragraph" w:customStyle="1" w:styleId="Didefault">
    <w:name w:val="Di default"/>
    <w:rsid w:val="0057398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fr-FR" w:eastAsia="it-IT"/>
    </w:rPr>
  </w:style>
  <w:style w:type="numbering" w:customStyle="1" w:styleId="Conlettere">
    <w:name w:val="Con lettere"/>
    <w:rsid w:val="00711544"/>
    <w:pPr>
      <w:numPr>
        <w:numId w:val="41"/>
      </w:numPr>
    </w:p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1D9A9839-4450-4E46-A689-22A3B029B8D3}">
  <ds:schemaRefs>
    <ds:schemaRef ds:uri="http://schemas.openxmlformats.org/officeDocument/2006/bibliography"/>
  </ds:schemaRefs>
</ds:datastoreItem>
</file>

<file path=customXml/itemProps6.xml><?xml version="1.0" encoding="utf-8"?>
<ds:datastoreItem xmlns:ds="http://schemas.openxmlformats.org/officeDocument/2006/customXml" ds:itemID="{A6047370-A53B-4FED-8CD1-130A1A5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2782</Words>
  <Characters>15864</Characters>
  <Application>Microsoft Office Word</Application>
  <DocSecurity>8</DocSecurity>
  <Lines>132</Lines>
  <Paragraphs>37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18609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Caterina</cp:lastModifiedBy>
  <cp:revision>19</cp:revision>
  <cp:lastPrinted>2015-02-18T11:01:00Z</cp:lastPrinted>
  <dcterms:created xsi:type="dcterms:W3CDTF">2020-09-01T07:36:00Z</dcterms:created>
  <dcterms:modified xsi:type="dcterms:W3CDTF">2020-09-01T07:55:00Z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