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bookmarkStart w:id="1" w:name="_GoBack"/>
      <w:bookmarkEnd w:id="1"/>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5E4D2A">
        <w:tc>
          <w:tcPr>
            <w:tcW w:w="3929" w:type="dxa"/>
            <w:shd w:val="clear" w:color="auto" w:fill="auto"/>
          </w:tcPr>
          <w:p w14:paraId="6A3CB050" w14:textId="77777777" w:rsidR="00B327E9" w:rsidRPr="00E40A5C" w:rsidRDefault="00B327E9" w:rsidP="005E4D2A">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6DB1CDE9" w:rsidR="00B327E9" w:rsidRPr="00AB6D88" w:rsidRDefault="00EC00ED" w:rsidP="005E4D2A">
                <w:pPr>
                  <w:rPr>
                    <w:rStyle w:val="PlaceholderText"/>
                    <w:rFonts w:cs="Arial"/>
                  </w:rPr>
                </w:pPr>
                <w:r>
                  <w:rPr>
                    <w:rStyle w:val="PlaceholderText"/>
                    <w:rFonts w:cs="Arial"/>
                  </w:rPr>
                  <w:t>European DataWarehouse GmbH</w:t>
                </w:r>
              </w:p>
            </w:tc>
          </w:sdtContent>
        </w:sdt>
      </w:tr>
      <w:tr w:rsidR="00B327E9" w:rsidRPr="00AB6D88" w14:paraId="6A3CB055" w14:textId="77777777" w:rsidTr="005E4D2A">
        <w:tc>
          <w:tcPr>
            <w:tcW w:w="3929" w:type="dxa"/>
            <w:shd w:val="clear" w:color="auto" w:fill="auto"/>
          </w:tcPr>
          <w:p w14:paraId="6A3CB053" w14:textId="77777777" w:rsidR="00B327E9" w:rsidRPr="00E40A5C" w:rsidRDefault="00B327E9" w:rsidP="005E4D2A">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6C654AE" w:rsidR="00B327E9" w:rsidRPr="00AB6D88" w:rsidRDefault="00AE3CE0" w:rsidP="005E4D2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C00ED">
                  <w:rPr>
                    <w:rFonts w:cs="Arial"/>
                  </w:rPr>
                  <w:t>Other Financial service providers</w:t>
                </w:r>
              </w:sdtContent>
            </w:sdt>
          </w:p>
        </w:tc>
      </w:tr>
      <w:tr w:rsidR="00B327E9" w:rsidRPr="00AB6D88" w14:paraId="6A3CB058" w14:textId="77777777" w:rsidTr="005E4D2A">
        <w:tc>
          <w:tcPr>
            <w:tcW w:w="3929" w:type="dxa"/>
            <w:shd w:val="clear" w:color="auto" w:fill="auto"/>
          </w:tcPr>
          <w:p w14:paraId="6A3CB056" w14:textId="77777777" w:rsidR="00B327E9" w:rsidRPr="00E40A5C" w:rsidRDefault="00B327E9" w:rsidP="005E4D2A">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5E4D2A">
                <w:pPr>
                  <w:rPr>
                    <w:rFonts w:cs="Arial"/>
                  </w:rPr>
                </w:pPr>
                <w:r>
                  <w:rPr>
                    <w:rFonts w:ascii="MS Gothic" w:eastAsia="MS Gothic" w:hAnsi="MS Gothic" w:cs="Arial" w:hint="eastAsia"/>
                  </w:rPr>
                  <w:t>☐</w:t>
                </w:r>
              </w:p>
            </w:tc>
          </w:sdtContent>
        </w:sdt>
      </w:tr>
      <w:tr w:rsidR="00B327E9" w:rsidRPr="00AB6D88" w14:paraId="6A3CB05B" w14:textId="77777777" w:rsidTr="005E4D2A">
        <w:tc>
          <w:tcPr>
            <w:tcW w:w="3929" w:type="dxa"/>
            <w:shd w:val="clear" w:color="auto" w:fill="auto"/>
          </w:tcPr>
          <w:p w14:paraId="6A3CB059" w14:textId="77777777" w:rsidR="00B327E9" w:rsidRPr="00E40A5C" w:rsidRDefault="00B327E9" w:rsidP="005E4D2A">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9B0B0F8" w:rsidR="00B327E9" w:rsidRPr="00AB6D88" w:rsidRDefault="00EC00ED" w:rsidP="005E4D2A">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0BE3837C" w14:textId="77777777" w:rsidR="00EC00ED" w:rsidRPr="00F96900" w:rsidRDefault="00EC00ED" w:rsidP="00EC00ED">
      <w:pPr>
        <w:pStyle w:val="EinfAbs"/>
        <w:jc w:val="both"/>
        <w:rPr>
          <w:rFonts w:ascii="Arial" w:hAnsi="Arial" w:cs="Arial"/>
          <w:b/>
          <w:bCs/>
          <w:color w:val="auto"/>
          <w:sz w:val="20"/>
          <w:szCs w:val="20"/>
          <w:lang w:val="en-GB"/>
        </w:rPr>
      </w:pPr>
      <w:permStart w:id="411981036" w:edGrp="everyone"/>
      <w:r w:rsidRPr="00F96900">
        <w:rPr>
          <w:rFonts w:ascii="Arial" w:hAnsi="Arial" w:cs="Arial"/>
          <w:b/>
          <w:bCs/>
          <w:color w:val="auto"/>
          <w:sz w:val="20"/>
          <w:szCs w:val="20"/>
          <w:lang w:val="en-GB"/>
        </w:rPr>
        <w:t>About the European DataWarehouse GmbH</w:t>
      </w:r>
    </w:p>
    <w:p w14:paraId="3237D1A9" w14:textId="77777777" w:rsidR="00EC00ED" w:rsidRPr="00F96900" w:rsidRDefault="00EC00ED" w:rsidP="00EC00ED">
      <w:pPr>
        <w:pStyle w:val="EinfAbs"/>
        <w:jc w:val="both"/>
        <w:rPr>
          <w:rFonts w:ascii="Arial" w:hAnsi="Arial" w:cs="Arial"/>
          <w:color w:val="auto"/>
          <w:sz w:val="20"/>
          <w:szCs w:val="20"/>
          <w:lang w:val="en-GB"/>
        </w:rPr>
      </w:pPr>
    </w:p>
    <w:p w14:paraId="22732147" w14:textId="77777777" w:rsidR="00EC00ED" w:rsidRPr="00F96900" w:rsidRDefault="00EC00ED" w:rsidP="00EC00ED">
      <w:pPr>
        <w:pStyle w:val="EinfAbs"/>
        <w:jc w:val="both"/>
        <w:rPr>
          <w:rFonts w:ascii="Arial" w:hAnsi="Arial" w:cs="Arial"/>
          <w:color w:val="auto"/>
          <w:sz w:val="20"/>
          <w:szCs w:val="20"/>
          <w:lang w:val="en-GB"/>
        </w:rPr>
      </w:pPr>
      <w:r w:rsidRPr="00F96900">
        <w:rPr>
          <w:rFonts w:ascii="Arial" w:hAnsi="Arial" w:cs="Arial"/>
          <w:color w:val="auto"/>
          <w:sz w:val="20"/>
          <w:szCs w:val="20"/>
          <w:lang w:val="en-GB"/>
        </w:rPr>
        <w:t>Founded in 2012 as part of the implementation of the European Central Bank ABS Loan Level Initiative, the European DataWarehouse (EDW) is the first central data repository in Europe for collecting, validating and making available for download detailed, standardised and asset class specific loan-level data (LLD) for Asset-Backed Securities (ABS) transactions. Developed, owned and operated by the market, EDW helps to facilitate risk assessment and to improve transparency standards for European ABS deals.</w:t>
      </w:r>
    </w:p>
    <w:p w14:paraId="35D07550" w14:textId="77777777" w:rsidR="00EC00ED" w:rsidRPr="00F96900" w:rsidRDefault="00EC00ED" w:rsidP="00EC00ED">
      <w:pPr>
        <w:pStyle w:val="EinfAbs"/>
        <w:jc w:val="both"/>
        <w:rPr>
          <w:rFonts w:ascii="Arial" w:hAnsi="Arial" w:cs="Arial"/>
          <w:color w:val="auto"/>
          <w:sz w:val="20"/>
          <w:szCs w:val="20"/>
          <w:lang w:val="en-GB"/>
        </w:rPr>
      </w:pPr>
      <w:r w:rsidRPr="00F96900">
        <w:rPr>
          <w:rFonts w:ascii="Arial" w:hAnsi="Arial" w:cs="Arial"/>
          <w:color w:val="auto"/>
          <w:sz w:val="20"/>
          <w:szCs w:val="20"/>
          <w:lang w:val="en-GB"/>
        </w:rPr>
        <w:t>EDW currently hosts loan-level data and relevant documentation for over 1,520 ABS transactions and private portfolios belonging to a wide variety of different originators across Europe. Originators, issuers, sponsors and servicers upload ABS exposure and relevant documentation to EDW, while data users including investors, data vendors, rating agencies and public institutions use EDW data for monitoring and risk assessment purposes.</w:t>
      </w:r>
    </w:p>
    <w:p w14:paraId="193153B5" w14:textId="312BE6A0" w:rsidR="00EC00ED" w:rsidRPr="00F96900" w:rsidRDefault="00EC00ED" w:rsidP="00EC00ED">
      <w:pPr>
        <w:pStyle w:val="EinfAbs"/>
        <w:jc w:val="both"/>
        <w:rPr>
          <w:rFonts w:ascii="Arial" w:hAnsi="Arial" w:cs="Arial"/>
          <w:color w:val="auto"/>
          <w:sz w:val="20"/>
          <w:szCs w:val="20"/>
          <w:lang w:val="en-GB"/>
        </w:rPr>
      </w:pPr>
      <w:r w:rsidRPr="00F96900">
        <w:rPr>
          <w:rFonts w:ascii="Arial" w:hAnsi="Arial" w:cs="Arial"/>
          <w:color w:val="auto"/>
          <w:sz w:val="20"/>
          <w:szCs w:val="20"/>
          <w:lang w:val="en-GB"/>
        </w:rPr>
        <w:t>EDW intends to register with ESMA to provide securitisation repository services under the Securitisation Regulation (EU) 2017/2402. In the meantime, EDW assists the originators, sponsors and Securitisation Special Purpose Entities (SSPE) to fulfil the regulatory reporting obligations by providing a website compliant with the requirements set out in Article 7(2) of this regulation.</w:t>
      </w:r>
    </w:p>
    <w:p w14:paraId="31A127AB" w14:textId="3510B4B9" w:rsidR="00EC00ED" w:rsidRPr="00F96900" w:rsidRDefault="00EC00ED" w:rsidP="00EC00ED">
      <w:pPr>
        <w:pStyle w:val="EinfAbs"/>
        <w:jc w:val="both"/>
        <w:rPr>
          <w:rFonts w:ascii="Arial" w:hAnsi="Arial" w:cs="Arial"/>
          <w:color w:val="auto"/>
          <w:sz w:val="20"/>
          <w:szCs w:val="20"/>
          <w:lang w:val="en-GB"/>
        </w:rPr>
      </w:pPr>
      <w:r w:rsidRPr="00F96900">
        <w:rPr>
          <w:rFonts w:ascii="Arial" w:hAnsi="Arial" w:cs="Arial"/>
          <w:color w:val="auto"/>
          <w:sz w:val="20"/>
          <w:szCs w:val="20"/>
          <w:lang w:val="en-GB"/>
        </w:rPr>
        <w:t>Additionally, EDW participates at the Energy Efficient Mortgages Initiative (EEMI), a market-led initiative, funded via the European Commission’s Horizon 2020 Programme. The aim of the EEMI is to deliver a standardised European framework and data collection architecture for energy efficient mortgages.</w:t>
      </w:r>
    </w:p>
    <w:p w14:paraId="476F9C7E" w14:textId="77777777" w:rsidR="00260120" w:rsidRPr="00260120" w:rsidRDefault="00260120" w:rsidP="00260120">
      <w:pPr>
        <w:pStyle w:val="EinfAbs"/>
        <w:jc w:val="both"/>
        <w:rPr>
          <w:rFonts w:ascii="Arial" w:hAnsi="Arial" w:cs="Arial"/>
          <w:color w:val="auto"/>
          <w:sz w:val="20"/>
          <w:szCs w:val="20"/>
          <w:lang w:val="en-GB"/>
        </w:rPr>
      </w:pPr>
      <w:r w:rsidRPr="00260120">
        <w:rPr>
          <w:rFonts w:ascii="Arial" w:hAnsi="Arial" w:cs="Arial"/>
          <w:color w:val="auto"/>
          <w:sz w:val="20"/>
          <w:szCs w:val="20"/>
          <w:lang w:val="en-GB"/>
        </w:rPr>
        <w:t>EDW is also currently engaged in a project with the European Commission and the University of Cagliari on modelling ESG risks exposure of the European banks. By bridging the gap between the need for a targeted disclosure framework and of a financial risk assessment, this research project aims to develop and test a first-generation matrix able to capture the overall ESG risks exposure of European banks both from a micro- and a macro-prudential perspective. Specific focus of the research project is on the social element.</w:t>
      </w:r>
    </w:p>
    <w:p w14:paraId="2599AD55" w14:textId="77777777" w:rsidR="00805DAE" w:rsidRDefault="00805DAE" w:rsidP="00805DAE">
      <w:pPr>
        <w:pStyle w:val="EinfAbs"/>
        <w:jc w:val="both"/>
        <w:rPr>
          <w:rFonts w:ascii="Arial" w:hAnsi="Arial" w:cs="Arial"/>
          <w:sz w:val="20"/>
          <w:szCs w:val="20"/>
          <w:lang w:val="en-GB"/>
        </w:rPr>
      </w:pPr>
    </w:p>
    <w:p w14:paraId="7CEB1302" w14:textId="5C83744D" w:rsidR="00260120" w:rsidRPr="00F96900" w:rsidRDefault="00805DAE" w:rsidP="00260120">
      <w:pPr>
        <w:pStyle w:val="EinfAbs"/>
        <w:jc w:val="both"/>
        <w:rPr>
          <w:rFonts w:ascii="Arial" w:hAnsi="Arial" w:cs="Arial"/>
          <w:color w:val="auto"/>
          <w:sz w:val="20"/>
          <w:szCs w:val="20"/>
          <w:lang w:val="en-GB"/>
        </w:rPr>
      </w:pPr>
      <w:r w:rsidRPr="00F96900">
        <w:rPr>
          <w:rFonts w:ascii="Arial" w:hAnsi="Arial" w:cs="Arial"/>
          <w:sz w:val="20"/>
          <w:szCs w:val="20"/>
          <w:lang w:val="en-GB"/>
        </w:rPr>
        <w:t>EDW welcomes the ESAs joint consultation on Environmental, Social and Governance disclosures.</w:t>
      </w:r>
      <w:r>
        <w:rPr>
          <w:rFonts w:ascii="Arial" w:hAnsi="Arial" w:cs="Arial"/>
          <w:sz w:val="20"/>
          <w:szCs w:val="20"/>
          <w:lang w:val="en-GB"/>
        </w:rPr>
        <w:t xml:space="preserve"> </w:t>
      </w:r>
      <w:r w:rsidR="00260120" w:rsidRPr="00260120">
        <w:rPr>
          <w:rFonts w:ascii="Arial" w:hAnsi="Arial" w:cs="Arial"/>
          <w:color w:val="auto"/>
          <w:sz w:val="20"/>
          <w:szCs w:val="20"/>
          <w:lang w:val="en-GB"/>
        </w:rPr>
        <w:t xml:space="preserve">The current </w:t>
      </w:r>
      <w:r>
        <w:rPr>
          <w:rFonts w:ascii="Arial" w:hAnsi="Arial" w:cs="Arial"/>
          <w:color w:val="auto"/>
          <w:sz w:val="20"/>
          <w:szCs w:val="20"/>
          <w:lang w:val="en-GB"/>
        </w:rPr>
        <w:t>data</w:t>
      </w:r>
      <w:r w:rsidR="00260120" w:rsidRPr="00260120">
        <w:rPr>
          <w:rFonts w:ascii="Arial" w:hAnsi="Arial" w:cs="Arial"/>
          <w:color w:val="auto"/>
          <w:sz w:val="20"/>
          <w:szCs w:val="20"/>
          <w:lang w:val="en-GB"/>
        </w:rPr>
        <w:t xml:space="preserve"> </w:t>
      </w:r>
      <w:r w:rsidR="00986775">
        <w:rPr>
          <w:rFonts w:ascii="Arial" w:hAnsi="Arial" w:cs="Arial"/>
          <w:color w:val="auto"/>
          <w:sz w:val="20"/>
          <w:szCs w:val="20"/>
          <w:lang w:val="en-GB"/>
        </w:rPr>
        <w:t>constraints</w:t>
      </w:r>
      <w:r>
        <w:rPr>
          <w:rFonts w:ascii="Arial" w:hAnsi="Arial" w:cs="Arial"/>
          <w:color w:val="auto"/>
          <w:sz w:val="20"/>
          <w:szCs w:val="20"/>
          <w:lang w:val="en-GB"/>
        </w:rPr>
        <w:t>,</w:t>
      </w:r>
      <w:r w:rsidR="00986775">
        <w:rPr>
          <w:rFonts w:ascii="Arial" w:hAnsi="Arial" w:cs="Arial"/>
          <w:color w:val="auto"/>
          <w:sz w:val="20"/>
          <w:szCs w:val="20"/>
          <w:lang w:val="en-GB"/>
        </w:rPr>
        <w:t xml:space="preserve"> more specifically the </w:t>
      </w:r>
      <w:r>
        <w:rPr>
          <w:rFonts w:ascii="Arial" w:hAnsi="Arial" w:cs="Arial"/>
          <w:color w:val="auto"/>
          <w:sz w:val="20"/>
          <w:szCs w:val="20"/>
          <w:lang w:val="en-GB"/>
        </w:rPr>
        <w:t xml:space="preserve">lack </w:t>
      </w:r>
      <w:r w:rsidR="00260120" w:rsidRPr="00260120">
        <w:rPr>
          <w:rFonts w:ascii="Arial" w:hAnsi="Arial" w:cs="Arial"/>
          <w:color w:val="auto"/>
          <w:sz w:val="20"/>
          <w:szCs w:val="20"/>
          <w:lang w:val="en-GB"/>
        </w:rPr>
        <w:t>of publicly available</w:t>
      </w:r>
      <w:r>
        <w:rPr>
          <w:rFonts w:ascii="Arial" w:hAnsi="Arial" w:cs="Arial"/>
          <w:color w:val="auto"/>
          <w:sz w:val="20"/>
          <w:szCs w:val="20"/>
          <w:lang w:val="en-GB"/>
        </w:rPr>
        <w:t>,</w:t>
      </w:r>
      <w:r w:rsidR="00260120" w:rsidRPr="00260120">
        <w:rPr>
          <w:rFonts w:ascii="Arial" w:hAnsi="Arial" w:cs="Arial"/>
          <w:color w:val="auto"/>
          <w:sz w:val="20"/>
          <w:szCs w:val="20"/>
          <w:lang w:val="en-GB"/>
        </w:rPr>
        <w:t xml:space="preserve"> </w:t>
      </w:r>
      <w:r>
        <w:rPr>
          <w:rFonts w:ascii="Arial" w:hAnsi="Arial" w:cs="Arial"/>
          <w:color w:val="auto"/>
          <w:sz w:val="20"/>
          <w:szCs w:val="20"/>
          <w:lang w:val="en-GB"/>
        </w:rPr>
        <w:t xml:space="preserve">standardised, consistent and up-to-date information </w:t>
      </w:r>
      <w:r w:rsidR="00260120" w:rsidRPr="00260120">
        <w:rPr>
          <w:rFonts w:ascii="Arial" w:hAnsi="Arial" w:cs="Arial"/>
          <w:color w:val="auto"/>
          <w:sz w:val="20"/>
          <w:szCs w:val="20"/>
          <w:lang w:val="en-GB"/>
        </w:rPr>
        <w:t>on companies remains</w:t>
      </w:r>
      <w:r>
        <w:rPr>
          <w:rFonts w:ascii="Arial" w:hAnsi="Arial" w:cs="Arial"/>
          <w:color w:val="auto"/>
          <w:sz w:val="20"/>
          <w:szCs w:val="20"/>
          <w:lang w:val="en-GB"/>
        </w:rPr>
        <w:t xml:space="preserve"> one of the biggest challenges </w:t>
      </w:r>
      <w:r w:rsidR="00260120" w:rsidRPr="00260120">
        <w:rPr>
          <w:rFonts w:ascii="Arial" w:hAnsi="Arial" w:cs="Arial"/>
          <w:color w:val="auto"/>
          <w:sz w:val="20"/>
          <w:szCs w:val="20"/>
          <w:lang w:val="en-GB"/>
        </w:rPr>
        <w:t xml:space="preserve">to the mandatory reporting </w:t>
      </w:r>
      <w:r>
        <w:rPr>
          <w:rFonts w:ascii="Arial" w:hAnsi="Arial" w:cs="Arial"/>
          <w:color w:val="auto"/>
          <w:sz w:val="20"/>
          <w:szCs w:val="20"/>
          <w:lang w:val="en-GB"/>
        </w:rPr>
        <w:t>of</w:t>
      </w:r>
      <w:r w:rsidR="00260120" w:rsidRPr="00260120">
        <w:rPr>
          <w:rFonts w:ascii="Arial" w:hAnsi="Arial" w:cs="Arial"/>
          <w:color w:val="auto"/>
          <w:sz w:val="20"/>
          <w:szCs w:val="20"/>
          <w:lang w:val="en-GB"/>
        </w:rPr>
        <w:t xml:space="preserve"> the proposed </w:t>
      </w:r>
      <w:r>
        <w:rPr>
          <w:rFonts w:ascii="Arial" w:hAnsi="Arial" w:cs="Arial"/>
          <w:color w:val="auto"/>
          <w:sz w:val="20"/>
          <w:szCs w:val="20"/>
          <w:lang w:val="en-GB"/>
        </w:rPr>
        <w:t xml:space="preserve">ESAs </w:t>
      </w:r>
      <w:r w:rsidR="00260120" w:rsidRPr="00260120">
        <w:rPr>
          <w:rFonts w:ascii="Arial" w:hAnsi="Arial" w:cs="Arial"/>
          <w:color w:val="auto"/>
          <w:sz w:val="20"/>
          <w:szCs w:val="20"/>
          <w:lang w:val="en-GB"/>
        </w:rPr>
        <w:t>indicators</w:t>
      </w:r>
      <w:r>
        <w:rPr>
          <w:rFonts w:ascii="Arial" w:hAnsi="Arial" w:cs="Arial"/>
          <w:color w:val="auto"/>
          <w:sz w:val="20"/>
          <w:szCs w:val="20"/>
          <w:lang w:val="en-GB"/>
        </w:rPr>
        <w:t xml:space="preserve">. </w:t>
      </w:r>
      <w:r w:rsidR="00260120" w:rsidRPr="00260120">
        <w:rPr>
          <w:rFonts w:ascii="Arial" w:hAnsi="Arial" w:cs="Arial"/>
          <w:color w:val="auto"/>
          <w:sz w:val="20"/>
          <w:szCs w:val="20"/>
          <w:lang w:val="en-GB"/>
        </w:rPr>
        <w:t xml:space="preserve">The revision of the NFRD and the establishment of an EU-wide public ESG database </w:t>
      </w:r>
      <w:r>
        <w:rPr>
          <w:rFonts w:ascii="Arial" w:hAnsi="Arial" w:cs="Arial"/>
          <w:color w:val="auto"/>
          <w:sz w:val="20"/>
          <w:szCs w:val="20"/>
          <w:lang w:val="en-GB"/>
        </w:rPr>
        <w:t>should</w:t>
      </w:r>
      <w:r w:rsidR="00260120" w:rsidRPr="00260120">
        <w:rPr>
          <w:rFonts w:ascii="Arial" w:hAnsi="Arial" w:cs="Arial"/>
          <w:color w:val="auto"/>
          <w:sz w:val="20"/>
          <w:szCs w:val="20"/>
          <w:lang w:val="en-GB"/>
        </w:rPr>
        <w:t xml:space="preserve"> facilitate</w:t>
      </w:r>
      <w:r>
        <w:rPr>
          <w:rFonts w:ascii="Arial" w:hAnsi="Arial" w:cs="Arial"/>
          <w:color w:val="auto"/>
          <w:sz w:val="20"/>
          <w:szCs w:val="20"/>
          <w:lang w:val="en-GB"/>
        </w:rPr>
        <w:t xml:space="preserve"> access to ESG data.</w:t>
      </w:r>
      <w:r w:rsidR="00260120" w:rsidRPr="00260120">
        <w:rPr>
          <w:rFonts w:ascii="Arial" w:hAnsi="Arial" w:cs="Arial"/>
          <w:color w:val="auto"/>
          <w:sz w:val="20"/>
          <w:szCs w:val="20"/>
          <w:lang w:val="en-GB"/>
        </w:rPr>
        <w:t xml:space="preserve"> </w:t>
      </w:r>
    </w:p>
    <w:p w14:paraId="365C759E" w14:textId="7F258A3A" w:rsidR="00EC00ED" w:rsidRDefault="00EC00ED" w:rsidP="00B327E9">
      <w:r w:rsidRPr="00F96900">
        <w:rPr>
          <w:rFonts w:cs="Arial"/>
          <w:szCs w:val="20"/>
        </w:rPr>
        <w:t>This document contains EDW’s responses to the 27 questions</w:t>
      </w:r>
      <w:r w:rsidR="00B31C9C" w:rsidRPr="00F96900">
        <w:rPr>
          <w:rFonts w:cs="Arial"/>
          <w:szCs w:val="20"/>
        </w:rPr>
        <w:t xml:space="preserve"> related to the draft RTS within this Consultation Paper.</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41376324" w:rsidR="003E573C" w:rsidRDefault="00B31C9C" w:rsidP="003E573C">
      <w:pPr>
        <w:rPr>
          <w:rFonts w:cs="Arial"/>
        </w:rPr>
      </w:pPr>
      <w:permStart w:id="1221819945" w:edGrp="everyone"/>
      <w:r>
        <w:rPr>
          <w:rFonts w:cs="Arial"/>
        </w:rPr>
        <w:t xml:space="preserve">In </w:t>
      </w:r>
      <w:proofErr w:type="gramStart"/>
      <w:r>
        <w:rPr>
          <w:rFonts w:cs="Arial"/>
        </w:rPr>
        <w:t>general</w:t>
      </w:r>
      <w:proofErr w:type="gramEnd"/>
      <w:r>
        <w:rPr>
          <w:rFonts w:cs="Arial"/>
        </w:rPr>
        <w:t xml:space="preserve"> EDW agrees with the proposed approach set out </w:t>
      </w:r>
      <w:r w:rsidR="004E1661">
        <w:rPr>
          <w:rFonts w:cs="Arial"/>
        </w:rPr>
        <w:t>in</w:t>
      </w:r>
      <w:r>
        <w:rPr>
          <w:rFonts w:cs="Arial"/>
        </w:rPr>
        <w:t xml:space="preserve"> Chapter II and Annex I related to the transparency of adverse sustainability impacts. EDW supports the use of a mix of mandatory and optional indicators </w:t>
      </w:r>
      <w:r w:rsidR="005628E8">
        <w:rPr>
          <w:rFonts w:cs="Arial"/>
        </w:rPr>
        <w:t xml:space="preserve">for adverse impact reporting. </w:t>
      </w:r>
      <w:r w:rsidR="004E1661">
        <w:rPr>
          <w:rFonts w:cs="Arial"/>
        </w:rPr>
        <w:t>EDW agrees with the ESAs that t</w:t>
      </w:r>
      <w:r w:rsidR="005628E8">
        <w:rPr>
          <w:rFonts w:cs="Arial"/>
        </w:rPr>
        <w:t xml:space="preserve">his approach </w:t>
      </w:r>
      <w:r w:rsidR="004E1661">
        <w:rPr>
          <w:rFonts w:cs="Arial"/>
        </w:rPr>
        <w:t>strikes the right balance between the need for a harmonised regime and the ability to implement new rules.</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27A095F7" w:rsidR="003E573C" w:rsidRDefault="004E1661" w:rsidP="003E573C">
      <w:pPr>
        <w:rPr>
          <w:rFonts w:cs="Arial"/>
        </w:rPr>
      </w:pPr>
      <w:permStart w:id="729947415" w:edGrp="everyone"/>
      <w:r>
        <w:rPr>
          <w:rFonts w:cs="Arial"/>
        </w:rPr>
        <w:t xml:space="preserve">EDW believes that the approach set out in Chapter II and Annex I </w:t>
      </w:r>
      <w:proofErr w:type="gramStart"/>
      <w:r>
        <w:rPr>
          <w:rFonts w:cs="Arial"/>
        </w:rPr>
        <w:t>takes</w:t>
      </w:r>
      <w:proofErr w:type="gramEnd"/>
      <w:r>
        <w:rPr>
          <w:rFonts w:cs="Arial"/>
        </w:rPr>
        <w:t xml:space="preserve"> sufficiently into account the size, nature, and scale of financial market participants activities and the type of products they make available.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0D721CA3" w:rsidR="003E573C" w:rsidRDefault="008508FD"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2B9C747E" w:rsidR="003E573C" w:rsidRDefault="00EA6C05" w:rsidP="003E573C">
      <w:pPr>
        <w:rPr>
          <w:rFonts w:cs="Arial"/>
        </w:rPr>
      </w:pPr>
      <w:permStart w:id="1220688604" w:edGrp="everyone"/>
      <w:r>
        <w:rPr>
          <w:rFonts w:cs="Arial"/>
        </w:rPr>
        <w:t xml:space="preserve">EDW believes that the reporting template in Table 1 of Annex </w:t>
      </w:r>
      <w:r w:rsidR="008508FD">
        <w:rPr>
          <w:rFonts w:cs="Arial"/>
        </w:rPr>
        <w:t>I</w:t>
      </w:r>
      <w:r>
        <w:rPr>
          <w:rFonts w:cs="Arial"/>
        </w:rPr>
        <w:t xml:space="preserve"> </w:t>
      </w:r>
      <w:r w:rsidR="00C406B3">
        <w:rPr>
          <w:rFonts w:cs="Arial"/>
        </w:rPr>
        <w:t xml:space="preserve">is well structured. </w:t>
      </w:r>
      <w:r w:rsidR="004E45F7">
        <w:rPr>
          <w:rFonts w:cs="Arial"/>
        </w:rPr>
        <w:t xml:space="preserve">It includes a comprehensive list of </w:t>
      </w:r>
      <w:r w:rsidR="00C406B3">
        <w:rPr>
          <w:rFonts w:cs="Arial"/>
        </w:rPr>
        <w:t>adverse sustainability indicators.</w:t>
      </w:r>
      <w:r w:rsidR="004E1E43">
        <w:rPr>
          <w:rFonts w:cs="Arial"/>
        </w:rPr>
        <w:t xml:space="preserve"> It has a clear split between the climate and other environment-related indicators and the indicators on social and employee, respect for human rights, anti-corruption and anti-bribery matters.</w:t>
      </w:r>
      <w:r w:rsidR="004E45F7">
        <w:rPr>
          <w:rFonts w:cs="Arial"/>
        </w:rPr>
        <w:t xml:space="preserve"> It a</w:t>
      </w:r>
      <w:r w:rsidR="004E1E43">
        <w:rPr>
          <w:rFonts w:cs="Arial"/>
        </w:rPr>
        <w:t>lso has additional empty fields to insert the relevant indicators from the tables 2 and 3.</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04CEF687" w:rsidR="003E573C" w:rsidRDefault="00B903F5" w:rsidP="00B903F5">
      <w:pPr>
        <w:rPr>
          <w:rFonts w:cs="Arial"/>
        </w:rPr>
      </w:pPr>
      <w:permStart w:id="209390932" w:edGrp="everyone"/>
      <w:r>
        <w:rPr>
          <w:rFonts w:cs="Arial"/>
        </w:rPr>
        <w:t>In principle, EDW agrees with the indicators proposed by the ESAs. However, as also stated in the</w:t>
      </w:r>
      <w:r w:rsidR="00267C42">
        <w:rPr>
          <w:rFonts w:cs="Arial"/>
        </w:rPr>
        <w:t xml:space="preserve"> ESAs impact assessment,</w:t>
      </w:r>
      <w:r>
        <w:rPr>
          <w:rFonts w:cs="Arial"/>
        </w:rPr>
        <w:t xml:space="preserve"> the proposed m</w:t>
      </w:r>
      <w:r w:rsidRPr="00B903F5">
        <w:rPr>
          <w:rFonts w:cs="Arial"/>
        </w:rPr>
        <w:t xml:space="preserve">andatory indicators </w:t>
      </w:r>
      <w:r>
        <w:rPr>
          <w:rFonts w:cs="Arial"/>
        </w:rPr>
        <w:t>may not be</w:t>
      </w:r>
      <w:r w:rsidRPr="00B903F5">
        <w:rPr>
          <w:rFonts w:cs="Arial"/>
        </w:rPr>
        <w:t xml:space="preserve"> relevant for</w:t>
      </w:r>
      <w:r>
        <w:rPr>
          <w:rFonts w:cs="Arial"/>
        </w:rPr>
        <w:t xml:space="preserve"> </w:t>
      </w:r>
      <w:r w:rsidRPr="00B903F5">
        <w:rPr>
          <w:rFonts w:cs="Arial"/>
        </w:rPr>
        <w:t>all financial market participants</w:t>
      </w:r>
      <w:r w:rsidR="00267C42">
        <w:rPr>
          <w:rFonts w:cs="Arial"/>
        </w:rPr>
        <w:t>.</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 xml:space="preserve">In addition to the proposed indicators on carbon emissions in Annex I, do you see merit in also requesting a) a relative measure of carbon emissions relative to the EU 2030 climate and energy </w:t>
      </w:r>
      <w:r w:rsidR="002A73F1" w:rsidRPr="002A73F1">
        <w:lastRenderedPageBreak/>
        <w:t>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656CD2CE" w:rsidR="003E573C" w:rsidRPr="00260120" w:rsidRDefault="00502142" w:rsidP="003E573C">
      <w:pPr>
        <w:rPr>
          <w:rFonts w:cs="Arial"/>
        </w:rPr>
      </w:pPr>
      <w:permStart w:id="418122716" w:edGrp="everyone"/>
      <w:r>
        <w:rPr>
          <w:rFonts w:cs="Arial"/>
          <w:lang w:val="en-US"/>
        </w:rPr>
        <w:t xml:space="preserve">EDW believes that any additional requirements could be introduced at a later point once the financial market participants become familiar with the </w:t>
      </w:r>
      <w:r w:rsidR="006D2A92">
        <w:rPr>
          <w:rFonts w:cs="Arial"/>
          <w:lang w:val="en-US"/>
        </w:rPr>
        <w:t>originally</w:t>
      </w:r>
      <w:r>
        <w:rPr>
          <w:rFonts w:cs="Arial"/>
          <w:lang w:val="en-US"/>
        </w:rPr>
        <w:t xml:space="preserve"> proposed </w:t>
      </w:r>
      <w:r w:rsidR="006D2A92">
        <w:rPr>
          <w:rFonts w:cs="Arial"/>
          <w:lang w:val="en-US"/>
        </w:rPr>
        <w:t xml:space="preserve">SFDR </w:t>
      </w:r>
      <w:r>
        <w:rPr>
          <w:rFonts w:cs="Arial"/>
          <w:lang w:val="en-US"/>
        </w:rPr>
        <w:t>reporting requirements</w:t>
      </w:r>
      <w:r w:rsidR="006D2A92">
        <w:rPr>
          <w:rFonts w:cs="Arial"/>
          <w:lang w:val="en-US"/>
        </w:rPr>
        <w:t>.</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30104785" w:rsidR="003E573C" w:rsidRDefault="00502142" w:rsidP="003E573C">
      <w:pPr>
        <w:rPr>
          <w:rFonts w:cs="Arial"/>
        </w:rPr>
      </w:pPr>
      <w:permStart w:id="569465455" w:edGrp="everyone"/>
      <w:r>
        <w:rPr>
          <w:rFonts w:cs="Arial"/>
        </w:rPr>
        <w:t>EDW generally agrees with the ESAs proposed requirement</w:t>
      </w:r>
      <w:r w:rsidR="006D2A92">
        <w:rPr>
          <w:rFonts w:cs="Arial"/>
        </w:rPr>
        <w:t>s considering that these metrics are considered meaningful for the investors and do not lead to any duplication of effort of the financial market participants.</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0E0FF6A5" w:rsidR="003E573C" w:rsidRDefault="00091D42" w:rsidP="003E573C">
      <w:pPr>
        <w:rPr>
          <w:rFonts w:cs="Arial"/>
        </w:rPr>
      </w:pPr>
      <w:permStart w:id="1713528049" w:edGrp="everyone"/>
      <w:r>
        <w:rPr>
          <w:rFonts w:cs="Arial"/>
        </w:rPr>
        <w:t>In line with the response to question 6, EDW is of the opinion that any advanced indicators could be introduced gradually once the financial market participants have been used to the originally proposed indicators. An important consideration for the introduction of any advanced indicators should be the availability of the data unless the advanced indicators would be optional.</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5A63E16E" w:rsidR="003E573C" w:rsidRDefault="004E5DE5" w:rsidP="003E573C">
      <w:pPr>
        <w:rPr>
          <w:rFonts w:cs="Arial"/>
        </w:rPr>
      </w:pPr>
      <w:permStart w:id="221670941" w:edGrp="everyone"/>
      <w:r>
        <w:rPr>
          <w:rFonts w:cs="Arial"/>
        </w:rPr>
        <w:t>Generally, EDW agrees with the ESAs approach to deliver indicators for social and employee matters, respect for human rights, anti-corruption and anti-bribery matters at the same time as the environmental indicators as referred to in Article 4 (6) and (7) of the SFDR. As also mentioned in Question 8, data availability</w:t>
      </w:r>
      <w:r w:rsidR="0061613F">
        <w:rPr>
          <w:rFonts w:cs="Arial"/>
        </w:rPr>
        <w:t xml:space="preserve"> is a prerequisite for the financial market participants to be able to comply with these disclosure requirements</w:t>
      </w:r>
      <w:r>
        <w:rPr>
          <w:rFonts w:cs="Arial"/>
        </w:rPr>
        <w:t>.</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2"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2"/>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52775420" w:rsidR="003E573C" w:rsidRDefault="0061613F" w:rsidP="003E573C">
      <w:pPr>
        <w:rPr>
          <w:rFonts w:cs="Arial"/>
        </w:rPr>
      </w:pPr>
      <w:permStart w:id="610013876" w:edGrp="everyone"/>
      <w:r>
        <w:rPr>
          <w:rFonts w:cs="Arial"/>
        </w:rPr>
        <w:t xml:space="preserve">In principle, EDW agrees with the historical comparison if the ESAs </w:t>
      </w:r>
      <w:r w:rsidR="00F04ADE">
        <w:rPr>
          <w:rFonts w:cs="Arial"/>
        </w:rPr>
        <w:t xml:space="preserve">believe that this information is meaningful for the investors. </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lastRenderedPageBreak/>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176578FB" w14:textId="0FE15AB1" w:rsidR="00F04ADE" w:rsidRDefault="00F04ADE" w:rsidP="003E573C">
      <w:pPr>
        <w:rPr>
          <w:rFonts w:cs="Arial"/>
        </w:rPr>
      </w:pPr>
      <w:permStart w:id="790175202" w:edGrp="everyone"/>
      <w:r>
        <w:rPr>
          <w:rFonts w:cs="Arial"/>
        </w:rPr>
        <w:t xml:space="preserve">EDW agrees with the ESAs proposal to harmonise the methodology and </w:t>
      </w:r>
      <w:r w:rsidR="00F52F96">
        <w:rPr>
          <w:rFonts w:cs="Arial"/>
        </w:rPr>
        <w:t xml:space="preserve">the </w:t>
      </w:r>
      <w:r>
        <w:rPr>
          <w:rFonts w:cs="Arial"/>
        </w:rPr>
        <w:t>timing of</w:t>
      </w:r>
      <w:r w:rsidR="00F52F96">
        <w:rPr>
          <w:rFonts w:cs="Arial"/>
        </w:rPr>
        <w:t xml:space="preserve"> the principal adverse impact</w:t>
      </w:r>
      <w:r>
        <w:rPr>
          <w:rFonts w:cs="Arial"/>
        </w:rPr>
        <w:t xml:space="preserve"> reporting across the reference period in order to mitigate the risk of “window dressing”.</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3E1BCBD9" w:rsidR="003E573C" w:rsidRDefault="00F52F96" w:rsidP="003E573C">
      <w:pPr>
        <w:rPr>
          <w:rFonts w:cs="Arial"/>
        </w:rPr>
      </w:pPr>
      <w:permStart w:id="800330460" w:edGrp="everyone"/>
      <w:r>
        <w:rPr>
          <w:rFonts w:cs="Arial"/>
        </w:rPr>
        <w:t xml:space="preserve">The development of mandatory pre-contractual and periodic disclosure templates for financial products would be beneficial for the end investors. </w:t>
      </w:r>
      <w:r w:rsidR="002A57C1">
        <w:rPr>
          <w:rFonts w:cs="Arial"/>
        </w:rPr>
        <w:t>These would not only enhance comparability but also mitigate the risk of “greenwashing”.</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2655DAA5" w:rsidR="003E573C" w:rsidRDefault="00965F41" w:rsidP="003E573C">
      <w:pPr>
        <w:rPr>
          <w:rFonts w:cs="Arial"/>
        </w:rPr>
      </w:pPr>
      <w:permStart w:id="1179406826" w:edGrp="everyone"/>
      <w:r>
        <w:rPr>
          <w:rFonts w:cs="Arial"/>
        </w:rPr>
        <w:t xml:space="preserve">According to EDW, </w:t>
      </w:r>
      <w:proofErr w:type="gramStart"/>
      <w:r>
        <w:rPr>
          <w:rFonts w:cs="Arial"/>
        </w:rPr>
        <w:t>i</w:t>
      </w:r>
      <w:r w:rsidR="005E4D2A">
        <w:rPr>
          <w:rFonts w:cs="Arial"/>
        </w:rPr>
        <w:t>n order for</w:t>
      </w:r>
      <w:proofErr w:type="gramEnd"/>
      <w:r w:rsidR="005E4D2A">
        <w:rPr>
          <w:rFonts w:cs="Arial"/>
        </w:rPr>
        <w:t xml:space="preserve"> the information to be comparable</w:t>
      </w:r>
      <w:r>
        <w:rPr>
          <w:rFonts w:cs="Arial"/>
        </w:rPr>
        <w:t>,</w:t>
      </w:r>
      <w:r w:rsidR="005E4D2A">
        <w:rPr>
          <w:rFonts w:cs="Arial"/>
        </w:rPr>
        <w:t xml:space="preserve"> a set of standardised templates with harmonised definitions should be developed by the ESAs</w:t>
      </w:r>
      <w:r>
        <w:rPr>
          <w:rFonts w:cs="Arial"/>
        </w:rPr>
        <w:t>. This would also ensure</w:t>
      </w:r>
      <w:r w:rsidR="005E4D2A">
        <w:rPr>
          <w:rFonts w:cs="Arial"/>
        </w:rPr>
        <w:t xml:space="preserve"> the consistency of the disclosed </w:t>
      </w:r>
      <w:r w:rsidR="00081B12">
        <w:rPr>
          <w:rFonts w:cs="Arial"/>
        </w:rPr>
        <w:t>information.</w:t>
      </w:r>
      <w:r w:rsidR="005E282F">
        <w:rPr>
          <w:rFonts w:cs="Arial"/>
        </w:rPr>
        <w:t xml:space="preserve"> From a technical point of view, i</w:t>
      </w:r>
      <w:r>
        <w:rPr>
          <w:rFonts w:cs="Arial"/>
        </w:rPr>
        <w:t xml:space="preserve">n terms </w:t>
      </w:r>
      <w:proofErr w:type="gramStart"/>
      <w:r>
        <w:rPr>
          <w:rFonts w:cs="Arial"/>
        </w:rPr>
        <w:t>of  format</w:t>
      </w:r>
      <w:proofErr w:type="gramEnd"/>
      <w:r>
        <w:rPr>
          <w:rFonts w:cs="Arial"/>
        </w:rPr>
        <w:t xml:space="preserve"> the XML that is commonly used for other regulatory reporting would be highly recommended. </w:t>
      </w:r>
      <w:r w:rsidR="005E4D2A">
        <w:rPr>
          <w:rFonts w:cs="Arial"/>
        </w:rPr>
        <w:t xml:space="preserve">The use of the standardised ‘No Data’ options </w:t>
      </w:r>
      <w:r w:rsidR="00081B12">
        <w:rPr>
          <w:rFonts w:cs="Arial"/>
        </w:rPr>
        <w:t xml:space="preserve">could be introduced to cater for the unavailability of the information This approach is in line with </w:t>
      </w:r>
      <w:r w:rsidR="005E4D2A">
        <w:rPr>
          <w:rFonts w:cs="Arial"/>
        </w:rPr>
        <w:t>the</w:t>
      </w:r>
      <w:r w:rsidR="00081B12">
        <w:rPr>
          <w:rFonts w:cs="Arial"/>
        </w:rPr>
        <w:t xml:space="preserve"> reporting requirements under the</w:t>
      </w:r>
      <w:r w:rsidR="005E4D2A">
        <w:rPr>
          <w:rFonts w:cs="Arial"/>
        </w:rPr>
        <w:t xml:space="preserve"> ECB ABS loan level </w:t>
      </w:r>
      <w:r w:rsidR="00081B12">
        <w:rPr>
          <w:rFonts w:cs="Arial"/>
        </w:rPr>
        <w:t>initiative and also adopted by ESMA for the disclosure requirements under the Securitisation Regulation (EU) 2017/2402</w:t>
      </w:r>
      <w:r w:rsidR="005E4D2A">
        <w:rPr>
          <w:rFonts w:cs="Arial"/>
        </w:rPr>
        <w:t>. An important precondition</w:t>
      </w:r>
      <w:r>
        <w:rPr>
          <w:rFonts w:cs="Arial"/>
        </w:rPr>
        <w:t xml:space="preserve"> </w:t>
      </w:r>
      <w:r w:rsidR="005E4D2A">
        <w:rPr>
          <w:rFonts w:cs="Arial"/>
        </w:rPr>
        <w:t>is the accessibility of the information. An EU</w:t>
      </w:r>
      <w:r>
        <w:rPr>
          <w:rFonts w:cs="Arial"/>
        </w:rPr>
        <w:t>-</w:t>
      </w:r>
      <w:r w:rsidR="005E4D2A">
        <w:rPr>
          <w:rFonts w:cs="Arial"/>
        </w:rPr>
        <w:t>wide centralised ESG register which is also proposed in the revision of the NFRD would facilitate the investors’ access to the relevant</w:t>
      </w:r>
      <w:r w:rsidR="00081B12">
        <w:rPr>
          <w:rFonts w:cs="Arial"/>
        </w:rPr>
        <w:t xml:space="preserve"> ESG</w:t>
      </w:r>
      <w:r w:rsidR="005E4D2A">
        <w:rPr>
          <w:rFonts w:cs="Arial"/>
        </w:rPr>
        <w:t xml:space="preserve"> information.</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692F7ED3" w:rsidR="003E573C" w:rsidRDefault="00F23719" w:rsidP="003E573C">
      <w:pPr>
        <w:rPr>
          <w:rFonts w:cs="Arial"/>
        </w:rPr>
      </w:pPr>
      <w:permStart w:id="1646396141" w:edGrp="everyone"/>
      <w:r>
        <w:rPr>
          <w:rFonts w:cs="Arial"/>
        </w:rPr>
        <w:t xml:space="preserve">EDW strongly supports the </w:t>
      </w:r>
      <w:r w:rsidR="001C71C9">
        <w:rPr>
          <w:rFonts w:cs="Arial"/>
        </w:rPr>
        <w:t>development of harmonised</w:t>
      </w:r>
      <w:r>
        <w:rPr>
          <w:rFonts w:cs="Arial"/>
        </w:rPr>
        <w:t xml:space="preserve"> reporting templates for the</w:t>
      </w:r>
      <w:r w:rsidR="001C71C9">
        <w:rPr>
          <w:rFonts w:cs="Arial"/>
        </w:rPr>
        <w:t xml:space="preserve"> pre-contractual and periodic product disclosure</w:t>
      </w:r>
      <w:r>
        <w:rPr>
          <w:rFonts w:cs="Arial"/>
        </w:rPr>
        <w:t xml:space="preserve"> to ensure comparability.</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05D7A37D" w:rsidR="003E573C" w:rsidRDefault="00E80FC5" w:rsidP="003E573C">
      <w:pPr>
        <w:rPr>
          <w:rFonts w:cs="Arial"/>
        </w:rPr>
      </w:pPr>
      <w:permStart w:id="1271138379" w:edGrp="everyone"/>
      <w:r>
        <w:rPr>
          <w:rFonts w:cs="Arial"/>
        </w:rPr>
        <w:lastRenderedPageBreak/>
        <w:t>EDW agrees</w:t>
      </w:r>
      <w:r w:rsidR="008F0B72">
        <w:rPr>
          <w:rFonts w:cs="Arial"/>
        </w:rPr>
        <w:t xml:space="preserve"> in principle</w:t>
      </w:r>
      <w:r>
        <w:rPr>
          <w:rFonts w:cs="Arial"/>
        </w:rPr>
        <w:t xml:space="preserve"> with the balance of information between pre-contractual and website information requirements. </w:t>
      </w:r>
      <w:r w:rsidR="00604B81">
        <w:rPr>
          <w:rFonts w:cs="Arial"/>
        </w:rPr>
        <w:t>With regards to the second part of this question, EDW believes that</w:t>
      </w:r>
      <w:r>
        <w:rPr>
          <w:rFonts w:cs="Arial"/>
        </w:rPr>
        <w:t xml:space="preserve"> the</w:t>
      </w:r>
      <w:r w:rsidR="00A05ABE">
        <w:rPr>
          <w:rFonts w:cs="Arial"/>
        </w:rPr>
        <w:t xml:space="preserve"> investors’ input</w:t>
      </w:r>
      <w:r w:rsidR="00604B81">
        <w:rPr>
          <w:rFonts w:cs="Arial"/>
        </w:rPr>
        <w:t xml:space="preserve"> would </w:t>
      </w:r>
      <w:r>
        <w:rPr>
          <w:rFonts w:cs="Arial"/>
        </w:rPr>
        <w:t xml:space="preserve">be </w:t>
      </w:r>
      <w:r w:rsidR="00604B81">
        <w:rPr>
          <w:rFonts w:cs="Arial"/>
        </w:rPr>
        <w:t>key for any items to be added or subtracted from the lists under Question 25 and 26.</w:t>
      </w:r>
      <w:r w:rsidR="001C71C9">
        <w:rPr>
          <w:rFonts w:cs="Arial"/>
        </w:rPr>
        <w:t xml:space="preserve"> </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4910E036" w:rsidR="003E573C" w:rsidRDefault="002F5BC6" w:rsidP="003E573C">
      <w:pPr>
        <w:rPr>
          <w:rFonts w:cs="Arial"/>
        </w:rPr>
      </w:pPr>
      <w:permStart w:id="739535953" w:edGrp="everyone"/>
      <w:r>
        <w:rPr>
          <w:rFonts w:cs="Arial"/>
        </w:rPr>
        <w:t xml:space="preserve">EDW believes that the </w:t>
      </w:r>
      <w:r w:rsidR="00D06F3A">
        <w:rPr>
          <w:rFonts w:cs="Arial"/>
        </w:rPr>
        <w:t>differences between the Articles 8 and 9 are sufficiently captured by the ESAs proposed provisions.</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385E722D" w:rsidR="003E573C" w:rsidRDefault="0026271D" w:rsidP="003E573C">
      <w:pPr>
        <w:rPr>
          <w:rFonts w:cs="Arial"/>
        </w:rPr>
      </w:pPr>
      <w:permStart w:id="225396737" w:edGrp="everyone"/>
      <w:r>
        <w:rPr>
          <w:rFonts w:cs="Arial"/>
        </w:rPr>
        <w:t>In EDW’s view, the ESAs proposed graphical and narrative descriptions of investment proportions sufficiently capture indirect investments.</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2D6BBD18" w:rsidR="003E573C" w:rsidRDefault="005F0D52" w:rsidP="003E573C">
      <w:pPr>
        <w:rPr>
          <w:rFonts w:cs="Arial"/>
        </w:rPr>
      </w:pPr>
      <w:permStart w:id="1687822303" w:edGrp="everyone"/>
      <w:r>
        <w:rPr>
          <w:rFonts w:cs="Arial"/>
        </w:rPr>
        <w:t xml:space="preserve">In EDW’s view, it would be advisable for the investors to provide their feedback on </w:t>
      </w:r>
      <w:proofErr w:type="gramStart"/>
      <w:r>
        <w:rPr>
          <w:rFonts w:cs="Arial"/>
        </w:rPr>
        <w:t>this questions</w:t>
      </w:r>
      <w:proofErr w:type="gramEnd"/>
      <w:r>
        <w:rPr>
          <w:rFonts w:cs="Arial"/>
        </w:rPr>
        <w:t>, as they are the end users of this information.</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5B510C76" w:rsidR="003E573C" w:rsidRDefault="005F0D52" w:rsidP="003E573C">
      <w:pPr>
        <w:rPr>
          <w:rFonts w:cs="Arial"/>
        </w:rPr>
      </w:pPr>
      <w:permStart w:id="669663577" w:edGrp="everyone"/>
      <w:r>
        <w:rPr>
          <w:rFonts w:cs="Arial"/>
        </w:rPr>
        <w:t>In principle EDW agrees with the disclosure of the exposure to solid fossil-fuel sectors. It would be more relevant for investors to propose any other sectors that should be captured in the same manner.</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43A89730" w:rsidR="003E573C" w:rsidRDefault="005F0D52" w:rsidP="003E573C">
      <w:pPr>
        <w:rPr>
          <w:rFonts w:cs="Arial"/>
        </w:rPr>
      </w:pPr>
      <w:permStart w:id="806708611" w:edGrp="everyone"/>
      <w:proofErr w:type="gramStart"/>
      <w:r>
        <w:rPr>
          <w:rFonts w:cs="Arial"/>
        </w:rPr>
        <w:t>Similar to</w:t>
      </w:r>
      <w:proofErr w:type="gramEnd"/>
      <w:r>
        <w:rPr>
          <w:rFonts w:cs="Arial"/>
        </w:rPr>
        <w:t xml:space="preserve"> EDW’s response to question 18 and 19, investors’ feedback on this question would be valuable.</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lastRenderedPageBreak/>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25A527A" w14:textId="55F04F78" w:rsidR="003E573C" w:rsidRDefault="003E573C" w:rsidP="003E573C">
      <w:pPr>
        <w:rPr>
          <w:rFonts w:cs="Arial"/>
        </w:rPr>
      </w:pPr>
      <w:permStart w:id="2245015" w:edGrp="everyone"/>
      <w:r>
        <w:rPr>
          <w:rFonts w:cs="Arial"/>
        </w:rPr>
        <w:t>E</w:t>
      </w:r>
      <w:r w:rsidR="00626BF3">
        <w:rPr>
          <w:rFonts w:cs="Arial"/>
        </w:rPr>
        <w:t xml:space="preserve">DW agrees </w:t>
      </w:r>
      <w:r w:rsidR="00F96900">
        <w:rPr>
          <w:rFonts w:cs="Arial"/>
        </w:rPr>
        <w:t xml:space="preserve">in principle </w:t>
      </w:r>
      <w:r w:rsidR="00626BF3">
        <w:rPr>
          <w:rFonts w:cs="Arial"/>
        </w:rPr>
        <w:t xml:space="preserve">with the ESAs approach to include </w:t>
      </w:r>
      <w:r w:rsidR="00F96900">
        <w:rPr>
          <w:rFonts w:cs="Arial"/>
        </w:rPr>
        <w:t xml:space="preserve">in the draft RTS </w:t>
      </w:r>
      <w:r w:rsidR="00626BF3">
        <w:rPr>
          <w:rFonts w:cs="Arial"/>
        </w:rPr>
        <w:t xml:space="preserve">governance elements in the disclosure requirements </w:t>
      </w:r>
      <w:r w:rsidR="00F96900">
        <w:rPr>
          <w:rFonts w:cs="Arial"/>
        </w:rPr>
        <w:t>of financial products with environmental or social characteristics or with a sustainable investment objective.</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228D90D3" w:rsidR="003E573C" w:rsidRDefault="004B766A" w:rsidP="003E573C">
      <w:pPr>
        <w:rPr>
          <w:rFonts w:cs="Arial"/>
        </w:rPr>
      </w:pPr>
      <w:permStart w:id="1182486711" w:edGrp="everyone"/>
      <w:r>
        <w:rPr>
          <w:rFonts w:cs="Arial"/>
        </w:rPr>
        <w:t>EDW is supportive of t</w:t>
      </w:r>
      <w:r w:rsidR="00C01B67">
        <w:rPr>
          <w:rFonts w:cs="Arial"/>
        </w:rPr>
        <w:t xml:space="preserve">he ESAs approach to align the </w:t>
      </w:r>
      <w:r>
        <w:rPr>
          <w:rFonts w:cs="Arial"/>
        </w:rPr>
        <w:t xml:space="preserve">“do not significantly harm” </w:t>
      </w:r>
      <w:r w:rsidR="00F520EA">
        <w:rPr>
          <w:rFonts w:cs="Arial"/>
        </w:rPr>
        <w:t>disclosure proposals</w:t>
      </w:r>
      <w:r>
        <w:rPr>
          <w:rFonts w:cs="Arial"/>
        </w:rPr>
        <w:t xml:space="preserve"> under the SFDR with the </w:t>
      </w:r>
      <w:r w:rsidR="00F520EA">
        <w:rPr>
          <w:rFonts w:cs="Arial"/>
        </w:rPr>
        <w:t xml:space="preserve">new ESAs empowerment under the </w:t>
      </w:r>
      <w:r>
        <w:rPr>
          <w:rFonts w:cs="Arial"/>
        </w:rPr>
        <w:t xml:space="preserve">EU Taxonomy Regulation. </w:t>
      </w:r>
      <w:r w:rsidR="00E56399">
        <w:rPr>
          <w:rFonts w:cs="Arial"/>
        </w:rPr>
        <w:t>EDW welcomes this</w:t>
      </w:r>
      <w:r>
        <w:rPr>
          <w:rFonts w:cs="Arial"/>
        </w:rPr>
        <w:t xml:space="preserve"> policy convergence</w:t>
      </w:r>
      <w:r w:rsidR="001B73BA">
        <w:rPr>
          <w:rFonts w:cs="Arial"/>
        </w:rPr>
        <w:t xml:space="preserve"> and t</w:t>
      </w:r>
      <w:r w:rsidR="00E56399">
        <w:rPr>
          <w:rFonts w:cs="Arial"/>
        </w:rPr>
        <w:t xml:space="preserve">he ESAs decision to include the “do not significantly harm” </w:t>
      </w:r>
      <w:r w:rsidR="004E5E2F">
        <w:rPr>
          <w:rFonts w:cs="Arial"/>
        </w:rPr>
        <w:t xml:space="preserve">disclosure </w:t>
      </w:r>
      <w:r w:rsidR="00E56399">
        <w:rPr>
          <w:rFonts w:cs="Arial"/>
        </w:rPr>
        <w:t>proposals</w:t>
      </w:r>
      <w:r w:rsidR="004E5E2F">
        <w:rPr>
          <w:rFonts w:cs="Arial"/>
        </w:rPr>
        <w:t xml:space="preserve"> under the taxonomy regulation in this consultation</w:t>
      </w:r>
      <w:r w:rsidR="001B73BA">
        <w:rPr>
          <w:rFonts w:cs="Arial"/>
        </w:rPr>
        <w:t>.</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1658A448" w:rsidR="003E573C" w:rsidRDefault="00DB19E9" w:rsidP="003E573C">
      <w:pPr>
        <w:rPr>
          <w:rFonts w:cs="Arial"/>
        </w:rPr>
      </w:pPr>
      <w:permStart w:id="1634935588" w:edGrp="everyone"/>
      <w:r>
        <w:rPr>
          <w:rFonts w:cs="Arial"/>
        </w:rPr>
        <w:t>In EDW’s opinion the view of the financial market participants and the investors would be very helpful for the ESAs to define widely used ESG investment strategies.</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12D488CB" w:rsidR="003E573C" w:rsidRDefault="000434BC" w:rsidP="003E573C">
      <w:pPr>
        <w:rPr>
          <w:rFonts w:cs="Arial"/>
        </w:rPr>
      </w:pPr>
      <w:permStart w:id="872961277" w:edGrp="everyone"/>
      <w:r>
        <w:rPr>
          <w:rFonts w:cs="Arial"/>
        </w:rPr>
        <w:t>In general, EDW agrees with the ESAs proposed approach in Articles 39 and 46 of the draft RTS on the disclosure of financial products’ top investments in periodic disclosures.</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lastRenderedPageBreak/>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BB775BF" w:rsidR="003E573C" w:rsidRDefault="00CA3656" w:rsidP="003E573C">
      <w:pPr>
        <w:rPr>
          <w:rFonts w:cs="Arial"/>
        </w:rPr>
      </w:pPr>
      <w:permStart w:id="374105505" w:edGrp="everyone"/>
      <w:r>
        <w:rPr>
          <w:rFonts w:cs="Arial"/>
        </w:rPr>
        <w:t>In EDW’s view, the financial market participant</w:t>
      </w:r>
      <w:r w:rsidR="003002EB">
        <w:rPr>
          <w:rFonts w:cs="Arial"/>
        </w:rPr>
        <w:t>s’</w:t>
      </w:r>
      <w:r>
        <w:rPr>
          <w:rFonts w:cs="Arial"/>
        </w:rPr>
        <w:t xml:space="preserve"> input would be key for</w:t>
      </w:r>
      <w:r w:rsidR="008B01C5">
        <w:rPr>
          <w:rFonts w:cs="Arial"/>
        </w:rPr>
        <w:t xml:space="preserve"> the decision of</w:t>
      </w:r>
      <w:r>
        <w:rPr>
          <w:rFonts w:cs="Arial"/>
        </w:rPr>
        <w:t xml:space="preserve"> whether these items should be included in the pre-contractual or website disclosures taking into consideration among others the frequency that this information changes.</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4B042226" w:rsidR="003E573C" w:rsidRDefault="008B01C5" w:rsidP="003E573C">
      <w:pPr>
        <w:rPr>
          <w:rFonts w:cs="Arial"/>
        </w:rPr>
      </w:pPr>
      <w:permStart w:id="624894902" w:edGrp="everyone"/>
      <w:r>
        <w:rPr>
          <w:rFonts w:cs="Arial"/>
        </w:rPr>
        <w:t>According to EDW, the feedback from the investors who are the end users of this information should determine where the information should be disclosed. If there is a need to include a separate section on information on how the use of derivatives meets each of the environmental or social characteristics or sustainable investment objectives or whether these should be integrated in this section with the graphical and narrative explanations of the investment proportions.</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5737D18C" w:rsidR="003E573C" w:rsidRDefault="003E573C" w:rsidP="003E573C">
      <w:pPr>
        <w:rPr>
          <w:rFonts w:cs="Arial"/>
        </w:rPr>
      </w:pPr>
      <w:permStart w:id="1007688109" w:edGrp="everyone"/>
      <w:r>
        <w:rPr>
          <w:rFonts w:cs="Arial"/>
        </w:rPr>
        <w:t>T</w:t>
      </w:r>
      <w:r w:rsidR="00C74500">
        <w:rPr>
          <w:rFonts w:cs="Arial"/>
        </w:rPr>
        <w:t xml:space="preserve">he ESAs impact assessment is very comprehensive. </w:t>
      </w:r>
      <w:r w:rsidR="00FC027E">
        <w:rPr>
          <w:rFonts w:cs="Arial"/>
        </w:rPr>
        <w:t>It is important that the ESAs</w:t>
      </w:r>
      <w:r w:rsidR="00C74500">
        <w:rPr>
          <w:rFonts w:cs="Arial"/>
        </w:rPr>
        <w:t xml:space="preserve"> acknowledge</w:t>
      </w:r>
      <w:r w:rsidR="00FC027E">
        <w:rPr>
          <w:rFonts w:cs="Arial"/>
        </w:rPr>
        <w:t xml:space="preserve"> that</w:t>
      </w:r>
      <w:r w:rsidR="00C74500">
        <w:rPr>
          <w:rFonts w:cs="Arial"/>
        </w:rPr>
        <w:t xml:space="preserve"> the data availability </w:t>
      </w:r>
      <w:r w:rsidR="00FC027E">
        <w:rPr>
          <w:rFonts w:cs="Arial"/>
        </w:rPr>
        <w:t>is</w:t>
      </w:r>
      <w:r w:rsidR="00C74500">
        <w:rPr>
          <w:rFonts w:cs="Arial"/>
        </w:rPr>
        <w:t xml:space="preserve"> one of the biggest challenges when it comes to the disclosure of the ESG information.</w:t>
      </w:r>
      <w:r w:rsidR="00FC027E">
        <w:rPr>
          <w:rFonts w:cs="Arial"/>
        </w:rPr>
        <w:t xml:space="preserve"> EDW is very supportive of t</w:t>
      </w:r>
      <w:r w:rsidR="00C74500">
        <w:rPr>
          <w:rFonts w:cs="Arial"/>
        </w:rPr>
        <w:t xml:space="preserve">he ESAs approach </w:t>
      </w:r>
      <w:r w:rsidR="00FC027E">
        <w:rPr>
          <w:rFonts w:cs="Arial"/>
        </w:rPr>
        <w:t xml:space="preserve">which aims </w:t>
      </w:r>
      <w:r w:rsidR="00C74500">
        <w:rPr>
          <w:rFonts w:cs="Arial"/>
        </w:rPr>
        <w:t>to strike the right balance between th</w:t>
      </w:r>
      <w:r w:rsidR="00FC027E">
        <w:rPr>
          <w:rFonts w:cs="Arial"/>
        </w:rPr>
        <w:t xml:space="preserve">e implementation costs </w:t>
      </w:r>
      <w:r w:rsidR="00C74500">
        <w:rPr>
          <w:rFonts w:cs="Arial"/>
        </w:rPr>
        <w:t xml:space="preserve">and the usefulness of the </w:t>
      </w:r>
      <w:r w:rsidR="00FC027E">
        <w:rPr>
          <w:rFonts w:cs="Arial"/>
        </w:rPr>
        <w:t>information to the end investors.</w:t>
      </w:r>
      <w:r w:rsidR="00C74500">
        <w:rPr>
          <w:rFonts w:cs="Arial"/>
        </w:rPr>
        <w:t xml:space="preserve"> </w:t>
      </w:r>
      <w:r w:rsidR="00FC027E">
        <w:rPr>
          <w:rFonts w:cs="Arial"/>
        </w:rPr>
        <w:t>Therefore</w:t>
      </w:r>
      <w:r w:rsidR="00DB19E9">
        <w:rPr>
          <w:rFonts w:cs="Arial"/>
        </w:rPr>
        <w:t>,</w:t>
      </w:r>
      <w:r w:rsidR="00FC027E">
        <w:rPr>
          <w:rFonts w:cs="Arial"/>
        </w:rPr>
        <w:t xml:space="preserve"> the feedback from the financial market participants, financial advisers and investors is key to ensure this.</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22B8F" w14:textId="77777777" w:rsidR="00992872" w:rsidRDefault="00992872">
      <w:r>
        <w:separator/>
      </w:r>
    </w:p>
    <w:p w14:paraId="775E116B" w14:textId="77777777" w:rsidR="00992872" w:rsidRDefault="00992872"/>
  </w:endnote>
  <w:endnote w:type="continuationSeparator" w:id="0">
    <w:p w14:paraId="1F293F57" w14:textId="77777777" w:rsidR="00992872" w:rsidRDefault="00992872">
      <w:r>
        <w:continuationSeparator/>
      </w:r>
    </w:p>
    <w:p w14:paraId="0C6FB0DE" w14:textId="77777777" w:rsidR="00992872" w:rsidRDefault="00992872"/>
  </w:endnote>
  <w:endnote w:type="continuationNotice" w:id="1">
    <w:p w14:paraId="58F065DF" w14:textId="77777777" w:rsidR="00992872" w:rsidRDefault="00992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5E4D2A" w:rsidRDefault="005E4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E4D2A" w:rsidRPr="00616B9B" w14:paraId="6A3CB0EF" w14:textId="77777777" w:rsidTr="00315E96">
      <w:trPr>
        <w:trHeight w:val="284"/>
      </w:trPr>
      <w:tc>
        <w:tcPr>
          <w:tcW w:w="8460" w:type="dxa"/>
        </w:tcPr>
        <w:p w14:paraId="6A3CB0ED" w14:textId="77777777" w:rsidR="005E4D2A" w:rsidRPr="00315E96" w:rsidRDefault="005E4D2A" w:rsidP="00315E96">
          <w:pPr>
            <w:pStyle w:val="00Footer"/>
            <w:rPr>
              <w:lang w:val="fr-FR"/>
            </w:rPr>
          </w:pPr>
        </w:p>
      </w:tc>
      <w:tc>
        <w:tcPr>
          <w:tcW w:w="952" w:type="dxa"/>
        </w:tcPr>
        <w:p w14:paraId="6A3CB0EE" w14:textId="23180CB7" w:rsidR="005E4D2A" w:rsidRPr="00616B9B" w:rsidRDefault="005E4D2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5E4D2A" w:rsidRDefault="005E4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5E4D2A" w:rsidRDefault="005E4D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5E4D2A" w:rsidRDefault="005E4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5615E" w14:textId="77777777" w:rsidR="00992872" w:rsidRDefault="00992872">
      <w:r>
        <w:separator/>
      </w:r>
    </w:p>
    <w:p w14:paraId="4AF521D3" w14:textId="77777777" w:rsidR="00992872" w:rsidRDefault="00992872"/>
  </w:footnote>
  <w:footnote w:type="continuationSeparator" w:id="0">
    <w:p w14:paraId="055306D0" w14:textId="77777777" w:rsidR="00992872" w:rsidRDefault="00992872">
      <w:r>
        <w:continuationSeparator/>
      </w:r>
    </w:p>
    <w:p w14:paraId="5D391654" w14:textId="77777777" w:rsidR="00992872" w:rsidRDefault="00992872"/>
  </w:footnote>
  <w:footnote w:type="continuationNotice" w:id="1">
    <w:p w14:paraId="7CD1762A" w14:textId="77777777" w:rsidR="00992872" w:rsidRDefault="00992872"/>
  </w:footnote>
  <w:footnote w:id="2">
    <w:p w14:paraId="52F26208" w14:textId="77777777" w:rsidR="005E4D2A" w:rsidRDefault="005E4D2A"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5E4D2A" w:rsidRDefault="005E4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5E4D2A" w:rsidRDefault="005E4D2A">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037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5E4D2A" w:rsidRDefault="005E4D2A"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5E4D2A" w:rsidRDefault="005E4D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E4D2A" w:rsidRPr="002F4496" w14:paraId="6A3CB0F5" w14:textId="77777777" w:rsidTr="000C06C9">
      <w:trPr>
        <w:trHeight w:val="284"/>
      </w:trPr>
      <w:tc>
        <w:tcPr>
          <w:tcW w:w="8460" w:type="dxa"/>
        </w:tcPr>
        <w:p w14:paraId="6A3CB0F3" w14:textId="77777777" w:rsidR="005E4D2A" w:rsidRPr="000C3B6D" w:rsidRDefault="005E4D2A" w:rsidP="000C06C9">
          <w:pPr>
            <w:pStyle w:val="00Footer"/>
            <w:rPr>
              <w:lang w:val="fr-FR"/>
            </w:rPr>
          </w:pPr>
        </w:p>
      </w:tc>
      <w:tc>
        <w:tcPr>
          <w:tcW w:w="952" w:type="dxa"/>
        </w:tcPr>
        <w:p w14:paraId="6A3CB0F4" w14:textId="77777777" w:rsidR="005E4D2A" w:rsidRPr="00146B34" w:rsidRDefault="005E4D2A" w:rsidP="000C06C9">
          <w:pPr>
            <w:pStyle w:val="00aPagenumber"/>
            <w:rPr>
              <w:lang w:val="fr-FR"/>
            </w:rPr>
          </w:pPr>
        </w:p>
      </w:tc>
    </w:tr>
  </w:tbl>
  <w:p w14:paraId="6A3CB0F6" w14:textId="77777777" w:rsidR="005E4D2A" w:rsidRPr="00DB46C3" w:rsidRDefault="005E4D2A">
    <w:pPr>
      <w:rPr>
        <w:lang w:val="fr-FR"/>
      </w:rPr>
    </w:pPr>
  </w:p>
  <w:p w14:paraId="6A3CB0F7" w14:textId="77777777" w:rsidR="005E4D2A" w:rsidRPr="002F4496" w:rsidRDefault="005E4D2A">
    <w:pPr>
      <w:pStyle w:val="Header"/>
      <w:rPr>
        <w:lang w:val="fr-FR"/>
      </w:rPr>
    </w:pPr>
  </w:p>
  <w:p w14:paraId="6A3CB0F8" w14:textId="77777777" w:rsidR="005E4D2A" w:rsidRPr="002F4496" w:rsidRDefault="005E4D2A" w:rsidP="000C06C9">
    <w:pPr>
      <w:pStyle w:val="Header"/>
      <w:tabs>
        <w:tab w:val="clear" w:pos="4536"/>
        <w:tab w:val="clear" w:pos="9072"/>
        <w:tab w:val="left" w:pos="8227"/>
      </w:tabs>
      <w:rPr>
        <w:lang w:val="fr-FR"/>
      </w:rPr>
    </w:pPr>
  </w:p>
  <w:p w14:paraId="6A3CB0F9" w14:textId="77777777" w:rsidR="005E4D2A" w:rsidRPr="002F4496" w:rsidRDefault="005E4D2A" w:rsidP="000C06C9">
    <w:pPr>
      <w:pStyle w:val="Header"/>
      <w:tabs>
        <w:tab w:val="clear" w:pos="4536"/>
        <w:tab w:val="clear" w:pos="9072"/>
        <w:tab w:val="left" w:pos="8227"/>
      </w:tabs>
      <w:rPr>
        <w:lang w:val="fr-FR"/>
      </w:rPr>
    </w:pPr>
  </w:p>
  <w:p w14:paraId="6A3CB0FA" w14:textId="77777777" w:rsidR="005E4D2A" w:rsidRPr="002F4496" w:rsidRDefault="005E4D2A">
    <w:pPr>
      <w:pStyle w:val="Header"/>
      <w:rPr>
        <w:lang w:val="fr-FR"/>
      </w:rPr>
    </w:pPr>
  </w:p>
  <w:p w14:paraId="6A3CB0FB" w14:textId="77777777" w:rsidR="005E4D2A" w:rsidRPr="002F4496" w:rsidRDefault="005E4D2A">
    <w:pPr>
      <w:pStyle w:val="Header"/>
      <w:rPr>
        <w:lang w:val="fr-FR"/>
      </w:rPr>
    </w:pPr>
  </w:p>
  <w:p w14:paraId="6A3CB0FC" w14:textId="77777777" w:rsidR="005E4D2A" w:rsidRPr="002F4496" w:rsidRDefault="005E4D2A">
    <w:pPr>
      <w:pStyle w:val="Header"/>
      <w:rPr>
        <w:lang w:val="fr-FR"/>
      </w:rPr>
    </w:pPr>
  </w:p>
  <w:p w14:paraId="6A3CB0FD" w14:textId="77777777" w:rsidR="005E4D2A" w:rsidRPr="002F4496" w:rsidRDefault="005E4D2A">
    <w:pPr>
      <w:pStyle w:val="Header"/>
      <w:rPr>
        <w:lang w:val="fr-FR"/>
      </w:rPr>
    </w:pPr>
  </w:p>
  <w:p w14:paraId="6A3CB0FE" w14:textId="77777777" w:rsidR="005E4D2A" w:rsidRPr="002F4496" w:rsidRDefault="005E4D2A">
    <w:pPr>
      <w:pStyle w:val="Header"/>
      <w:rPr>
        <w:highlight w:val="yellow"/>
        <w:lang w:val="fr-FR"/>
      </w:rPr>
    </w:pPr>
  </w:p>
  <w:p w14:paraId="6A3CB0FF" w14:textId="05D5FF53" w:rsidR="005E4D2A" w:rsidRDefault="005E4D2A">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0DD1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2"/>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8"/>
  </w:num>
  <w:num w:numId="29">
    <w:abstractNumId w:val="6"/>
  </w:num>
  <w:num w:numId="30">
    <w:abstractNumId w:val="3"/>
  </w:num>
  <w:num w:numId="31">
    <w:abstractNumId w:val="26"/>
  </w:num>
  <w:num w:numId="32">
    <w:abstractNumId w:val="24"/>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0"/>
  </w:num>
  <w:num w:numId="49">
    <w:abstractNumId w:val="25"/>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B2F"/>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4BC"/>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B12"/>
    <w:rsid w:val="00081CEB"/>
    <w:rsid w:val="00081E60"/>
    <w:rsid w:val="00082626"/>
    <w:rsid w:val="00082D8E"/>
    <w:rsid w:val="00082E31"/>
    <w:rsid w:val="00083AA3"/>
    <w:rsid w:val="00085947"/>
    <w:rsid w:val="000868FE"/>
    <w:rsid w:val="000878D1"/>
    <w:rsid w:val="00091D42"/>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002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B73BA"/>
    <w:rsid w:val="001C0344"/>
    <w:rsid w:val="001C0F2A"/>
    <w:rsid w:val="001C16BA"/>
    <w:rsid w:val="001C1A59"/>
    <w:rsid w:val="001C240F"/>
    <w:rsid w:val="001C270F"/>
    <w:rsid w:val="001C4679"/>
    <w:rsid w:val="001C5770"/>
    <w:rsid w:val="001C6195"/>
    <w:rsid w:val="001C71C9"/>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120"/>
    <w:rsid w:val="00261D56"/>
    <w:rsid w:val="00261FD3"/>
    <w:rsid w:val="0026271D"/>
    <w:rsid w:val="00264077"/>
    <w:rsid w:val="00266B9A"/>
    <w:rsid w:val="00267C42"/>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57C1"/>
    <w:rsid w:val="002A73F1"/>
    <w:rsid w:val="002B1FEF"/>
    <w:rsid w:val="002B2DF8"/>
    <w:rsid w:val="002B354F"/>
    <w:rsid w:val="002B3614"/>
    <w:rsid w:val="002B45D1"/>
    <w:rsid w:val="002B4ED8"/>
    <w:rsid w:val="002B4FAA"/>
    <w:rsid w:val="002B52C2"/>
    <w:rsid w:val="002B7656"/>
    <w:rsid w:val="002C1492"/>
    <w:rsid w:val="002C1E8B"/>
    <w:rsid w:val="002C2B4E"/>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2F5BC6"/>
    <w:rsid w:val="003002EB"/>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73E"/>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31BE"/>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B766A"/>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661"/>
    <w:rsid w:val="004E1A0F"/>
    <w:rsid w:val="004E1E43"/>
    <w:rsid w:val="004E2E89"/>
    <w:rsid w:val="004E33C2"/>
    <w:rsid w:val="004E3B9A"/>
    <w:rsid w:val="004E45F7"/>
    <w:rsid w:val="004E49B0"/>
    <w:rsid w:val="004E5DE5"/>
    <w:rsid w:val="004E5E2F"/>
    <w:rsid w:val="004E62DE"/>
    <w:rsid w:val="004E6AE4"/>
    <w:rsid w:val="004E6B05"/>
    <w:rsid w:val="004E76A1"/>
    <w:rsid w:val="004F05DE"/>
    <w:rsid w:val="004F6376"/>
    <w:rsid w:val="004F6A93"/>
    <w:rsid w:val="004F6F14"/>
    <w:rsid w:val="004F76D9"/>
    <w:rsid w:val="004F79A6"/>
    <w:rsid w:val="00501BF5"/>
    <w:rsid w:val="00501D8B"/>
    <w:rsid w:val="00502142"/>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28E8"/>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282F"/>
    <w:rsid w:val="005E49E5"/>
    <w:rsid w:val="005E4D2A"/>
    <w:rsid w:val="005E5481"/>
    <w:rsid w:val="005E55E4"/>
    <w:rsid w:val="005E6C5F"/>
    <w:rsid w:val="005E7636"/>
    <w:rsid w:val="005F028E"/>
    <w:rsid w:val="005F04B4"/>
    <w:rsid w:val="005F0D52"/>
    <w:rsid w:val="005F11A4"/>
    <w:rsid w:val="005F19F8"/>
    <w:rsid w:val="005F3A40"/>
    <w:rsid w:val="005F3FB1"/>
    <w:rsid w:val="005F5ACF"/>
    <w:rsid w:val="005F60DC"/>
    <w:rsid w:val="006000DD"/>
    <w:rsid w:val="00600F63"/>
    <w:rsid w:val="006012E1"/>
    <w:rsid w:val="00602253"/>
    <w:rsid w:val="006023E1"/>
    <w:rsid w:val="006036BB"/>
    <w:rsid w:val="00604B8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13F"/>
    <w:rsid w:val="00616A11"/>
    <w:rsid w:val="00616B9B"/>
    <w:rsid w:val="00616C79"/>
    <w:rsid w:val="00617520"/>
    <w:rsid w:val="00617AD0"/>
    <w:rsid w:val="00620D7C"/>
    <w:rsid w:val="00621089"/>
    <w:rsid w:val="00621E1F"/>
    <w:rsid w:val="006228B2"/>
    <w:rsid w:val="006228E1"/>
    <w:rsid w:val="00622E32"/>
    <w:rsid w:val="00623688"/>
    <w:rsid w:val="006247E0"/>
    <w:rsid w:val="00625F82"/>
    <w:rsid w:val="00626BF3"/>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907"/>
    <w:rsid w:val="006C4334"/>
    <w:rsid w:val="006C4B0F"/>
    <w:rsid w:val="006C5CE6"/>
    <w:rsid w:val="006C5E96"/>
    <w:rsid w:val="006D2A92"/>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6D54"/>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5DAE"/>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8FD"/>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1C5"/>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B72"/>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5F41"/>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775"/>
    <w:rsid w:val="00987829"/>
    <w:rsid w:val="00991276"/>
    <w:rsid w:val="009923E7"/>
    <w:rsid w:val="00992697"/>
    <w:rsid w:val="00992872"/>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115"/>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5ABE"/>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987"/>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CE0"/>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C9C"/>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3F5"/>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9FD"/>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1B67"/>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6B3"/>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4500"/>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3656"/>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F3A"/>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19E9"/>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631"/>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399"/>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0FC5"/>
    <w:rsid w:val="00E81E36"/>
    <w:rsid w:val="00E81E40"/>
    <w:rsid w:val="00E82ECE"/>
    <w:rsid w:val="00E8713B"/>
    <w:rsid w:val="00E90C61"/>
    <w:rsid w:val="00E92A82"/>
    <w:rsid w:val="00E92AA8"/>
    <w:rsid w:val="00E9344E"/>
    <w:rsid w:val="00E93E39"/>
    <w:rsid w:val="00E94391"/>
    <w:rsid w:val="00E97E2B"/>
    <w:rsid w:val="00EA08CA"/>
    <w:rsid w:val="00EA0A67"/>
    <w:rsid w:val="00EA0C0C"/>
    <w:rsid w:val="00EA2AEA"/>
    <w:rsid w:val="00EA332B"/>
    <w:rsid w:val="00EA3D36"/>
    <w:rsid w:val="00EA40AA"/>
    <w:rsid w:val="00EA57E2"/>
    <w:rsid w:val="00EA6C05"/>
    <w:rsid w:val="00EA7186"/>
    <w:rsid w:val="00EB018B"/>
    <w:rsid w:val="00EB1003"/>
    <w:rsid w:val="00EB1132"/>
    <w:rsid w:val="00EB167E"/>
    <w:rsid w:val="00EB24ED"/>
    <w:rsid w:val="00EB2A00"/>
    <w:rsid w:val="00EB2A3F"/>
    <w:rsid w:val="00EB309B"/>
    <w:rsid w:val="00EB3AA2"/>
    <w:rsid w:val="00EB4763"/>
    <w:rsid w:val="00EB5B17"/>
    <w:rsid w:val="00EB6CB7"/>
    <w:rsid w:val="00EC00ED"/>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ADE"/>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719"/>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0EA"/>
    <w:rsid w:val="00F52221"/>
    <w:rsid w:val="00F52B28"/>
    <w:rsid w:val="00F52F96"/>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900"/>
    <w:rsid w:val="00F975CA"/>
    <w:rsid w:val="00FA0B60"/>
    <w:rsid w:val="00FA2528"/>
    <w:rsid w:val="00FA5535"/>
    <w:rsid w:val="00FA625B"/>
    <w:rsid w:val="00FA7206"/>
    <w:rsid w:val="00FA7EFB"/>
    <w:rsid w:val="00FB0816"/>
    <w:rsid w:val="00FB08C2"/>
    <w:rsid w:val="00FB3DD1"/>
    <w:rsid w:val="00FB51FD"/>
    <w:rsid w:val="00FB5667"/>
    <w:rsid w:val="00FB7A97"/>
    <w:rsid w:val="00FC027E"/>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EinfAbs">
    <w:name w:val="[Einf. Abs.]"/>
    <w:basedOn w:val="Normal"/>
    <w:uiPriority w:val="99"/>
    <w:rsid w:val="00EC00ED"/>
    <w:pPr>
      <w:autoSpaceDE w:val="0"/>
      <w:autoSpaceDN w:val="0"/>
      <w:adjustRightInd w:val="0"/>
      <w:spacing w:line="288" w:lineRule="auto"/>
    </w:pPr>
    <w:rPr>
      <w:rFonts w:ascii="MinionPro-Regular" w:eastAsiaTheme="minorHAnsi" w:hAnsi="MinionPro-Regular" w:cs="MinionPro-Regular"/>
      <w:color w:val="000000"/>
      <w:sz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29298861">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226821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11BBB86C-4D62-42E2-8BB8-F66897640A5E}">
  <ds:schemaRefs>
    <ds:schemaRef ds:uri="http://schemas.openxmlformats.org/officeDocument/2006/bibliography"/>
  </ds:schemaRefs>
</ds:datastoreItem>
</file>

<file path=customXml/itemProps6.xml><?xml version="1.0" encoding="utf-8"?>
<ds:datastoreItem xmlns:ds="http://schemas.openxmlformats.org/officeDocument/2006/customXml" ds:itemID="{D2B4738C-2393-4ED7-B79B-BBAA8DD7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3274</Words>
  <Characters>18983</Characters>
  <Application>Microsoft Office Word</Application>
  <DocSecurity>8</DocSecurity>
  <Lines>158</Lines>
  <Paragraphs>44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22213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Eirini Kanoni</cp:lastModifiedBy>
  <cp:revision>2</cp:revision>
  <cp:lastPrinted>2015-02-18T11:01:00Z</cp:lastPrinted>
  <dcterms:created xsi:type="dcterms:W3CDTF">2020-09-01T14:08:00Z</dcterms:created>
  <dcterms:modified xsi:type="dcterms:W3CDTF">2020-09-01T14:08:00Z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