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4399AC00" w:rsidR="00C2094B" w:rsidRPr="004E49B0" w:rsidRDefault="007E58A7" w:rsidP="00337A3F">
            <w:pPr>
              <w:pStyle w:val="00bDBInfo"/>
              <w:rPr>
                <w:rFonts w:cs="Arial"/>
              </w:rPr>
            </w:pPr>
            <w:r>
              <w:rPr>
                <w:rFonts w:cs="Arial"/>
              </w:rPr>
              <w:t>2</w:t>
            </w:r>
            <w:r w:rsidR="00D8396F">
              <w:rPr>
                <w:rFonts w:cs="Arial"/>
              </w:rPr>
              <w:t>3</w:t>
            </w:r>
            <w:r w:rsidR="00197794">
              <w:rPr>
                <w:rFonts w:cs="Arial"/>
              </w:rPr>
              <w:t xml:space="preserve"> </w:t>
            </w:r>
            <w:r w:rsidR="006920C8">
              <w:rPr>
                <w:rFonts w:cs="Arial"/>
              </w:rPr>
              <w:t>April</w:t>
            </w:r>
            <w:r w:rsidR="00197794">
              <w:rPr>
                <w:rFonts w:cs="Arial"/>
              </w:rPr>
              <w:t xml:space="preserve"> </w:t>
            </w:r>
            <w:r w:rsidR="00EF5FB9">
              <w:rPr>
                <w:rFonts w:cs="Arial"/>
              </w:rPr>
              <w:t>20</w:t>
            </w:r>
            <w:r w:rsidR="006920C8">
              <w:rPr>
                <w:rFonts w:cs="Arial"/>
              </w:rPr>
              <w:t>20</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19E9BAF1"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ning ESG disclosures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2"/>
          <w:headerReference w:type="default" r:id="rId13"/>
          <w:footerReference w:type="even" r:id="rId14"/>
          <w:footerReference w:type="default" r:id="rId15"/>
          <w:headerReference w:type="first" r:id="rId16"/>
          <w:footerReference w:type="first" r:id="rId17"/>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2C0EC76C"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754AC4">
              <w:rPr>
                <w:rFonts w:cs="Arial"/>
              </w:rPr>
              <w:t>2</w:t>
            </w:r>
            <w:r w:rsidR="00D8396F">
              <w:rPr>
                <w:rFonts w:cs="Arial"/>
              </w:rPr>
              <w:t>3</w:t>
            </w:r>
            <w:r w:rsidR="00754AC4">
              <w:rPr>
                <w:rFonts w:cs="Arial"/>
              </w:rPr>
              <w:t xml:space="preserve"> April</w:t>
            </w:r>
            <w:r w:rsidR="003E573C">
              <w:rPr>
                <w:rFonts w:cs="Arial"/>
              </w:rPr>
              <w:t xml:space="preserve"> </w:t>
            </w:r>
            <w:r w:rsidR="002E4F86">
              <w:rPr>
                <w:rFonts w:cs="Arial"/>
                <w:shd w:val="clear" w:color="auto" w:fill="FFFFFF" w:themeFill="background1"/>
              </w:rPr>
              <w:t>20</w:t>
            </w:r>
            <w:r w:rsidR="00754AC4">
              <w:rPr>
                <w:rFonts w:cs="Arial"/>
                <w:shd w:val="clear" w:color="auto" w:fill="FFFFFF" w:themeFill="background1"/>
              </w:rPr>
              <w:t>2</w:t>
            </w:r>
            <w:r w:rsidR="001D12A2">
              <w:rPr>
                <w:rFonts w:cs="Arial"/>
                <w:shd w:val="clear" w:color="auto" w:fill="FFFFFF" w:themeFill="background1"/>
              </w:rPr>
              <w:t>0</w:t>
            </w:r>
          </w:p>
          <w:p w14:paraId="6A3CB033" w14:textId="6ADB7399" w:rsidR="00704EED" w:rsidRPr="004E49B0" w:rsidRDefault="00704EED" w:rsidP="00337A3F">
            <w:pPr>
              <w:pStyle w:val="02Date"/>
              <w:rPr>
                <w:rFonts w:cs="Arial"/>
              </w:rPr>
            </w:pPr>
            <w:r>
              <w:rPr>
                <w:rFonts w:cs="Arial"/>
                <w:shd w:val="clear" w:color="auto" w:fill="FFFFFF" w:themeFill="background1"/>
              </w:rPr>
              <w:t>ESMA 3</w:t>
            </w:r>
            <w:r w:rsidR="00D94EB7">
              <w:rPr>
                <w:rFonts w:cs="Arial"/>
                <w:shd w:val="clear" w:color="auto" w:fill="FFFFFF" w:themeFill="background1"/>
              </w:rPr>
              <w:t>4</w:t>
            </w:r>
            <w:r>
              <w:rPr>
                <w:rFonts w:cs="Arial"/>
                <w:shd w:val="clear" w:color="auto" w:fill="FFFFFF" w:themeFill="background1"/>
              </w:rPr>
              <w:t>-</w:t>
            </w:r>
            <w:r w:rsidR="00D94EB7">
              <w:rPr>
                <w:rFonts w:cs="Arial"/>
                <w:shd w:val="clear" w:color="auto" w:fill="FFFFFF" w:themeFill="background1"/>
              </w:rPr>
              <w:t>45</w:t>
            </w:r>
            <w:r>
              <w:rPr>
                <w:rFonts w:cs="Arial"/>
                <w:shd w:val="clear" w:color="auto" w:fill="FFFFFF" w:themeFill="background1"/>
              </w:rPr>
              <w:t>-</w:t>
            </w:r>
            <w:r w:rsidR="00D94EB7">
              <w:rPr>
                <w:rFonts w:cs="Arial"/>
                <w:shd w:val="clear" w:color="auto" w:fill="FFFFFF" w:themeFill="background1"/>
              </w:rPr>
              <w:t>904</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56666B" w14:textId="63E41319" w:rsidR="00754AC4" w:rsidRDefault="00754AC4" w:rsidP="00754AC4">
      <w:pPr>
        <w:spacing w:after="240"/>
        <w:jc w:val="both"/>
        <w:rPr>
          <w:rStyle w:val="Subtielebenadrukking"/>
          <w:b w:val="0"/>
          <w:bCs/>
          <w:sz w:val="22"/>
        </w:rPr>
      </w:pPr>
      <w:r w:rsidRPr="00754AC4">
        <w:rPr>
          <w:rStyle w:val="Subtielebenadrukking"/>
          <w:b w:val="0"/>
          <w:bCs/>
          <w:sz w:val="22"/>
        </w:rPr>
        <w:t>The European Supervisory Authorities (ESAs) invite comments on all matters in this consultation paper</w:t>
      </w:r>
      <w:r>
        <w:rPr>
          <w:rStyle w:val="Subtielebenadrukking"/>
          <w:b w:val="0"/>
          <w:bCs/>
          <w:sz w:val="22"/>
        </w:rPr>
        <w:t xml:space="preserve"> on ESG disclosures under Regulation (EU) 2019/2088</w:t>
      </w:r>
      <w:r w:rsidRPr="00754AC4">
        <w:rPr>
          <w:rStyle w:val="Subtielebenadrukking"/>
          <w:b w:val="0"/>
          <w:bCs/>
          <w:sz w:val="22"/>
        </w:rPr>
        <w:t xml:space="preserve"> </w:t>
      </w:r>
      <w:r>
        <w:rPr>
          <w:rStyle w:val="Subtielebenadrukking"/>
          <w:b w:val="0"/>
          <w:bCs/>
          <w:sz w:val="22"/>
        </w:rPr>
        <w:t xml:space="preserve">on sustainability-related </w:t>
      </w:r>
      <w:r w:rsidR="00BE7C87">
        <w:rPr>
          <w:rStyle w:val="Subtielebenadrukking"/>
          <w:b w:val="0"/>
          <w:bCs/>
          <w:sz w:val="22"/>
        </w:rPr>
        <w:t>disclosures</w:t>
      </w:r>
      <w:r>
        <w:rPr>
          <w:rStyle w:val="Subtielebenadrukking"/>
          <w:b w:val="0"/>
          <w:bCs/>
          <w:sz w:val="22"/>
        </w:rPr>
        <w:t xml:space="preserve"> in the financial sector (hereinafter “SFDR”) </w:t>
      </w:r>
      <w:r w:rsidRPr="00754AC4">
        <w:rPr>
          <w:rStyle w:val="Subtielebenadrukking"/>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Subtielebenadrukking"/>
          <w:b w:val="0"/>
          <w:bCs/>
          <w:sz w:val="22"/>
        </w:rPr>
      </w:pPr>
      <w:r w:rsidRPr="00754AC4">
        <w:rPr>
          <w:rStyle w:val="Subtielebenadrukking"/>
          <w:b w:val="0"/>
          <w:bCs/>
          <w:sz w:val="22"/>
        </w:rPr>
        <w:t>Comments are most helpful if they:</w:t>
      </w:r>
    </w:p>
    <w:p w14:paraId="443F1C2C" w14:textId="77777777" w:rsidR="00754AC4" w:rsidRPr="00754AC4" w:rsidRDefault="00754AC4" w:rsidP="00754AC4">
      <w:pPr>
        <w:pStyle w:val="Lijstalinea"/>
        <w:numPr>
          <w:ilvl w:val="0"/>
          <w:numId w:val="49"/>
        </w:numPr>
        <w:spacing w:after="240"/>
        <w:jc w:val="both"/>
        <w:rPr>
          <w:rStyle w:val="Subtielebenadrukking"/>
          <w:b w:val="0"/>
          <w:bCs/>
          <w:sz w:val="22"/>
        </w:rPr>
      </w:pPr>
      <w:r w:rsidRPr="00754AC4">
        <w:rPr>
          <w:rStyle w:val="Subtielebenadrukking"/>
          <w:b w:val="0"/>
          <w:bCs/>
          <w:sz w:val="22"/>
        </w:rPr>
        <w:t>contain a clear rationale; and</w:t>
      </w:r>
    </w:p>
    <w:p w14:paraId="44288AF1" w14:textId="77777777" w:rsidR="00754AC4" w:rsidRPr="00754AC4" w:rsidRDefault="00754AC4" w:rsidP="00754AC4">
      <w:pPr>
        <w:pStyle w:val="Lijstalinea"/>
        <w:numPr>
          <w:ilvl w:val="0"/>
          <w:numId w:val="49"/>
        </w:numPr>
        <w:spacing w:after="240"/>
        <w:jc w:val="both"/>
        <w:rPr>
          <w:rStyle w:val="Subtielebenadrukking"/>
          <w:b w:val="0"/>
          <w:bCs/>
          <w:sz w:val="22"/>
        </w:rPr>
      </w:pPr>
      <w:r w:rsidRPr="00754AC4">
        <w:rPr>
          <w:rStyle w:val="Subtielebenadrukking"/>
          <w:b w:val="0"/>
          <w:bCs/>
          <w:sz w:val="22"/>
        </w:rPr>
        <w:t>describe any alternatives the ESAs should consider.</w:t>
      </w:r>
    </w:p>
    <w:p w14:paraId="122FDDB2" w14:textId="5647B0AF" w:rsidR="00C86E1C" w:rsidRDefault="00C86E1C" w:rsidP="00754AC4">
      <w:pPr>
        <w:spacing w:after="240"/>
        <w:jc w:val="both"/>
        <w:rPr>
          <w:rStyle w:val="Subtielebenadrukking"/>
          <w:b w:val="0"/>
          <w:bCs/>
          <w:sz w:val="22"/>
        </w:rPr>
      </w:pPr>
      <w:r>
        <w:rPr>
          <w:rStyle w:val="Subtielebenadrukking"/>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Subtielebenadrukking"/>
          <w:b w:val="0"/>
          <w:sz w:val="22"/>
        </w:rPr>
      </w:pPr>
    </w:p>
    <w:p w14:paraId="6A3CB03F" w14:textId="77777777" w:rsidR="009A3017" w:rsidRPr="00E40A5C" w:rsidRDefault="009A3017" w:rsidP="009A3017">
      <w:pPr>
        <w:spacing w:after="120"/>
        <w:jc w:val="both"/>
        <w:rPr>
          <w:rStyle w:val="Subtielebenadrukking"/>
          <w:sz w:val="22"/>
        </w:rPr>
      </w:pPr>
      <w:r w:rsidRPr="00E40A5C">
        <w:rPr>
          <w:rStyle w:val="Subtielebenadrukking"/>
          <w:sz w:val="22"/>
        </w:rPr>
        <w:t>Instructions</w:t>
      </w:r>
    </w:p>
    <w:p w14:paraId="6A3CB040" w14:textId="77777777" w:rsidR="009A3017" w:rsidRPr="00E40A5C" w:rsidRDefault="009A3017" w:rsidP="009A3017">
      <w:pPr>
        <w:spacing w:after="240"/>
        <w:jc w:val="both"/>
        <w:rPr>
          <w:rStyle w:val="Subtielebenadrukking"/>
          <w:b w:val="0"/>
          <w:sz w:val="22"/>
        </w:rPr>
      </w:pPr>
      <w:r w:rsidRPr="00E40A5C">
        <w:rPr>
          <w:rStyle w:val="Subtielebenadrukking"/>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jstalinea"/>
        <w:numPr>
          <w:ilvl w:val="0"/>
          <w:numId w:val="37"/>
        </w:numPr>
        <w:spacing w:after="240" w:line="276" w:lineRule="auto"/>
        <w:ind w:left="567" w:hanging="567"/>
        <w:contextualSpacing w:val="0"/>
        <w:jc w:val="both"/>
        <w:rPr>
          <w:rStyle w:val="Subtielebenadrukking"/>
          <w:b w:val="0"/>
          <w:sz w:val="22"/>
        </w:rPr>
      </w:pPr>
      <w:r w:rsidRPr="00E40A5C">
        <w:rPr>
          <w:rStyle w:val="Subtielebenadrukking"/>
          <w:b w:val="0"/>
          <w:sz w:val="22"/>
        </w:rPr>
        <w:t xml:space="preserve">Insert your responses to the questions in the Consultation Paper in </w:t>
      </w:r>
      <w:r w:rsidR="00963D60">
        <w:rPr>
          <w:rStyle w:val="Subtielebenadrukking"/>
          <w:b w:val="0"/>
          <w:sz w:val="22"/>
        </w:rPr>
        <w:t>the present</w:t>
      </w:r>
      <w:r w:rsidR="00963D60" w:rsidRPr="00E40A5C">
        <w:rPr>
          <w:rStyle w:val="Subtielebenadrukking"/>
          <w:b w:val="0"/>
          <w:sz w:val="22"/>
        </w:rPr>
        <w:t xml:space="preserve"> </w:t>
      </w:r>
      <w:r w:rsidR="00315895">
        <w:rPr>
          <w:rStyle w:val="Subtielebenadrukking"/>
          <w:b w:val="0"/>
          <w:sz w:val="22"/>
        </w:rPr>
        <w:t xml:space="preserve">response </w:t>
      </w:r>
      <w:r w:rsidRPr="00E40A5C">
        <w:rPr>
          <w:rStyle w:val="Subtielebenadrukking"/>
          <w:b w:val="0"/>
          <w:sz w:val="22"/>
        </w:rPr>
        <w:t>form</w:t>
      </w:r>
      <w:r w:rsidR="00963D60">
        <w:rPr>
          <w:rStyle w:val="Subtielebenadrukking"/>
          <w:b w:val="0"/>
          <w:sz w:val="22"/>
        </w:rPr>
        <w:t>.</w:t>
      </w:r>
      <w:r w:rsidRPr="00E40A5C">
        <w:rPr>
          <w:rStyle w:val="Subtielebenadrukking"/>
          <w:b w:val="0"/>
          <w:sz w:val="22"/>
        </w:rPr>
        <w:t xml:space="preserve"> </w:t>
      </w:r>
    </w:p>
    <w:p w14:paraId="6A3CB042" w14:textId="7681A708" w:rsidR="009A3017" w:rsidRPr="00E40A5C" w:rsidRDefault="009A3017" w:rsidP="00967674">
      <w:pPr>
        <w:pStyle w:val="Lijstalinea"/>
        <w:numPr>
          <w:ilvl w:val="0"/>
          <w:numId w:val="37"/>
        </w:numPr>
        <w:spacing w:after="240" w:line="276" w:lineRule="auto"/>
        <w:ind w:left="567" w:hanging="567"/>
        <w:contextualSpacing w:val="0"/>
        <w:jc w:val="both"/>
        <w:rPr>
          <w:rStyle w:val="Subtielebenadrukking"/>
          <w:b w:val="0"/>
          <w:sz w:val="22"/>
        </w:rPr>
      </w:pPr>
      <w:r w:rsidRPr="00E40A5C">
        <w:rPr>
          <w:rStyle w:val="Subtielebenadrukking"/>
          <w:b w:val="0"/>
          <w:sz w:val="22"/>
        </w:rPr>
        <w:t>Please do not remove tags of the type &lt;ESA_QUESTION_</w:t>
      </w:r>
      <w:r w:rsidR="00C86E1C">
        <w:rPr>
          <w:rStyle w:val="Subtielebenadrukking"/>
          <w:b w:val="0"/>
          <w:sz w:val="22"/>
        </w:rPr>
        <w:t>ESG</w:t>
      </w:r>
      <w:r w:rsidRPr="00E40A5C">
        <w:rPr>
          <w:rStyle w:val="Subtielebenadrukking"/>
          <w:b w:val="0"/>
          <w:sz w:val="22"/>
        </w:rPr>
        <w:t>_1&gt;. Your response to each question has to be framed by the two tags corresponding to the question.</w:t>
      </w:r>
    </w:p>
    <w:p w14:paraId="6A3CB043" w14:textId="77777777" w:rsidR="009A3017" w:rsidRPr="00E40A5C" w:rsidRDefault="009A3017" w:rsidP="00967674">
      <w:pPr>
        <w:pStyle w:val="Lijstalinea"/>
        <w:numPr>
          <w:ilvl w:val="0"/>
          <w:numId w:val="37"/>
        </w:numPr>
        <w:spacing w:after="240" w:line="276" w:lineRule="auto"/>
        <w:ind w:left="567" w:hanging="567"/>
        <w:contextualSpacing w:val="0"/>
        <w:jc w:val="both"/>
        <w:rPr>
          <w:rStyle w:val="Subtielebenadrukking"/>
          <w:b w:val="0"/>
          <w:sz w:val="22"/>
        </w:rPr>
      </w:pPr>
      <w:r w:rsidRPr="00E40A5C">
        <w:rPr>
          <w:rStyle w:val="Subtielebenadrukking"/>
          <w:b w:val="0"/>
          <w:sz w:val="22"/>
        </w:rPr>
        <w:t>If you do not wish to respond to a given question, please do not delete it but simply leave the text “TYPE YOUR TEXT HERE” between the tags.</w:t>
      </w:r>
    </w:p>
    <w:p w14:paraId="6A3CB044" w14:textId="04FB3B90" w:rsidR="009A3017" w:rsidRPr="00E40A5C" w:rsidRDefault="009A3017" w:rsidP="00967674">
      <w:pPr>
        <w:pStyle w:val="Lijstalinea"/>
        <w:numPr>
          <w:ilvl w:val="0"/>
          <w:numId w:val="37"/>
        </w:numPr>
        <w:spacing w:after="240" w:line="276" w:lineRule="auto"/>
        <w:ind w:left="567" w:hanging="567"/>
        <w:contextualSpacing w:val="0"/>
        <w:jc w:val="both"/>
        <w:rPr>
          <w:rStyle w:val="Subtielebenadrukking"/>
          <w:b w:val="0"/>
          <w:sz w:val="22"/>
        </w:rPr>
      </w:pPr>
      <w:r w:rsidRPr="00E40A5C">
        <w:rPr>
          <w:rStyle w:val="Subtielebenadrukking"/>
          <w:b w:val="0"/>
          <w:sz w:val="22"/>
        </w:rPr>
        <w:t>When you have drafted your response, name your response form according to the following convention: ESA_</w:t>
      </w:r>
      <w:r w:rsidR="00C86E1C">
        <w:rPr>
          <w:rStyle w:val="Subtielebenadrukking"/>
          <w:b w:val="0"/>
          <w:sz w:val="22"/>
        </w:rPr>
        <w:t>ESG</w:t>
      </w:r>
      <w:r w:rsidRPr="00E40A5C">
        <w:rPr>
          <w:rStyle w:val="Subtielebenadrukking"/>
          <w:b w:val="0"/>
          <w:sz w:val="22"/>
        </w:rPr>
        <w:t>_nameofrespondent_RESPONSEFORM. For example, for a respondent named ABCD, the response form would be entitled ESA_</w:t>
      </w:r>
      <w:r w:rsidR="00C86E1C">
        <w:rPr>
          <w:rStyle w:val="Subtielebenadrukking"/>
          <w:b w:val="0"/>
          <w:sz w:val="22"/>
        </w:rPr>
        <w:t>ESG</w:t>
      </w:r>
      <w:r w:rsidRPr="00E40A5C">
        <w:rPr>
          <w:rStyle w:val="Subtielebenadrukking"/>
          <w:b w:val="0"/>
          <w:sz w:val="22"/>
        </w:rPr>
        <w:t>_ABCD_RESPONSEFORM.</w:t>
      </w:r>
    </w:p>
    <w:p w14:paraId="180C2205" w14:textId="19B88CA2" w:rsidR="00197794" w:rsidRPr="00197794" w:rsidRDefault="00197794" w:rsidP="00197794">
      <w:pPr>
        <w:pStyle w:val="Lijstalinea"/>
        <w:numPr>
          <w:ilvl w:val="0"/>
          <w:numId w:val="37"/>
        </w:numPr>
        <w:spacing w:after="240" w:line="276" w:lineRule="auto"/>
        <w:ind w:left="567" w:hanging="567"/>
        <w:contextualSpacing w:val="0"/>
        <w:jc w:val="both"/>
        <w:rPr>
          <w:rStyle w:val="Subtielebenadrukking"/>
          <w:b w:val="0"/>
          <w:sz w:val="22"/>
        </w:rPr>
      </w:pPr>
      <w:r w:rsidRPr="00197794">
        <w:rPr>
          <w:rStyle w:val="Subtielebenadrukking"/>
          <w:b w:val="0"/>
          <w:sz w:val="22"/>
        </w:rPr>
        <w:t>The consultation paper is available on the websites of the three ESAs</w:t>
      </w:r>
      <w:r w:rsidR="00764042">
        <w:rPr>
          <w:rStyle w:val="Subtielebenadrukking"/>
          <w:b w:val="0"/>
          <w:sz w:val="22"/>
        </w:rPr>
        <w:t xml:space="preserve"> and the Joint Committee</w:t>
      </w:r>
      <w:r w:rsidRPr="00197794">
        <w:rPr>
          <w:rStyle w:val="Subtielebenadrukking"/>
          <w:b w:val="0"/>
          <w:sz w:val="22"/>
        </w:rPr>
        <w:t xml:space="preserve">. Comments on this consultation paper can be sent using the response form, via the </w:t>
      </w:r>
      <w:hyperlink r:id="rId18" w:history="1">
        <w:r w:rsidRPr="00197794">
          <w:rPr>
            <w:rStyle w:val="Hyperlink"/>
            <w:rFonts w:cs="Arial"/>
            <w:sz w:val="22"/>
          </w:rPr>
          <w:t>ESMA website</w:t>
        </w:r>
      </w:hyperlink>
      <w:r w:rsidRPr="00197794">
        <w:rPr>
          <w:rStyle w:val="Subtielebenadrukking"/>
          <w:b w:val="0"/>
          <w:sz w:val="24"/>
        </w:rPr>
        <w:t xml:space="preserve"> </w:t>
      </w:r>
      <w:r w:rsidRPr="00197794">
        <w:rPr>
          <w:rStyle w:val="Subtielebenadrukking"/>
          <w:b w:val="0"/>
          <w:sz w:val="22"/>
        </w:rPr>
        <w:t xml:space="preserve">under the heading ‘Your input - Consultations’ </w:t>
      </w:r>
      <w:r w:rsidRPr="001C240F">
        <w:rPr>
          <w:rStyle w:val="Subtielebenadrukking"/>
          <w:b w:val="0"/>
          <w:sz w:val="22"/>
        </w:rPr>
        <w:t xml:space="preserve">by </w:t>
      </w:r>
      <w:r w:rsidR="00D5594A" w:rsidRPr="001C240F">
        <w:rPr>
          <w:rStyle w:val="Subtielebenadrukking"/>
          <w:sz w:val="22"/>
        </w:rPr>
        <w:t>1 September</w:t>
      </w:r>
      <w:r w:rsidRPr="001C240F">
        <w:rPr>
          <w:rStyle w:val="Subtielebenadrukking"/>
          <w:sz w:val="22"/>
        </w:rPr>
        <w:t xml:space="preserve"> 2020</w:t>
      </w:r>
      <w:r w:rsidRPr="00197794">
        <w:rPr>
          <w:rStyle w:val="Subtielebenadrukking"/>
          <w:b w:val="0"/>
          <w:sz w:val="22"/>
        </w:rPr>
        <w:t>.</w:t>
      </w:r>
    </w:p>
    <w:p w14:paraId="2481E1E6" w14:textId="67CDDA3F" w:rsidR="00197794" w:rsidRDefault="00197794" w:rsidP="00197794">
      <w:pPr>
        <w:pStyle w:val="Lijstalinea"/>
        <w:numPr>
          <w:ilvl w:val="0"/>
          <w:numId w:val="37"/>
        </w:numPr>
        <w:spacing w:after="240" w:line="276" w:lineRule="auto"/>
        <w:ind w:left="567" w:hanging="567"/>
        <w:contextualSpacing w:val="0"/>
        <w:jc w:val="both"/>
        <w:rPr>
          <w:rStyle w:val="Subtielebenadrukking"/>
          <w:b w:val="0"/>
          <w:sz w:val="22"/>
        </w:rPr>
      </w:pPr>
      <w:r w:rsidRPr="00197794">
        <w:rPr>
          <w:rStyle w:val="Subtielebenadrukking"/>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Subtielebenadrukking"/>
          <w:b w:val="0"/>
          <w:sz w:val="22"/>
        </w:rPr>
      </w:pPr>
    </w:p>
    <w:p w14:paraId="5E94D042" w14:textId="77777777" w:rsidR="00D5594A" w:rsidRPr="00197794" w:rsidRDefault="00D5594A" w:rsidP="00197794">
      <w:pPr>
        <w:spacing w:after="240" w:line="276" w:lineRule="auto"/>
        <w:jc w:val="both"/>
        <w:rPr>
          <w:rStyle w:val="Subtielebenadrukking"/>
          <w:b w:val="0"/>
          <w:sz w:val="22"/>
        </w:rPr>
      </w:pPr>
    </w:p>
    <w:p w14:paraId="6A3CB046" w14:textId="77777777" w:rsidR="00210E59" w:rsidRPr="00210E59" w:rsidRDefault="00210E59" w:rsidP="00210E59">
      <w:pPr>
        <w:spacing w:after="120"/>
        <w:jc w:val="both"/>
        <w:rPr>
          <w:rStyle w:val="Subtielebenadrukking"/>
          <w:sz w:val="22"/>
        </w:rPr>
      </w:pPr>
      <w:r w:rsidRPr="00210E59">
        <w:rPr>
          <w:rStyle w:val="Subtielebenadrukking"/>
          <w:sz w:val="22"/>
        </w:rPr>
        <w:lastRenderedPageBreak/>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Subtielebenadrukking"/>
          <w:sz w:val="22"/>
          <w:lang w:eastAsia="en-GB"/>
        </w:rPr>
      </w:pPr>
    </w:p>
    <w:p w14:paraId="3561D6A6" w14:textId="77777777" w:rsidR="00197794" w:rsidRDefault="00197794" w:rsidP="004E6AE4">
      <w:pPr>
        <w:rPr>
          <w:rStyle w:val="Subtielebenadrukking"/>
          <w:sz w:val="22"/>
          <w:lang w:eastAsia="en-GB"/>
        </w:rPr>
      </w:pPr>
    </w:p>
    <w:p w14:paraId="6A3CB048" w14:textId="1D432EA9" w:rsidR="009A3017" w:rsidRPr="00E40A5C" w:rsidRDefault="009A3017" w:rsidP="004E6AE4">
      <w:pPr>
        <w:rPr>
          <w:rStyle w:val="Subtielebenadrukking"/>
          <w:sz w:val="22"/>
          <w:lang w:eastAsia="en-GB"/>
        </w:rPr>
      </w:pPr>
      <w:r w:rsidRPr="00E40A5C">
        <w:rPr>
          <w:rStyle w:val="Subtielebenadrukking"/>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Voetnootmarkering"/>
          <w:rFonts w:cs="Arial"/>
          <w:sz w:val="22"/>
        </w:rPr>
        <w:footnoteReference w:id="2"/>
      </w:r>
      <w:r w:rsidRPr="00197794">
        <w:rPr>
          <w:rFonts w:cs="Arial"/>
          <w:sz w:val="22"/>
        </w:rPr>
        <w:t xml:space="preserve">. Further information on data protection can be found under the </w:t>
      </w:r>
      <w:hyperlink r:id="rId19" w:history="1">
        <w:r w:rsidRPr="00197794">
          <w:rPr>
            <w:rStyle w:val="Hyperlink"/>
            <w:rFonts w:cs="Arial"/>
            <w:sz w:val="22"/>
          </w:rPr>
          <w:t>Legal notice</w:t>
        </w:r>
      </w:hyperlink>
      <w:r w:rsidRPr="00197794">
        <w:rPr>
          <w:rFonts w:cs="Arial"/>
          <w:sz w:val="22"/>
        </w:rPr>
        <w:t xml:space="preserve"> section of the EBA website and under the </w:t>
      </w:r>
      <w:hyperlink r:id="rId20" w:history="1">
        <w:r w:rsidRPr="00197794">
          <w:rPr>
            <w:rStyle w:val="Hyperlink"/>
            <w:rFonts w:cs="Arial"/>
            <w:sz w:val="22"/>
          </w:rPr>
          <w:t>Legal notice</w:t>
        </w:r>
      </w:hyperlink>
      <w:r w:rsidRPr="00197794">
        <w:rPr>
          <w:rFonts w:cs="Arial"/>
          <w:sz w:val="22"/>
        </w:rPr>
        <w:t xml:space="preserve"> section of the EIOPA website and under the </w:t>
      </w:r>
      <w:hyperlink r:id="rId21" w:history="1">
        <w:r w:rsidRPr="00197794">
          <w:rPr>
            <w:rStyle w:val="Hyperli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Subtielebenadrukking"/>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Kop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Tekstvantijdelijkeaanduiding"/>
              <w:rFonts w:cs="Arial"/>
            </w:rPr>
            <w:id w:val="-1905066999"/>
            <w:text/>
          </w:sdtPr>
          <w:sdtEndPr>
            <w:rPr>
              <w:rStyle w:val="Tekstvantijdelijkeaanduiding"/>
            </w:rPr>
          </w:sdtEndPr>
          <w:sdtContent>
            <w:tc>
              <w:tcPr>
                <w:tcW w:w="5595" w:type="dxa"/>
                <w:shd w:val="clear" w:color="auto" w:fill="auto"/>
              </w:tcPr>
              <w:p w14:paraId="6A3CB051" w14:textId="28DF3425" w:rsidR="00B327E9" w:rsidRPr="00AB6D88" w:rsidRDefault="00753A09" w:rsidP="00F136AD">
                <w:pPr>
                  <w:rPr>
                    <w:rStyle w:val="Tekstvantijdelijkeaanduiding"/>
                    <w:rFonts w:cs="Arial"/>
                  </w:rPr>
                </w:pPr>
                <w:r>
                  <w:rPr>
                    <w:rStyle w:val="Tekstvantijdelijkeaanduiding"/>
                    <w:rFonts w:cs="Arial"/>
                  </w:rPr>
                  <w:t>DUFAS (Dutch Fund and Asset Management Associa</w:t>
                </w:r>
                <w:r w:rsidR="002C054E">
                  <w:rPr>
                    <w:rStyle w:val="Tekstvantijdelijkeaanduiding"/>
                    <w:rFonts w:cs="Arial"/>
                  </w:rPr>
                  <w:t>t</w:t>
                </w:r>
                <w:r>
                  <w:rPr>
                    <w:rStyle w:val="Tekstvantijdelijkeaanduiding"/>
                    <w:rFonts w:cs="Arial"/>
                  </w:rPr>
                  <w:t>ion)</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01FB2D08" w:rsidR="00B327E9" w:rsidRPr="00AB6D88" w:rsidRDefault="006366BB"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2C054E">
                  <w:rPr>
                    <w:rFonts w:cs="Arial"/>
                  </w:rPr>
                  <w:t>Investment Services</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670850BF" w:rsidR="00B327E9" w:rsidRPr="00AB6D88" w:rsidRDefault="002C054E"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267D1D71" w:rsidR="00B327E9" w:rsidRPr="00AB6D88" w:rsidRDefault="002C054E" w:rsidP="00F136AD">
                <w:pPr>
                  <w:rPr>
                    <w:rFonts w:cs="Arial"/>
                  </w:rPr>
                </w:pPr>
                <w:r>
                  <w:rPr>
                    <w:rFonts w:cs="Arial"/>
                  </w:rPr>
                  <w:t>Netherlands</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Kop1"/>
        <w:numPr>
          <w:ilvl w:val="0"/>
          <w:numId w:val="0"/>
        </w:numPr>
        <w:ind w:left="431" w:hanging="431"/>
      </w:pPr>
      <w:r>
        <w:t>Introduction</w:t>
      </w:r>
    </w:p>
    <w:p w14:paraId="6A3CB05E" w14:textId="77777777" w:rsidR="00B327E9" w:rsidRPr="00E40A5C" w:rsidRDefault="00B327E9" w:rsidP="00B327E9">
      <w:pPr>
        <w:rPr>
          <w:rStyle w:val="Intensievebenadrukking"/>
          <w:sz w:val="22"/>
        </w:rPr>
      </w:pPr>
      <w:r w:rsidRPr="00E40A5C">
        <w:rPr>
          <w:rStyle w:val="Intensievebenadrukking"/>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Subtielebenadrukking"/>
          <w:b w:val="0"/>
          <w:sz w:val="22"/>
        </w:rPr>
        <w:t>ESG</w:t>
      </w:r>
      <w:r w:rsidRPr="006F4535">
        <w:t>_1&gt;</w:t>
      </w:r>
    </w:p>
    <w:p w14:paraId="6A69327D" w14:textId="7941AB80" w:rsidR="009476B5" w:rsidRDefault="009476B5" w:rsidP="009476B5">
      <w:pPr>
        <w:spacing w:line="280" w:lineRule="atLeast"/>
        <w:jc w:val="both"/>
        <w:rPr>
          <w:rFonts w:ascii="Gill Sans MT" w:hAnsi="Gill Sans MT"/>
          <w:sz w:val="21"/>
          <w:lang w:val="en-US"/>
        </w:rPr>
      </w:pPr>
      <w:permStart w:id="411981036" w:edGrp="everyone"/>
      <w:r w:rsidRPr="00703577">
        <w:rPr>
          <w:rFonts w:ascii="Gill Sans MT" w:hAnsi="Gill Sans MT"/>
          <w:sz w:val="21"/>
          <w:lang w:val="en-US"/>
        </w:rPr>
        <w:t>D</w:t>
      </w:r>
      <w:r>
        <w:rPr>
          <w:rFonts w:ascii="Gill Sans MT" w:hAnsi="Gill Sans MT"/>
          <w:sz w:val="21"/>
          <w:lang w:val="en-US"/>
        </w:rPr>
        <w:t>UFAS</w:t>
      </w:r>
      <w:r w:rsidRPr="00703577">
        <w:rPr>
          <w:rFonts w:ascii="Gill Sans MT" w:hAnsi="Gill Sans MT"/>
          <w:sz w:val="21"/>
          <w:lang w:val="en-US"/>
        </w:rPr>
        <w:t xml:space="preserve"> (</w:t>
      </w:r>
      <w:r w:rsidRPr="00703577">
        <w:rPr>
          <w:rFonts w:ascii="Gill Sans MT" w:hAnsi="Gill Sans MT"/>
          <w:i/>
          <w:sz w:val="21"/>
          <w:lang w:val="en-US"/>
        </w:rPr>
        <w:t>the Dutch Fund and Asset Management Association</w:t>
      </w:r>
      <w:r w:rsidRPr="00703577">
        <w:rPr>
          <w:rFonts w:ascii="Gill Sans MT" w:hAnsi="Gill Sans MT"/>
          <w:sz w:val="21"/>
          <w:lang w:val="en-US"/>
        </w:rPr>
        <w:t>)</w:t>
      </w:r>
      <w:r w:rsidRPr="00703577">
        <w:rPr>
          <w:rStyle w:val="Voetnootmarkering"/>
          <w:rFonts w:ascii="Gill Sans MT" w:hAnsi="Gill Sans MT"/>
          <w:sz w:val="21"/>
        </w:rPr>
        <w:footnoteReference w:id="3"/>
      </w:r>
      <w:r w:rsidRPr="00703577">
        <w:rPr>
          <w:rFonts w:ascii="Gill Sans MT" w:hAnsi="Gill Sans MT"/>
          <w:sz w:val="21"/>
          <w:lang w:val="en-US"/>
        </w:rPr>
        <w:t xml:space="preserve"> welcomes the opportunity to respond to the consultation </w:t>
      </w:r>
      <w:r>
        <w:rPr>
          <w:rFonts w:ascii="Gill Sans MT" w:hAnsi="Gill Sans MT"/>
          <w:sz w:val="21"/>
          <w:lang w:val="en-US"/>
        </w:rPr>
        <w:t xml:space="preserve">of the ESAs </w:t>
      </w:r>
      <w:r w:rsidRPr="00840E9E">
        <w:rPr>
          <w:rFonts w:ascii="Gill Sans MT" w:hAnsi="Gill Sans MT"/>
          <w:sz w:val="21"/>
          <w:lang w:val="en-US"/>
        </w:rPr>
        <w:t>Joint Consultation Paper</w:t>
      </w:r>
      <w:r>
        <w:rPr>
          <w:rFonts w:ascii="Gill Sans MT" w:hAnsi="Gill Sans MT"/>
          <w:sz w:val="21"/>
          <w:lang w:val="en-US"/>
        </w:rPr>
        <w:t xml:space="preserve"> on </w:t>
      </w:r>
      <w:r w:rsidRPr="00840E9E">
        <w:rPr>
          <w:rFonts w:ascii="Gill Sans MT" w:hAnsi="Gill Sans MT"/>
          <w:sz w:val="21"/>
          <w:lang w:val="en-US"/>
        </w:rPr>
        <w:t>ESG disclosures</w:t>
      </w:r>
      <w:r>
        <w:rPr>
          <w:rFonts w:ascii="Gill Sans MT" w:hAnsi="Gill Sans MT"/>
          <w:sz w:val="21"/>
          <w:lang w:val="en-US"/>
        </w:rPr>
        <w:t xml:space="preserve">, </w:t>
      </w:r>
      <w:r w:rsidRPr="00840E9E">
        <w:rPr>
          <w:rFonts w:ascii="Gill Sans MT" w:hAnsi="Gill Sans MT"/>
          <w:i/>
          <w:iCs/>
          <w:sz w:val="21"/>
          <w:lang w:val="en-US"/>
        </w:rPr>
        <w:t>Draft regulatory technical standards with regard to the content, methodologies and presentation of disclosures pursuant to Article 2a, Article 4(6) and (7), Article 8(3), Article 9(5), Article 10(2) and Article 11(4) of Regulation (EU) 2019/2088</w:t>
      </w:r>
      <w:r>
        <w:rPr>
          <w:rFonts w:ascii="Gill Sans MT" w:hAnsi="Gill Sans MT"/>
          <w:sz w:val="21"/>
          <w:lang w:val="en-US"/>
        </w:rPr>
        <w:t xml:space="preserve">, as published by the ESAs on 23 April 2020. </w:t>
      </w:r>
    </w:p>
    <w:p w14:paraId="60C2D739" w14:textId="77777777" w:rsidR="009476B5" w:rsidRDefault="009476B5" w:rsidP="009476B5">
      <w:pPr>
        <w:spacing w:line="280" w:lineRule="atLeast"/>
        <w:jc w:val="both"/>
        <w:rPr>
          <w:rFonts w:ascii="Gill Sans MT" w:hAnsi="Gill Sans MT"/>
          <w:sz w:val="21"/>
          <w:lang w:val="en-US"/>
        </w:rPr>
      </w:pPr>
    </w:p>
    <w:p w14:paraId="2DC7A28A" w14:textId="77777777" w:rsidR="009476B5" w:rsidRDefault="009476B5" w:rsidP="009476B5">
      <w:pPr>
        <w:spacing w:line="280" w:lineRule="atLeast"/>
        <w:jc w:val="both"/>
        <w:rPr>
          <w:rFonts w:ascii="Gill Sans MT" w:hAnsi="Gill Sans MT"/>
          <w:sz w:val="21"/>
          <w:lang w:val="en-US"/>
        </w:rPr>
      </w:pPr>
      <w:r w:rsidRPr="00703577">
        <w:rPr>
          <w:rFonts w:ascii="Gill Sans MT" w:hAnsi="Gill Sans MT"/>
          <w:sz w:val="21"/>
          <w:lang w:val="en-US"/>
        </w:rPr>
        <w:t>In general D</w:t>
      </w:r>
      <w:r>
        <w:rPr>
          <w:rFonts w:ascii="Gill Sans MT" w:hAnsi="Gill Sans MT"/>
          <w:sz w:val="21"/>
          <w:lang w:val="en-US"/>
        </w:rPr>
        <w:t>UFAS</w:t>
      </w:r>
      <w:r w:rsidRPr="00703577">
        <w:rPr>
          <w:rFonts w:ascii="Gill Sans MT" w:hAnsi="Gill Sans MT"/>
          <w:sz w:val="21"/>
          <w:lang w:val="en-US"/>
        </w:rPr>
        <w:t xml:space="preserve"> wishes to make the following preliminary comments:</w:t>
      </w:r>
    </w:p>
    <w:p w14:paraId="5EB35322" w14:textId="77777777" w:rsidR="009476B5" w:rsidRDefault="009476B5" w:rsidP="009476B5">
      <w:pPr>
        <w:spacing w:line="280" w:lineRule="atLeast"/>
        <w:jc w:val="both"/>
        <w:rPr>
          <w:rFonts w:ascii="Gill Sans MT" w:hAnsi="Gill Sans MT"/>
          <w:sz w:val="21"/>
          <w:lang w:val="en-US"/>
        </w:rPr>
      </w:pPr>
    </w:p>
    <w:p w14:paraId="208938BD" w14:textId="77777777" w:rsidR="009476B5" w:rsidRPr="00CE5172" w:rsidRDefault="009476B5" w:rsidP="009476B5">
      <w:pPr>
        <w:pStyle w:val="Lijstalinea"/>
        <w:numPr>
          <w:ilvl w:val="0"/>
          <w:numId w:val="41"/>
        </w:numPr>
        <w:spacing w:line="280" w:lineRule="atLeast"/>
        <w:jc w:val="both"/>
        <w:rPr>
          <w:rFonts w:ascii="Gill Sans MT" w:hAnsi="Gill Sans MT"/>
          <w:sz w:val="21"/>
          <w:lang w:val="en-US"/>
        </w:rPr>
      </w:pPr>
      <w:r w:rsidRPr="001E7440">
        <w:rPr>
          <w:rFonts w:ascii="Gill Sans MT" w:hAnsi="Gill Sans MT"/>
          <w:sz w:val="21"/>
          <w:u w:val="single"/>
          <w:lang w:val="en-US"/>
        </w:rPr>
        <w:t>Support for SFDR</w:t>
      </w:r>
      <w:r>
        <w:rPr>
          <w:rFonts w:ascii="Gill Sans MT" w:hAnsi="Gill Sans MT"/>
          <w:sz w:val="21"/>
          <w:lang w:val="en-US"/>
        </w:rPr>
        <w:t xml:space="preserve">: DUFAS welcomes and supports the notion on increased disclosures on sustainability factors and integration of sustainability risks in the investment process. Dutch asset managers in general have already for years now published their policy on sustainable risks and factors on their website. We do see merit </w:t>
      </w:r>
      <w:r w:rsidRPr="00CE5172">
        <w:rPr>
          <w:rFonts w:ascii="Gill Sans MT" w:hAnsi="Gill Sans MT"/>
          <w:sz w:val="21"/>
          <w:lang w:val="en-US"/>
        </w:rPr>
        <w:t>in more standardization in disclosures order to create more comparability throughout the market and needless to say to avoid greenwashing, the main purpose of the EU legislation. However, we do have comments in relation to the amount of detail of prescribed in the draft RTS;</w:t>
      </w:r>
    </w:p>
    <w:p w14:paraId="4B526807" w14:textId="77777777" w:rsidR="009476B5" w:rsidRPr="00CE5172" w:rsidRDefault="009476B5" w:rsidP="009476B5">
      <w:pPr>
        <w:pStyle w:val="Lijstalinea"/>
        <w:spacing w:line="280" w:lineRule="atLeast"/>
        <w:ind w:left="360"/>
        <w:jc w:val="both"/>
        <w:rPr>
          <w:rFonts w:ascii="Gill Sans MT" w:hAnsi="Gill Sans MT"/>
          <w:sz w:val="21"/>
          <w:lang w:val="en-US"/>
        </w:rPr>
      </w:pPr>
    </w:p>
    <w:p w14:paraId="336DA551" w14:textId="77777777" w:rsidR="009476B5" w:rsidRPr="00873A3A" w:rsidRDefault="009476B5" w:rsidP="009476B5">
      <w:pPr>
        <w:pStyle w:val="Lijstalinea"/>
        <w:numPr>
          <w:ilvl w:val="0"/>
          <w:numId w:val="41"/>
        </w:numPr>
        <w:spacing w:line="280" w:lineRule="atLeast"/>
        <w:jc w:val="both"/>
        <w:rPr>
          <w:rFonts w:ascii="Gill Sans MT" w:hAnsi="Gill Sans MT"/>
          <w:b/>
          <w:bCs/>
          <w:sz w:val="21"/>
          <w:lang w:val="en-US"/>
        </w:rPr>
      </w:pPr>
      <w:r w:rsidRPr="00FF4EC9">
        <w:rPr>
          <w:rFonts w:ascii="Gill Sans MT" w:hAnsi="Gill Sans MT"/>
          <w:sz w:val="21"/>
          <w:u w:val="single"/>
          <w:lang w:val="en-US"/>
        </w:rPr>
        <w:t>Principal adverse impact indicators</w:t>
      </w:r>
      <w:r w:rsidRPr="00FF4EC9">
        <w:rPr>
          <w:rFonts w:ascii="Gill Sans MT" w:hAnsi="Gill Sans MT"/>
          <w:sz w:val="21"/>
          <w:lang w:val="en-US"/>
        </w:rPr>
        <w:t xml:space="preserve">: DUFAS </w:t>
      </w:r>
      <w:bookmarkStart w:id="1" w:name="_Hlk48054076"/>
      <w:r w:rsidRPr="00FF4EC9">
        <w:rPr>
          <w:rFonts w:ascii="Gill Sans MT" w:hAnsi="Gill Sans MT"/>
          <w:sz w:val="21"/>
          <w:lang w:val="en-US"/>
        </w:rPr>
        <w:t>sees merit in using a number of indicators as included in Annex I Table 1 of the draft RTS for the purposes of disclosing principal adverse impact on entity level</w:t>
      </w:r>
      <w:bookmarkEnd w:id="1"/>
      <w:r w:rsidRPr="00FF4EC9">
        <w:rPr>
          <w:rFonts w:ascii="Gill Sans MT" w:hAnsi="Gill Sans MT"/>
          <w:sz w:val="21"/>
          <w:lang w:val="en-US"/>
        </w:rPr>
        <w:t xml:space="preserve">. </w:t>
      </w:r>
      <w:r>
        <w:rPr>
          <w:rFonts w:ascii="Gill Sans MT" w:hAnsi="Gill Sans MT"/>
          <w:sz w:val="21"/>
          <w:lang w:val="en-US"/>
        </w:rPr>
        <w:t>However, we</w:t>
      </w:r>
      <w:r w:rsidRPr="00471227">
        <w:rPr>
          <w:rFonts w:ascii="Gill Sans MT" w:hAnsi="Gill Sans MT"/>
          <w:sz w:val="21"/>
          <w:lang w:val="en-US"/>
        </w:rPr>
        <w:t xml:space="preserve"> do not agree that any </w:t>
      </w:r>
      <w:r>
        <w:rPr>
          <w:rFonts w:ascii="Gill Sans MT" w:hAnsi="Gill Sans MT"/>
          <w:sz w:val="21"/>
          <w:lang w:val="en-US"/>
        </w:rPr>
        <w:t xml:space="preserve">positive </w:t>
      </w:r>
      <w:r w:rsidRPr="00471227">
        <w:rPr>
          <w:rFonts w:ascii="Gill Sans MT" w:hAnsi="Gill Sans MT"/>
          <w:sz w:val="21"/>
          <w:lang w:val="en-US"/>
        </w:rPr>
        <w:t>value in Table 1 should always lead to princip</w:t>
      </w:r>
      <w:r>
        <w:rPr>
          <w:rFonts w:ascii="Gill Sans MT" w:hAnsi="Gill Sans MT"/>
          <w:sz w:val="21"/>
          <w:lang w:val="en-US"/>
        </w:rPr>
        <w:t>a</w:t>
      </w:r>
      <w:r w:rsidRPr="00471227">
        <w:rPr>
          <w:rFonts w:ascii="Gill Sans MT" w:hAnsi="Gill Sans MT"/>
          <w:sz w:val="21"/>
          <w:lang w:val="en-US"/>
        </w:rPr>
        <w:t xml:space="preserve">l adverse impact irrespective of the value of the metric. </w:t>
      </w:r>
      <w:r>
        <w:rPr>
          <w:rFonts w:ascii="Gill Sans MT" w:hAnsi="Gill Sans MT"/>
          <w:sz w:val="21"/>
          <w:lang w:val="en-US"/>
        </w:rPr>
        <w:t>Furthermore, we have the following principal comments on the proposed approach and the listed indicators:</w:t>
      </w:r>
    </w:p>
    <w:p w14:paraId="106BE6ED" w14:textId="77777777" w:rsidR="009476B5" w:rsidRPr="00873A3A" w:rsidRDefault="009476B5" w:rsidP="009476B5">
      <w:pPr>
        <w:pStyle w:val="Lijstalinea"/>
        <w:spacing w:line="280" w:lineRule="atLeast"/>
        <w:rPr>
          <w:lang w:val="en-US"/>
        </w:rPr>
      </w:pPr>
    </w:p>
    <w:p w14:paraId="1686C50D" w14:textId="77777777" w:rsidR="009476B5" w:rsidRPr="00400F78" w:rsidRDefault="009476B5" w:rsidP="009476B5">
      <w:pPr>
        <w:pStyle w:val="Lijstalinea"/>
        <w:numPr>
          <w:ilvl w:val="1"/>
          <w:numId w:val="42"/>
        </w:numPr>
        <w:spacing w:line="280" w:lineRule="atLeast"/>
        <w:ind w:left="720"/>
        <w:jc w:val="both"/>
        <w:rPr>
          <w:rFonts w:ascii="Gill Sans MT" w:hAnsi="Gill Sans MT"/>
          <w:b/>
          <w:bCs/>
          <w:sz w:val="21"/>
          <w:lang w:val="en-US"/>
        </w:rPr>
      </w:pPr>
      <w:r>
        <w:rPr>
          <w:rFonts w:ascii="Gill Sans MT" w:hAnsi="Gill Sans MT"/>
          <w:b/>
          <w:bCs/>
          <w:i/>
          <w:iCs/>
          <w:sz w:val="21"/>
          <w:lang w:val="en-US"/>
        </w:rPr>
        <w:t xml:space="preserve">Entity versus product level: </w:t>
      </w:r>
      <w:r>
        <w:rPr>
          <w:rFonts w:ascii="Gill Sans MT" w:hAnsi="Gill Sans MT"/>
          <w:sz w:val="21"/>
          <w:lang w:val="en-US"/>
        </w:rPr>
        <w:t xml:space="preserve">First of all, we do think that disclosing indicators on principal adverse impact on an </w:t>
      </w:r>
      <w:r>
        <w:rPr>
          <w:rFonts w:ascii="Gill Sans MT" w:hAnsi="Gill Sans MT"/>
          <w:i/>
          <w:iCs/>
          <w:sz w:val="21"/>
          <w:lang w:val="en-US"/>
        </w:rPr>
        <w:t xml:space="preserve">entity level </w:t>
      </w:r>
      <w:r>
        <w:rPr>
          <w:rFonts w:ascii="Gill Sans MT" w:hAnsi="Gill Sans MT"/>
          <w:sz w:val="21"/>
          <w:lang w:val="en-US"/>
        </w:rPr>
        <w:t xml:space="preserve">for asset managers, contrary to disclosures on a product level, is less relevant or not relevant at all given the nature of asset managers. Only a few indicators may be relevant to disclose on an entity level, such as e.g. the greenhouse gas emissions indicators. In addition, in terms of providing templates, we urge the ESAs to create </w:t>
      </w:r>
      <w:r w:rsidRPr="00A16959">
        <w:rPr>
          <w:rFonts w:ascii="Gill Sans MT" w:hAnsi="Gill Sans MT"/>
          <w:sz w:val="21"/>
          <w:lang w:val="en-US"/>
        </w:rPr>
        <w:t xml:space="preserve">more flexibility of indicators and more principle based approach </w:t>
      </w:r>
      <w:r>
        <w:rPr>
          <w:rFonts w:ascii="Gill Sans MT" w:hAnsi="Gill Sans MT"/>
          <w:sz w:val="21"/>
          <w:lang w:val="en-US"/>
        </w:rPr>
        <w:t xml:space="preserve">where it concerns </w:t>
      </w:r>
      <w:r w:rsidRPr="00A16959">
        <w:rPr>
          <w:rFonts w:ascii="Gill Sans MT" w:hAnsi="Gill Sans MT"/>
          <w:sz w:val="21"/>
          <w:lang w:val="en-US"/>
        </w:rPr>
        <w:t xml:space="preserve">principal adverse impact on </w:t>
      </w:r>
      <w:r w:rsidRPr="00A16959">
        <w:rPr>
          <w:rFonts w:ascii="Gill Sans MT" w:hAnsi="Gill Sans MT"/>
          <w:i/>
          <w:iCs/>
          <w:sz w:val="21"/>
          <w:lang w:val="en-US"/>
        </w:rPr>
        <w:t>entity level</w:t>
      </w:r>
      <w:r w:rsidRPr="00A16959">
        <w:rPr>
          <w:rFonts w:ascii="Gill Sans MT" w:hAnsi="Gill Sans MT"/>
          <w:sz w:val="21"/>
          <w:lang w:val="en-US"/>
        </w:rPr>
        <w:t xml:space="preserve">, whilst templates on product level </w:t>
      </w:r>
      <w:r>
        <w:rPr>
          <w:rFonts w:ascii="Gill Sans MT" w:hAnsi="Gill Sans MT"/>
          <w:sz w:val="21"/>
          <w:lang w:val="en-US"/>
        </w:rPr>
        <w:t xml:space="preserve">could and </w:t>
      </w:r>
      <w:r w:rsidRPr="00A16959">
        <w:rPr>
          <w:rFonts w:ascii="Gill Sans MT" w:hAnsi="Gill Sans MT"/>
          <w:sz w:val="21"/>
          <w:lang w:val="en-US"/>
        </w:rPr>
        <w:t xml:space="preserve">should </w:t>
      </w:r>
      <w:r>
        <w:rPr>
          <w:rFonts w:ascii="Gill Sans MT" w:hAnsi="Gill Sans MT"/>
          <w:sz w:val="21"/>
          <w:lang w:val="en-US"/>
        </w:rPr>
        <w:t xml:space="preserve">be limited to </w:t>
      </w:r>
      <w:r w:rsidRPr="00A16959">
        <w:rPr>
          <w:rFonts w:ascii="Gill Sans MT" w:hAnsi="Gill Sans MT"/>
          <w:sz w:val="21"/>
          <w:lang w:val="en-US"/>
        </w:rPr>
        <w:t xml:space="preserve">a small set of </w:t>
      </w:r>
      <w:r>
        <w:rPr>
          <w:rFonts w:ascii="Gill Sans MT" w:hAnsi="Gill Sans MT"/>
          <w:sz w:val="21"/>
          <w:lang w:val="en-US"/>
        </w:rPr>
        <w:t xml:space="preserve">really </w:t>
      </w:r>
      <w:r w:rsidRPr="00A16959">
        <w:rPr>
          <w:rFonts w:ascii="Gill Sans MT" w:hAnsi="Gill Sans MT"/>
          <w:sz w:val="21"/>
          <w:lang w:val="en-US"/>
        </w:rPr>
        <w:t>relevant indicators</w:t>
      </w:r>
      <w:r>
        <w:rPr>
          <w:rFonts w:ascii="Gill Sans MT" w:hAnsi="Gill Sans MT"/>
          <w:sz w:val="21"/>
          <w:lang w:val="en-US"/>
        </w:rPr>
        <w:t xml:space="preserve">;  </w:t>
      </w:r>
    </w:p>
    <w:p w14:paraId="4B424AFB" w14:textId="77777777" w:rsidR="009476B5" w:rsidRPr="0035706D" w:rsidRDefault="009476B5" w:rsidP="009476B5">
      <w:pPr>
        <w:pStyle w:val="Lijstalinea"/>
        <w:spacing w:line="280" w:lineRule="atLeast"/>
        <w:jc w:val="both"/>
        <w:rPr>
          <w:rFonts w:ascii="Gill Sans MT" w:hAnsi="Gill Sans MT"/>
          <w:b/>
          <w:bCs/>
          <w:sz w:val="21"/>
          <w:lang w:val="en-US"/>
        </w:rPr>
      </w:pPr>
    </w:p>
    <w:p w14:paraId="49434F0F" w14:textId="2E51079E" w:rsidR="009476B5" w:rsidRPr="00A64E7E" w:rsidRDefault="009476B5" w:rsidP="009476B5">
      <w:pPr>
        <w:pStyle w:val="Lijstalinea"/>
        <w:numPr>
          <w:ilvl w:val="1"/>
          <w:numId w:val="42"/>
        </w:numPr>
        <w:spacing w:line="280" w:lineRule="atLeast"/>
        <w:ind w:left="720"/>
        <w:jc w:val="both"/>
        <w:rPr>
          <w:rFonts w:ascii="Gill Sans MT" w:hAnsi="Gill Sans MT"/>
          <w:b/>
          <w:bCs/>
          <w:sz w:val="21"/>
          <w:lang w:val="en-US"/>
        </w:rPr>
      </w:pPr>
      <w:r w:rsidRPr="001404B0">
        <w:rPr>
          <w:rFonts w:ascii="Gill Sans MT" w:hAnsi="Gill Sans MT" w:cs="Calibri"/>
          <w:b/>
          <w:bCs/>
          <w:i/>
          <w:iCs/>
          <w:sz w:val="21"/>
          <w:szCs w:val="21"/>
          <w:lang w:val="en-US"/>
        </w:rPr>
        <w:t>Approach on mandatory indicators</w:t>
      </w:r>
      <w:r w:rsidRPr="001404B0">
        <w:rPr>
          <w:rFonts w:ascii="Gill Sans MT" w:hAnsi="Gill Sans MT" w:cs="Calibri"/>
          <w:b/>
          <w:bCs/>
          <w:sz w:val="21"/>
          <w:szCs w:val="21"/>
          <w:lang w:val="en-US"/>
        </w:rPr>
        <w:t xml:space="preserve">: </w:t>
      </w:r>
      <w:r w:rsidR="00B92659" w:rsidRPr="00B92659">
        <w:rPr>
          <w:rFonts w:ascii="Gill Sans MT" w:hAnsi="Gill Sans MT" w:cs="Calibri"/>
          <w:sz w:val="21"/>
          <w:szCs w:val="21"/>
          <w:lang w:val="en-US"/>
        </w:rPr>
        <w:t>Secondly, while in many cases value in Table 1 will imply adverse impact that will not necessarily always be the case.</w:t>
      </w:r>
      <w:r w:rsidR="00B92659" w:rsidRPr="00B92659">
        <w:rPr>
          <w:rFonts w:ascii="Gill Sans MT" w:hAnsi="Gill Sans MT" w:cs="Calibri"/>
          <w:b/>
          <w:bCs/>
          <w:sz w:val="21"/>
          <w:szCs w:val="21"/>
          <w:lang w:val="en-US"/>
        </w:rPr>
        <w:t xml:space="preserve"> </w:t>
      </w:r>
      <w:r w:rsidRPr="001404B0">
        <w:rPr>
          <w:rFonts w:ascii="Gill Sans MT" w:hAnsi="Gill Sans MT" w:cs="Calibri"/>
          <w:sz w:val="21"/>
          <w:szCs w:val="21"/>
          <w:lang w:val="en-US"/>
        </w:rPr>
        <w:t>So we do not agree that any value in Table 1 should always lead to principle adverse impact irrespective of the value of the metric</w:t>
      </w:r>
      <w:r>
        <w:rPr>
          <w:rFonts w:ascii="Gill Sans MT" w:hAnsi="Gill Sans MT" w:cs="Calibri"/>
          <w:sz w:val="21"/>
          <w:szCs w:val="21"/>
          <w:lang w:val="en-US"/>
        </w:rPr>
        <w:t xml:space="preserve">, and therefore do not support this mandatory approach on all indicators, as envisaged by the ESAs. In addition, we also questioning whether the adoption of mandatory indicators falls indeed within the mandate given to the ESAs set forth in article 4(6) SFDR; </w:t>
      </w:r>
    </w:p>
    <w:p w14:paraId="363CBE0E" w14:textId="77777777" w:rsidR="009476B5" w:rsidRPr="001404B0" w:rsidRDefault="009476B5" w:rsidP="009476B5">
      <w:pPr>
        <w:pStyle w:val="Lijstalinea"/>
        <w:spacing w:line="280" w:lineRule="atLeast"/>
        <w:ind w:left="360" w:firstLine="100"/>
        <w:jc w:val="both"/>
        <w:rPr>
          <w:rFonts w:ascii="Gill Sans MT" w:hAnsi="Gill Sans MT"/>
          <w:b/>
          <w:bCs/>
          <w:sz w:val="21"/>
          <w:lang w:val="en-US"/>
        </w:rPr>
      </w:pPr>
    </w:p>
    <w:p w14:paraId="5353DD20" w14:textId="323A4E7B" w:rsidR="009476B5" w:rsidRPr="00557503" w:rsidRDefault="009476B5" w:rsidP="009476B5">
      <w:pPr>
        <w:pStyle w:val="Lijstalinea"/>
        <w:numPr>
          <w:ilvl w:val="1"/>
          <w:numId w:val="42"/>
        </w:numPr>
        <w:spacing w:line="280" w:lineRule="atLeast"/>
        <w:ind w:left="720"/>
        <w:jc w:val="both"/>
        <w:rPr>
          <w:rFonts w:ascii="Gill Sans MT" w:hAnsi="Gill Sans MT"/>
          <w:b/>
          <w:bCs/>
          <w:sz w:val="21"/>
          <w:lang w:val="en-US"/>
        </w:rPr>
      </w:pPr>
      <w:bookmarkStart w:id="2" w:name="_Hlk43208431"/>
      <w:r>
        <w:rPr>
          <w:rFonts w:ascii="Gill Sans MT" w:hAnsi="Gill Sans MT"/>
          <w:b/>
          <w:bCs/>
          <w:i/>
          <w:iCs/>
          <w:sz w:val="21"/>
          <w:lang w:val="en-US"/>
        </w:rPr>
        <w:t xml:space="preserve">Existing initiatives: </w:t>
      </w:r>
      <w:r w:rsidR="0090613D">
        <w:rPr>
          <w:rFonts w:ascii="Gill Sans MT" w:hAnsi="Gill Sans MT"/>
          <w:sz w:val="21"/>
          <w:lang w:val="en-US"/>
        </w:rPr>
        <w:t>T</w:t>
      </w:r>
      <w:r>
        <w:rPr>
          <w:rFonts w:ascii="Gill Sans MT" w:hAnsi="Gill Sans MT"/>
          <w:sz w:val="21"/>
          <w:lang w:val="en-US"/>
        </w:rPr>
        <w:t xml:space="preserve">hirdly, </w:t>
      </w:r>
      <w:r w:rsidRPr="00D865B8">
        <w:rPr>
          <w:rFonts w:ascii="Gill Sans MT" w:hAnsi="Gill Sans MT"/>
          <w:sz w:val="21"/>
          <w:lang w:val="en-US"/>
        </w:rPr>
        <w:t xml:space="preserve">we see it as a missed opportunity that the draft RTS did not </w:t>
      </w:r>
      <w:r>
        <w:rPr>
          <w:rFonts w:ascii="Gill Sans MT" w:hAnsi="Gill Sans MT"/>
          <w:sz w:val="21"/>
          <w:lang w:val="en-US"/>
        </w:rPr>
        <w:t>build upon or refer t</w:t>
      </w:r>
      <w:r w:rsidRPr="00D865B8">
        <w:rPr>
          <w:rFonts w:ascii="Gill Sans MT" w:hAnsi="Gill Sans MT"/>
          <w:sz w:val="21"/>
          <w:lang w:val="en-US"/>
        </w:rPr>
        <w:t xml:space="preserve">o two </w:t>
      </w:r>
      <w:r>
        <w:rPr>
          <w:rFonts w:ascii="Gill Sans MT" w:hAnsi="Gill Sans MT"/>
          <w:sz w:val="21"/>
          <w:lang w:val="en-US"/>
        </w:rPr>
        <w:t xml:space="preserve">relevant </w:t>
      </w:r>
      <w:r w:rsidRPr="00D865B8">
        <w:rPr>
          <w:rFonts w:ascii="Gill Sans MT" w:hAnsi="Gill Sans MT"/>
          <w:sz w:val="21"/>
          <w:lang w:val="en-US"/>
        </w:rPr>
        <w:t>existing initiatives:</w:t>
      </w:r>
      <w:r w:rsidRPr="008E4887">
        <w:rPr>
          <w:rFonts w:ascii="Gill Sans MT" w:hAnsi="Gill Sans MT"/>
          <w:sz w:val="21"/>
          <w:lang w:val="en-US"/>
        </w:rPr>
        <w:t xml:space="preserve"> </w:t>
      </w:r>
      <w:r w:rsidRPr="00A634F9">
        <w:rPr>
          <w:rFonts w:ascii="Gill Sans MT" w:hAnsi="Gill Sans MT"/>
          <w:sz w:val="21"/>
          <w:lang w:val="en-US"/>
        </w:rPr>
        <w:t>(</w:t>
      </w:r>
      <w:r w:rsidRPr="008D7447">
        <w:rPr>
          <w:rFonts w:ascii="Gill Sans MT" w:hAnsi="Gill Sans MT"/>
          <w:sz w:val="21"/>
          <w:lang w:val="en-US"/>
        </w:rPr>
        <w:t>1) The World Federation of Exchanges: ESG Guidance &amp; Metrics, developed in 2015. Reference guide for stock exchanges in setting ESG reporting guidance for their listed companies. The initiative introduced 30 disclosures (equally divided along the environmental, social and governance pillar) and maps these to TCFD</w:t>
      </w:r>
      <w:r w:rsidRPr="00AE5781">
        <w:rPr>
          <w:rFonts w:ascii="Gill Sans MT" w:hAnsi="Gill Sans MT"/>
          <w:sz w:val="21"/>
          <w:lang w:val="en-US"/>
        </w:rPr>
        <w:t xml:space="preserve">, SASB and GRI; and </w:t>
      </w:r>
      <w:r>
        <w:rPr>
          <w:rFonts w:ascii="Gill Sans MT" w:hAnsi="Gill Sans MT"/>
          <w:sz w:val="21"/>
          <w:lang w:val="en-US"/>
        </w:rPr>
        <w:t>(</w:t>
      </w:r>
      <w:r w:rsidRPr="00D865B8">
        <w:rPr>
          <w:rFonts w:ascii="Gill Sans MT" w:hAnsi="Gill Sans MT"/>
          <w:sz w:val="21"/>
          <w:lang w:val="en-US"/>
        </w:rPr>
        <w:t>2)</w:t>
      </w:r>
      <w:r>
        <w:rPr>
          <w:rFonts w:ascii="Gill Sans MT" w:hAnsi="Gill Sans MT"/>
          <w:sz w:val="21"/>
          <w:lang w:val="en-US"/>
        </w:rPr>
        <w:t xml:space="preserve"> </w:t>
      </w:r>
      <w:r w:rsidRPr="00D865B8">
        <w:rPr>
          <w:rFonts w:ascii="Gill Sans MT" w:hAnsi="Gill Sans MT"/>
          <w:sz w:val="21"/>
          <w:lang w:val="en-US"/>
        </w:rPr>
        <w:t>The</w:t>
      </w:r>
      <w:r>
        <w:rPr>
          <w:rFonts w:ascii="Gill Sans MT" w:hAnsi="Gill Sans MT"/>
          <w:sz w:val="21"/>
          <w:lang w:val="en-US"/>
        </w:rPr>
        <w:t xml:space="preserve"> </w:t>
      </w:r>
      <w:r w:rsidRPr="00D865B8">
        <w:rPr>
          <w:rFonts w:ascii="Gill Sans MT" w:hAnsi="Gill Sans MT"/>
          <w:sz w:val="21"/>
          <w:lang w:val="en-US"/>
        </w:rPr>
        <w:t>World Economic Forum’s International Business Council (IBC) together with the Big Four accounting firms is proposing a set of common metrics and reporting disclosures around ESG factors.</w:t>
      </w:r>
      <w:r>
        <w:rPr>
          <w:rFonts w:ascii="Gill Sans MT" w:hAnsi="Gill Sans MT"/>
          <w:sz w:val="21"/>
          <w:lang w:val="en-US"/>
        </w:rPr>
        <w:t xml:space="preserve"> </w:t>
      </w:r>
      <w:r w:rsidRPr="00D865B8">
        <w:rPr>
          <w:rFonts w:ascii="Gill Sans MT" w:hAnsi="Gill Sans MT"/>
          <w:sz w:val="21"/>
          <w:lang w:val="en-US"/>
        </w:rPr>
        <w:t>Their aim is to bring the most material non</w:t>
      </w:r>
      <w:r w:rsidRPr="008E4887">
        <w:rPr>
          <w:rFonts w:ascii="Gill Sans MT" w:hAnsi="Gill Sans MT"/>
          <w:sz w:val="21"/>
          <w:lang w:val="en-US"/>
        </w:rPr>
        <w:t>-financial aspects into mainstream financial reports on a consistent basis. Four pillars have been defined (governance, planet, people and prosperity) and 22 metrics, drawn from existing standards and disclosures. Aside from the 22 core metrics - the mini</w:t>
      </w:r>
      <w:r w:rsidRPr="008D7447">
        <w:rPr>
          <w:rFonts w:ascii="Gill Sans MT" w:hAnsi="Gill Sans MT"/>
          <w:sz w:val="21"/>
          <w:lang w:val="en-US"/>
        </w:rPr>
        <w:t xml:space="preserve">mum requirement - there are 30 additional metrics. It is the expectation of the IBC that many companies will report against these metrics from their annual reports on 2020 onwards. </w:t>
      </w:r>
      <w:r>
        <w:rPr>
          <w:rFonts w:ascii="Gill Sans MT" w:hAnsi="Gill Sans MT"/>
          <w:sz w:val="21"/>
          <w:lang w:val="en-US"/>
        </w:rPr>
        <w:t>W</w:t>
      </w:r>
      <w:r w:rsidRPr="008D7447">
        <w:rPr>
          <w:rFonts w:ascii="Gill Sans MT" w:hAnsi="Gill Sans MT"/>
          <w:sz w:val="21"/>
          <w:lang w:val="en-US"/>
        </w:rPr>
        <w:t>e strongly recommend that the indicators should be derived from already existing global frameworks</w:t>
      </w:r>
      <w:r w:rsidRPr="00AE5781">
        <w:rPr>
          <w:rFonts w:ascii="Gill Sans MT" w:hAnsi="Gill Sans MT"/>
          <w:sz w:val="21"/>
          <w:lang w:val="en-US"/>
        </w:rPr>
        <w:t>, such as the framework of the World Economic For</w:t>
      </w:r>
      <w:r w:rsidRPr="00326A1E">
        <w:rPr>
          <w:rFonts w:ascii="Gill Sans MT" w:hAnsi="Gill Sans MT"/>
          <w:sz w:val="21"/>
          <w:lang w:val="en-US"/>
        </w:rPr>
        <w:t>um</w:t>
      </w:r>
      <w:r>
        <w:rPr>
          <w:rFonts w:ascii="Gill Sans MT" w:hAnsi="Gill Sans MT"/>
          <w:sz w:val="21"/>
          <w:lang w:val="en-US"/>
        </w:rPr>
        <w:t>;</w:t>
      </w:r>
      <w:r w:rsidRPr="00351A84">
        <w:rPr>
          <w:rFonts w:ascii="Gill Sans MT" w:hAnsi="Gill Sans MT"/>
          <w:sz w:val="21"/>
          <w:lang w:val="en-US"/>
        </w:rPr>
        <w:t xml:space="preserve">   </w:t>
      </w:r>
    </w:p>
    <w:p w14:paraId="5356FDC0" w14:textId="77777777" w:rsidR="009476B5" w:rsidRPr="00351A84" w:rsidRDefault="009476B5" w:rsidP="009476B5">
      <w:pPr>
        <w:pStyle w:val="Lijstalinea"/>
        <w:spacing w:line="280" w:lineRule="atLeast"/>
        <w:ind w:left="360"/>
        <w:jc w:val="both"/>
        <w:rPr>
          <w:rFonts w:ascii="Gill Sans MT" w:hAnsi="Gill Sans MT"/>
          <w:b/>
          <w:bCs/>
          <w:sz w:val="21"/>
          <w:lang w:val="en-US"/>
        </w:rPr>
      </w:pPr>
    </w:p>
    <w:bookmarkEnd w:id="2"/>
    <w:p w14:paraId="4B518285" w14:textId="6DF00128" w:rsidR="009476B5" w:rsidRPr="00F1469F" w:rsidRDefault="009476B5" w:rsidP="009476B5">
      <w:pPr>
        <w:pStyle w:val="Lijstalinea"/>
        <w:numPr>
          <w:ilvl w:val="1"/>
          <w:numId w:val="42"/>
        </w:numPr>
        <w:spacing w:line="280" w:lineRule="atLeast"/>
        <w:ind w:left="720"/>
        <w:jc w:val="both"/>
        <w:rPr>
          <w:rFonts w:ascii="Gill Sans MT" w:hAnsi="Gill Sans MT"/>
          <w:b/>
          <w:bCs/>
          <w:sz w:val="21"/>
          <w:lang w:val="en-US"/>
        </w:rPr>
      </w:pPr>
      <w:r w:rsidRPr="00F1469F">
        <w:rPr>
          <w:rFonts w:ascii="Gill Sans MT" w:hAnsi="Gill Sans MT"/>
          <w:b/>
          <w:bCs/>
          <w:i/>
          <w:iCs/>
          <w:sz w:val="21"/>
          <w:lang w:val="en-US"/>
        </w:rPr>
        <w:t xml:space="preserve">Smaller list of indicators: </w:t>
      </w:r>
      <w:r w:rsidR="00A94FDD">
        <w:rPr>
          <w:rFonts w:ascii="Gill Sans MT" w:hAnsi="Gill Sans MT"/>
          <w:sz w:val="21"/>
          <w:lang w:val="en-US"/>
        </w:rPr>
        <w:t>F</w:t>
      </w:r>
      <w:r w:rsidRPr="00F1469F">
        <w:rPr>
          <w:rFonts w:ascii="Gill Sans MT" w:hAnsi="Gill Sans MT"/>
          <w:sz w:val="21"/>
          <w:lang w:val="en-US"/>
        </w:rPr>
        <w:t>ourthly, having considered the indicators as proposed by the ESAs, we do not think that all 32+2 principal adverse impact indicators as included in Annex I Table 1 are equally relevant</w:t>
      </w:r>
      <w:r>
        <w:rPr>
          <w:rFonts w:ascii="Gill Sans MT" w:hAnsi="Gill Sans MT"/>
          <w:sz w:val="21"/>
          <w:lang w:val="en-US"/>
        </w:rPr>
        <w:t>,</w:t>
      </w:r>
      <w:r w:rsidRPr="00F1469F">
        <w:rPr>
          <w:rFonts w:ascii="Gill Sans MT" w:hAnsi="Gill Sans MT"/>
          <w:sz w:val="21"/>
          <w:lang w:val="en-US"/>
        </w:rPr>
        <w:t xml:space="preserve"> useful</w:t>
      </w:r>
      <w:r>
        <w:rPr>
          <w:rFonts w:ascii="Gill Sans MT" w:hAnsi="Gill Sans MT"/>
          <w:sz w:val="21"/>
          <w:lang w:val="en-US"/>
        </w:rPr>
        <w:t xml:space="preserve"> or material</w:t>
      </w:r>
      <w:r w:rsidRPr="00F1469F">
        <w:rPr>
          <w:rFonts w:ascii="Gill Sans MT" w:hAnsi="Gill Sans MT"/>
          <w:sz w:val="21"/>
          <w:lang w:val="en-US"/>
        </w:rPr>
        <w:t xml:space="preserve">. </w:t>
      </w:r>
      <w:r w:rsidRPr="00F1469F">
        <w:rPr>
          <w:rFonts w:ascii="Gill Sans MT" w:hAnsi="Gill Sans MT"/>
          <w:b/>
          <w:bCs/>
          <w:sz w:val="21"/>
          <w:lang w:val="en-US"/>
        </w:rPr>
        <w:t xml:space="preserve">Therefore, we propose a smaller list of indicators, which list are commonly accepted in the market as being relevant </w:t>
      </w:r>
      <w:r w:rsidR="00026E7A">
        <w:rPr>
          <w:rFonts w:ascii="Gill Sans MT" w:hAnsi="Gill Sans MT"/>
          <w:b/>
          <w:bCs/>
          <w:sz w:val="21"/>
          <w:lang w:val="en-US"/>
        </w:rPr>
        <w:t xml:space="preserve">and material </w:t>
      </w:r>
      <w:r w:rsidRPr="00F1469F">
        <w:rPr>
          <w:rFonts w:ascii="Gill Sans MT" w:hAnsi="Gill Sans MT"/>
          <w:b/>
          <w:bCs/>
          <w:sz w:val="21"/>
          <w:lang w:val="en-US"/>
        </w:rPr>
        <w:t xml:space="preserve">which can be supplemented with those indicators which financial market participants deemed to be relevant </w:t>
      </w:r>
      <w:r w:rsidR="001E2589">
        <w:rPr>
          <w:rFonts w:ascii="Gill Sans MT" w:hAnsi="Gill Sans MT"/>
          <w:b/>
          <w:bCs/>
          <w:sz w:val="21"/>
          <w:lang w:val="en-US"/>
        </w:rPr>
        <w:t xml:space="preserve">and material </w:t>
      </w:r>
      <w:r w:rsidRPr="00F1469F">
        <w:rPr>
          <w:rFonts w:ascii="Gill Sans MT" w:hAnsi="Gill Sans MT"/>
          <w:b/>
          <w:bCs/>
          <w:sz w:val="21"/>
          <w:lang w:val="en-US"/>
        </w:rPr>
        <w:t>indicators. From that perspective, we opt for option 2.2 as described the consultation paper (page 71), i.e. a mix of mandatory and opt-in indicators to assess adverse impacts.</w:t>
      </w:r>
      <w:r>
        <w:rPr>
          <w:rFonts w:ascii="Gill Sans MT" w:hAnsi="Gill Sans MT"/>
          <w:b/>
          <w:bCs/>
          <w:sz w:val="21"/>
          <w:lang w:val="en-US"/>
        </w:rPr>
        <w:t xml:space="preserve"> Our proposal is to start with 11 mandatory indicators</w:t>
      </w:r>
      <w:r w:rsidR="00163820">
        <w:rPr>
          <w:rFonts w:ascii="Gill Sans MT" w:hAnsi="Gill Sans MT"/>
          <w:b/>
          <w:bCs/>
          <w:sz w:val="21"/>
          <w:lang w:val="en-US"/>
        </w:rPr>
        <w:t>, with also readily data availability</w:t>
      </w:r>
      <w:r w:rsidR="009E1E32">
        <w:rPr>
          <w:rFonts w:ascii="Gill Sans MT" w:hAnsi="Gill Sans MT"/>
          <w:b/>
          <w:bCs/>
          <w:sz w:val="21"/>
          <w:lang w:val="en-US"/>
        </w:rPr>
        <w:t>, as</w:t>
      </w:r>
      <w:r>
        <w:rPr>
          <w:rFonts w:ascii="Gill Sans MT" w:hAnsi="Gill Sans MT"/>
          <w:b/>
          <w:bCs/>
          <w:sz w:val="21"/>
          <w:lang w:val="en-US"/>
        </w:rPr>
        <w:t xml:space="preserve"> </w:t>
      </w:r>
      <w:r w:rsidR="0032134B">
        <w:rPr>
          <w:rFonts w:ascii="Gill Sans MT" w:hAnsi="Gill Sans MT"/>
          <w:b/>
          <w:bCs/>
          <w:sz w:val="21"/>
        </w:rPr>
        <w:t>set forth in our response under Q5</w:t>
      </w:r>
      <w:r w:rsidR="009E1E32">
        <w:rPr>
          <w:rFonts w:ascii="Gill Sans MT" w:hAnsi="Gill Sans MT"/>
          <w:b/>
          <w:bCs/>
          <w:sz w:val="21"/>
        </w:rPr>
        <w:t xml:space="preserve">. </w:t>
      </w:r>
      <w:r>
        <w:rPr>
          <w:rFonts w:ascii="Gill Sans MT" w:hAnsi="Gill Sans MT"/>
          <w:b/>
          <w:bCs/>
          <w:sz w:val="21"/>
          <w:lang w:val="en-US"/>
        </w:rPr>
        <w:t>Possibly with a phase in model.</w:t>
      </w:r>
    </w:p>
    <w:p w14:paraId="11090502" w14:textId="77777777" w:rsidR="009476B5" w:rsidRPr="00EB7947" w:rsidRDefault="009476B5" w:rsidP="009476B5">
      <w:pPr>
        <w:pStyle w:val="Lijstalinea"/>
        <w:spacing w:line="280" w:lineRule="atLeast"/>
        <w:ind w:left="1080"/>
        <w:jc w:val="both"/>
        <w:rPr>
          <w:rFonts w:ascii="Gill Sans MT" w:hAnsi="Gill Sans MT"/>
          <w:b/>
          <w:bCs/>
          <w:sz w:val="21"/>
          <w:lang w:val="en-US"/>
        </w:rPr>
      </w:pPr>
    </w:p>
    <w:p w14:paraId="2211C54A" w14:textId="49F94AC9" w:rsidR="009476B5" w:rsidRPr="003F11F9" w:rsidRDefault="009476B5" w:rsidP="009476B5">
      <w:pPr>
        <w:pStyle w:val="Lijstalinea"/>
        <w:numPr>
          <w:ilvl w:val="0"/>
          <w:numId w:val="41"/>
        </w:numPr>
        <w:spacing w:line="280" w:lineRule="atLeast"/>
        <w:jc w:val="both"/>
        <w:rPr>
          <w:rFonts w:ascii="Gill Sans MT" w:hAnsi="Gill Sans MT"/>
          <w:b/>
          <w:bCs/>
          <w:sz w:val="21"/>
          <w:lang w:val="en-US"/>
        </w:rPr>
      </w:pPr>
      <w:r w:rsidRPr="003F11F9">
        <w:rPr>
          <w:rFonts w:ascii="Gill Sans MT" w:hAnsi="Gill Sans MT"/>
          <w:sz w:val="21"/>
          <w:u w:val="single"/>
          <w:lang w:val="en-US"/>
        </w:rPr>
        <w:t>Availability, accessibility and comparability of data</w:t>
      </w:r>
      <w:r w:rsidRPr="003F11F9">
        <w:rPr>
          <w:rFonts w:ascii="Gill Sans MT" w:hAnsi="Gill Sans MT"/>
          <w:sz w:val="21"/>
          <w:lang w:val="en-US"/>
        </w:rPr>
        <w:t>: DUFAS stresses that the implementation of SFDR depends on the (</w:t>
      </w:r>
      <w:proofErr w:type="spellStart"/>
      <w:r w:rsidRPr="003F11F9">
        <w:rPr>
          <w:rFonts w:ascii="Gill Sans MT" w:hAnsi="Gill Sans MT"/>
          <w:sz w:val="21"/>
          <w:lang w:val="en-US"/>
        </w:rPr>
        <w:t>i</w:t>
      </w:r>
      <w:proofErr w:type="spellEnd"/>
      <w:r w:rsidRPr="003F11F9">
        <w:rPr>
          <w:rFonts w:ascii="Gill Sans MT" w:hAnsi="Gill Sans MT"/>
          <w:sz w:val="21"/>
          <w:lang w:val="en-US"/>
        </w:rPr>
        <w:t xml:space="preserve">) availability, (ii) accessibility and (iii) comparability of </w:t>
      </w:r>
      <w:r w:rsidRPr="003F11F9">
        <w:rPr>
          <w:rFonts w:ascii="Gill Sans MT" w:hAnsi="Gill Sans MT"/>
          <w:i/>
          <w:iCs/>
          <w:sz w:val="21"/>
          <w:lang w:val="en-US"/>
        </w:rPr>
        <w:t>relevant,</w:t>
      </w:r>
      <w:r w:rsidRPr="003F11F9">
        <w:rPr>
          <w:rFonts w:ascii="Gill Sans MT" w:hAnsi="Gill Sans MT"/>
          <w:sz w:val="21"/>
          <w:lang w:val="en-US"/>
        </w:rPr>
        <w:t xml:space="preserve"> </w:t>
      </w:r>
      <w:r w:rsidRPr="003F11F9">
        <w:rPr>
          <w:rFonts w:ascii="Gill Sans MT" w:hAnsi="Gill Sans MT"/>
          <w:i/>
          <w:iCs/>
          <w:sz w:val="21"/>
          <w:lang w:val="en-US"/>
        </w:rPr>
        <w:t xml:space="preserve">reliable </w:t>
      </w:r>
      <w:r w:rsidRPr="003F11F9">
        <w:rPr>
          <w:rFonts w:ascii="Gill Sans MT" w:hAnsi="Gill Sans MT"/>
          <w:sz w:val="21"/>
          <w:lang w:val="en-US"/>
        </w:rPr>
        <w:t xml:space="preserve">and </w:t>
      </w:r>
      <w:r w:rsidRPr="003F11F9">
        <w:rPr>
          <w:rFonts w:ascii="Gill Sans MT" w:hAnsi="Gill Sans MT"/>
          <w:i/>
          <w:iCs/>
          <w:sz w:val="21"/>
          <w:lang w:val="en-US"/>
        </w:rPr>
        <w:t xml:space="preserve">consistent </w:t>
      </w:r>
      <w:r w:rsidRPr="003F11F9">
        <w:rPr>
          <w:rFonts w:ascii="Gill Sans MT" w:hAnsi="Gill Sans MT"/>
          <w:sz w:val="21"/>
          <w:lang w:val="en-US"/>
        </w:rPr>
        <w:t xml:space="preserve">data.  We therefore calling for the European Commission and the ESAs to establish a common </w:t>
      </w:r>
      <w:bookmarkStart w:id="3" w:name="_Hlk45283803"/>
      <w:r w:rsidRPr="003F11F9">
        <w:rPr>
          <w:rFonts w:ascii="Gill Sans MT" w:hAnsi="Gill Sans MT"/>
          <w:sz w:val="21"/>
          <w:lang w:val="en-US"/>
        </w:rPr>
        <w:t>open- source ESG data register in the EU to enhance the availability of relevant and reliable ESG data</w:t>
      </w:r>
      <w:bookmarkEnd w:id="3"/>
      <w:r w:rsidRPr="003F11F9">
        <w:rPr>
          <w:rFonts w:ascii="Gill Sans MT" w:hAnsi="Gill Sans MT"/>
          <w:sz w:val="21"/>
          <w:lang w:val="en-US"/>
        </w:rPr>
        <w:t xml:space="preserve">. Data which ultimately is crucial and needed for financial market parties to comply with the obligations under the SFDR. As to the accessibility of data of investee companies, art. 7(2) RTS SFDR seems to contain a mandatory sequence. </w:t>
      </w:r>
      <w:r>
        <w:rPr>
          <w:rFonts w:ascii="Gill Sans MT" w:hAnsi="Gill Sans MT"/>
          <w:sz w:val="21"/>
          <w:lang w:val="en-US"/>
        </w:rPr>
        <w:t xml:space="preserve">According to the draft RTS </w:t>
      </w:r>
      <w:r w:rsidRPr="003F11F9">
        <w:rPr>
          <w:rFonts w:ascii="Gill Sans MT" w:hAnsi="Gill Sans MT"/>
          <w:sz w:val="21"/>
          <w:lang w:val="en-US"/>
        </w:rPr>
        <w:t xml:space="preserve">financial market participants have to do their best efforts to obtain the information </w:t>
      </w:r>
      <w:r w:rsidRPr="003F11F9">
        <w:rPr>
          <w:rFonts w:ascii="Gill Sans MT" w:hAnsi="Gill Sans MT"/>
          <w:i/>
          <w:iCs/>
          <w:sz w:val="21"/>
          <w:lang w:val="en-US"/>
        </w:rPr>
        <w:t>directly</w:t>
      </w:r>
      <w:r w:rsidRPr="003F11F9">
        <w:rPr>
          <w:rFonts w:ascii="Gill Sans MT" w:hAnsi="Gill Sans MT"/>
          <w:sz w:val="21"/>
          <w:lang w:val="en-US"/>
        </w:rPr>
        <w:t xml:space="preserve"> from investee companies. </w:t>
      </w:r>
      <w:r>
        <w:rPr>
          <w:rFonts w:ascii="Gill Sans MT" w:hAnsi="Gill Sans MT"/>
          <w:sz w:val="21"/>
          <w:lang w:val="en-US"/>
        </w:rPr>
        <w:t>Only</w:t>
      </w:r>
      <w:r w:rsidRPr="003F11F9">
        <w:rPr>
          <w:rFonts w:ascii="Gill Sans MT" w:hAnsi="Gill Sans MT"/>
          <w:sz w:val="21"/>
          <w:lang w:val="en-US"/>
        </w:rPr>
        <w:t xml:space="preserve"> in the event information of any of the indicators used is not readily available</w:t>
      </w:r>
      <w:r>
        <w:rPr>
          <w:rFonts w:ascii="Gill Sans MT" w:hAnsi="Gill Sans MT"/>
          <w:sz w:val="21"/>
          <w:lang w:val="en-US"/>
        </w:rPr>
        <w:t>, then</w:t>
      </w:r>
      <w:r w:rsidRPr="003F11F9">
        <w:rPr>
          <w:rFonts w:ascii="Gill Sans MT" w:hAnsi="Gill Sans MT"/>
          <w:sz w:val="21"/>
          <w:lang w:val="en-US"/>
        </w:rPr>
        <w:t xml:space="preserve"> the financial market participant may rely on third party providers. Needless to say is that </w:t>
      </w:r>
      <w:r w:rsidRPr="00C74B83">
        <w:rPr>
          <w:rFonts w:ascii="Gill Sans MT" w:hAnsi="Gill Sans MT"/>
          <w:sz w:val="21"/>
          <w:lang w:val="en-US"/>
        </w:rPr>
        <w:t>it is the responsibility of financial market parties to obtain accurate and reliable information on investee companies.</w:t>
      </w:r>
      <w:r w:rsidRPr="003F11F9">
        <w:rPr>
          <w:rFonts w:ascii="Gill Sans MT" w:hAnsi="Gill Sans MT"/>
          <w:b/>
          <w:bCs/>
          <w:sz w:val="21"/>
          <w:lang w:val="en-US"/>
        </w:rPr>
        <w:t xml:space="preserve"> </w:t>
      </w:r>
      <w:r w:rsidRPr="003F11F9">
        <w:rPr>
          <w:rFonts w:ascii="Gill Sans MT" w:hAnsi="Gill Sans MT"/>
          <w:sz w:val="21"/>
          <w:lang w:val="en-US"/>
        </w:rPr>
        <w:t>However,</w:t>
      </w:r>
      <w:r w:rsidRPr="003F11F9">
        <w:rPr>
          <w:rFonts w:ascii="Gill Sans MT" w:hAnsi="Gill Sans MT"/>
          <w:b/>
          <w:bCs/>
          <w:sz w:val="21"/>
          <w:lang w:val="en-US"/>
        </w:rPr>
        <w:t xml:space="preserve"> </w:t>
      </w:r>
      <w:r w:rsidRPr="003F11F9">
        <w:rPr>
          <w:rFonts w:ascii="Gill Sans MT" w:hAnsi="Gill Sans MT"/>
          <w:sz w:val="21"/>
          <w:lang w:val="en-US"/>
        </w:rPr>
        <w:t xml:space="preserve">in terms of costs and by applying any sort of proportionality principle, market parties should also be entitled to rely on data obtained from third party providers directly and on the long run from an open source ESG data register as advocated by a number of market parties, such as EFAMA. </w:t>
      </w:r>
      <w:r w:rsidRPr="00C74B83">
        <w:rPr>
          <w:rFonts w:ascii="Gill Sans MT" w:hAnsi="Gill Sans MT"/>
          <w:b/>
          <w:bCs/>
          <w:sz w:val="21"/>
          <w:lang w:val="en-US"/>
        </w:rPr>
        <w:t xml:space="preserve">Hence, we do not support the principle that a financial market participant should always do </w:t>
      </w:r>
      <w:r w:rsidRPr="00C74B83">
        <w:rPr>
          <w:rFonts w:ascii="Gill Sans MT" w:hAnsi="Gill Sans MT"/>
          <w:b/>
          <w:bCs/>
          <w:sz w:val="21"/>
          <w:lang w:val="en-US"/>
        </w:rPr>
        <w:lastRenderedPageBreak/>
        <w:t>their best efforts to obtain data from the investee companies directly, before relying on third parties</w:t>
      </w:r>
      <w:r w:rsidRPr="003F11F9">
        <w:rPr>
          <w:rFonts w:ascii="Gill Sans MT" w:hAnsi="Gill Sans MT"/>
          <w:sz w:val="21"/>
          <w:lang w:val="en-US"/>
        </w:rPr>
        <w:t>.</w:t>
      </w:r>
      <w:r w:rsidR="009A1DC3">
        <w:rPr>
          <w:rFonts w:ascii="Gill Sans MT" w:hAnsi="Gill Sans MT"/>
          <w:sz w:val="21"/>
          <w:lang w:val="en-US"/>
        </w:rPr>
        <w:t xml:space="preserve"> </w:t>
      </w:r>
      <w:r w:rsidRPr="003F11F9">
        <w:rPr>
          <w:rFonts w:ascii="Gill Sans MT" w:hAnsi="Gill Sans MT"/>
          <w:sz w:val="21"/>
          <w:lang w:val="en-US"/>
        </w:rPr>
        <w:t>From the perspective of the investee company, where the financial market participant has the obligation to obtain the data directly, this may also create the burden to investee companies to provide such information to each financial market participant individually. Furthermore, for listed investee companies, where they are providing information to an individual financial market participation directly, they should be careful not to disclose any information that may be considered to be price sensitive information within the meaning of the EU market abuse regulation.</w:t>
      </w:r>
      <w:r>
        <w:rPr>
          <w:rFonts w:ascii="Gill Sans MT" w:hAnsi="Gill Sans MT"/>
          <w:sz w:val="21"/>
          <w:lang w:val="en-US"/>
        </w:rPr>
        <w:t xml:space="preserve"> </w:t>
      </w:r>
      <w:r w:rsidRPr="003F11F9">
        <w:rPr>
          <w:rFonts w:ascii="Gill Sans MT" w:hAnsi="Gill Sans MT"/>
          <w:sz w:val="21"/>
          <w:lang w:val="en-US"/>
        </w:rPr>
        <w:t xml:space="preserve">  </w:t>
      </w:r>
    </w:p>
    <w:p w14:paraId="1ECA7E21" w14:textId="77777777" w:rsidR="009476B5" w:rsidRPr="00FF4EC9" w:rsidRDefault="009476B5" w:rsidP="009476B5">
      <w:pPr>
        <w:pStyle w:val="Lijstalinea"/>
        <w:spacing w:line="280" w:lineRule="atLeast"/>
        <w:rPr>
          <w:rFonts w:ascii="Gill Sans MT" w:hAnsi="Gill Sans MT"/>
          <w:b/>
          <w:bCs/>
          <w:sz w:val="21"/>
          <w:lang w:val="en-US"/>
        </w:rPr>
      </w:pPr>
    </w:p>
    <w:p w14:paraId="59556E16" w14:textId="586A197A" w:rsidR="009476B5" w:rsidRPr="00004095" w:rsidRDefault="009476B5" w:rsidP="009476B5">
      <w:pPr>
        <w:pStyle w:val="Lijstalinea"/>
        <w:numPr>
          <w:ilvl w:val="0"/>
          <w:numId w:val="41"/>
        </w:numPr>
        <w:spacing w:line="280" w:lineRule="atLeast"/>
        <w:jc w:val="both"/>
        <w:rPr>
          <w:rFonts w:ascii="Gill Sans MT" w:hAnsi="Gill Sans MT"/>
          <w:sz w:val="21"/>
          <w:lang w:val="en-US"/>
        </w:rPr>
      </w:pPr>
      <w:r w:rsidRPr="00004095">
        <w:rPr>
          <w:rFonts w:ascii="Gill Sans MT" w:hAnsi="Gill Sans MT"/>
          <w:sz w:val="21"/>
          <w:u w:val="single"/>
          <w:lang w:val="en-US"/>
        </w:rPr>
        <w:t>Classification of products:</w:t>
      </w:r>
      <w:r w:rsidRPr="00004095">
        <w:rPr>
          <w:rFonts w:ascii="Gill Sans MT" w:hAnsi="Gill Sans MT"/>
          <w:sz w:val="21"/>
          <w:lang w:val="en-US"/>
        </w:rPr>
        <w:t xml:space="preserve"> </w:t>
      </w:r>
      <w:r w:rsidR="001861D5">
        <w:rPr>
          <w:rFonts w:ascii="Gill Sans MT" w:hAnsi="Gill Sans MT"/>
          <w:sz w:val="21"/>
          <w:lang w:val="en-US"/>
        </w:rPr>
        <w:t xml:space="preserve">In general we believe that </w:t>
      </w:r>
      <w:r w:rsidR="001861D5" w:rsidRPr="00A53F12">
        <w:rPr>
          <w:rFonts w:ascii="Gill Sans MT" w:hAnsi="Gill Sans MT"/>
          <w:sz w:val="21"/>
          <w:lang w:val="en-US"/>
        </w:rPr>
        <w:t xml:space="preserve">differences between </w:t>
      </w:r>
      <w:r w:rsidR="001861D5">
        <w:rPr>
          <w:rFonts w:ascii="Gill Sans MT" w:hAnsi="Gill Sans MT"/>
          <w:sz w:val="21"/>
          <w:lang w:val="en-US"/>
        </w:rPr>
        <w:t>a</w:t>
      </w:r>
      <w:r w:rsidR="001861D5" w:rsidRPr="00A53F12">
        <w:rPr>
          <w:rFonts w:ascii="Gill Sans MT" w:hAnsi="Gill Sans MT"/>
          <w:sz w:val="21"/>
          <w:lang w:val="en-US"/>
        </w:rPr>
        <w:t>rt</w:t>
      </w:r>
      <w:r w:rsidR="001861D5">
        <w:rPr>
          <w:rFonts w:ascii="Gill Sans MT" w:hAnsi="Gill Sans MT"/>
          <w:sz w:val="21"/>
          <w:lang w:val="en-US"/>
        </w:rPr>
        <w:t>.</w:t>
      </w:r>
      <w:r w:rsidR="001861D5" w:rsidRPr="00A53F12">
        <w:rPr>
          <w:rFonts w:ascii="Gill Sans MT" w:hAnsi="Gill Sans MT"/>
          <w:sz w:val="21"/>
          <w:lang w:val="en-US"/>
        </w:rPr>
        <w:t xml:space="preserve"> 8 and </w:t>
      </w:r>
      <w:r w:rsidR="001861D5">
        <w:rPr>
          <w:rFonts w:ascii="Gill Sans MT" w:hAnsi="Gill Sans MT"/>
          <w:sz w:val="21"/>
          <w:lang w:val="en-US"/>
        </w:rPr>
        <w:t>a</w:t>
      </w:r>
      <w:r w:rsidR="001861D5" w:rsidRPr="00A53F12">
        <w:rPr>
          <w:rFonts w:ascii="Gill Sans MT" w:hAnsi="Gill Sans MT"/>
          <w:sz w:val="21"/>
          <w:lang w:val="en-US"/>
        </w:rPr>
        <w:t>rt</w:t>
      </w:r>
      <w:r w:rsidR="001861D5">
        <w:rPr>
          <w:rFonts w:ascii="Gill Sans MT" w:hAnsi="Gill Sans MT"/>
          <w:sz w:val="21"/>
          <w:lang w:val="en-US"/>
        </w:rPr>
        <w:t>.</w:t>
      </w:r>
      <w:r w:rsidR="001861D5" w:rsidRPr="00A53F12">
        <w:rPr>
          <w:rFonts w:ascii="Gill Sans MT" w:hAnsi="Gill Sans MT"/>
          <w:sz w:val="21"/>
          <w:lang w:val="en-US"/>
        </w:rPr>
        <w:t xml:space="preserve"> 9 products are </w:t>
      </w:r>
      <w:r w:rsidR="001861D5">
        <w:rPr>
          <w:rFonts w:ascii="Gill Sans MT" w:hAnsi="Gill Sans MT"/>
          <w:sz w:val="21"/>
          <w:lang w:val="en-US"/>
        </w:rPr>
        <w:t xml:space="preserve">not always </w:t>
      </w:r>
      <w:r w:rsidR="001861D5" w:rsidRPr="00A53F12">
        <w:rPr>
          <w:rFonts w:ascii="Gill Sans MT" w:hAnsi="Gill Sans MT"/>
          <w:sz w:val="21"/>
          <w:lang w:val="en-US"/>
        </w:rPr>
        <w:t>sufficiently well captured by the proposed provisions</w:t>
      </w:r>
      <w:r w:rsidR="001861D5">
        <w:rPr>
          <w:rFonts w:ascii="Gill Sans MT" w:hAnsi="Gill Sans MT"/>
          <w:sz w:val="21"/>
          <w:lang w:val="en-US"/>
        </w:rPr>
        <w:t>.</w:t>
      </w:r>
      <w:r w:rsidR="001861D5" w:rsidRPr="00A53F12">
        <w:rPr>
          <w:rFonts w:ascii="Gill Sans MT" w:hAnsi="Gill Sans MT"/>
          <w:sz w:val="21"/>
          <w:lang w:val="en-US"/>
        </w:rPr>
        <w:t xml:space="preserve"> </w:t>
      </w:r>
      <w:r>
        <w:rPr>
          <w:rFonts w:ascii="Gill Sans MT" w:hAnsi="Gill Sans MT"/>
          <w:sz w:val="21"/>
          <w:lang w:val="en-US"/>
        </w:rPr>
        <w:t>K</w:t>
      </w:r>
      <w:r w:rsidRPr="00004095">
        <w:rPr>
          <w:rFonts w:ascii="Gill Sans MT" w:hAnsi="Gill Sans MT"/>
          <w:sz w:val="21"/>
          <w:lang w:val="en-US"/>
        </w:rPr>
        <w:t xml:space="preserve">ey element of an art. 8 SFDR product is the </w:t>
      </w:r>
      <w:r w:rsidRPr="00004095">
        <w:rPr>
          <w:rFonts w:ascii="Gill Sans MT" w:hAnsi="Gill Sans MT"/>
          <w:i/>
          <w:iCs/>
          <w:sz w:val="21"/>
          <w:lang w:val="en-US"/>
        </w:rPr>
        <w:t>promotion</w:t>
      </w:r>
      <w:r w:rsidRPr="00004095">
        <w:rPr>
          <w:rFonts w:ascii="Gill Sans MT" w:hAnsi="Gill Sans MT"/>
          <w:sz w:val="21"/>
          <w:lang w:val="en-US"/>
        </w:rPr>
        <w:t xml:space="preserve"> of financial products with ESG characteristics. We are of the opinion that not each reference to environmental or social characteristics in a mandatory investor disclosure</w:t>
      </w:r>
      <w:r>
        <w:rPr>
          <w:rFonts w:ascii="Gill Sans MT" w:hAnsi="Gill Sans MT"/>
          <w:sz w:val="21"/>
          <w:lang w:val="en-US"/>
        </w:rPr>
        <w:t xml:space="preserve"> </w:t>
      </w:r>
      <w:r w:rsidRPr="00004095">
        <w:rPr>
          <w:rFonts w:ascii="Gill Sans MT" w:hAnsi="Gill Sans MT"/>
          <w:sz w:val="21"/>
          <w:lang w:val="en-US"/>
        </w:rPr>
        <w:t>of a financial product</w:t>
      </w:r>
      <w:r>
        <w:rPr>
          <w:rFonts w:ascii="Gill Sans MT" w:hAnsi="Gill Sans MT"/>
          <w:sz w:val="21"/>
          <w:lang w:val="en-US"/>
        </w:rPr>
        <w:t>, such as recital (21) of the draft RTS seems to suggest,</w:t>
      </w:r>
      <w:r w:rsidRPr="00004095">
        <w:rPr>
          <w:rFonts w:ascii="Gill Sans MT" w:hAnsi="Gill Sans MT"/>
          <w:sz w:val="21"/>
          <w:lang w:val="en-US"/>
        </w:rPr>
        <w:t xml:space="preserve"> should considered to be ‘promotion’ within the meaning of article 8 SFDR. In that respect ‘promotion’ is defined in a too broad manner. This should be up to the discretion of the financial market participant. However,</w:t>
      </w:r>
      <w:r>
        <w:rPr>
          <w:rFonts w:ascii="Gill Sans MT" w:hAnsi="Gill Sans MT"/>
          <w:sz w:val="21"/>
          <w:lang w:val="en-US"/>
        </w:rPr>
        <w:t xml:space="preserve"> </w:t>
      </w:r>
      <w:r w:rsidRPr="00004095">
        <w:rPr>
          <w:rFonts w:ascii="Gill Sans MT" w:hAnsi="Gill Sans MT"/>
          <w:sz w:val="21"/>
          <w:lang w:val="en-US"/>
        </w:rPr>
        <w:t>any marketing communication of a financial product where reference is made to environmental or social characteristics, or a combination thereof should always be considered to be ‘promotion’ within the context of article 8 SFDR. Promotion and marketing communications should then be interpreted and defined consistent with other existing EU financial legislation, such as e.g. MiFID. The key element of a marketing communication is whether the information invites of induces the reader to buy the financial product</w:t>
      </w:r>
      <w:r>
        <w:rPr>
          <w:rFonts w:ascii="Gill Sans MT" w:hAnsi="Gill Sans MT"/>
          <w:sz w:val="21"/>
          <w:lang w:val="en-US"/>
        </w:rPr>
        <w:t xml:space="preserve">. </w:t>
      </w:r>
      <w:r w:rsidRPr="00004095">
        <w:rPr>
          <w:rFonts w:ascii="Gill Sans MT" w:hAnsi="Gill Sans MT"/>
          <w:sz w:val="21"/>
          <w:lang w:val="en-US"/>
        </w:rPr>
        <w:t>We suggest to explicitly clarify in the draft RTS</w:t>
      </w:r>
      <w:r>
        <w:rPr>
          <w:rFonts w:ascii="Gill Sans MT" w:hAnsi="Gill Sans MT"/>
          <w:sz w:val="21"/>
          <w:lang w:val="en-US"/>
        </w:rPr>
        <w:t xml:space="preserve"> SFDR.</w:t>
      </w:r>
      <w:r w:rsidRPr="00004095">
        <w:rPr>
          <w:rFonts w:ascii="Gill Sans MT" w:hAnsi="Gill Sans MT"/>
          <w:sz w:val="21"/>
          <w:lang w:val="en-US"/>
        </w:rPr>
        <w:t xml:space="preserve"> </w:t>
      </w:r>
    </w:p>
    <w:p w14:paraId="3D6D2160" w14:textId="77777777" w:rsidR="009476B5" w:rsidRPr="008E515E" w:rsidRDefault="009476B5" w:rsidP="009476B5">
      <w:pPr>
        <w:pStyle w:val="Lijstalinea"/>
        <w:spacing w:line="280" w:lineRule="atLeast"/>
        <w:rPr>
          <w:rFonts w:ascii="Gill Sans MT" w:hAnsi="Gill Sans MT"/>
          <w:sz w:val="21"/>
          <w:lang w:val="en-US"/>
        </w:rPr>
      </w:pPr>
    </w:p>
    <w:p w14:paraId="1EA6427C" w14:textId="77777777" w:rsidR="009476B5" w:rsidRPr="00C329B5" w:rsidRDefault="009476B5" w:rsidP="009476B5">
      <w:pPr>
        <w:pStyle w:val="Lijstalinea"/>
        <w:numPr>
          <w:ilvl w:val="0"/>
          <w:numId w:val="41"/>
        </w:numPr>
        <w:spacing w:line="280" w:lineRule="atLeast"/>
        <w:jc w:val="both"/>
        <w:rPr>
          <w:rFonts w:ascii="Gill Sans MT" w:hAnsi="Gill Sans MT"/>
          <w:sz w:val="21"/>
          <w:lang w:val="en-US"/>
        </w:rPr>
      </w:pPr>
      <w:r w:rsidRPr="009A689C">
        <w:rPr>
          <w:rFonts w:ascii="Gill Sans MT" w:hAnsi="Gill Sans MT"/>
          <w:sz w:val="21"/>
          <w:u w:val="single"/>
          <w:lang w:val="en-US"/>
        </w:rPr>
        <w:t>Use of benchmarks</w:t>
      </w:r>
      <w:r w:rsidRPr="009A689C">
        <w:rPr>
          <w:rFonts w:ascii="Gill Sans MT" w:hAnsi="Gill Sans MT"/>
          <w:b/>
          <w:bCs/>
          <w:sz w:val="21"/>
          <w:lang w:val="en-US"/>
        </w:rPr>
        <w:t xml:space="preserve">: </w:t>
      </w:r>
      <w:r w:rsidRPr="009A689C">
        <w:rPr>
          <w:rFonts w:ascii="Gill Sans MT" w:hAnsi="Gill Sans MT"/>
          <w:sz w:val="21"/>
          <w:lang w:val="en-US"/>
        </w:rPr>
        <w:t xml:space="preserve">Recital 29 states the following: </w:t>
      </w:r>
      <w:r w:rsidRPr="009A689C">
        <w:rPr>
          <w:rFonts w:ascii="Gill Sans MT" w:hAnsi="Gill Sans MT"/>
          <w:i/>
          <w:iCs/>
          <w:sz w:val="21"/>
          <w:lang w:val="en-US"/>
        </w:rPr>
        <w:t>Financial products should not pursue low-carbon investment objectives without using new Union climate-related benchmarks. If such benchmarks are not available, financial market participants should demonstrate how the financial product complies with the relevant standards applicable to EU Paris-aligned benchmarks or EU Climate Transition benchmarks as set out in the Regulation (EU) 2019/2089.</w:t>
      </w:r>
    </w:p>
    <w:p w14:paraId="6B514405" w14:textId="77777777" w:rsidR="009476B5" w:rsidRDefault="009476B5" w:rsidP="009476B5">
      <w:pPr>
        <w:spacing w:line="280" w:lineRule="atLeast"/>
        <w:ind w:firstLine="360"/>
        <w:jc w:val="both"/>
        <w:rPr>
          <w:rFonts w:ascii="Gill Sans MT" w:hAnsi="Gill Sans MT"/>
          <w:sz w:val="21"/>
          <w:lang w:val="en-US"/>
        </w:rPr>
      </w:pPr>
    </w:p>
    <w:p w14:paraId="27AB5DC4" w14:textId="77777777" w:rsidR="009476B5" w:rsidRPr="009A689C" w:rsidRDefault="009476B5" w:rsidP="009476B5">
      <w:pPr>
        <w:spacing w:line="280" w:lineRule="atLeast"/>
        <w:ind w:firstLine="360"/>
        <w:jc w:val="both"/>
        <w:rPr>
          <w:rFonts w:ascii="Gill Sans MT" w:hAnsi="Gill Sans MT"/>
          <w:sz w:val="21"/>
          <w:lang w:val="en-US"/>
        </w:rPr>
      </w:pPr>
      <w:r w:rsidRPr="009A689C">
        <w:rPr>
          <w:rFonts w:ascii="Gill Sans MT" w:hAnsi="Gill Sans MT"/>
          <w:sz w:val="21"/>
          <w:lang w:val="en-US"/>
        </w:rPr>
        <w:t xml:space="preserve">We have the following comments on this recital: </w:t>
      </w:r>
    </w:p>
    <w:p w14:paraId="7438FC0C" w14:textId="77777777" w:rsidR="009476B5" w:rsidRDefault="009476B5" w:rsidP="009476B5">
      <w:pPr>
        <w:pStyle w:val="Lijstalinea"/>
        <w:numPr>
          <w:ilvl w:val="0"/>
          <w:numId w:val="41"/>
        </w:numPr>
        <w:spacing w:line="280" w:lineRule="atLeast"/>
        <w:ind w:left="720"/>
        <w:jc w:val="both"/>
        <w:rPr>
          <w:rFonts w:ascii="Gill Sans MT" w:hAnsi="Gill Sans MT"/>
          <w:sz w:val="21"/>
          <w:lang w:val="en-US"/>
        </w:rPr>
      </w:pPr>
      <w:r w:rsidRPr="00FA363B">
        <w:rPr>
          <w:rFonts w:ascii="Gill Sans MT" w:hAnsi="Gill Sans MT"/>
          <w:sz w:val="21"/>
          <w:lang w:val="en-US"/>
        </w:rPr>
        <w:t>We believe this recital contradicts with the ratio of the amended Benchmark Regulation (EU/2019/2089) in which CTB and PAB are introduced</w:t>
      </w:r>
      <w:r>
        <w:rPr>
          <w:rFonts w:ascii="Gill Sans MT" w:hAnsi="Gill Sans MT"/>
          <w:sz w:val="21"/>
          <w:lang w:val="en-US"/>
        </w:rPr>
        <w:t xml:space="preserve">. Therefore we suggest to </w:t>
      </w:r>
      <w:r w:rsidRPr="00FA363B">
        <w:rPr>
          <w:rFonts w:ascii="Gill Sans MT" w:hAnsi="Gill Sans MT"/>
          <w:sz w:val="21"/>
          <w:lang w:val="en-US"/>
        </w:rPr>
        <w:t>remove</w:t>
      </w:r>
      <w:r>
        <w:rPr>
          <w:rFonts w:ascii="Gill Sans MT" w:hAnsi="Gill Sans MT"/>
          <w:sz w:val="21"/>
          <w:lang w:val="en-US"/>
        </w:rPr>
        <w:t xml:space="preserve"> this recital</w:t>
      </w:r>
      <w:r w:rsidRPr="00FA363B">
        <w:rPr>
          <w:rFonts w:ascii="Gill Sans MT" w:hAnsi="Gill Sans MT"/>
          <w:sz w:val="21"/>
          <w:lang w:val="en-US"/>
        </w:rPr>
        <w:t>. The EU PAB/CTB were introduced to give more clarity/assurance to investors who want to align their investments with the objectives of the Paris Agreement. It’s not that the amended BMR inten</w:t>
      </w:r>
      <w:r>
        <w:rPr>
          <w:rFonts w:ascii="Gill Sans MT" w:hAnsi="Gill Sans MT"/>
          <w:sz w:val="21"/>
          <w:lang w:val="en-US"/>
        </w:rPr>
        <w:t>tion</w:t>
      </w:r>
      <w:r w:rsidRPr="00FA363B">
        <w:rPr>
          <w:rFonts w:ascii="Gill Sans MT" w:hAnsi="Gill Sans MT"/>
          <w:sz w:val="21"/>
          <w:lang w:val="en-US"/>
        </w:rPr>
        <w:t xml:space="preserve"> to stop administrators to call their benchmarks ‘low carbon’</w:t>
      </w:r>
      <w:r>
        <w:rPr>
          <w:rFonts w:ascii="Gill Sans MT" w:hAnsi="Gill Sans MT"/>
          <w:sz w:val="21"/>
          <w:lang w:val="en-US"/>
        </w:rPr>
        <w:t>, irrespective from the t</w:t>
      </w:r>
      <w:r w:rsidRPr="00FA363B">
        <w:rPr>
          <w:rFonts w:ascii="Gill Sans MT" w:hAnsi="Gill Sans MT"/>
          <w:sz w:val="21"/>
          <w:lang w:val="en-US"/>
        </w:rPr>
        <w:t>ransparen</w:t>
      </w:r>
      <w:r>
        <w:rPr>
          <w:rFonts w:ascii="Gill Sans MT" w:hAnsi="Gill Sans MT"/>
          <w:sz w:val="21"/>
          <w:lang w:val="en-US"/>
        </w:rPr>
        <w:t xml:space="preserve">cy obligation; and </w:t>
      </w:r>
    </w:p>
    <w:p w14:paraId="492A3C04" w14:textId="77777777" w:rsidR="009476B5" w:rsidRPr="00FA363B" w:rsidRDefault="009476B5" w:rsidP="009476B5">
      <w:pPr>
        <w:pStyle w:val="Lijstalinea"/>
        <w:spacing w:line="280" w:lineRule="atLeast"/>
        <w:ind w:left="1080"/>
        <w:rPr>
          <w:rFonts w:ascii="Gill Sans MT" w:hAnsi="Gill Sans MT"/>
          <w:sz w:val="21"/>
          <w:lang w:val="en-US"/>
        </w:rPr>
      </w:pPr>
    </w:p>
    <w:p w14:paraId="744D2F68" w14:textId="77777777" w:rsidR="009476B5" w:rsidRPr="00FA363B" w:rsidRDefault="009476B5" w:rsidP="009476B5">
      <w:pPr>
        <w:pStyle w:val="Lijstalinea"/>
        <w:numPr>
          <w:ilvl w:val="0"/>
          <w:numId w:val="41"/>
        </w:numPr>
        <w:spacing w:line="280" w:lineRule="atLeast"/>
        <w:ind w:left="720"/>
        <w:jc w:val="both"/>
        <w:rPr>
          <w:rFonts w:ascii="Gill Sans MT" w:hAnsi="Gill Sans MT"/>
          <w:sz w:val="21"/>
          <w:lang w:val="en-US"/>
        </w:rPr>
      </w:pPr>
      <w:r>
        <w:rPr>
          <w:rFonts w:ascii="Gill Sans MT" w:hAnsi="Gill Sans MT"/>
          <w:sz w:val="21"/>
          <w:lang w:val="en-US"/>
        </w:rPr>
        <w:t xml:space="preserve">We believe that </w:t>
      </w:r>
      <w:r w:rsidRPr="00FA363B">
        <w:rPr>
          <w:rFonts w:ascii="Gill Sans MT" w:hAnsi="Gill Sans MT"/>
          <w:sz w:val="21"/>
          <w:lang w:val="en-US"/>
        </w:rPr>
        <w:t xml:space="preserve">ESAs should not disregard the importance of the various existing low carbon benchmarks, all with their own characteristics and objectives, which are very instrumental for products managed by market participants. </w:t>
      </w:r>
      <w:r>
        <w:rPr>
          <w:rFonts w:ascii="Gill Sans MT" w:hAnsi="Gill Sans MT"/>
          <w:sz w:val="21"/>
          <w:lang w:val="en-US"/>
        </w:rPr>
        <w:t xml:space="preserve">Provided, </w:t>
      </w:r>
      <w:r w:rsidRPr="0077343B">
        <w:rPr>
          <w:rFonts w:ascii="Gill Sans MT" w:hAnsi="Gill Sans MT"/>
          <w:sz w:val="21"/>
          <w:lang w:val="en-US"/>
        </w:rPr>
        <w:t>it is very clear and transparent how these benchmarks compare against the EU climate benchmarks</w:t>
      </w:r>
      <w:r>
        <w:rPr>
          <w:rFonts w:ascii="Gill Sans MT" w:hAnsi="Gill Sans MT"/>
          <w:sz w:val="21"/>
          <w:lang w:val="en-US"/>
        </w:rPr>
        <w:t xml:space="preserve"> in order to avoid </w:t>
      </w:r>
      <w:r w:rsidRPr="0077343B">
        <w:rPr>
          <w:rFonts w:ascii="Gill Sans MT" w:hAnsi="Gill Sans MT"/>
          <w:sz w:val="21"/>
          <w:lang w:val="en-US"/>
        </w:rPr>
        <w:t>the risk of greenwashing.</w:t>
      </w:r>
      <w:r>
        <w:rPr>
          <w:rFonts w:ascii="Gill Sans MT" w:hAnsi="Gill Sans MT"/>
          <w:sz w:val="21"/>
          <w:lang w:val="en-US"/>
        </w:rPr>
        <w:t xml:space="preserve"> </w:t>
      </w:r>
      <w:r w:rsidRPr="00FA363B">
        <w:rPr>
          <w:rFonts w:ascii="Gill Sans MT" w:hAnsi="Gill Sans MT"/>
          <w:sz w:val="21"/>
          <w:lang w:val="en-US"/>
        </w:rPr>
        <w:t>The fact that (</w:t>
      </w:r>
      <w:proofErr w:type="spellStart"/>
      <w:r w:rsidRPr="00FA363B">
        <w:rPr>
          <w:rFonts w:ascii="Gill Sans MT" w:hAnsi="Gill Sans MT"/>
          <w:sz w:val="21"/>
          <w:lang w:val="en-US"/>
        </w:rPr>
        <w:t>i</w:t>
      </w:r>
      <w:proofErr w:type="spellEnd"/>
      <w:r w:rsidRPr="00FA363B">
        <w:rPr>
          <w:rFonts w:ascii="Gill Sans MT" w:hAnsi="Gill Sans MT"/>
          <w:sz w:val="21"/>
          <w:lang w:val="en-US"/>
        </w:rPr>
        <w:t xml:space="preserve">) art 27(2) amended BMR requires administrators for each benchmarks to disclose their targeted carbon reduction emissions by 31 Dec 2021 and (ii) the Delegated Regulation on ESG disclosures in the benchmark statement (Annex, Section 3) additionally requires significant </w:t>
      </w:r>
      <w:r>
        <w:rPr>
          <w:rFonts w:ascii="Gill Sans MT" w:hAnsi="Gill Sans MT"/>
          <w:sz w:val="21"/>
          <w:lang w:val="en-US"/>
        </w:rPr>
        <w:t>e</w:t>
      </w:r>
      <w:r w:rsidRPr="00FA363B">
        <w:rPr>
          <w:rFonts w:ascii="Gill Sans MT" w:hAnsi="Gill Sans MT"/>
          <w:sz w:val="21"/>
          <w:lang w:val="en-US"/>
        </w:rPr>
        <w:t xml:space="preserve">quity and bond </w:t>
      </w:r>
      <w:r>
        <w:rPr>
          <w:rFonts w:ascii="Gill Sans MT" w:hAnsi="Gill Sans MT"/>
          <w:sz w:val="21"/>
          <w:lang w:val="en-US"/>
        </w:rPr>
        <w:t>b</w:t>
      </w:r>
      <w:r w:rsidRPr="00FA363B">
        <w:rPr>
          <w:rFonts w:ascii="Gill Sans MT" w:hAnsi="Gill Sans MT"/>
          <w:sz w:val="21"/>
          <w:lang w:val="en-US"/>
        </w:rPr>
        <w:t>enchmarks to disclose on their alignment with PAB minimum requirements, proves that there is still plenty of scope for benchmarks to have low carbon objectives, without qualifying as a CTB/PAB, and, subsequently, to be used by provider of financial products with low carbon objectives.</w:t>
      </w:r>
    </w:p>
    <w:p w14:paraId="50208D56" w14:textId="77777777" w:rsidR="009476B5" w:rsidRPr="00FA363B" w:rsidRDefault="009476B5" w:rsidP="009476B5">
      <w:pPr>
        <w:pStyle w:val="Lijstalinea"/>
        <w:spacing w:line="280" w:lineRule="atLeast"/>
        <w:rPr>
          <w:rFonts w:ascii="Gill Sans MT" w:hAnsi="Gill Sans MT"/>
          <w:b/>
          <w:bCs/>
          <w:sz w:val="21"/>
          <w:lang w:val="en-US"/>
        </w:rPr>
      </w:pPr>
    </w:p>
    <w:p w14:paraId="0BDAED18" w14:textId="63579DE9" w:rsidR="009476B5" w:rsidRDefault="009476B5" w:rsidP="009476B5">
      <w:pPr>
        <w:spacing w:line="280" w:lineRule="atLeast"/>
        <w:jc w:val="both"/>
        <w:rPr>
          <w:rFonts w:ascii="Gill Sans MT" w:hAnsi="Gill Sans MT"/>
          <w:sz w:val="21"/>
          <w:lang w:val="en-US"/>
        </w:rPr>
      </w:pPr>
      <w:r w:rsidRPr="00350289">
        <w:rPr>
          <w:rFonts w:ascii="Gill Sans MT" w:hAnsi="Gill Sans MT"/>
          <w:sz w:val="21"/>
          <w:u w:val="single"/>
          <w:lang w:val="en-US"/>
        </w:rPr>
        <w:lastRenderedPageBreak/>
        <w:t>Costs of implementation:</w:t>
      </w:r>
      <w:r w:rsidRPr="00C323A6">
        <w:rPr>
          <w:rFonts w:ascii="Gill Sans MT" w:hAnsi="Gill Sans MT"/>
          <w:sz w:val="21"/>
          <w:lang w:val="en-US"/>
        </w:rPr>
        <w:t xml:space="preserve"> </w:t>
      </w:r>
      <w:r w:rsidRPr="00106F5C">
        <w:rPr>
          <w:lang w:val="en-US"/>
        </w:rPr>
        <w:t xml:space="preserve"> </w:t>
      </w:r>
      <w:r w:rsidRPr="00C323A6">
        <w:rPr>
          <w:rFonts w:ascii="Gill Sans MT" w:hAnsi="Gill Sans MT"/>
          <w:sz w:val="21"/>
          <w:lang w:val="en-US"/>
        </w:rPr>
        <w:t xml:space="preserve">It is hard to assess what the costs of implementation will be at this stage. A substantial number of data is not available yet, therefore the costs are hard to estimate. However, we do believe overall that the costs </w:t>
      </w:r>
      <w:r>
        <w:rPr>
          <w:rFonts w:ascii="Gill Sans MT" w:hAnsi="Gill Sans MT"/>
          <w:sz w:val="21"/>
          <w:lang w:val="en-US"/>
        </w:rPr>
        <w:t>may</w:t>
      </w:r>
      <w:r w:rsidRPr="00C323A6">
        <w:rPr>
          <w:rFonts w:ascii="Gill Sans MT" w:hAnsi="Gill Sans MT"/>
          <w:sz w:val="21"/>
          <w:lang w:val="en-US"/>
        </w:rPr>
        <w:t xml:space="preserve"> go beyond the costs estimates as indicated by the ESAs in their consultation paper amounting between EUR 80</w:t>
      </w:r>
      <w:r w:rsidR="00B76A6C">
        <w:rPr>
          <w:rFonts w:ascii="Gill Sans MT" w:hAnsi="Gill Sans MT"/>
          <w:sz w:val="21"/>
          <w:lang w:val="en-US"/>
        </w:rPr>
        <w:t>,</w:t>
      </w:r>
      <w:r w:rsidRPr="00C323A6">
        <w:rPr>
          <w:rFonts w:ascii="Gill Sans MT" w:hAnsi="Gill Sans MT"/>
          <w:sz w:val="21"/>
          <w:lang w:val="en-US"/>
        </w:rPr>
        <w:t>000 and EUR 200</w:t>
      </w:r>
      <w:r w:rsidR="00B76A6C">
        <w:rPr>
          <w:rFonts w:ascii="Gill Sans MT" w:hAnsi="Gill Sans MT"/>
          <w:sz w:val="21"/>
          <w:lang w:val="en-US"/>
        </w:rPr>
        <w:t>,</w:t>
      </w:r>
      <w:r w:rsidRPr="00C323A6">
        <w:rPr>
          <w:rFonts w:ascii="Gill Sans MT" w:hAnsi="Gill Sans MT"/>
          <w:sz w:val="21"/>
          <w:lang w:val="en-US"/>
        </w:rPr>
        <w:t xml:space="preserve">000. Costs </w:t>
      </w:r>
      <w:r>
        <w:rPr>
          <w:rFonts w:ascii="Gill Sans MT" w:hAnsi="Gill Sans MT"/>
          <w:sz w:val="21"/>
          <w:lang w:val="en-US"/>
        </w:rPr>
        <w:t>may</w:t>
      </w:r>
      <w:r w:rsidRPr="00C323A6">
        <w:rPr>
          <w:rFonts w:ascii="Gill Sans MT" w:hAnsi="Gill Sans MT"/>
          <w:sz w:val="21"/>
          <w:lang w:val="en-US"/>
        </w:rPr>
        <w:t xml:space="preserve"> be considerable higher as a result of inter alia (</w:t>
      </w:r>
      <w:proofErr w:type="spellStart"/>
      <w:r w:rsidRPr="00C323A6">
        <w:rPr>
          <w:rFonts w:ascii="Gill Sans MT" w:hAnsi="Gill Sans MT"/>
          <w:sz w:val="21"/>
          <w:lang w:val="en-US"/>
        </w:rPr>
        <w:t>i</w:t>
      </w:r>
      <w:proofErr w:type="spellEnd"/>
      <w:r w:rsidRPr="00C323A6">
        <w:rPr>
          <w:rFonts w:ascii="Gill Sans MT" w:hAnsi="Gill Sans MT"/>
          <w:sz w:val="21"/>
          <w:lang w:val="en-US"/>
        </w:rPr>
        <w:t>) the acquisition of external data from data vendors, (ii) additional internal research and engagement with companies, but also (iii) costs of implementation of SFDR</w:t>
      </w:r>
      <w:r>
        <w:rPr>
          <w:rFonts w:ascii="Gill Sans MT" w:hAnsi="Gill Sans MT"/>
          <w:sz w:val="21"/>
          <w:lang w:val="en-US"/>
        </w:rPr>
        <w:t xml:space="preserve">, </w:t>
      </w:r>
      <w:r>
        <w:rPr>
          <w:rFonts w:ascii="Gill Sans MT" w:hAnsi="Gill Sans MT" w:cs="Arial"/>
          <w:sz w:val="21"/>
          <w:szCs w:val="20"/>
          <w:lang w:val="en-US"/>
        </w:rPr>
        <w:t>which includes all internal FTEs who are engaged and consulted,</w:t>
      </w:r>
      <w:r w:rsidRPr="00C323A6">
        <w:rPr>
          <w:rFonts w:ascii="Gill Sans MT" w:hAnsi="Gill Sans MT"/>
          <w:sz w:val="21"/>
          <w:lang w:val="en-US"/>
        </w:rPr>
        <w:t xml:space="preserve"> and (iv) at least annually maintaining obligations under the SFDR, such as periodic reporting. However, needless to say the costs will also depend on final obligations under the SFDR RTS. </w:t>
      </w:r>
      <w:r>
        <w:rPr>
          <w:rFonts w:ascii="Gill Sans MT" w:hAnsi="Gill Sans MT"/>
          <w:sz w:val="21"/>
          <w:lang w:val="en-US"/>
        </w:rPr>
        <w:t xml:space="preserve">Where at the long run the EU wide ESG database will be established, we obviously anticipate that that will definitely contribute in lowering the costs of compliancy with SFDR.  </w:t>
      </w:r>
    </w:p>
    <w:p w14:paraId="68C664D1" w14:textId="77777777" w:rsidR="009476B5" w:rsidRDefault="009476B5" w:rsidP="009476B5">
      <w:pPr>
        <w:spacing w:line="280" w:lineRule="atLeast"/>
        <w:jc w:val="both"/>
        <w:rPr>
          <w:rFonts w:ascii="Gill Sans MT" w:hAnsi="Gill Sans MT"/>
          <w:sz w:val="21"/>
          <w:lang w:val="en-US"/>
        </w:rPr>
      </w:pPr>
    </w:p>
    <w:p w14:paraId="1E16A17C" w14:textId="77777777" w:rsidR="009476B5" w:rsidRPr="00426F6A" w:rsidRDefault="009476B5" w:rsidP="009476B5">
      <w:pPr>
        <w:spacing w:line="280" w:lineRule="atLeast"/>
        <w:jc w:val="both"/>
        <w:rPr>
          <w:rFonts w:ascii="Gill Sans MT" w:hAnsi="Gill Sans MT"/>
          <w:sz w:val="21"/>
          <w:lang w:val="en-US"/>
        </w:rPr>
      </w:pPr>
      <w:r w:rsidRPr="00606AB5">
        <w:rPr>
          <w:rFonts w:ascii="Gill Sans MT" w:hAnsi="Gill Sans MT"/>
          <w:sz w:val="21"/>
          <w:u w:val="single"/>
          <w:lang w:val="en-US"/>
        </w:rPr>
        <w:t>Timing</w:t>
      </w:r>
      <w:r>
        <w:rPr>
          <w:rFonts w:ascii="Gill Sans MT" w:hAnsi="Gill Sans MT"/>
          <w:sz w:val="21"/>
          <w:lang w:val="en-US"/>
        </w:rPr>
        <w:t xml:space="preserve">: we do foresee timing issues for complying with the SFDR in due course, particularly as we anticipate that the </w:t>
      </w:r>
      <w:bookmarkStart w:id="4" w:name="_Hlk45284347"/>
      <w:r>
        <w:rPr>
          <w:rFonts w:ascii="Gill Sans MT" w:hAnsi="Gill Sans MT"/>
          <w:sz w:val="21"/>
          <w:lang w:val="en-US"/>
        </w:rPr>
        <w:t xml:space="preserve">RTS will not be final before beginning 2021, and there is a strong interdependency with other pieces of legislation, including but not limited to the NFRD review, the taxonomy, all that follow a different time path than the SFDR. The sequence of the implementation of the various pieces of EU sustainable finance legislation also affect eventually the impact on costs for financial market participants and financial advisors.  In other words, implementation of SFDR as per 10 March 2021 </w:t>
      </w:r>
      <w:bookmarkEnd w:id="4"/>
      <w:r>
        <w:rPr>
          <w:rFonts w:ascii="Gill Sans MT" w:hAnsi="Gill Sans MT"/>
          <w:sz w:val="21"/>
          <w:lang w:val="en-US"/>
        </w:rPr>
        <w:t xml:space="preserve">will continue on the following years, not only because some different timelines already envisaged in the SFDR, but also because of evolving developments on </w:t>
      </w:r>
      <w:r>
        <w:rPr>
          <w:rFonts w:ascii="Gill Sans MT" w:hAnsi="Gill Sans MT"/>
          <w:i/>
          <w:iCs/>
          <w:sz w:val="21"/>
          <w:lang w:val="en-US"/>
        </w:rPr>
        <w:t xml:space="preserve">inter alia </w:t>
      </w:r>
      <w:r>
        <w:rPr>
          <w:rFonts w:ascii="Gill Sans MT" w:hAnsi="Gill Sans MT"/>
          <w:sz w:val="21"/>
          <w:lang w:val="en-US"/>
        </w:rPr>
        <w:t xml:space="preserve">the taxonomy and NFRD. </w:t>
      </w:r>
    </w:p>
    <w:p w14:paraId="653DD9AD" w14:textId="77777777" w:rsidR="009476B5" w:rsidRPr="00C323A6" w:rsidRDefault="009476B5" w:rsidP="009476B5">
      <w:pPr>
        <w:spacing w:line="280" w:lineRule="atLeast"/>
        <w:jc w:val="both"/>
        <w:rPr>
          <w:rFonts w:ascii="Gill Sans MT" w:hAnsi="Gill Sans MT" w:cs="Arial"/>
          <w:bCs/>
          <w:color w:val="000000"/>
          <w:sz w:val="21"/>
          <w:szCs w:val="28"/>
          <w:lang w:val="en-US"/>
        </w:rPr>
      </w:pPr>
    </w:p>
    <w:p w14:paraId="10D4B491" w14:textId="77777777" w:rsidR="009476B5" w:rsidRPr="00703577" w:rsidRDefault="009476B5" w:rsidP="009476B5">
      <w:pPr>
        <w:rPr>
          <w:rFonts w:ascii="Gill Sans MT" w:hAnsi="Gill Sans MT" w:cs="Arial"/>
          <w:bCs/>
          <w:color w:val="000000"/>
          <w:sz w:val="21"/>
          <w:szCs w:val="28"/>
          <w:lang w:val="en-US"/>
        </w:rPr>
      </w:pPr>
      <w:r w:rsidRPr="00703577">
        <w:rPr>
          <w:rFonts w:ascii="Gill Sans MT" w:hAnsi="Gill Sans MT" w:cs="Arial"/>
          <w:bCs/>
          <w:color w:val="000000"/>
          <w:sz w:val="21"/>
          <w:szCs w:val="28"/>
          <w:lang w:val="en-US"/>
        </w:rPr>
        <w:t>D</w:t>
      </w:r>
      <w:r>
        <w:rPr>
          <w:rFonts w:ascii="Gill Sans MT" w:hAnsi="Gill Sans MT" w:cs="Arial"/>
          <w:bCs/>
          <w:color w:val="000000"/>
          <w:sz w:val="21"/>
          <w:szCs w:val="28"/>
          <w:lang w:val="en-US"/>
        </w:rPr>
        <w:t>UFAS</w:t>
      </w:r>
      <w:r w:rsidRPr="00703577">
        <w:rPr>
          <w:rFonts w:ascii="Gill Sans MT" w:hAnsi="Gill Sans MT" w:cs="Arial"/>
          <w:bCs/>
          <w:color w:val="000000"/>
          <w:sz w:val="21"/>
          <w:szCs w:val="28"/>
          <w:lang w:val="en-US"/>
        </w:rPr>
        <w:t xml:space="preserve">, </w:t>
      </w:r>
      <w:r>
        <w:rPr>
          <w:rFonts w:ascii="Gill Sans MT" w:hAnsi="Gill Sans MT" w:cs="Arial"/>
          <w:bCs/>
          <w:color w:val="000000"/>
          <w:sz w:val="21"/>
          <w:szCs w:val="28"/>
          <w:lang w:val="en-US"/>
        </w:rPr>
        <w:t>1 September</w:t>
      </w:r>
      <w:r w:rsidRPr="00703577">
        <w:rPr>
          <w:rFonts w:ascii="Gill Sans MT" w:hAnsi="Gill Sans MT" w:cs="Arial"/>
          <w:bCs/>
          <w:color w:val="000000"/>
          <w:sz w:val="21"/>
          <w:szCs w:val="28"/>
          <w:lang w:val="en-US"/>
        </w:rPr>
        <w:t xml:space="preserve"> 2020</w:t>
      </w:r>
    </w:p>
    <w:p w14:paraId="4B1FD5AC" w14:textId="77777777" w:rsidR="009476B5" w:rsidRPr="00703577" w:rsidRDefault="009476B5" w:rsidP="009476B5">
      <w:pPr>
        <w:spacing w:line="280" w:lineRule="atLeast"/>
        <w:rPr>
          <w:rFonts w:ascii="Gill Sans MT" w:hAnsi="Gill Sans MT" w:cs="Arial"/>
          <w:bCs/>
          <w:i/>
          <w:color w:val="000000"/>
          <w:sz w:val="21"/>
          <w:szCs w:val="28"/>
          <w:lang w:val="en-US"/>
        </w:rPr>
      </w:pPr>
    </w:p>
    <w:p w14:paraId="1F550DC4" w14:textId="77777777" w:rsidR="009476B5" w:rsidRPr="00703577" w:rsidRDefault="009476B5" w:rsidP="009476B5">
      <w:pPr>
        <w:spacing w:line="280" w:lineRule="atLeast"/>
        <w:rPr>
          <w:rFonts w:ascii="Gill Sans MT" w:hAnsi="Gill Sans MT" w:cs="Arial"/>
          <w:bCs/>
          <w:i/>
          <w:color w:val="000000"/>
          <w:sz w:val="21"/>
          <w:szCs w:val="28"/>
          <w:lang w:val="en-US"/>
        </w:rPr>
      </w:pPr>
      <w:r w:rsidRPr="00703577">
        <w:rPr>
          <w:rFonts w:ascii="Gill Sans MT" w:hAnsi="Gill Sans MT" w:cs="Arial"/>
          <w:bCs/>
          <w:i/>
          <w:color w:val="000000"/>
          <w:sz w:val="21"/>
          <w:szCs w:val="28"/>
          <w:lang w:val="en-US"/>
        </w:rPr>
        <w:t xml:space="preserve">Mr. Randy Pattiselanno, </w:t>
      </w:r>
    </w:p>
    <w:p w14:paraId="2DB3BF5B" w14:textId="77777777" w:rsidR="000F4811" w:rsidRDefault="009476B5" w:rsidP="000F4811">
      <w:pPr>
        <w:rPr>
          <w:rFonts w:ascii="Gill Sans MT" w:hAnsi="Gill Sans MT" w:cs="Arial"/>
          <w:bCs/>
          <w:i/>
          <w:color w:val="000000"/>
          <w:sz w:val="21"/>
          <w:szCs w:val="28"/>
          <w:lang w:val="en-US"/>
        </w:rPr>
      </w:pPr>
      <w:r w:rsidRPr="00703577">
        <w:rPr>
          <w:rFonts w:ascii="Gill Sans MT" w:hAnsi="Gill Sans MT" w:cs="Arial"/>
          <w:bCs/>
          <w:i/>
          <w:color w:val="000000"/>
          <w:sz w:val="21"/>
          <w:szCs w:val="28"/>
          <w:lang w:val="en-US"/>
        </w:rPr>
        <w:t>Manager Strategy &amp; Regulatory Affairs</w:t>
      </w:r>
      <w:r w:rsidR="000F4811" w:rsidRPr="000F4811">
        <w:rPr>
          <w:rFonts w:ascii="Gill Sans MT" w:hAnsi="Gill Sans MT" w:cs="Arial"/>
          <w:bCs/>
          <w:i/>
          <w:color w:val="000000"/>
          <w:sz w:val="21"/>
          <w:szCs w:val="28"/>
          <w:lang w:val="en-US"/>
        </w:rPr>
        <w:t xml:space="preserve"> </w:t>
      </w:r>
    </w:p>
    <w:p w14:paraId="3664A530" w14:textId="77777777" w:rsidR="00863B88" w:rsidRDefault="00863B88" w:rsidP="000F4811">
      <w:pPr>
        <w:rPr>
          <w:rFonts w:ascii="Gill Sans MT" w:hAnsi="Gill Sans MT" w:cs="Arial"/>
          <w:bCs/>
          <w:i/>
          <w:color w:val="000000"/>
          <w:sz w:val="21"/>
          <w:szCs w:val="28"/>
          <w:lang w:val="en-US"/>
        </w:rPr>
      </w:pPr>
    </w:p>
    <w:p w14:paraId="6A3CB061" w14:textId="044B7556" w:rsidR="00B327E9" w:rsidRPr="00863B88" w:rsidRDefault="000F4811" w:rsidP="00B327E9">
      <w:pPr>
        <w:rPr>
          <w:lang w:val="it-IT"/>
        </w:rPr>
      </w:pPr>
      <w:r w:rsidRPr="00863B88">
        <w:rPr>
          <w:rFonts w:ascii="Gill Sans MT" w:hAnsi="Gill Sans MT" w:cs="Arial"/>
          <w:bCs/>
          <w:i/>
          <w:color w:val="000000"/>
          <w:sz w:val="21"/>
          <w:szCs w:val="28"/>
          <w:lang w:val="it-IT"/>
        </w:rPr>
        <w:t>E-mail: rp@dufas.nl</w:t>
      </w:r>
    </w:p>
    <w:permEnd w:id="411981036"/>
    <w:p w14:paraId="6A3CB062" w14:textId="67968787" w:rsidR="00B327E9" w:rsidRPr="00BF28DA" w:rsidRDefault="00B327E9" w:rsidP="00B327E9">
      <w:r w:rsidRPr="00BF28DA">
        <w:t>&lt;ESA_COMMENT_</w:t>
      </w:r>
      <w:r w:rsidR="00C86E1C">
        <w:rPr>
          <w:rStyle w:val="Subtielebenadrukking"/>
          <w:b w:val="0"/>
          <w:sz w:val="22"/>
        </w:rPr>
        <w:t>ESG</w:t>
      </w:r>
      <w:r w:rsidR="000A58BE">
        <w:t>_</w:t>
      </w:r>
      <w:r w:rsidRPr="00BF28DA">
        <w:t>1&gt;</w:t>
      </w:r>
    </w:p>
    <w:p w14:paraId="6A3CB063" w14:textId="77777777" w:rsidR="00F31E57" w:rsidRPr="00BF28DA" w:rsidRDefault="00F31E57" w:rsidP="00D34282"/>
    <w:p w14:paraId="741317CF" w14:textId="5D0A042A" w:rsidR="003E573C" w:rsidRDefault="00F31E57" w:rsidP="003E573C">
      <w:pPr>
        <w:pStyle w:val="Questionstyle"/>
        <w:numPr>
          <w:ilvl w:val="0"/>
          <w:numId w:val="39"/>
        </w:numPr>
      </w:pPr>
      <w:r w:rsidRPr="0075015C">
        <w:br w:type="page"/>
      </w:r>
      <w:r w:rsidR="003E573C">
        <w:lastRenderedPageBreak/>
        <w:t xml:space="preserve">: </w:t>
      </w:r>
      <w:r w:rsidR="00D5594A" w:rsidRPr="00D5594A">
        <w:t>Do you agree with the approach proposed in Chapter II and Annex I – where the indicators in Table 1 always lead to principal adverse impacts irrespective of the value of the metrics, requiring consistent disclosure, and the indicators in Table 2 and 3 are subject to an “opt-in” regime for disclosure?</w:t>
      </w:r>
      <w:r w:rsidR="003E573C" w:rsidRPr="00763760">
        <w:t>?</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7BCE5397" w14:textId="77777777" w:rsidR="00C10439" w:rsidRDefault="00C10439" w:rsidP="00C10439">
      <w:pPr>
        <w:spacing w:line="280" w:lineRule="atLeast"/>
        <w:jc w:val="both"/>
        <w:rPr>
          <w:rFonts w:ascii="Gill Sans MT" w:hAnsi="Gill Sans MT"/>
          <w:sz w:val="21"/>
          <w:lang w:val="en-US"/>
        </w:rPr>
      </w:pPr>
      <w:permStart w:id="1221819945" w:edGrp="everyone"/>
      <w:r>
        <w:rPr>
          <w:rFonts w:ascii="Gill Sans MT" w:hAnsi="Gill Sans MT"/>
          <w:sz w:val="21"/>
          <w:lang w:val="en-US"/>
        </w:rPr>
        <w:t xml:space="preserve">DUFAS acknowledges that Annex I Table 1 is quite comprehensive. </w:t>
      </w:r>
      <w:r w:rsidRPr="00CE5172">
        <w:rPr>
          <w:rFonts w:ascii="Gill Sans MT" w:hAnsi="Gill Sans MT"/>
          <w:sz w:val="21"/>
          <w:lang w:val="en-US"/>
        </w:rPr>
        <w:t>DUFAS sees merit in using a number of indicators as included in Annex I Table 1 of the draft RTS for the purposes of disclosing principal adverse impact on entity level</w:t>
      </w:r>
      <w:r>
        <w:rPr>
          <w:rFonts w:ascii="Gill Sans MT" w:hAnsi="Gill Sans MT"/>
          <w:sz w:val="21"/>
          <w:lang w:val="en-US"/>
        </w:rPr>
        <w:t xml:space="preserve"> of fund level as the case may be. A. </w:t>
      </w:r>
    </w:p>
    <w:p w14:paraId="1FA3C647" w14:textId="77777777" w:rsidR="00C10439" w:rsidRDefault="00C10439" w:rsidP="00C10439">
      <w:pPr>
        <w:spacing w:line="280" w:lineRule="atLeast"/>
        <w:jc w:val="both"/>
        <w:rPr>
          <w:rFonts w:ascii="Gill Sans MT" w:hAnsi="Gill Sans MT"/>
          <w:sz w:val="21"/>
          <w:lang w:val="en-US"/>
        </w:rPr>
      </w:pPr>
    </w:p>
    <w:p w14:paraId="3569B314" w14:textId="09A525B2" w:rsidR="00C10439" w:rsidRDefault="00C10439" w:rsidP="00C10439">
      <w:pPr>
        <w:spacing w:line="280" w:lineRule="atLeast"/>
        <w:jc w:val="both"/>
        <w:rPr>
          <w:rFonts w:ascii="Gill Sans MT" w:hAnsi="Gill Sans MT"/>
          <w:sz w:val="21"/>
          <w:lang w:val="en-US"/>
        </w:rPr>
      </w:pPr>
      <w:r w:rsidRPr="008D7447">
        <w:rPr>
          <w:rFonts w:ascii="Gill Sans MT" w:hAnsi="Gill Sans MT"/>
          <w:sz w:val="21"/>
          <w:lang w:val="en-US"/>
        </w:rPr>
        <w:t>However, we have the following principal comments on the proposed approach and the listed indicators</w:t>
      </w:r>
    </w:p>
    <w:p w14:paraId="37EFE807" w14:textId="77777777" w:rsidR="00C10439" w:rsidRPr="008D7447" w:rsidRDefault="00C10439" w:rsidP="00C10439">
      <w:pPr>
        <w:spacing w:line="280" w:lineRule="atLeast"/>
        <w:jc w:val="both"/>
        <w:rPr>
          <w:rFonts w:ascii="Gill Sans MT" w:hAnsi="Gill Sans MT"/>
          <w:sz w:val="21"/>
          <w:lang w:val="en-US"/>
        </w:rPr>
      </w:pPr>
    </w:p>
    <w:p w14:paraId="3307DD69" w14:textId="77777777" w:rsidR="00C10439" w:rsidRPr="001C4852" w:rsidRDefault="00C10439" w:rsidP="00C10439">
      <w:pPr>
        <w:pStyle w:val="Lijstalinea"/>
        <w:numPr>
          <w:ilvl w:val="0"/>
          <w:numId w:val="43"/>
        </w:numPr>
        <w:spacing w:after="160" w:line="280" w:lineRule="atLeast"/>
        <w:jc w:val="both"/>
        <w:rPr>
          <w:rFonts w:ascii="Gill Sans MT" w:hAnsi="Gill Sans MT"/>
          <w:b/>
          <w:bCs/>
          <w:i/>
          <w:iCs/>
          <w:sz w:val="21"/>
          <w:lang w:val="en-US"/>
        </w:rPr>
      </w:pPr>
      <w:r w:rsidRPr="001C4852">
        <w:rPr>
          <w:rFonts w:ascii="Gill Sans MT" w:hAnsi="Gill Sans MT"/>
          <w:b/>
          <w:bCs/>
          <w:i/>
          <w:iCs/>
          <w:sz w:val="21"/>
          <w:lang w:val="en-US"/>
        </w:rPr>
        <w:t>Entity level versus product level</w:t>
      </w:r>
    </w:p>
    <w:p w14:paraId="4FC5C223" w14:textId="77777777" w:rsidR="00C10439" w:rsidRDefault="00C10439" w:rsidP="00C10439">
      <w:pPr>
        <w:pStyle w:val="Lijstalinea"/>
        <w:spacing w:line="280" w:lineRule="atLeast"/>
        <w:ind w:left="360"/>
        <w:jc w:val="both"/>
        <w:rPr>
          <w:rFonts w:ascii="Gill Sans MT" w:hAnsi="Gill Sans MT"/>
          <w:sz w:val="21"/>
          <w:lang w:val="en-US"/>
        </w:rPr>
      </w:pPr>
      <w:r w:rsidRPr="00816F3F">
        <w:rPr>
          <w:rFonts w:ascii="Gill Sans MT" w:hAnsi="Gill Sans MT"/>
          <w:sz w:val="21"/>
          <w:lang w:val="en-US"/>
        </w:rPr>
        <w:t xml:space="preserve">First of all, we do think that disclosing indicators on principal adverse impact on an entity level for asset managers, contrary to disclosures on a product level, is less relevant or not relevant at all given the nature of asset managers. </w:t>
      </w:r>
      <w:r w:rsidRPr="00C732EF">
        <w:rPr>
          <w:rFonts w:ascii="Gill Sans MT" w:hAnsi="Gill Sans MT"/>
          <w:sz w:val="21"/>
          <w:lang w:val="en-US"/>
        </w:rPr>
        <w:t>To achieve this adverse impact factors have to aggregated across all strategies resulting, which is a very burdensome exercise, and would not lead to any meaningful information for investors.</w:t>
      </w:r>
      <w:r>
        <w:rPr>
          <w:rFonts w:ascii="Gill Sans MT" w:hAnsi="Gill Sans MT"/>
          <w:sz w:val="21"/>
          <w:lang w:val="en-US"/>
        </w:rPr>
        <w:t xml:space="preserve"> </w:t>
      </w:r>
      <w:r w:rsidRPr="00E364E9">
        <w:rPr>
          <w:rFonts w:ascii="Gill Sans MT" w:hAnsi="Gill Sans MT"/>
          <w:sz w:val="21"/>
          <w:lang w:val="en-US"/>
        </w:rPr>
        <w:t xml:space="preserve">We believe it would be much more appropriate to require quantitative adverse impact disclosures at </w:t>
      </w:r>
      <w:r w:rsidRPr="00E364E9">
        <w:rPr>
          <w:rFonts w:ascii="Gill Sans MT" w:hAnsi="Gill Sans MT"/>
          <w:i/>
          <w:iCs/>
          <w:sz w:val="21"/>
          <w:lang w:val="en-US"/>
        </w:rPr>
        <w:t>the level of the product</w:t>
      </w:r>
      <w:r w:rsidRPr="00E364E9">
        <w:rPr>
          <w:rFonts w:ascii="Gill Sans MT" w:hAnsi="Gill Sans MT"/>
          <w:sz w:val="21"/>
          <w:lang w:val="en-US"/>
        </w:rPr>
        <w:t xml:space="preserve">. </w:t>
      </w:r>
      <w:r w:rsidRPr="00816F3F">
        <w:rPr>
          <w:rFonts w:ascii="Gill Sans MT" w:hAnsi="Gill Sans MT"/>
          <w:sz w:val="21"/>
          <w:lang w:val="en-US"/>
        </w:rPr>
        <w:t>Only a few indicators may be relevant to disclose on an entity level, such as e.g. the greenhouse gas emissions indicators</w:t>
      </w:r>
      <w:r>
        <w:rPr>
          <w:rFonts w:ascii="Gill Sans MT" w:hAnsi="Gill Sans MT"/>
          <w:sz w:val="21"/>
          <w:lang w:val="en-US"/>
        </w:rPr>
        <w:t>.</w:t>
      </w:r>
      <w:r w:rsidRPr="00816F3F">
        <w:rPr>
          <w:rFonts w:ascii="Gill Sans MT" w:hAnsi="Gill Sans MT"/>
          <w:sz w:val="21"/>
          <w:lang w:val="en-US"/>
        </w:rPr>
        <w:t xml:space="preserve"> </w:t>
      </w:r>
      <w:r w:rsidRPr="008F315F">
        <w:rPr>
          <w:rFonts w:ascii="Gill Sans MT" w:hAnsi="Gill Sans MT"/>
          <w:sz w:val="21"/>
          <w:lang w:val="en-US"/>
        </w:rPr>
        <w:t xml:space="preserve">In addition, in terms of providing templates, we urge the ESAs to create more flexibility of indicators and more principle based approach where it concerns principal adverse impact on entity level, whilst templates on product level could and should be limited to a small set of really relevant indicators;  </w:t>
      </w:r>
    </w:p>
    <w:p w14:paraId="70B58D02" w14:textId="77777777" w:rsidR="00C10439" w:rsidRDefault="00C10439" w:rsidP="00C10439">
      <w:pPr>
        <w:pStyle w:val="Lijstalinea"/>
        <w:spacing w:line="280" w:lineRule="atLeast"/>
        <w:ind w:left="360"/>
        <w:jc w:val="both"/>
        <w:rPr>
          <w:rFonts w:ascii="Gill Sans MT" w:hAnsi="Gill Sans MT"/>
          <w:sz w:val="21"/>
          <w:lang w:val="en-US"/>
        </w:rPr>
      </w:pPr>
    </w:p>
    <w:p w14:paraId="7FEF6CD3" w14:textId="77777777" w:rsidR="00C10439" w:rsidRPr="00346673" w:rsidRDefault="00C10439" w:rsidP="00C10439">
      <w:pPr>
        <w:pStyle w:val="Lijstalinea"/>
        <w:numPr>
          <w:ilvl w:val="0"/>
          <w:numId w:val="44"/>
        </w:numPr>
        <w:spacing w:after="160" w:line="280" w:lineRule="atLeast"/>
        <w:jc w:val="both"/>
        <w:rPr>
          <w:rFonts w:ascii="Gill Sans MT" w:hAnsi="Gill Sans MT"/>
          <w:sz w:val="21"/>
          <w:lang w:val="en-US"/>
        </w:rPr>
      </w:pPr>
      <w:r w:rsidRPr="001404B0">
        <w:rPr>
          <w:rFonts w:ascii="Gill Sans MT" w:hAnsi="Gill Sans MT" w:cs="Calibri"/>
          <w:b/>
          <w:bCs/>
          <w:i/>
          <w:iCs/>
          <w:sz w:val="21"/>
          <w:szCs w:val="21"/>
          <w:lang w:val="en-US"/>
        </w:rPr>
        <w:t>Approach on mandatory indicators</w:t>
      </w:r>
      <w:r w:rsidRPr="001404B0">
        <w:rPr>
          <w:rFonts w:ascii="Gill Sans MT" w:hAnsi="Gill Sans MT" w:cs="Calibri"/>
          <w:b/>
          <w:bCs/>
          <w:sz w:val="21"/>
          <w:szCs w:val="21"/>
          <w:lang w:val="en-US"/>
        </w:rPr>
        <w:t xml:space="preserve">: </w:t>
      </w:r>
    </w:p>
    <w:p w14:paraId="1F2ED876" w14:textId="3953FBFE" w:rsidR="00C10439" w:rsidRDefault="00C10439" w:rsidP="00C10439">
      <w:pPr>
        <w:pStyle w:val="Lijstalinea"/>
        <w:spacing w:line="280" w:lineRule="atLeast"/>
        <w:ind w:left="360"/>
        <w:jc w:val="both"/>
        <w:rPr>
          <w:rFonts w:ascii="Gill Sans MT" w:hAnsi="Gill Sans MT"/>
          <w:sz w:val="21"/>
          <w:lang w:val="en-US"/>
        </w:rPr>
      </w:pPr>
      <w:r>
        <w:rPr>
          <w:rFonts w:ascii="Gill Sans MT" w:hAnsi="Gill Sans MT"/>
          <w:sz w:val="21"/>
          <w:lang w:val="en-US"/>
        </w:rPr>
        <w:t>Secondly, w</w:t>
      </w:r>
      <w:r w:rsidRPr="002E4DD1">
        <w:rPr>
          <w:rFonts w:ascii="Gill Sans MT" w:hAnsi="Gill Sans MT"/>
          <w:sz w:val="21"/>
          <w:lang w:val="en-US"/>
        </w:rPr>
        <w:t xml:space="preserve">hile in many cases </w:t>
      </w:r>
      <w:r w:rsidR="00FC5B72">
        <w:rPr>
          <w:rFonts w:ascii="Gill Sans MT" w:hAnsi="Gill Sans MT"/>
          <w:sz w:val="21"/>
          <w:lang w:val="en-US"/>
        </w:rPr>
        <w:t xml:space="preserve">a </w:t>
      </w:r>
      <w:r w:rsidRPr="002E4DD1">
        <w:rPr>
          <w:rFonts w:ascii="Gill Sans MT" w:hAnsi="Gill Sans MT"/>
          <w:sz w:val="21"/>
          <w:lang w:val="en-US"/>
        </w:rPr>
        <w:t xml:space="preserve">value in Table 1 will imply adverse impact that will not necessarily always be the case. So we do </w:t>
      </w:r>
      <w:r w:rsidRPr="000856EE">
        <w:rPr>
          <w:rFonts w:ascii="Gill Sans MT" w:hAnsi="Gill Sans MT"/>
          <w:sz w:val="21"/>
          <w:u w:val="single"/>
          <w:lang w:val="en-US"/>
        </w:rPr>
        <w:t>not</w:t>
      </w:r>
      <w:r w:rsidRPr="002E4DD1">
        <w:rPr>
          <w:rFonts w:ascii="Gill Sans MT" w:hAnsi="Gill Sans MT"/>
          <w:sz w:val="21"/>
          <w:lang w:val="en-US"/>
        </w:rPr>
        <w:t xml:space="preserve"> agree that any value in </w:t>
      </w:r>
      <w:bookmarkStart w:id="5" w:name="_Hlk45284653"/>
      <w:r w:rsidRPr="002E4DD1">
        <w:rPr>
          <w:rFonts w:ascii="Gill Sans MT" w:hAnsi="Gill Sans MT"/>
          <w:sz w:val="21"/>
          <w:lang w:val="en-US"/>
        </w:rPr>
        <w:t>Table 1 should</w:t>
      </w:r>
      <w:r w:rsidRPr="002E4DD1">
        <w:rPr>
          <w:rFonts w:ascii="Gill Sans MT" w:hAnsi="Gill Sans MT"/>
          <w:i/>
          <w:iCs/>
          <w:sz w:val="21"/>
          <w:lang w:val="en-US"/>
        </w:rPr>
        <w:t xml:space="preserve"> always</w:t>
      </w:r>
      <w:r w:rsidRPr="002E4DD1">
        <w:rPr>
          <w:rFonts w:ascii="Gill Sans MT" w:hAnsi="Gill Sans MT"/>
          <w:sz w:val="21"/>
          <w:lang w:val="en-US"/>
        </w:rPr>
        <w:t xml:space="preserve"> lead to principle adverse impact </w:t>
      </w:r>
      <w:bookmarkEnd w:id="5"/>
      <w:r w:rsidRPr="002E4DD1">
        <w:rPr>
          <w:rFonts w:ascii="Gill Sans MT" w:hAnsi="Gill Sans MT"/>
          <w:sz w:val="21"/>
          <w:lang w:val="en-US"/>
        </w:rPr>
        <w:t xml:space="preserve">irrespective of the value of the metric. For example, in some cases having carbon emissions in one sector can actually offset or reduce emissions in another sector (e.g. </w:t>
      </w:r>
      <w:bookmarkStart w:id="6" w:name="_Hlk45284603"/>
      <w:r w:rsidRPr="002E4DD1">
        <w:rPr>
          <w:rFonts w:ascii="Gill Sans MT" w:hAnsi="Gill Sans MT"/>
          <w:sz w:val="21"/>
          <w:lang w:val="en-US"/>
        </w:rPr>
        <w:t>solar company can have CO2 emissions to produce solar panels, however, the use of solar panels can avoid emissions</w:t>
      </w:r>
      <w:bookmarkEnd w:id="6"/>
      <w:r w:rsidRPr="002E4DD1">
        <w:rPr>
          <w:rFonts w:ascii="Gill Sans MT" w:hAnsi="Gill Sans MT"/>
          <w:sz w:val="21"/>
          <w:lang w:val="en-US"/>
        </w:rPr>
        <w:t xml:space="preserve">). </w:t>
      </w:r>
      <w:r>
        <w:rPr>
          <w:rFonts w:ascii="Gill Sans MT" w:hAnsi="Gill Sans MT"/>
          <w:sz w:val="21"/>
          <w:lang w:val="en-US"/>
        </w:rPr>
        <w:t xml:space="preserve">Other case where it can be questioned whether some values lead to principal adverse impact is for example </w:t>
      </w:r>
      <w:r w:rsidRPr="00711FD4">
        <w:rPr>
          <w:rFonts w:ascii="Gill Sans MT" w:hAnsi="Gill Sans MT"/>
          <w:sz w:val="21"/>
          <w:lang w:val="en-US"/>
        </w:rPr>
        <w:t>a gender gap of 1%</w:t>
      </w:r>
      <w:r>
        <w:rPr>
          <w:rFonts w:ascii="Gill Sans MT" w:hAnsi="Gill Sans MT"/>
          <w:sz w:val="21"/>
          <w:lang w:val="en-US"/>
        </w:rPr>
        <w:t xml:space="preserve">. </w:t>
      </w:r>
      <w:r w:rsidRPr="00711FD4">
        <w:rPr>
          <w:rFonts w:ascii="Gill Sans MT" w:hAnsi="Gill Sans MT"/>
          <w:sz w:val="21"/>
          <w:lang w:val="en-US"/>
        </w:rPr>
        <w:t xml:space="preserve">And what about ratio related indicators? </w:t>
      </w:r>
      <w:r>
        <w:rPr>
          <w:rFonts w:ascii="Gill Sans MT" w:hAnsi="Gill Sans MT"/>
          <w:sz w:val="21"/>
          <w:lang w:val="en-US"/>
        </w:rPr>
        <w:t>Is e</w:t>
      </w:r>
      <w:r w:rsidRPr="00711FD4">
        <w:rPr>
          <w:rFonts w:ascii="Gill Sans MT" w:hAnsi="Gill Sans MT"/>
          <w:sz w:val="21"/>
          <w:lang w:val="en-US"/>
        </w:rPr>
        <w:t xml:space="preserve">verything above 0% </w:t>
      </w:r>
      <w:r>
        <w:rPr>
          <w:rFonts w:ascii="Gill Sans MT" w:hAnsi="Gill Sans MT"/>
          <w:sz w:val="21"/>
          <w:lang w:val="en-US"/>
        </w:rPr>
        <w:t xml:space="preserve">considered to be </w:t>
      </w:r>
      <w:r w:rsidRPr="00711FD4">
        <w:rPr>
          <w:rFonts w:ascii="Gill Sans MT" w:hAnsi="Gill Sans MT"/>
          <w:sz w:val="21"/>
          <w:lang w:val="en-US"/>
        </w:rPr>
        <w:t>principal?</w:t>
      </w:r>
      <w:r>
        <w:rPr>
          <w:rFonts w:ascii="Gill Sans MT" w:hAnsi="Gill Sans MT"/>
          <w:sz w:val="21"/>
          <w:lang w:val="en-US"/>
        </w:rPr>
        <w:t xml:space="preserve"> </w:t>
      </w:r>
      <w:r w:rsidRPr="002E4DD1">
        <w:rPr>
          <w:rFonts w:ascii="Gill Sans MT" w:hAnsi="Gill Sans MT"/>
          <w:sz w:val="21"/>
          <w:lang w:val="en-US"/>
        </w:rPr>
        <w:t>Also not all indicators in this table will be relevant for all companies in the portfolio</w:t>
      </w:r>
      <w:r w:rsidR="00E1387B">
        <w:rPr>
          <w:rFonts w:ascii="Gill Sans MT" w:hAnsi="Gill Sans MT"/>
          <w:sz w:val="21"/>
          <w:lang w:val="en-US"/>
        </w:rPr>
        <w:t>. A</w:t>
      </w:r>
      <w:r w:rsidRPr="002E4DD1">
        <w:rPr>
          <w:rFonts w:ascii="Gill Sans MT" w:hAnsi="Gill Sans MT"/>
          <w:sz w:val="21"/>
          <w:lang w:val="en-US"/>
        </w:rPr>
        <w:t>s a result these companies might not have the policies in place to address topics that are no</w:t>
      </w:r>
      <w:r w:rsidR="00372A8D">
        <w:rPr>
          <w:rFonts w:ascii="Gill Sans MT" w:hAnsi="Gill Sans MT"/>
          <w:sz w:val="21"/>
          <w:lang w:val="en-US"/>
        </w:rPr>
        <w:t xml:space="preserve">t </w:t>
      </w:r>
      <w:r w:rsidRPr="002E4DD1">
        <w:rPr>
          <w:rFonts w:ascii="Gill Sans MT" w:hAnsi="Gill Sans MT"/>
          <w:sz w:val="21"/>
          <w:lang w:val="en-US"/>
        </w:rPr>
        <w:t>material for them. This can mean that a part of portfolio will have a positive value on these indicators</w:t>
      </w:r>
      <w:r w:rsidR="000C2C20">
        <w:rPr>
          <w:rFonts w:ascii="Gill Sans MT" w:hAnsi="Gill Sans MT"/>
          <w:sz w:val="21"/>
          <w:lang w:val="en-US"/>
        </w:rPr>
        <w:t>,</w:t>
      </w:r>
      <w:r w:rsidRPr="002E4DD1">
        <w:rPr>
          <w:rFonts w:ascii="Gill Sans MT" w:hAnsi="Gill Sans MT"/>
          <w:sz w:val="21"/>
          <w:lang w:val="en-US"/>
        </w:rPr>
        <w:t xml:space="preserve"> but no actual negative impact would take place </w:t>
      </w:r>
      <w:r w:rsidR="000C2C20">
        <w:rPr>
          <w:rFonts w:ascii="Gill Sans MT" w:hAnsi="Gill Sans MT"/>
          <w:sz w:val="21"/>
          <w:lang w:val="en-US"/>
        </w:rPr>
        <w:t xml:space="preserve">as </w:t>
      </w:r>
      <w:r w:rsidRPr="002E4DD1">
        <w:rPr>
          <w:rFonts w:ascii="Gill Sans MT" w:hAnsi="Gill Sans MT"/>
          <w:sz w:val="21"/>
          <w:lang w:val="en-US"/>
        </w:rPr>
        <w:t>these indicators are not actually relevant. (E.g. companies in IT sector might not have a deforestation policy).</w:t>
      </w:r>
    </w:p>
    <w:p w14:paraId="6332D971" w14:textId="77777777" w:rsidR="00C10439" w:rsidRDefault="00C10439" w:rsidP="00C10439">
      <w:pPr>
        <w:pStyle w:val="Lijstalinea"/>
        <w:spacing w:line="280" w:lineRule="atLeast"/>
        <w:ind w:left="360"/>
        <w:jc w:val="both"/>
        <w:rPr>
          <w:rFonts w:ascii="Gill Sans MT" w:hAnsi="Gill Sans MT"/>
          <w:sz w:val="21"/>
          <w:lang w:val="en-US"/>
        </w:rPr>
      </w:pPr>
    </w:p>
    <w:p w14:paraId="30CCB532" w14:textId="289D37F7" w:rsidR="00C10439" w:rsidRPr="0036339D" w:rsidRDefault="00C10439" w:rsidP="00C10439">
      <w:pPr>
        <w:pStyle w:val="Lijstalinea"/>
        <w:spacing w:line="280" w:lineRule="atLeast"/>
        <w:ind w:left="360"/>
        <w:jc w:val="both"/>
        <w:rPr>
          <w:rFonts w:ascii="Gill Sans MT" w:hAnsi="Gill Sans MT"/>
          <w:b/>
          <w:bCs/>
          <w:sz w:val="21"/>
          <w:lang w:val="en-US"/>
        </w:rPr>
      </w:pPr>
      <w:r w:rsidRPr="0036339D">
        <w:rPr>
          <w:rFonts w:ascii="Gill Sans MT" w:hAnsi="Gill Sans MT"/>
          <w:b/>
          <w:bCs/>
          <w:sz w:val="21"/>
          <w:lang w:val="en-US"/>
        </w:rPr>
        <w:t>Therefore,</w:t>
      </w:r>
      <w:r w:rsidRPr="0036339D">
        <w:rPr>
          <w:b/>
          <w:bCs/>
        </w:rPr>
        <w:t xml:space="preserve"> </w:t>
      </w:r>
      <w:r w:rsidRPr="0036339D">
        <w:rPr>
          <w:rFonts w:ascii="Gill Sans MT" w:hAnsi="Gill Sans MT"/>
          <w:b/>
          <w:bCs/>
          <w:sz w:val="21"/>
          <w:lang w:val="en-US"/>
        </w:rPr>
        <w:t xml:space="preserve">we propose either a smaller list of indicators, which list </w:t>
      </w:r>
      <w:r w:rsidR="00B17B3A">
        <w:rPr>
          <w:rFonts w:ascii="Gill Sans MT" w:hAnsi="Gill Sans MT"/>
          <w:b/>
          <w:bCs/>
          <w:sz w:val="21"/>
          <w:lang w:val="en-US"/>
        </w:rPr>
        <w:t>is</w:t>
      </w:r>
      <w:r w:rsidRPr="0036339D">
        <w:rPr>
          <w:rFonts w:ascii="Gill Sans MT" w:hAnsi="Gill Sans MT"/>
          <w:b/>
          <w:bCs/>
          <w:sz w:val="21"/>
          <w:lang w:val="en-US"/>
        </w:rPr>
        <w:t xml:space="preserve"> commonly accepted in the market as being relevant</w:t>
      </w:r>
      <w:r w:rsidR="0036339D">
        <w:rPr>
          <w:rFonts w:ascii="Gill Sans MT" w:hAnsi="Gill Sans MT"/>
          <w:b/>
          <w:bCs/>
          <w:sz w:val="21"/>
          <w:lang w:val="en-US"/>
        </w:rPr>
        <w:t xml:space="preserve"> and material</w:t>
      </w:r>
      <w:r w:rsidRPr="0036339D">
        <w:rPr>
          <w:rFonts w:ascii="Gill Sans MT" w:hAnsi="Gill Sans MT"/>
          <w:b/>
          <w:bCs/>
          <w:sz w:val="21"/>
          <w:lang w:val="en-US"/>
        </w:rPr>
        <w:t xml:space="preserve"> and in addition financial market participant should be free to pick those remaining indicators outside the mandatory list indicators of Table 1, 2 and 3 which they deemed to be relevant and material.</w:t>
      </w:r>
      <w:r w:rsidRPr="0036339D">
        <w:rPr>
          <w:b/>
          <w:bCs/>
        </w:rPr>
        <w:t xml:space="preserve"> </w:t>
      </w:r>
    </w:p>
    <w:p w14:paraId="384FFD48" w14:textId="77777777" w:rsidR="00C10439" w:rsidRDefault="00C10439" w:rsidP="00C10439">
      <w:pPr>
        <w:pStyle w:val="Lijstalinea"/>
        <w:spacing w:line="280" w:lineRule="atLeast"/>
        <w:ind w:left="360"/>
        <w:jc w:val="both"/>
        <w:rPr>
          <w:rFonts w:ascii="Gill Sans MT" w:hAnsi="Gill Sans MT"/>
          <w:sz w:val="21"/>
          <w:lang w:val="en-US"/>
        </w:rPr>
      </w:pPr>
    </w:p>
    <w:p w14:paraId="7A27E01C" w14:textId="77777777" w:rsidR="00C10439" w:rsidRPr="001C4852" w:rsidRDefault="00C10439" w:rsidP="00C10439">
      <w:pPr>
        <w:pStyle w:val="Lijstalinea"/>
        <w:spacing w:line="280" w:lineRule="atLeast"/>
        <w:ind w:left="360"/>
        <w:jc w:val="both"/>
        <w:rPr>
          <w:rFonts w:ascii="Gill Sans MT" w:hAnsi="Gill Sans MT"/>
          <w:b/>
          <w:bCs/>
          <w:i/>
          <w:iCs/>
          <w:sz w:val="21"/>
          <w:lang w:val="en-US"/>
        </w:rPr>
      </w:pPr>
      <w:r>
        <w:rPr>
          <w:rFonts w:ascii="Gill Sans MT" w:hAnsi="Gill Sans MT"/>
          <w:b/>
          <w:bCs/>
          <w:i/>
          <w:iCs/>
          <w:sz w:val="21"/>
          <w:lang w:val="en-US"/>
        </w:rPr>
        <w:t>Use of existing initiatives</w:t>
      </w:r>
    </w:p>
    <w:p w14:paraId="66CD95AB" w14:textId="77777777" w:rsidR="00C10439" w:rsidRDefault="00C10439" w:rsidP="00C10439">
      <w:pPr>
        <w:pStyle w:val="Lijstalinea"/>
        <w:numPr>
          <w:ilvl w:val="0"/>
          <w:numId w:val="43"/>
        </w:numPr>
        <w:spacing w:after="160" w:line="280" w:lineRule="atLeast"/>
        <w:jc w:val="both"/>
        <w:rPr>
          <w:rFonts w:ascii="Gill Sans MT" w:hAnsi="Gill Sans MT"/>
          <w:sz w:val="21"/>
          <w:lang w:val="en-US"/>
        </w:rPr>
      </w:pPr>
      <w:r>
        <w:rPr>
          <w:rFonts w:ascii="Gill Sans MT" w:hAnsi="Gill Sans MT"/>
          <w:sz w:val="21"/>
          <w:lang w:val="en-US"/>
        </w:rPr>
        <w:t>Thirdly,</w:t>
      </w:r>
      <w:r w:rsidRPr="00816F3F">
        <w:rPr>
          <w:rFonts w:ascii="Gill Sans MT" w:hAnsi="Gill Sans MT"/>
          <w:sz w:val="21"/>
          <w:lang w:val="en-US"/>
        </w:rPr>
        <w:t xml:space="preserve"> we see it as a missed opportunity that the draft RTS did not build upon or refer to two relevant existing initiatives: (1) The World Federation of Exchanges: ESG Guidance &amp; Metrics, developed in 2015. Reference guide for stock exchanges in setting ESG reporting guidance for their listed companies. The </w:t>
      </w:r>
      <w:r w:rsidRPr="00816F3F">
        <w:rPr>
          <w:rFonts w:ascii="Gill Sans MT" w:hAnsi="Gill Sans MT"/>
          <w:sz w:val="21"/>
          <w:lang w:val="en-US"/>
        </w:rPr>
        <w:lastRenderedPageBreak/>
        <w:t>initiative introduced 30 disclosures (equally divided along the environmental, social and governance pillar) and maps these to TCFD, SASB and GRI; and (2) The World Economic Forum’s International Business Council (IBC) together with the Big Four accounting firms is proposing a set of common metrics and reporting disclosures around ESG factors. Their aim is to bring the most material non-financial aspects into mainstream financial reports on a consistent basis. Four pillars have been defined (governance, planet, people and prosperity) and 22 metrics, drawn from existing standards and disclosures.  Aside from the 22 core metrics - the minimum requirement - there are 30 additional metrics. It is the expectation of the IBC that many companies will report against these metrics from their annual reports on 2020 onwards. we strongly recommend that the indicators should be derived from already existing global frameworks, such as the framework of the World Economic Forum</w:t>
      </w:r>
      <w:r>
        <w:rPr>
          <w:rFonts w:ascii="Gill Sans MT" w:hAnsi="Gill Sans MT"/>
          <w:sz w:val="21"/>
          <w:lang w:val="en-US"/>
        </w:rPr>
        <w:t>.</w:t>
      </w:r>
      <w:r w:rsidRPr="00816F3F">
        <w:rPr>
          <w:rFonts w:ascii="Gill Sans MT" w:hAnsi="Gill Sans MT"/>
          <w:sz w:val="21"/>
          <w:lang w:val="en-US"/>
        </w:rPr>
        <w:t xml:space="preserve">  </w:t>
      </w:r>
    </w:p>
    <w:p w14:paraId="77F3B8EE" w14:textId="77777777" w:rsidR="00C10439" w:rsidRPr="00816F3F" w:rsidRDefault="00C10439" w:rsidP="00C10439">
      <w:pPr>
        <w:pStyle w:val="Lijstalinea"/>
        <w:spacing w:line="280" w:lineRule="atLeast"/>
        <w:ind w:left="360"/>
        <w:jc w:val="both"/>
        <w:rPr>
          <w:rFonts w:ascii="Gill Sans MT" w:hAnsi="Gill Sans MT"/>
          <w:sz w:val="21"/>
          <w:lang w:val="en-US"/>
        </w:rPr>
      </w:pPr>
    </w:p>
    <w:p w14:paraId="5C0A6D4F" w14:textId="77777777" w:rsidR="00C10439" w:rsidRPr="001C4852" w:rsidRDefault="00C10439" w:rsidP="00C10439">
      <w:pPr>
        <w:pStyle w:val="Lijstalinea"/>
        <w:numPr>
          <w:ilvl w:val="0"/>
          <w:numId w:val="43"/>
        </w:numPr>
        <w:spacing w:after="160" w:line="280" w:lineRule="atLeast"/>
        <w:jc w:val="both"/>
        <w:rPr>
          <w:rFonts w:ascii="Gill Sans MT" w:hAnsi="Gill Sans MT"/>
          <w:i/>
          <w:iCs/>
          <w:sz w:val="21"/>
          <w:lang w:val="en-US"/>
        </w:rPr>
      </w:pPr>
      <w:r w:rsidRPr="001C4852">
        <w:rPr>
          <w:rFonts w:ascii="Gill Sans MT" w:hAnsi="Gill Sans MT"/>
          <w:b/>
          <w:bCs/>
          <w:i/>
          <w:iCs/>
          <w:sz w:val="21"/>
          <w:lang w:val="en-US"/>
        </w:rPr>
        <w:t>Number of indicators</w:t>
      </w:r>
    </w:p>
    <w:p w14:paraId="17104A71" w14:textId="6DC80F4A" w:rsidR="00C10439" w:rsidRPr="00D87BFB" w:rsidRDefault="00C10439" w:rsidP="00C10439">
      <w:pPr>
        <w:pStyle w:val="Lijstalinea"/>
        <w:spacing w:line="280" w:lineRule="atLeast"/>
        <w:ind w:left="360"/>
        <w:jc w:val="both"/>
        <w:rPr>
          <w:rFonts w:ascii="Gill Sans MT" w:hAnsi="Gill Sans MT"/>
          <w:b/>
          <w:bCs/>
          <w:sz w:val="21"/>
          <w:lang w:val="en-US"/>
        </w:rPr>
      </w:pPr>
      <w:r>
        <w:rPr>
          <w:rFonts w:ascii="Gill Sans MT" w:hAnsi="Gill Sans MT"/>
          <w:sz w:val="21"/>
          <w:lang w:val="en-US"/>
        </w:rPr>
        <w:t>Fourthly</w:t>
      </w:r>
      <w:r w:rsidRPr="008D7447">
        <w:rPr>
          <w:rFonts w:ascii="Gill Sans MT" w:hAnsi="Gill Sans MT"/>
          <w:sz w:val="21"/>
          <w:lang w:val="en-US"/>
        </w:rPr>
        <w:t>, having considered the indicators as proposed by the ESAs, we do not think that all 32</w:t>
      </w:r>
      <w:r>
        <w:rPr>
          <w:rFonts w:ascii="Gill Sans MT" w:hAnsi="Gill Sans MT"/>
          <w:sz w:val="21"/>
          <w:lang w:val="en-US"/>
        </w:rPr>
        <w:t xml:space="preserve"> + 2 </w:t>
      </w:r>
      <w:r w:rsidRPr="008D7447">
        <w:rPr>
          <w:rFonts w:ascii="Gill Sans MT" w:hAnsi="Gill Sans MT"/>
          <w:sz w:val="21"/>
          <w:lang w:val="en-US"/>
        </w:rPr>
        <w:t xml:space="preserve"> indicators as included in Annex I Table 1 are equally relevant</w:t>
      </w:r>
      <w:r>
        <w:rPr>
          <w:rFonts w:ascii="Gill Sans MT" w:hAnsi="Gill Sans MT"/>
          <w:sz w:val="21"/>
          <w:lang w:val="en-US"/>
        </w:rPr>
        <w:t xml:space="preserve">, </w:t>
      </w:r>
      <w:r w:rsidRPr="008D7447">
        <w:rPr>
          <w:rFonts w:ascii="Gill Sans MT" w:hAnsi="Gill Sans MT"/>
          <w:sz w:val="21"/>
          <w:lang w:val="en-US"/>
        </w:rPr>
        <w:t>useful</w:t>
      </w:r>
      <w:r>
        <w:rPr>
          <w:rFonts w:ascii="Gill Sans MT" w:hAnsi="Gill Sans MT"/>
          <w:sz w:val="21"/>
          <w:lang w:val="en-US"/>
        </w:rPr>
        <w:t xml:space="preserve"> or material</w:t>
      </w:r>
      <w:r w:rsidRPr="008D7447">
        <w:rPr>
          <w:rFonts w:ascii="Gill Sans MT" w:hAnsi="Gill Sans MT"/>
          <w:sz w:val="21"/>
          <w:lang w:val="en-US"/>
        </w:rPr>
        <w:t xml:space="preserve">. </w:t>
      </w:r>
      <w:r w:rsidRPr="00B134A6">
        <w:rPr>
          <w:rFonts w:ascii="Gill Sans MT" w:hAnsi="Gill Sans MT"/>
          <w:b/>
          <w:bCs/>
          <w:sz w:val="21"/>
          <w:lang w:val="en-US"/>
        </w:rPr>
        <w:t>Therefore,</w:t>
      </w:r>
      <w:r w:rsidR="0085084B">
        <w:rPr>
          <w:rFonts w:ascii="Gill Sans MT" w:hAnsi="Gill Sans MT"/>
          <w:b/>
          <w:bCs/>
          <w:sz w:val="21"/>
          <w:lang w:val="en-US"/>
        </w:rPr>
        <w:t xml:space="preserve"> as mentioned before</w:t>
      </w:r>
      <w:r w:rsidRPr="00B134A6">
        <w:rPr>
          <w:b/>
          <w:bCs/>
        </w:rPr>
        <w:t xml:space="preserve"> </w:t>
      </w:r>
      <w:r w:rsidRPr="00B134A6">
        <w:rPr>
          <w:rFonts w:ascii="Gill Sans MT" w:hAnsi="Gill Sans MT"/>
          <w:b/>
          <w:bCs/>
          <w:sz w:val="21"/>
          <w:lang w:val="en-US"/>
        </w:rPr>
        <w:t>we propose a smaller list of indicators, which list are commonly accepted in the market as being relevant and material, and in addition financial market participant should be free to pick those remaining indicators outside the mandatory list indicators of Table 1, 2 and 3 which they deemed to be relevant.</w:t>
      </w:r>
      <w:r w:rsidRPr="00045710">
        <w:t xml:space="preserve"> </w:t>
      </w:r>
      <w:r w:rsidRPr="00D87BFB">
        <w:rPr>
          <w:rFonts w:ascii="Gill Sans MT" w:hAnsi="Gill Sans MT"/>
          <w:b/>
          <w:bCs/>
          <w:sz w:val="21"/>
        </w:rPr>
        <w:t xml:space="preserve">From that perspective, we opt for option 2.2 as described </w:t>
      </w:r>
      <w:r w:rsidR="00FC4EBD">
        <w:rPr>
          <w:rFonts w:ascii="Gill Sans MT" w:hAnsi="Gill Sans MT"/>
          <w:b/>
          <w:bCs/>
          <w:sz w:val="21"/>
        </w:rPr>
        <w:t xml:space="preserve">in </w:t>
      </w:r>
      <w:r w:rsidRPr="00D87BFB">
        <w:rPr>
          <w:rFonts w:ascii="Gill Sans MT" w:hAnsi="Gill Sans MT"/>
          <w:b/>
          <w:bCs/>
          <w:sz w:val="21"/>
        </w:rPr>
        <w:t>the consultation paper (page 71), i.e. a mix of mandatory and opt-in indicators to assess adverse impacts. Our proposal is to start with 11 mandatory indicators</w:t>
      </w:r>
      <w:r w:rsidR="0032134B">
        <w:rPr>
          <w:rFonts w:ascii="Gill Sans MT" w:hAnsi="Gill Sans MT"/>
          <w:b/>
          <w:bCs/>
          <w:sz w:val="21"/>
        </w:rPr>
        <w:t>, set forth in our response under Q5</w:t>
      </w:r>
      <w:r w:rsidRPr="00D87BFB">
        <w:rPr>
          <w:rFonts w:ascii="Gill Sans MT" w:hAnsi="Gill Sans MT"/>
          <w:b/>
          <w:bCs/>
          <w:sz w:val="21"/>
        </w:rPr>
        <w:t>. Possibly with a phase in model.</w:t>
      </w:r>
    </w:p>
    <w:p w14:paraId="67048340" w14:textId="77777777" w:rsidR="00C10439" w:rsidRDefault="00C10439" w:rsidP="00C10439">
      <w:pPr>
        <w:pStyle w:val="Lijstalinea"/>
        <w:spacing w:line="280" w:lineRule="atLeast"/>
        <w:ind w:left="360"/>
        <w:jc w:val="both"/>
        <w:rPr>
          <w:rFonts w:ascii="Gill Sans MT" w:hAnsi="Gill Sans MT"/>
          <w:sz w:val="21"/>
          <w:lang w:val="en-US"/>
        </w:rPr>
      </w:pPr>
    </w:p>
    <w:p w14:paraId="3800F6CA" w14:textId="77777777" w:rsidR="00C10439" w:rsidRPr="00FC78DB" w:rsidRDefault="00C10439" w:rsidP="00C10439">
      <w:pPr>
        <w:pStyle w:val="Default"/>
        <w:rPr>
          <w:rFonts w:ascii="Gill Sans MT" w:hAnsi="Gill Sans MT"/>
          <w:i/>
          <w:iCs/>
          <w:sz w:val="22"/>
          <w:szCs w:val="22"/>
          <w:u w:val="single"/>
          <w:lang w:val="en-US"/>
        </w:rPr>
      </w:pPr>
      <w:r w:rsidRPr="00FC78DB">
        <w:rPr>
          <w:rFonts w:ascii="Gill Sans MT" w:hAnsi="Gill Sans MT"/>
          <w:i/>
          <w:iCs/>
          <w:sz w:val="22"/>
          <w:szCs w:val="22"/>
          <w:u w:val="single"/>
          <w:lang w:val="en-US"/>
        </w:rPr>
        <w:t>Availability of data of relevant indicators</w:t>
      </w:r>
    </w:p>
    <w:p w14:paraId="180884A4" w14:textId="77777777" w:rsidR="00C10439" w:rsidRDefault="00C10439" w:rsidP="00C10439">
      <w:pPr>
        <w:pStyle w:val="Default"/>
        <w:rPr>
          <w:rFonts w:ascii="Gill Sans MT" w:hAnsi="Gill Sans MT"/>
          <w:sz w:val="22"/>
          <w:szCs w:val="22"/>
          <w:lang w:val="en-US"/>
        </w:rPr>
      </w:pPr>
    </w:p>
    <w:p w14:paraId="19D55894" w14:textId="59F6529E" w:rsidR="00C10439" w:rsidRDefault="00A663E8" w:rsidP="00C10439">
      <w:pPr>
        <w:spacing w:line="280" w:lineRule="atLeast"/>
        <w:jc w:val="both"/>
        <w:rPr>
          <w:rFonts w:ascii="Gill Sans MT" w:hAnsi="Gill Sans MT" w:cs="Calibri"/>
          <w:color w:val="000000"/>
          <w:sz w:val="24"/>
          <w:lang w:val="en-US"/>
        </w:rPr>
      </w:pPr>
      <w:r>
        <w:rPr>
          <w:rFonts w:ascii="Gill Sans MT" w:hAnsi="Gill Sans MT"/>
          <w:sz w:val="22"/>
          <w:lang w:val="en-US"/>
        </w:rPr>
        <w:t>N</w:t>
      </w:r>
      <w:r w:rsidR="00C10439">
        <w:rPr>
          <w:rFonts w:ascii="Gill Sans MT" w:hAnsi="Gill Sans MT"/>
          <w:sz w:val="22"/>
          <w:lang w:val="en-US"/>
        </w:rPr>
        <w:t xml:space="preserve">ot </w:t>
      </w:r>
      <w:r w:rsidR="00C10439">
        <w:rPr>
          <w:rFonts w:ascii="Gill Sans MT" w:hAnsi="Gill Sans MT"/>
          <w:sz w:val="21"/>
          <w:lang w:val="en-US"/>
        </w:rPr>
        <w:t>always is data available or when data is available they are not always available against reasonable costs. Some or most of the data is rather expensive to acquire, while they may not be or less relevant for assessing the sustainability of the portfolio. For the availability of data to indicators listed see our answer to question 5 of our response.</w:t>
      </w:r>
    </w:p>
    <w:p w14:paraId="4AAD154F" w14:textId="77777777" w:rsidR="00601F56" w:rsidRDefault="00601F56" w:rsidP="00C10439">
      <w:pPr>
        <w:spacing w:line="280" w:lineRule="atLeast"/>
        <w:jc w:val="both"/>
        <w:rPr>
          <w:rFonts w:ascii="Gill Sans MT" w:hAnsi="Gill Sans MT"/>
          <w:sz w:val="21"/>
          <w:lang w:val="en-US"/>
        </w:rPr>
      </w:pPr>
    </w:p>
    <w:p w14:paraId="28B3E6CE" w14:textId="1CD5A1CE" w:rsidR="00C10439" w:rsidRPr="00830B59" w:rsidRDefault="00C10439" w:rsidP="00C10439">
      <w:pPr>
        <w:spacing w:line="280" w:lineRule="atLeast"/>
        <w:jc w:val="both"/>
        <w:rPr>
          <w:rFonts w:ascii="Gill Sans MT" w:hAnsi="Gill Sans MT"/>
          <w:b/>
          <w:bCs/>
          <w:sz w:val="21"/>
          <w:lang w:val="en-US"/>
        </w:rPr>
      </w:pPr>
      <w:r w:rsidRPr="00830B59">
        <w:rPr>
          <w:rFonts w:ascii="Gill Sans MT" w:hAnsi="Gill Sans MT"/>
          <w:sz w:val="21"/>
          <w:lang w:val="en-US"/>
        </w:rPr>
        <w:t>DUFAS stresses that the implementation of SFDR depends on the (</w:t>
      </w:r>
      <w:proofErr w:type="spellStart"/>
      <w:r w:rsidRPr="00830B59">
        <w:rPr>
          <w:rFonts w:ascii="Gill Sans MT" w:hAnsi="Gill Sans MT"/>
          <w:sz w:val="21"/>
          <w:lang w:val="en-US"/>
        </w:rPr>
        <w:t>i</w:t>
      </w:r>
      <w:proofErr w:type="spellEnd"/>
      <w:r w:rsidRPr="00830B59">
        <w:rPr>
          <w:rFonts w:ascii="Gill Sans MT" w:hAnsi="Gill Sans MT"/>
          <w:sz w:val="21"/>
          <w:lang w:val="en-US"/>
        </w:rPr>
        <w:t xml:space="preserve">) availability, (ii) accessibility and (iii) comparability of </w:t>
      </w:r>
      <w:r w:rsidRPr="00830B59">
        <w:rPr>
          <w:rFonts w:ascii="Gill Sans MT" w:hAnsi="Gill Sans MT"/>
          <w:i/>
          <w:iCs/>
          <w:sz w:val="21"/>
          <w:lang w:val="en-US"/>
        </w:rPr>
        <w:t xml:space="preserve">relevant </w:t>
      </w:r>
      <w:r w:rsidRPr="00830B59">
        <w:rPr>
          <w:rFonts w:ascii="Gill Sans MT" w:hAnsi="Gill Sans MT"/>
          <w:sz w:val="21"/>
          <w:lang w:val="en-US"/>
        </w:rPr>
        <w:t xml:space="preserve">and </w:t>
      </w:r>
      <w:r w:rsidRPr="00830B59">
        <w:rPr>
          <w:rFonts w:ascii="Gill Sans MT" w:hAnsi="Gill Sans MT"/>
          <w:i/>
          <w:iCs/>
          <w:sz w:val="21"/>
          <w:lang w:val="en-US"/>
        </w:rPr>
        <w:t xml:space="preserve">reliable </w:t>
      </w:r>
      <w:r w:rsidRPr="00830B59">
        <w:rPr>
          <w:rFonts w:ascii="Gill Sans MT" w:hAnsi="Gill Sans MT"/>
          <w:sz w:val="21"/>
          <w:lang w:val="en-US"/>
        </w:rPr>
        <w:t xml:space="preserve">data. Therefore we do support initiatives aimed at increasing the accessibility of sustainability data by creating an free of charge open source ESG database or an ESG database which is accessible against reasonable costs. </w:t>
      </w:r>
      <w:r w:rsidRPr="00263E02">
        <w:rPr>
          <w:rFonts w:ascii="Gill Sans MT" w:hAnsi="Gill Sans MT"/>
          <w:sz w:val="21"/>
          <w:lang w:val="en-US"/>
        </w:rPr>
        <w:t xml:space="preserve">We therefore calling for the European Commission and the ESAs to establish a common open source ESG data register in the EU to enhance the availability of relevant and reliable ESG data which ultimately is crucial for financial market parties to comply with the obligations under the SFDR. </w:t>
      </w:r>
      <w:r w:rsidRPr="00830B59">
        <w:rPr>
          <w:rFonts w:ascii="Gill Sans MT" w:hAnsi="Gill Sans MT"/>
          <w:sz w:val="21"/>
          <w:lang w:val="en-US"/>
        </w:rPr>
        <w:t xml:space="preserve">   </w:t>
      </w:r>
    </w:p>
    <w:p w14:paraId="306DF60D" w14:textId="77777777" w:rsidR="00601F56" w:rsidRDefault="00601F56" w:rsidP="00C10439">
      <w:pPr>
        <w:spacing w:line="280" w:lineRule="atLeast"/>
        <w:jc w:val="both"/>
        <w:rPr>
          <w:rFonts w:ascii="Gill Sans MT" w:hAnsi="Gill Sans MT"/>
          <w:sz w:val="21"/>
          <w:lang w:val="en-US"/>
        </w:rPr>
      </w:pPr>
    </w:p>
    <w:p w14:paraId="18AA39CA" w14:textId="6D1742E3" w:rsidR="00C10439" w:rsidRPr="002B610A" w:rsidRDefault="00C10439" w:rsidP="00C10439">
      <w:pPr>
        <w:spacing w:line="280" w:lineRule="atLeast"/>
        <w:jc w:val="both"/>
        <w:rPr>
          <w:rFonts w:ascii="Gill Sans MT" w:hAnsi="Gill Sans MT"/>
          <w:b/>
          <w:bCs/>
          <w:sz w:val="21"/>
          <w:lang w:val="en-US"/>
        </w:rPr>
      </w:pPr>
      <w:r w:rsidRPr="002B610A">
        <w:rPr>
          <w:rFonts w:ascii="Gill Sans MT" w:hAnsi="Gill Sans MT"/>
          <w:sz w:val="21"/>
          <w:lang w:val="en-US"/>
        </w:rPr>
        <w:t xml:space="preserve">As to the accessibility of data of investee companies, art. 7(2) RTS SFDR seems to contain a mandatory sequence. According to the draft RTS financial market participants have to do their best efforts to obtain the information </w:t>
      </w:r>
      <w:r w:rsidRPr="002B610A">
        <w:rPr>
          <w:rFonts w:ascii="Gill Sans MT" w:hAnsi="Gill Sans MT"/>
          <w:i/>
          <w:iCs/>
          <w:sz w:val="21"/>
          <w:lang w:val="en-US"/>
        </w:rPr>
        <w:t>directly</w:t>
      </w:r>
      <w:r w:rsidRPr="002B610A">
        <w:rPr>
          <w:rFonts w:ascii="Gill Sans MT" w:hAnsi="Gill Sans MT"/>
          <w:sz w:val="21"/>
          <w:lang w:val="en-US"/>
        </w:rPr>
        <w:t xml:space="preserve"> from investee companies. Only in the event information of any of the indicators used is not readily available, then the financial market participant may rely on third party providers. Needless to say is that it is the responsibility of financial market parties to obtain accurate and reliable information on investee companies.</w:t>
      </w:r>
      <w:r w:rsidRPr="002B610A">
        <w:rPr>
          <w:rFonts w:ascii="Gill Sans MT" w:hAnsi="Gill Sans MT"/>
          <w:b/>
          <w:bCs/>
          <w:sz w:val="21"/>
          <w:lang w:val="en-US"/>
        </w:rPr>
        <w:t xml:space="preserve"> </w:t>
      </w:r>
      <w:r w:rsidRPr="002B610A">
        <w:rPr>
          <w:rFonts w:ascii="Gill Sans MT" w:hAnsi="Gill Sans MT"/>
          <w:sz w:val="21"/>
          <w:lang w:val="en-US"/>
        </w:rPr>
        <w:t>However,</w:t>
      </w:r>
      <w:r w:rsidRPr="002B610A">
        <w:rPr>
          <w:rFonts w:ascii="Gill Sans MT" w:hAnsi="Gill Sans MT"/>
          <w:b/>
          <w:bCs/>
          <w:sz w:val="21"/>
          <w:lang w:val="en-US"/>
        </w:rPr>
        <w:t xml:space="preserve"> </w:t>
      </w:r>
      <w:r w:rsidRPr="002B610A">
        <w:rPr>
          <w:rFonts w:ascii="Gill Sans MT" w:hAnsi="Gill Sans MT"/>
          <w:sz w:val="21"/>
          <w:lang w:val="en-US"/>
        </w:rPr>
        <w:t xml:space="preserve">in terms of costs and by applying any sort of proportionality principle, market parties should also be entitled to rely on data obtained from third party providers directly and on the long run from an open source ESG data register as advocated by a number of market parties, such as EFAMA. </w:t>
      </w:r>
      <w:r w:rsidRPr="002B610A">
        <w:rPr>
          <w:rFonts w:ascii="Gill Sans MT" w:hAnsi="Gill Sans MT"/>
          <w:b/>
          <w:bCs/>
          <w:sz w:val="21"/>
          <w:lang w:val="en-US"/>
        </w:rPr>
        <w:t xml:space="preserve">Hence, we do not support the principle that a financial market participant should always do their best efforts to </w:t>
      </w:r>
      <w:r w:rsidRPr="002B610A">
        <w:rPr>
          <w:rFonts w:ascii="Gill Sans MT" w:hAnsi="Gill Sans MT"/>
          <w:b/>
          <w:bCs/>
          <w:sz w:val="21"/>
          <w:lang w:val="en-US"/>
        </w:rPr>
        <w:lastRenderedPageBreak/>
        <w:t>obtain data from the investee companies directly, before relying on third parties</w:t>
      </w:r>
      <w:r w:rsidRPr="002B610A">
        <w:rPr>
          <w:rFonts w:ascii="Gill Sans MT" w:hAnsi="Gill Sans MT"/>
          <w:sz w:val="21"/>
          <w:lang w:val="en-US"/>
        </w:rPr>
        <w:t xml:space="preserve">. From the perspective of the investee company, where the financial market participant has the obligation to obtain the data directly, this may also create the burden to investee companies to provide such information to each financial market participant individually. Furthermore, for listed investee companies, where they are providing information to an individual financial market participation directly, they should be careful not to disclose any information that may be considered to be price sensitive information within the meaning of the EU market abuse regulation.   </w:t>
      </w:r>
    </w:p>
    <w:p w14:paraId="5577C2C3" w14:textId="77777777" w:rsidR="00C10439" w:rsidRDefault="00C10439" w:rsidP="00C10439">
      <w:pPr>
        <w:spacing w:line="280" w:lineRule="atLeast"/>
        <w:jc w:val="both"/>
        <w:rPr>
          <w:rFonts w:ascii="Gill Sans MT" w:hAnsi="Gill Sans MT"/>
          <w:i/>
          <w:iCs/>
          <w:sz w:val="21"/>
          <w:u w:val="single"/>
          <w:lang w:val="en-US"/>
        </w:rPr>
      </w:pPr>
    </w:p>
    <w:p w14:paraId="6E779E82" w14:textId="77777777" w:rsidR="00C10439" w:rsidRPr="00FC78DB" w:rsidRDefault="00C10439" w:rsidP="00C10439">
      <w:pPr>
        <w:spacing w:line="280" w:lineRule="atLeast"/>
        <w:jc w:val="both"/>
        <w:rPr>
          <w:rFonts w:ascii="Gill Sans MT" w:hAnsi="Gill Sans MT"/>
          <w:i/>
          <w:iCs/>
          <w:sz w:val="21"/>
          <w:u w:val="single"/>
          <w:lang w:val="en-US"/>
        </w:rPr>
      </w:pPr>
      <w:r w:rsidRPr="00FC78DB">
        <w:rPr>
          <w:rFonts w:ascii="Gill Sans MT" w:hAnsi="Gill Sans MT"/>
          <w:i/>
          <w:iCs/>
          <w:sz w:val="21"/>
          <w:u w:val="single"/>
          <w:lang w:val="en-US"/>
        </w:rPr>
        <w:t>Positive datapoints</w:t>
      </w:r>
    </w:p>
    <w:p w14:paraId="7E08E21A" w14:textId="3D740FB2" w:rsidR="00C10439" w:rsidRDefault="00C10439" w:rsidP="00C10439">
      <w:pPr>
        <w:spacing w:line="280" w:lineRule="atLeast"/>
        <w:jc w:val="both"/>
        <w:rPr>
          <w:rFonts w:ascii="Gill Sans MT" w:hAnsi="Gill Sans MT"/>
          <w:sz w:val="21"/>
          <w:lang w:val="en-US"/>
        </w:rPr>
      </w:pPr>
      <w:r w:rsidRPr="000E752F">
        <w:rPr>
          <w:rFonts w:ascii="Gill Sans MT" w:hAnsi="Gill Sans MT"/>
          <w:sz w:val="21"/>
          <w:lang w:val="en-US"/>
        </w:rPr>
        <w:t>Furthermore, the list of indicators as presented seems to</w:t>
      </w:r>
      <w:r>
        <w:rPr>
          <w:rFonts w:ascii="Gill Sans MT" w:hAnsi="Gill Sans MT"/>
          <w:sz w:val="21"/>
          <w:lang w:val="en-US"/>
        </w:rPr>
        <w:t xml:space="preserve"> be focused on ‘negative’ indicators. </w:t>
      </w:r>
      <w:r w:rsidRPr="000E752F">
        <w:rPr>
          <w:rFonts w:ascii="Gill Sans MT" w:hAnsi="Gill Sans MT"/>
          <w:sz w:val="21"/>
          <w:lang w:val="en-US"/>
        </w:rPr>
        <w:t>However some members feel that indicators ma</w:t>
      </w:r>
      <w:r>
        <w:rPr>
          <w:rFonts w:ascii="Gill Sans MT" w:hAnsi="Gill Sans MT"/>
          <w:sz w:val="21"/>
          <w:lang w:val="en-US"/>
        </w:rPr>
        <w:t xml:space="preserve">y also be more formulated in a positive way, i.e. </w:t>
      </w:r>
      <w:bookmarkStart w:id="7" w:name="_Hlk45285030"/>
      <w:r>
        <w:rPr>
          <w:rFonts w:ascii="Gill Sans MT" w:hAnsi="Gill Sans MT"/>
          <w:sz w:val="21"/>
          <w:lang w:val="en-US"/>
        </w:rPr>
        <w:t xml:space="preserve">positive datapoints </w:t>
      </w:r>
      <w:bookmarkEnd w:id="7"/>
      <w:r>
        <w:rPr>
          <w:rFonts w:ascii="Gill Sans MT" w:hAnsi="Gill Sans MT"/>
          <w:sz w:val="21"/>
          <w:lang w:val="en-US"/>
        </w:rPr>
        <w:t xml:space="preserve">and indicators. </w:t>
      </w:r>
      <w:r w:rsidRPr="000E752F">
        <w:rPr>
          <w:rFonts w:ascii="Gill Sans MT" w:hAnsi="Gill Sans MT"/>
          <w:sz w:val="21"/>
          <w:lang w:val="en-US"/>
        </w:rPr>
        <w:t>This may include for example the percentage of the portfolio which is managed in a sustainable way, the percenta</w:t>
      </w:r>
      <w:r>
        <w:rPr>
          <w:rFonts w:ascii="Gill Sans MT" w:hAnsi="Gill Sans MT"/>
          <w:sz w:val="21"/>
          <w:lang w:val="en-US"/>
        </w:rPr>
        <w:t>g</w:t>
      </w:r>
      <w:r w:rsidRPr="000E752F">
        <w:rPr>
          <w:rFonts w:ascii="Gill Sans MT" w:hAnsi="Gill Sans MT"/>
          <w:sz w:val="21"/>
          <w:lang w:val="en-US"/>
        </w:rPr>
        <w:t>e of th</w:t>
      </w:r>
      <w:r>
        <w:rPr>
          <w:rFonts w:ascii="Gill Sans MT" w:hAnsi="Gill Sans MT"/>
          <w:sz w:val="21"/>
          <w:lang w:val="en-US"/>
        </w:rPr>
        <w:t xml:space="preserve">e portfolio that is or will be invested in renewable energy or </w:t>
      </w:r>
      <w:r w:rsidRPr="000E752F">
        <w:rPr>
          <w:rFonts w:ascii="Gill Sans MT" w:hAnsi="Gill Sans MT"/>
          <w:sz w:val="21"/>
          <w:lang w:val="en-US"/>
        </w:rPr>
        <w:t>the percenta</w:t>
      </w:r>
      <w:r>
        <w:rPr>
          <w:rFonts w:ascii="Gill Sans MT" w:hAnsi="Gill Sans MT"/>
          <w:sz w:val="21"/>
          <w:lang w:val="en-US"/>
        </w:rPr>
        <w:t>g</w:t>
      </w:r>
      <w:r w:rsidRPr="000E752F">
        <w:rPr>
          <w:rFonts w:ascii="Gill Sans MT" w:hAnsi="Gill Sans MT"/>
          <w:sz w:val="21"/>
          <w:lang w:val="en-US"/>
        </w:rPr>
        <w:t>e of th</w:t>
      </w:r>
      <w:r>
        <w:rPr>
          <w:rFonts w:ascii="Gill Sans MT" w:hAnsi="Gill Sans MT"/>
          <w:sz w:val="21"/>
          <w:lang w:val="en-US"/>
        </w:rPr>
        <w:t xml:space="preserve">e portfolio that actively contributes to the </w:t>
      </w:r>
      <w:r w:rsidRPr="000E752F">
        <w:rPr>
          <w:rFonts w:ascii="Gill Sans MT" w:hAnsi="Gill Sans MT"/>
          <w:sz w:val="21"/>
          <w:lang w:val="en-US"/>
        </w:rPr>
        <w:t>SDG’s.</w:t>
      </w:r>
      <w:r>
        <w:rPr>
          <w:rFonts w:ascii="Gill Sans MT" w:hAnsi="Gill Sans MT"/>
          <w:sz w:val="21"/>
          <w:lang w:val="en-US"/>
        </w:rPr>
        <w:t xml:space="preserve"> Needless to say, such positive data points should be not positioned as principal adverse impact indicators. Therefore, adding positive datapoints should be well explained in order not to confuse potential investors and other stakeholders. </w:t>
      </w:r>
    </w:p>
    <w:p w14:paraId="288AE952" w14:textId="77777777" w:rsidR="00992A37" w:rsidRDefault="00992A37" w:rsidP="00C10439">
      <w:pPr>
        <w:spacing w:line="280" w:lineRule="atLeast"/>
        <w:jc w:val="both"/>
        <w:rPr>
          <w:rFonts w:ascii="Gill Sans MT" w:hAnsi="Gill Sans MT"/>
          <w:sz w:val="21"/>
          <w:lang w:val="en-US"/>
        </w:rPr>
      </w:pPr>
    </w:p>
    <w:p w14:paraId="35D6E978" w14:textId="77777777" w:rsidR="00C10439" w:rsidRPr="00015804" w:rsidRDefault="00C10439" w:rsidP="00C10439">
      <w:pPr>
        <w:pStyle w:val="Default"/>
        <w:rPr>
          <w:rFonts w:ascii="Gill Sans MT" w:hAnsi="Gill Sans MT"/>
          <w:sz w:val="21"/>
          <w:szCs w:val="22"/>
          <w:u w:val="single"/>
          <w:lang w:val="en-US"/>
        </w:rPr>
      </w:pPr>
      <w:r w:rsidRPr="00015804">
        <w:rPr>
          <w:rFonts w:ascii="Gill Sans MT" w:hAnsi="Gill Sans MT"/>
          <w:i/>
          <w:iCs/>
          <w:sz w:val="21"/>
          <w:szCs w:val="22"/>
          <w:u w:val="single"/>
          <w:lang w:val="en-US"/>
        </w:rPr>
        <w:t xml:space="preserve">Annex I Table 2 and 3: </w:t>
      </w:r>
    </w:p>
    <w:p w14:paraId="10C77B56" w14:textId="77777777" w:rsidR="00C10439" w:rsidRPr="00015804" w:rsidRDefault="00C10439" w:rsidP="00C10439">
      <w:pPr>
        <w:pStyle w:val="Default"/>
        <w:rPr>
          <w:rFonts w:ascii="Gill Sans MT" w:hAnsi="Gill Sans MT"/>
          <w:sz w:val="21"/>
          <w:szCs w:val="22"/>
          <w:lang w:val="en-US"/>
        </w:rPr>
      </w:pPr>
    </w:p>
    <w:p w14:paraId="31F15E0D" w14:textId="39E0D4BC" w:rsidR="00320EE5" w:rsidRDefault="00C10439" w:rsidP="00320EE5">
      <w:pPr>
        <w:pStyle w:val="Default"/>
        <w:spacing w:line="280" w:lineRule="atLeast"/>
        <w:jc w:val="both"/>
        <w:rPr>
          <w:rFonts w:ascii="Gill Sans MT" w:hAnsi="Gill Sans MT"/>
          <w:b/>
          <w:bCs/>
          <w:sz w:val="22"/>
          <w:szCs w:val="22"/>
          <w:lang w:val="en-US"/>
        </w:rPr>
      </w:pPr>
      <w:r w:rsidRPr="00015804">
        <w:rPr>
          <w:rFonts w:ascii="Gill Sans MT" w:hAnsi="Gill Sans MT"/>
          <w:sz w:val="21"/>
          <w:szCs w:val="22"/>
          <w:lang w:val="en-US"/>
        </w:rPr>
        <w:t xml:space="preserve">Furthermore, members of DUFAS have their doubts as to the added value of the indicators of Table 2 and Table 3. These may not be relevant for disclosing on an entity level at all. </w:t>
      </w:r>
      <w:r>
        <w:rPr>
          <w:rFonts w:ascii="Gill Sans MT" w:hAnsi="Gill Sans MT"/>
          <w:sz w:val="21"/>
          <w:szCs w:val="22"/>
          <w:lang w:val="en-US"/>
        </w:rPr>
        <w:t xml:space="preserve"> Financial market participants should be flexible in using some of these indicators where they find it relevant and appropriate.</w:t>
      </w:r>
    </w:p>
    <w:permEnd w:id="1221819945"/>
    <w:p w14:paraId="0F1F4245" w14:textId="105822F6" w:rsidR="003E573C" w:rsidRDefault="003E573C" w:rsidP="003E573C">
      <w:pPr>
        <w:rPr>
          <w:rFonts w:cs="Arial"/>
        </w:rPr>
      </w:pPr>
      <w:r>
        <w:rPr>
          <w:rFonts w:cs="Arial"/>
        </w:rPr>
        <w:t>&lt;ESA_QUESTION_</w:t>
      </w:r>
      <w:r w:rsidR="00C86E1C">
        <w:rPr>
          <w:rFonts w:cs="Arial"/>
        </w:rPr>
        <w:t>ESG</w:t>
      </w:r>
      <w:r>
        <w:rPr>
          <w:rFonts w:cs="Arial"/>
        </w:rPr>
        <w:t>_1&gt;</w:t>
      </w:r>
    </w:p>
    <w:p w14:paraId="3D3DF75B" w14:textId="77777777" w:rsidR="003E573C" w:rsidRDefault="003E573C" w:rsidP="003E573C">
      <w:pPr>
        <w:rPr>
          <w:rFonts w:cs="Arial"/>
        </w:rPr>
      </w:pPr>
    </w:p>
    <w:p w14:paraId="0D4730EF" w14:textId="78AE0F9E" w:rsidR="003E573C" w:rsidRDefault="003E573C" w:rsidP="003E573C">
      <w:pPr>
        <w:pStyle w:val="Questionstyle"/>
        <w:numPr>
          <w:ilvl w:val="0"/>
          <w:numId w:val="39"/>
        </w:numPr>
      </w:pPr>
      <w:r>
        <w:t xml:space="preserve">: </w:t>
      </w:r>
      <w:r w:rsidR="00D5594A" w:rsidRPr="00D5594A">
        <w:t>Does the approach laid out in Chapter II and Annex I, take sufficiently into account the size, nature, and scale of financial market participants activities and the type of products they make available?</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29C533F1" w14:textId="77777777" w:rsidR="00F12436" w:rsidRDefault="00F12436" w:rsidP="00F12436">
      <w:pPr>
        <w:pStyle w:val="Default"/>
        <w:spacing w:line="280" w:lineRule="atLeast"/>
        <w:jc w:val="both"/>
        <w:rPr>
          <w:rFonts w:ascii="Gill Sans MT" w:hAnsi="Gill Sans MT"/>
          <w:sz w:val="21"/>
          <w:lang w:val="en-US"/>
        </w:rPr>
      </w:pPr>
      <w:permStart w:id="729947415" w:edGrp="everyone"/>
      <w:r w:rsidRPr="00AD431B">
        <w:rPr>
          <w:rFonts w:ascii="Gill Sans MT" w:hAnsi="Gill Sans MT"/>
          <w:sz w:val="21"/>
          <w:szCs w:val="22"/>
          <w:lang w:val="en-US"/>
        </w:rPr>
        <w:t xml:space="preserve">No, DUFAS is of the opinion that the chosen approach </w:t>
      </w:r>
      <w:r>
        <w:rPr>
          <w:rFonts w:ascii="Gill Sans MT" w:hAnsi="Gill Sans MT"/>
          <w:sz w:val="21"/>
          <w:szCs w:val="22"/>
          <w:lang w:val="en-US"/>
        </w:rPr>
        <w:t xml:space="preserve">does no always </w:t>
      </w:r>
      <w:r w:rsidRPr="00AD431B">
        <w:rPr>
          <w:rFonts w:ascii="Gill Sans MT" w:hAnsi="Gill Sans MT"/>
          <w:sz w:val="21"/>
          <w:szCs w:val="22"/>
          <w:lang w:val="en-US"/>
        </w:rPr>
        <w:t>take sufficiently into account the size, nature, and scale of financial market participants activities and the type of products they make available</w:t>
      </w:r>
      <w:r>
        <w:rPr>
          <w:rFonts w:ascii="Gill Sans MT" w:hAnsi="Gill Sans MT"/>
          <w:sz w:val="21"/>
          <w:szCs w:val="22"/>
          <w:lang w:val="en-US"/>
        </w:rPr>
        <w:t xml:space="preserve">. In that respect we refer to our previous comment on the </w:t>
      </w:r>
      <w:r w:rsidRPr="00830B59">
        <w:rPr>
          <w:rFonts w:ascii="Gill Sans MT" w:hAnsi="Gill Sans MT"/>
          <w:sz w:val="21"/>
          <w:lang w:val="en-US"/>
        </w:rPr>
        <w:t>accessibility of data of investee companies</w:t>
      </w:r>
      <w:r>
        <w:rPr>
          <w:rFonts w:ascii="Gill Sans MT" w:hAnsi="Gill Sans MT"/>
          <w:sz w:val="21"/>
          <w:lang w:val="en-US"/>
        </w:rPr>
        <w:t xml:space="preserve">. </w:t>
      </w:r>
    </w:p>
    <w:p w14:paraId="0D6662AC" w14:textId="77777777" w:rsidR="00F12436" w:rsidRDefault="00F12436" w:rsidP="00F12436">
      <w:pPr>
        <w:pStyle w:val="Default"/>
        <w:spacing w:line="280" w:lineRule="atLeast"/>
        <w:jc w:val="both"/>
        <w:rPr>
          <w:rFonts w:ascii="Gill Sans MT" w:hAnsi="Gill Sans MT"/>
          <w:sz w:val="21"/>
          <w:lang w:val="en-US"/>
        </w:rPr>
      </w:pPr>
    </w:p>
    <w:p w14:paraId="7A09C6A0" w14:textId="71E42A99" w:rsidR="003E573C" w:rsidRPr="00B92659" w:rsidRDefault="00F12436" w:rsidP="00F12436">
      <w:pPr>
        <w:pStyle w:val="Default"/>
        <w:spacing w:line="280" w:lineRule="atLeast"/>
        <w:jc w:val="both"/>
        <w:rPr>
          <w:rFonts w:cs="Arial"/>
          <w:lang w:val="en-US"/>
        </w:rPr>
      </w:pPr>
      <w:r>
        <w:rPr>
          <w:rFonts w:ascii="Gill Sans MT" w:hAnsi="Gill Sans MT"/>
          <w:sz w:val="21"/>
          <w:lang w:val="en-US"/>
        </w:rPr>
        <w:t xml:space="preserve">Not all financial market parties have the capacity and ability to perform a full due diligence on </w:t>
      </w:r>
      <w:r w:rsidRPr="00830B59">
        <w:rPr>
          <w:rFonts w:ascii="Gill Sans MT" w:hAnsi="Gill Sans MT"/>
          <w:sz w:val="21"/>
          <w:lang w:val="en-US"/>
        </w:rPr>
        <w:t>investee companies</w:t>
      </w:r>
      <w:r>
        <w:rPr>
          <w:rFonts w:ascii="Gill Sans MT" w:hAnsi="Gill Sans MT"/>
          <w:sz w:val="21"/>
          <w:lang w:val="en-US"/>
        </w:rPr>
        <w:t xml:space="preserve"> directly. Therefore they may have to </w:t>
      </w:r>
      <w:r w:rsidRPr="00830B59">
        <w:rPr>
          <w:rFonts w:ascii="Gill Sans MT" w:hAnsi="Gill Sans MT"/>
          <w:sz w:val="21"/>
          <w:lang w:val="en-US"/>
        </w:rPr>
        <w:t>rely on third party providers</w:t>
      </w:r>
      <w:r>
        <w:rPr>
          <w:rFonts w:ascii="Gill Sans MT" w:hAnsi="Gill Sans MT"/>
          <w:sz w:val="21"/>
          <w:lang w:val="en-US"/>
        </w:rPr>
        <w:t xml:space="preserve"> only</w:t>
      </w:r>
      <w:r w:rsidRPr="00830B59">
        <w:rPr>
          <w:rFonts w:ascii="Gill Sans MT" w:hAnsi="Gill Sans MT"/>
          <w:sz w:val="21"/>
          <w:lang w:val="en-US"/>
        </w:rPr>
        <w:t xml:space="preserve">. </w:t>
      </w:r>
      <w:r>
        <w:rPr>
          <w:rFonts w:ascii="Gill Sans MT" w:hAnsi="Gill Sans MT"/>
          <w:sz w:val="21"/>
          <w:lang w:val="en-US"/>
        </w:rPr>
        <w:t>Needless to say is that</w:t>
      </w:r>
      <w:r>
        <w:rPr>
          <w:rFonts w:ascii="Gill Sans MT" w:hAnsi="Gill Sans MT"/>
          <w:b/>
          <w:bCs/>
          <w:sz w:val="21"/>
          <w:lang w:val="en-US"/>
        </w:rPr>
        <w:t xml:space="preserve"> </w:t>
      </w:r>
      <w:r w:rsidRPr="00462862">
        <w:rPr>
          <w:rFonts w:ascii="Gill Sans MT" w:hAnsi="Gill Sans MT"/>
          <w:sz w:val="21"/>
          <w:lang w:val="en-US"/>
        </w:rPr>
        <w:t xml:space="preserve">it is the responsibility of financial market parties to obtain information </w:t>
      </w:r>
      <w:r w:rsidR="00A10E0B">
        <w:rPr>
          <w:rFonts w:ascii="Gill Sans MT" w:hAnsi="Gill Sans MT"/>
          <w:sz w:val="21"/>
          <w:lang w:val="en-US"/>
        </w:rPr>
        <w:t>on</w:t>
      </w:r>
      <w:r w:rsidRPr="00462862">
        <w:rPr>
          <w:rFonts w:ascii="Gill Sans MT" w:hAnsi="Gill Sans MT"/>
          <w:sz w:val="21"/>
          <w:lang w:val="en-US"/>
        </w:rPr>
        <w:t xml:space="preserve"> investee companies.</w:t>
      </w:r>
      <w:r>
        <w:rPr>
          <w:rFonts w:ascii="Gill Sans MT" w:hAnsi="Gill Sans MT"/>
          <w:b/>
          <w:bCs/>
          <w:sz w:val="21"/>
          <w:lang w:val="en-US"/>
        </w:rPr>
        <w:t xml:space="preserve"> </w:t>
      </w:r>
      <w:r w:rsidRPr="00A04BC8">
        <w:rPr>
          <w:rFonts w:ascii="Gill Sans MT" w:hAnsi="Gill Sans MT"/>
          <w:sz w:val="21"/>
          <w:lang w:val="en-US"/>
        </w:rPr>
        <w:t>However,</w:t>
      </w:r>
      <w:r>
        <w:rPr>
          <w:rFonts w:ascii="Gill Sans MT" w:hAnsi="Gill Sans MT"/>
          <w:b/>
          <w:bCs/>
          <w:sz w:val="21"/>
          <w:lang w:val="en-US"/>
        </w:rPr>
        <w:t xml:space="preserve"> </w:t>
      </w:r>
      <w:r>
        <w:rPr>
          <w:rFonts w:ascii="Gill Sans MT" w:hAnsi="Gill Sans MT"/>
          <w:sz w:val="21"/>
          <w:lang w:val="en-US"/>
        </w:rPr>
        <w:t>in terms of costs and by applying any sort of proportionality principle, market parties should also be entitled to rely on data obtained from third party providers directly and on the long run from an open source ESG data register as advocated by a number of market parties, such as EFAMA.</w:t>
      </w:r>
    </w:p>
    <w:permEnd w:id="729947415"/>
    <w:p w14:paraId="6415E03C" w14:textId="45BB9ACC" w:rsidR="003E573C" w:rsidRDefault="003E573C" w:rsidP="003E573C">
      <w:pPr>
        <w:rPr>
          <w:rFonts w:cs="Arial"/>
        </w:rPr>
      </w:pPr>
      <w:r>
        <w:rPr>
          <w:rFonts w:cs="Arial"/>
        </w:rPr>
        <w:t>&lt;ESA_QUESTION_</w:t>
      </w:r>
      <w:r w:rsidR="00C86E1C">
        <w:rPr>
          <w:rFonts w:cs="Arial"/>
        </w:rPr>
        <w:t>ESG</w:t>
      </w:r>
      <w:r>
        <w:rPr>
          <w:rFonts w:cs="Arial"/>
        </w:rPr>
        <w:t>_2&gt;</w:t>
      </w:r>
    </w:p>
    <w:p w14:paraId="36483E3B" w14:textId="77777777" w:rsidR="003E573C" w:rsidRDefault="003E573C" w:rsidP="003E573C">
      <w:pPr>
        <w:rPr>
          <w:rFonts w:cs="Arial"/>
        </w:rPr>
      </w:pPr>
    </w:p>
    <w:p w14:paraId="0C882E82" w14:textId="69EC93BC" w:rsidR="003E573C" w:rsidRDefault="003E573C" w:rsidP="003E573C">
      <w:pPr>
        <w:pStyle w:val="Questionstyle"/>
        <w:numPr>
          <w:ilvl w:val="0"/>
          <w:numId w:val="39"/>
        </w:numPr>
      </w:pPr>
      <w:r>
        <w:t xml:space="preserve">: </w:t>
      </w:r>
      <w:r w:rsidR="00D5594A" w:rsidRPr="00D5594A">
        <w:t>If you do not agree with the approach in Chapter II and Annex I, is there another way to ensure sufficiently comparable disclosure against key indicators?</w:t>
      </w:r>
      <w:r w:rsidRPr="00763760">
        <w:t xml:space="preserve"> </w:t>
      </w:r>
    </w:p>
    <w:p w14:paraId="5F6CF93B" w14:textId="11E86FB0" w:rsidR="003E573C" w:rsidRDefault="003E573C" w:rsidP="003E573C">
      <w:pPr>
        <w:rPr>
          <w:rFonts w:cs="Arial"/>
        </w:rPr>
      </w:pPr>
      <w:r>
        <w:rPr>
          <w:rFonts w:cs="Arial"/>
        </w:rPr>
        <w:t>&lt;ESA_QUESTION_</w:t>
      </w:r>
      <w:r w:rsidR="00C86E1C">
        <w:rPr>
          <w:rFonts w:cs="Arial"/>
        </w:rPr>
        <w:t>ESG</w:t>
      </w:r>
      <w:r>
        <w:rPr>
          <w:rFonts w:cs="Arial"/>
        </w:rPr>
        <w:t>_3&gt;</w:t>
      </w:r>
    </w:p>
    <w:p w14:paraId="72A23BA0" w14:textId="2A6335CD" w:rsidR="003E573C" w:rsidRPr="00B92659" w:rsidRDefault="007D27BD" w:rsidP="007D27BD">
      <w:pPr>
        <w:pStyle w:val="Default"/>
        <w:spacing w:line="280" w:lineRule="atLeast"/>
        <w:jc w:val="both"/>
        <w:rPr>
          <w:rFonts w:cs="Arial"/>
          <w:lang w:val="en-US"/>
        </w:rPr>
      </w:pPr>
      <w:permStart w:id="677205538" w:edGrp="everyone"/>
      <w:r w:rsidRPr="002F2B5D">
        <w:rPr>
          <w:rFonts w:ascii="Gill Sans MT" w:hAnsi="Gill Sans MT"/>
          <w:sz w:val="21"/>
          <w:szCs w:val="22"/>
          <w:lang w:val="en-US"/>
        </w:rPr>
        <w:t xml:space="preserve">We believe that some datapoints in Annex 1 are still open for interpretation. Different data providers will use slightly different definitions or that are open to interpretation. This might especially be true for a number of </w:t>
      </w:r>
      <w:r w:rsidRPr="002F2B5D">
        <w:rPr>
          <w:rFonts w:ascii="Gill Sans MT" w:hAnsi="Gill Sans MT"/>
          <w:sz w:val="21"/>
          <w:szCs w:val="22"/>
          <w:lang w:val="en-US"/>
        </w:rPr>
        <w:lastRenderedPageBreak/>
        <w:t>social indicators. It would be helpful to have transparency at the level of raw/ underlying data points that feed into a definition and end up as a metric rather than only the metric itself.</w:t>
      </w:r>
    </w:p>
    <w:permEnd w:id="677205538"/>
    <w:p w14:paraId="54D6583E" w14:textId="3F05E884" w:rsidR="003E573C" w:rsidRDefault="003E573C" w:rsidP="003E573C">
      <w:pPr>
        <w:rPr>
          <w:rFonts w:cs="Arial"/>
        </w:rPr>
      </w:pPr>
      <w:r>
        <w:rPr>
          <w:rFonts w:cs="Arial"/>
        </w:rPr>
        <w:t>&lt;ESA_QUESTION_</w:t>
      </w:r>
      <w:r w:rsidR="00C86E1C">
        <w:rPr>
          <w:rFonts w:cs="Arial"/>
        </w:rPr>
        <w:t>ESG</w:t>
      </w:r>
      <w:r>
        <w:rPr>
          <w:rFonts w:cs="Arial"/>
        </w:rPr>
        <w:t>_3&gt;</w:t>
      </w:r>
    </w:p>
    <w:p w14:paraId="3E042AC0" w14:textId="77777777" w:rsidR="003E573C" w:rsidRDefault="003E573C" w:rsidP="003E573C">
      <w:pPr>
        <w:rPr>
          <w:rFonts w:cs="Arial"/>
        </w:rPr>
      </w:pPr>
    </w:p>
    <w:p w14:paraId="40E8D4A0" w14:textId="415248A2" w:rsidR="003E573C" w:rsidRDefault="003E573C" w:rsidP="003E573C">
      <w:pPr>
        <w:pStyle w:val="Questionstyle"/>
        <w:numPr>
          <w:ilvl w:val="0"/>
          <w:numId w:val="39"/>
        </w:numPr>
      </w:pPr>
      <w:r>
        <w:t xml:space="preserve">: </w:t>
      </w:r>
      <w:r w:rsidR="00D5594A" w:rsidRPr="00D5594A">
        <w:t>Do you have any views on the reporting template provided in Table 1 of Annex I?</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4AE09591" w14:textId="7A0A8406" w:rsidR="00016CFA" w:rsidRDefault="00016CFA" w:rsidP="00016CFA">
      <w:pPr>
        <w:pStyle w:val="Default"/>
        <w:spacing w:line="280" w:lineRule="atLeast"/>
        <w:jc w:val="both"/>
        <w:rPr>
          <w:rFonts w:ascii="Gill Sans MT" w:hAnsi="Gill Sans MT"/>
          <w:sz w:val="21"/>
          <w:szCs w:val="22"/>
          <w:lang w:val="en-US"/>
        </w:rPr>
      </w:pPr>
      <w:permStart w:id="1220688604" w:edGrp="everyone"/>
      <w:r w:rsidRPr="000C784D">
        <w:rPr>
          <w:rFonts w:ascii="Gill Sans MT" w:hAnsi="Gill Sans MT"/>
          <w:sz w:val="21"/>
          <w:szCs w:val="22"/>
          <w:lang w:val="en-US"/>
        </w:rPr>
        <w:t xml:space="preserve">DUFAS </w:t>
      </w:r>
      <w:bookmarkStart w:id="8" w:name="_Hlk48054502"/>
      <w:r w:rsidRPr="000C784D">
        <w:rPr>
          <w:rFonts w:ascii="Gill Sans MT" w:hAnsi="Gill Sans MT"/>
          <w:sz w:val="21"/>
          <w:szCs w:val="22"/>
          <w:lang w:val="en-US"/>
        </w:rPr>
        <w:t xml:space="preserve">is of the opinion that </w:t>
      </w:r>
      <w:r>
        <w:rPr>
          <w:rFonts w:ascii="Gill Sans MT" w:hAnsi="Gill Sans MT"/>
          <w:sz w:val="21"/>
          <w:szCs w:val="22"/>
          <w:lang w:val="en-US"/>
        </w:rPr>
        <w:t xml:space="preserve">there are various means of setting up reporting templates. However, whatever  </w:t>
      </w:r>
      <w:r w:rsidRPr="000C784D">
        <w:rPr>
          <w:rFonts w:ascii="Gill Sans MT" w:hAnsi="Gill Sans MT"/>
          <w:sz w:val="21"/>
          <w:szCs w:val="22"/>
          <w:lang w:val="en-US"/>
        </w:rPr>
        <w:t>the reporting template looks like</w:t>
      </w:r>
      <w:r>
        <w:rPr>
          <w:rFonts w:ascii="Gill Sans MT" w:hAnsi="Gill Sans MT"/>
          <w:sz w:val="21"/>
          <w:szCs w:val="22"/>
          <w:lang w:val="en-US"/>
        </w:rPr>
        <w:t xml:space="preserve"> it is more important that (</w:t>
      </w:r>
      <w:proofErr w:type="spellStart"/>
      <w:r>
        <w:rPr>
          <w:rFonts w:ascii="Gill Sans MT" w:hAnsi="Gill Sans MT"/>
          <w:sz w:val="21"/>
          <w:szCs w:val="22"/>
          <w:lang w:val="en-US"/>
        </w:rPr>
        <w:t>i</w:t>
      </w:r>
      <w:proofErr w:type="spellEnd"/>
      <w:r>
        <w:rPr>
          <w:rFonts w:ascii="Gill Sans MT" w:hAnsi="Gill Sans MT"/>
          <w:sz w:val="21"/>
          <w:szCs w:val="22"/>
          <w:lang w:val="en-US"/>
        </w:rPr>
        <w:t xml:space="preserve">) there are no misconceptions how to read the template by financial market participants or other relevant stakeholders, and (ii) the template can be easily found on the website of the financial market participant or financial advisor. </w:t>
      </w:r>
      <w:r w:rsidRPr="007B0CA2">
        <w:rPr>
          <w:rFonts w:ascii="Gill Sans MT" w:hAnsi="Gill Sans MT"/>
          <w:sz w:val="21"/>
          <w:szCs w:val="22"/>
          <w:lang w:val="en-US"/>
        </w:rPr>
        <w:t>The feasibility, availability, content, comparability and the purpose (no greenwashing) is</w:t>
      </w:r>
      <w:r>
        <w:rPr>
          <w:rFonts w:ascii="Gill Sans MT" w:hAnsi="Gill Sans MT"/>
          <w:sz w:val="21"/>
          <w:szCs w:val="22"/>
          <w:lang w:val="en-US"/>
        </w:rPr>
        <w:t xml:space="preserve"> more of importance</w:t>
      </w:r>
      <w:bookmarkEnd w:id="8"/>
      <w:r w:rsidRPr="007B0CA2">
        <w:rPr>
          <w:rFonts w:ascii="Gill Sans MT" w:hAnsi="Gill Sans MT"/>
          <w:sz w:val="21"/>
          <w:szCs w:val="22"/>
          <w:lang w:val="en-US"/>
        </w:rPr>
        <w:t xml:space="preserve">. </w:t>
      </w:r>
      <w:r>
        <w:rPr>
          <w:rFonts w:ascii="Gill Sans MT" w:hAnsi="Gill Sans MT"/>
          <w:sz w:val="21"/>
          <w:szCs w:val="22"/>
          <w:lang w:val="en-US"/>
        </w:rPr>
        <w:t xml:space="preserve">As such, we question whether the proposed template meet said requirements, i.e. is the proposed template easy to interpret and to read for </w:t>
      </w:r>
      <w:r w:rsidRPr="007B0CA2">
        <w:rPr>
          <w:rFonts w:ascii="Gill Sans MT" w:hAnsi="Gill Sans MT"/>
          <w:sz w:val="21"/>
          <w:szCs w:val="22"/>
          <w:lang w:val="en-US"/>
        </w:rPr>
        <w:t>financial market participants or other relevant stakeholder</w:t>
      </w:r>
      <w:r>
        <w:rPr>
          <w:rFonts w:ascii="Gill Sans MT" w:hAnsi="Gill Sans MT"/>
          <w:sz w:val="21"/>
          <w:szCs w:val="22"/>
          <w:lang w:val="en-US"/>
        </w:rPr>
        <w:t>s, such as investors? Finally, whatever reporting template may be prescribed, there should be</w:t>
      </w:r>
      <w:r w:rsidRPr="0096678F">
        <w:rPr>
          <w:rFonts w:ascii="Gill Sans MT" w:hAnsi="Gill Sans MT"/>
          <w:sz w:val="21"/>
          <w:szCs w:val="22"/>
          <w:lang w:val="en-US"/>
        </w:rPr>
        <w:t xml:space="preserve"> allow</w:t>
      </w:r>
      <w:r>
        <w:rPr>
          <w:rFonts w:ascii="Gill Sans MT" w:hAnsi="Gill Sans MT"/>
          <w:sz w:val="21"/>
          <w:szCs w:val="22"/>
          <w:lang w:val="en-US"/>
        </w:rPr>
        <w:t>ed</w:t>
      </w:r>
      <w:r w:rsidRPr="0096678F">
        <w:rPr>
          <w:rFonts w:ascii="Gill Sans MT" w:hAnsi="Gill Sans MT"/>
          <w:sz w:val="21"/>
          <w:szCs w:val="22"/>
          <w:lang w:val="en-US"/>
        </w:rPr>
        <w:t xml:space="preserve"> enough space to explain the results</w:t>
      </w:r>
      <w:r>
        <w:rPr>
          <w:rFonts w:ascii="Gill Sans MT" w:hAnsi="Gill Sans MT"/>
          <w:sz w:val="21"/>
          <w:szCs w:val="22"/>
          <w:lang w:val="en-US"/>
        </w:rPr>
        <w:t xml:space="preserve"> and</w:t>
      </w:r>
      <w:r w:rsidRPr="0096678F">
        <w:rPr>
          <w:rFonts w:ascii="Gill Sans MT" w:hAnsi="Gill Sans MT"/>
          <w:sz w:val="21"/>
          <w:szCs w:val="22"/>
          <w:lang w:val="en-US"/>
        </w:rPr>
        <w:t xml:space="preserve"> methodology as end-investors might misinterpret the data</w:t>
      </w:r>
      <w:r>
        <w:rPr>
          <w:rFonts w:ascii="Gill Sans MT" w:hAnsi="Gill Sans MT"/>
          <w:sz w:val="21"/>
          <w:szCs w:val="22"/>
          <w:lang w:val="en-US"/>
        </w:rPr>
        <w:t xml:space="preserve"> provided. Effectively,</w:t>
      </w:r>
      <w:r w:rsidRPr="0096678F">
        <w:rPr>
          <w:rFonts w:ascii="Gill Sans MT" w:hAnsi="Gill Sans MT"/>
          <w:sz w:val="21"/>
          <w:szCs w:val="22"/>
          <w:lang w:val="en-US"/>
        </w:rPr>
        <w:t xml:space="preserve"> i</w:t>
      </w:r>
      <w:r>
        <w:rPr>
          <w:rFonts w:ascii="Gill Sans MT" w:hAnsi="Gill Sans MT"/>
          <w:sz w:val="21"/>
          <w:szCs w:val="22"/>
          <w:lang w:val="en-US"/>
        </w:rPr>
        <w:t>t</w:t>
      </w:r>
      <w:r w:rsidRPr="0096678F">
        <w:rPr>
          <w:rFonts w:ascii="Gill Sans MT" w:hAnsi="Gill Sans MT"/>
          <w:sz w:val="21"/>
          <w:szCs w:val="22"/>
          <w:lang w:val="en-US"/>
        </w:rPr>
        <w:t xml:space="preserve"> should result in a mix</w:t>
      </w:r>
      <w:r>
        <w:rPr>
          <w:rFonts w:ascii="Gill Sans MT" w:hAnsi="Gill Sans MT"/>
          <w:sz w:val="21"/>
          <w:szCs w:val="22"/>
          <w:lang w:val="en-US"/>
        </w:rPr>
        <w:t>ture</w:t>
      </w:r>
      <w:r w:rsidRPr="0096678F">
        <w:rPr>
          <w:rFonts w:ascii="Gill Sans MT" w:hAnsi="Gill Sans MT"/>
          <w:sz w:val="21"/>
          <w:szCs w:val="22"/>
          <w:lang w:val="en-US"/>
        </w:rPr>
        <w:t xml:space="preserve"> of quant</w:t>
      </w:r>
      <w:r>
        <w:rPr>
          <w:rFonts w:ascii="Gill Sans MT" w:hAnsi="Gill Sans MT"/>
          <w:sz w:val="21"/>
          <w:szCs w:val="22"/>
          <w:lang w:val="en-US"/>
        </w:rPr>
        <w:t>itively</w:t>
      </w:r>
      <w:r w:rsidRPr="0096678F">
        <w:rPr>
          <w:rFonts w:ascii="Gill Sans MT" w:hAnsi="Gill Sans MT"/>
          <w:sz w:val="21"/>
          <w:szCs w:val="22"/>
          <w:lang w:val="en-US"/>
        </w:rPr>
        <w:t xml:space="preserve"> and qual</w:t>
      </w:r>
      <w:r>
        <w:rPr>
          <w:rFonts w:ascii="Gill Sans MT" w:hAnsi="Gill Sans MT"/>
          <w:sz w:val="21"/>
          <w:szCs w:val="22"/>
          <w:lang w:val="en-US"/>
        </w:rPr>
        <w:t>itatively</w:t>
      </w:r>
      <w:r w:rsidRPr="0096678F">
        <w:rPr>
          <w:rFonts w:ascii="Gill Sans MT" w:hAnsi="Gill Sans MT"/>
          <w:sz w:val="21"/>
          <w:szCs w:val="22"/>
          <w:lang w:val="en-US"/>
        </w:rPr>
        <w:t xml:space="preserve"> disclosure</w:t>
      </w:r>
      <w:r>
        <w:rPr>
          <w:rFonts w:ascii="Gill Sans MT" w:hAnsi="Gill Sans MT"/>
          <w:sz w:val="21"/>
          <w:szCs w:val="22"/>
          <w:lang w:val="en-US"/>
        </w:rPr>
        <w:t xml:space="preserve">s as prescribed in SFDR level 1. </w:t>
      </w:r>
    </w:p>
    <w:permEnd w:id="1220688604"/>
    <w:p w14:paraId="53DA6878" w14:textId="3826CEB9" w:rsidR="003E573C" w:rsidRDefault="003E573C" w:rsidP="003E573C">
      <w:pPr>
        <w:rPr>
          <w:rFonts w:cs="Arial"/>
        </w:rPr>
      </w:pPr>
      <w:r>
        <w:rPr>
          <w:rFonts w:cs="Arial"/>
        </w:rPr>
        <w:t>&lt;ESA_QUESTION_</w:t>
      </w:r>
      <w:r w:rsidR="00C86E1C">
        <w:rPr>
          <w:rFonts w:cs="Arial"/>
        </w:rPr>
        <w:t>ESG</w:t>
      </w:r>
      <w:r>
        <w:rPr>
          <w:rFonts w:cs="Arial"/>
        </w:rPr>
        <w:t>_4&gt;</w:t>
      </w:r>
    </w:p>
    <w:p w14:paraId="7CE6B136" w14:textId="77777777" w:rsidR="003E573C" w:rsidRDefault="003E573C" w:rsidP="003E573C">
      <w:pPr>
        <w:rPr>
          <w:rFonts w:cs="Arial"/>
        </w:rPr>
      </w:pPr>
    </w:p>
    <w:p w14:paraId="39295ADB" w14:textId="41077C5A" w:rsidR="003E573C" w:rsidRDefault="003E573C" w:rsidP="003E573C">
      <w:pPr>
        <w:pStyle w:val="Questionstyle"/>
        <w:numPr>
          <w:ilvl w:val="0"/>
          <w:numId w:val="39"/>
        </w:numPr>
      </w:pPr>
      <w:r>
        <w:t xml:space="preserve">: </w:t>
      </w:r>
      <w:r w:rsidR="002A73F1" w:rsidRPr="002A73F1">
        <w:t>Do you agree with the indicators? Would you recommend any other indicators? Do you see merit in including forward-looking indicators such as emission reduction pathways, or scope 4 emissions (saving other companies´ GHG emissions)?</w:t>
      </w:r>
    </w:p>
    <w:p w14:paraId="028F4F51" w14:textId="6BF830DE" w:rsidR="003E573C" w:rsidRDefault="003E573C" w:rsidP="003E573C">
      <w:pPr>
        <w:rPr>
          <w:rFonts w:cs="Arial"/>
        </w:rPr>
      </w:pPr>
      <w:r>
        <w:rPr>
          <w:rFonts w:cs="Arial"/>
        </w:rPr>
        <w:t>&lt;ESA_QUESTION_</w:t>
      </w:r>
      <w:r w:rsidR="00C86E1C">
        <w:rPr>
          <w:rFonts w:cs="Arial"/>
        </w:rPr>
        <w:t>ESG</w:t>
      </w:r>
      <w:r>
        <w:rPr>
          <w:rFonts w:cs="Arial"/>
        </w:rPr>
        <w:t>_5&gt;</w:t>
      </w:r>
    </w:p>
    <w:p w14:paraId="1BBE2933" w14:textId="77777777" w:rsidR="00052278" w:rsidRPr="007C28C8" w:rsidRDefault="00052278" w:rsidP="00052278">
      <w:pPr>
        <w:spacing w:line="280" w:lineRule="atLeast"/>
        <w:jc w:val="both"/>
        <w:rPr>
          <w:rFonts w:ascii="Gill Sans MT" w:hAnsi="Gill Sans MT"/>
          <w:b/>
          <w:bCs/>
          <w:i/>
          <w:iCs/>
          <w:sz w:val="22"/>
          <w:u w:val="single"/>
          <w:lang w:val="en-US"/>
        </w:rPr>
      </w:pPr>
      <w:permStart w:id="209390932" w:edGrp="everyone"/>
      <w:r w:rsidRPr="007C28C8">
        <w:rPr>
          <w:rFonts w:ascii="Gill Sans MT" w:hAnsi="Gill Sans MT"/>
          <w:b/>
          <w:bCs/>
          <w:i/>
          <w:iCs/>
          <w:sz w:val="22"/>
          <w:u w:val="single"/>
          <w:lang w:val="en-US"/>
        </w:rPr>
        <w:t>Specific to indicators:</w:t>
      </w:r>
    </w:p>
    <w:p w14:paraId="693F3B47" w14:textId="77777777" w:rsidR="00052278" w:rsidRPr="00C44354" w:rsidRDefault="00052278" w:rsidP="00052278">
      <w:pPr>
        <w:spacing w:line="280" w:lineRule="atLeast"/>
        <w:jc w:val="both"/>
        <w:rPr>
          <w:rFonts w:ascii="Gill Sans MT" w:hAnsi="Gill Sans MT"/>
          <w:i/>
          <w:iCs/>
          <w:sz w:val="21"/>
          <w:u w:val="single"/>
          <w:lang w:val="en-US"/>
        </w:rPr>
      </w:pPr>
    </w:p>
    <w:p w14:paraId="39D20403" w14:textId="77777777" w:rsidR="00052278" w:rsidRDefault="00052278" w:rsidP="00052278">
      <w:pPr>
        <w:spacing w:line="280" w:lineRule="atLeast"/>
        <w:jc w:val="both"/>
        <w:rPr>
          <w:rFonts w:ascii="Gill Sans MT" w:hAnsi="Gill Sans MT"/>
          <w:i/>
          <w:iCs/>
          <w:sz w:val="21"/>
          <w:lang w:val="en-US"/>
        </w:rPr>
      </w:pPr>
      <w:r>
        <w:rPr>
          <w:rFonts w:ascii="Gill Sans MT" w:hAnsi="Gill Sans MT"/>
          <w:i/>
          <w:iCs/>
          <w:sz w:val="21"/>
          <w:lang w:val="en-US"/>
        </w:rPr>
        <w:t>Greenhous gas emissions [1-4]</w:t>
      </w:r>
      <w:r w:rsidRPr="00425241">
        <w:rPr>
          <w:rFonts w:ascii="Gill Sans MT" w:hAnsi="Gill Sans MT"/>
          <w:i/>
          <w:iCs/>
          <w:sz w:val="21"/>
          <w:lang w:val="en-US"/>
        </w:rPr>
        <w:t xml:space="preserve"> </w:t>
      </w:r>
    </w:p>
    <w:p w14:paraId="48F0AC2C" w14:textId="77777777" w:rsidR="00052278" w:rsidRDefault="00052278" w:rsidP="00052278">
      <w:pPr>
        <w:pStyle w:val="Lijstalinea"/>
        <w:numPr>
          <w:ilvl w:val="0"/>
          <w:numId w:val="45"/>
        </w:numPr>
        <w:spacing w:line="280" w:lineRule="atLeast"/>
        <w:jc w:val="both"/>
        <w:rPr>
          <w:rFonts w:ascii="Gill Sans MT" w:hAnsi="Gill Sans MT"/>
          <w:sz w:val="21"/>
          <w:lang w:val="en-US"/>
        </w:rPr>
      </w:pPr>
      <w:r>
        <w:rPr>
          <w:rFonts w:ascii="Gill Sans MT" w:hAnsi="Gill Sans MT"/>
          <w:sz w:val="21"/>
          <w:u w:val="single"/>
          <w:lang w:val="en-US"/>
        </w:rPr>
        <w:t>Relevant indicators:</w:t>
      </w:r>
      <w:r w:rsidRPr="00713394">
        <w:rPr>
          <w:rFonts w:ascii="Gill Sans MT" w:hAnsi="Gill Sans MT"/>
          <w:sz w:val="21"/>
          <w:lang w:val="en-US"/>
        </w:rPr>
        <w:t xml:space="preserve"> </w:t>
      </w:r>
      <w:r>
        <w:rPr>
          <w:rFonts w:ascii="Gill Sans MT" w:hAnsi="Gill Sans MT"/>
          <w:sz w:val="21"/>
          <w:lang w:val="en-US"/>
        </w:rPr>
        <w:t xml:space="preserve">DUFAS is of the opinion that all </w:t>
      </w:r>
      <w:r w:rsidRPr="003431BD">
        <w:rPr>
          <w:rFonts w:ascii="Gill Sans MT" w:hAnsi="Gill Sans MT"/>
          <w:sz w:val="21"/>
          <w:lang w:val="en-US"/>
        </w:rPr>
        <w:t>indicators s</w:t>
      </w:r>
      <w:r>
        <w:rPr>
          <w:rFonts w:ascii="Gill Sans MT" w:hAnsi="Gill Sans MT"/>
          <w:sz w:val="21"/>
          <w:lang w:val="en-US"/>
        </w:rPr>
        <w:t xml:space="preserve">et forth under greenhouse gas emissions are relevant and useful;  </w:t>
      </w:r>
    </w:p>
    <w:p w14:paraId="5409FFF5" w14:textId="77777777" w:rsidR="00052278" w:rsidRDefault="00052278" w:rsidP="00052278">
      <w:pPr>
        <w:pStyle w:val="Lijstalinea"/>
        <w:spacing w:line="280" w:lineRule="atLeast"/>
        <w:ind w:left="360"/>
        <w:jc w:val="both"/>
        <w:rPr>
          <w:rFonts w:ascii="Gill Sans MT" w:hAnsi="Gill Sans MT"/>
          <w:sz w:val="21"/>
          <w:lang w:val="en-US"/>
        </w:rPr>
      </w:pPr>
    </w:p>
    <w:p w14:paraId="1EAD2A08" w14:textId="67EA5F72" w:rsidR="00052278" w:rsidRDefault="00052278" w:rsidP="00052278">
      <w:pPr>
        <w:pStyle w:val="Lijstalinea"/>
        <w:numPr>
          <w:ilvl w:val="0"/>
          <w:numId w:val="45"/>
        </w:numPr>
        <w:spacing w:line="280" w:lineRule="atLeast"/>
        <w:jc w:val="both"/>
        <w:rPr>
          <w:rFonts w:ascii="Gill Sans MT" w:hAnsi="Gill Sans MT"/>
          <w:sz w:val="21"/>
          <w:lang w:val="en-US"/>
        </w:rPr>
      </w:pPr>
      <w:r w:rsidRPr="00EC5E86">
        <w:rPr>
          <w:rFonts w:ascii="Gill Sans MT" w:hAnsi="Gill Sans MT"/>
          <w:sz w:val="21"/>
          <w:u w:val="single"/>
          <w:lang w:val="en-US"/>
        </w:rPr>
        <w:t>Data availability/scope 3 emissions</w:t>
      </w:r>
      <w:r w:rsidRPr="00EC5E86">
        <w:rPr>
          <w:rFonts w:ascii="Gill Sans MT" w:hAnsi="Gill Sans MT"/>
          <w:sz w:val="21"/>
          <w:lang w:val="en-US"/>
        </w:rPr>
        <w:t xml:space="preserve">: The suggested formula on ‘total carbon emissions’ and ‘carbon footprint’ includes scope 3 emissions. Although, we do see merit in including scope 3 emissions, there is not much data, or reliable </w:t>
      </w:r>
      <w:proofErr w:type="spellStart"/>
      <w:r w:rsidRPr="00EC5E86">
        <w:rPr>
          <w:rFonts w:ascii="Gill Sans MT" w:hAnsi="Gill Sans MT"/>
          <w:sz w:val="21"/>
          <w:lang w:val="en-US"/>
        </w:rPr>
        <w:t>dat</w:t>
      </w:r>
      <w:proofErr w:type="spellEnd"/>
      <w:r w:rsidRPr="00EC5E86">
        <w:rPr>
          <w:rFonts w:ascii="Gill Sans MT" w:hAnsi="Gill Sans MT"/>
          <w:sz w:val="21"/>
          <w:lang w:val="en-US"/>
        </w:rPr>
        <w:t>, available on scope 3 emissions. We suggest that the formula</w:t>
      </w:r>
      <w:r w:rsidR="00782147">
        <w:rPr>
          <w:rFonts w:ascii="Gill Sans MT" w:hAnsi="Gill Sans MT"/>
          <w:sz w:val="21"/>
          <w:lang w:val="en-US"/>
        </w:rPr>
        <w:t>s</w:t>
      </w:r>
      <w:r w:rsidRPr="00EC5E86">
        <w:rPr>
          <w:rFonts w:ascii="Gill Sans MT" w:hAnsi="Gill Sans MT"/>
          <w:sz w:val="21"/>
          <w:lang w:val="en-US"/>
        </w:rPr>
        <w:t xml:space="preserve"> of the carbon emissions should use calculations or should be defined in accordance with current international calculation methods such as TCFD, PCAF</w:t>
      </w:r>
      <w:r w:rsidR="00EF4F69">
        <w:rPr>
          <w:rFonts w:ascii="Gill Sans MT" w:hAnsi="Gill Sans MT"/>
          <w:sz w:val="21"/>
          <w:lang w:val="en-US"/>
        </w:rPr>
        <w:t xml:space="preserve"> which may be developed further from time to time</w:t>
      </w:r>
      <w:r w:rsidR="00CF4A3E">
        <w:rPr>
          <w:rFonts w:ascii="Gill Sans MT" w:hAnsi="Gill Sans MT"/>
          <w:sz w:val="21"/>
          <w:lang w:val="en-US"/>
        </w:rPr>
        <w:t>.</w:t>
      </w:r>
      <w:r w:rsidRPr="00EC5E86">
        <w:rPr>
          <w:rFonts w:ascii="Gill Sans MT" w:hAnsi="Gill Sans MT"/>
          <w:sz w:val="21"/>
          <w:lang w:val="en-US"/>
        </w:rPr>
        <w:t xml:space="preserve"> At the long run, scope 3 may be included into such formula, if and when more reliable data on scope 3 emissions becomes available. </w:t>
      </w:r>
      <w:r w:rsidRPr="0071616E">
        <w:rPr>
          <w:rFonts w:ascii="Gill Sans MT" w:hAnsi="Gill Sans MT"/>
          <w:sz w:val="21"/>
          <w:lang w:val="en-US"/>
        </w:rPr>
        <w:t>Parts of material scope 3 can be explored for specific sectors.</w:t>
      </w:r>
      <w:r w:rsidRPr="00EC5E86">
        <w:rPr>
          <w:rFonts w:ascii="Gill Sans MT" w:hAnsi="Gill Sans MT"/>
          <w:sz w:val="21"/>
          <w:lang w:val="en-US"/>
        </w:rPr>
        <w:t xml:space="preserve"> </w:t>
      </w:r>
      <w:r>
        <w:rPr>
          <w:rFonts w:ascii="Gill Sans MT" w:hAnsi="Gill Sans MT"/>
          <w:sz w:val="21"/>
          <w:lang w:val="en-US"/>
        </w:rPr>
        <w:t xml:space="preserve">Furthermore, </w:t>
      </w:r>
      <w:r w:rsidRPr="00816A9B">
        <w:rPr>
          <w:rFonts w:ascii="Gill Sans MT" w:hAnsi="Gill Sans MT"/>
          <w:sz w:val="21"/>
          <w:lang w:val="en-US"/>
        </w:rPr>
        <w:t>scope 1</w:t>
      </w:r>
      <w:r>
        <w:rPr>
          <w:rFonts w:ascii="Gill Sans MT" w:hAnsi="Gill Sans MT"/>
          <w:sz w:val="21"/>
          <w:lang w:val="en-US"/>
        </w:rPr>
        <w:t xml:space="preserve"> </w:t>
      </w:r>
      <w:r w:rsidRPr="00816A9B">
        <w:rPr>
          <w:rFonts w:ascii="Gill Sans MT" w:hAnsi="Gill Sans MT"/>
          <w:sz w:val="21"/>
          <w:lang w:val="en-US"/>
        </w:rPr>
        <w:t>&amp;</w:t>
      </w:r>
      <w:r>
        <w:rPr>
          <w:rFonts w:ascii="Gill Sans MT" w:hAnsi="Gill Sans MT"/>
          <w:sz w:val="21"/>
          <w:lang w:val="en-US"/>
        </w:rPr>
        <w:t xml:space="preserve"> </w:t>
      </w:r>
      <w:r w:rsidRPr="00816A9B">
        <w:rPr>
          <w:rFonts w:ascii="Gill Sans MT" w:hAnsi="Gill Sans MT"/>
          <w:sz w:val="21"/>
          <w:lang w:val="en-US"/>
        </w:rPr>
        <w:t xml:space="preserve">2 </w:t>
      </w:r>
      <w:r>
        <w:rPr>
          <w:rFonts w:ascii="Gill Sans MT" w:hAnsi="Gill Sans MT"/>
          <w:sz w:val="21"/>
          <w:lang w:val="en-US"/>
        </w:rPr>
        <w:t xml:space="preserve">emissions are primarily </w:t>
      </w:r>
      <w:r w:rsidRPr="00816A9B">
        <w:rPr>
          <w:rFonts w:ascii="Gill Sans MT" w:hAnsi="Gill Sans MT"/>
          <w:sz w:val="21"/>
          <w:lang w:val="en-US"/>
        </w:rPr>
        <w:t xml:space="preserve">available for listed equity. </w:t>
      </w:r>
      <w:r>
        <w:rPr>
          <w:rStyle w:val="Voetnootmarkering"/>
          <w:rFonts w:ascii="Gill Sans MT" w:hAnsi="Gill Sans MT"/>
          <w:sz w:val="21"/>
          <w:lang w:val="en-US"/>
        </w:rPr>
        <w:footnoteReference w:id="4"/>
      </w:r>
    </w:p>
    <w:p w14:paraId="74322814" w14:textId="77777777" w:rsidR="00052278" w:rsidRPr="00816A9B" w:rsidRDefault="00052278" w:rsidP="00052278">
      <w:pPr>
        <w:spacing w:line="280" w:lineRule="atLeast"/>
        <w:jc w:val="both"/>
        <w:rPr>
          <w:rFonts w:ascii="Gill Sans MT" w:hAnsi="Gill Sans MT"/>
          <w:i/>
          <w:iCs/>
          <w:sz w:val="21"/>
          <w:lang w:val="en-US"/>
        </w:rPr>
      </w:pPr>
    </w:p>
    <w:p w14:paraId="433889CA" w14:textId="77777777" w:rsidR="00052278" w:rsidRDefault="00052278" w:rsidP="00052278">
      <w:pPr>
        <w:spacing w:line="280" w:lineRule="atLeast"/>
        <w:jc w:val="both"/>
        <w:rPr>
          <w:rFonts w:ascii="Gill Sans MT" w:hAnsi="Gill Sans MT"/>
          <w:i/>
          <w:iCs/>
          <w:sz w:val="21"/>
          <w:lang w:val="en-US"/>
        </w:rPr>
      </w:pPr>
      <w:r>
        <w:rPr>
          <w:rFonts w:ascii="Gill Sans MT" w:hAnsi="Gill Sans MT"/>
          <w:i/>
          <w:iCs/>
          <w:sz w:val="21"/>
          <w:lang w:val="en-US"/>
        </w:rPr>
        <w:t>Energy performance [5-8]</w:t>
      </w:r>
    </w:p>
    <w:p w14:paraId="6B0AF467" w14:textId="77777777" w:rsidR="00052278" w:rsidRPr="003431BD" w:rsidRDefault="00052278" w:rsidP="00052278">
      <w:pPr>
        <w:pStyle w:val="Lijstalinea"/>
        <w:numPr>
          <w:ilvl w:val="0"/>
          <w:numId w:val="45"/>
        </w:numPr>
        <w:spacing w:line="280" w:lineRule="atLeast"/>
        <w:jc w:val="both"/>
        <w:rPr>
          <w:rFonts w:ascii="Gill Sans MT" w:hAnsi="Gill Sans MT"/>
          <w:sz w:val="21"/>
          <w:lang w:val="en-US"/>
        </w:rPr>
      </w:pPr>
      <w:r>
        <w:rPr>
          <w:rFonts w:ascii="Gill Sans MT" w:hAnsi="Gill Sans MT"/>
          <w:sz w:val="21"/>
          <w:u w:val="single"/>
          <w:lang w:val="en-US"/>
        </w:rPr>
        <w:t>Relevant indicators</w:t>
      </w:r>
      <w:r>
        <w:rPr>
          <w:rFonts w:ascii="Gill Sans MT" w:hAnsi="Gill Sans MT"/>
          <w:sz w:val="21"/>
          <w:lang w:val="en-US"/>
        </w:rPr>
        <w:t>: DUFAS</w:t>
      </w:r>
      <w:r w:rsidRPr="003431BD">
        <w:rPr>
          <w:rFonts w:ascii="Gill Sans MT" w:hAnsi="Gill Sans MT"/>
          <w:sz w:val="21"/>
          <w:lang w:val="en-US"/>
        </w:rPr>
        <w:t xml:space="preserve"> found the indicators s</w:t>
      </w:r>
      <w:r>
        <w:rPr>
          <w:rFonts w:ascii="Gill Sans MT" w:hAnsi="Gill Sans MT"/>
          <w:sz w:val="21"/>
          <w:lang w:val="en-US"/>
        </w:rPr>
        <w:t>et forth under 5 (t</w:t>
      </w:r>
      <w:r w:rsidRPr="00713394">
        <w:rPr>
          <w:rFonts w:ascii="Gill Sans MT" w:hAnsi="Gill Sans MT"/>
          <w:sz w:val="21"/>
          <w:lang w:val="en-US"/>
        </w:rPr>
        <w:t>otal energy consumption from non-renewable sources and share of non-renewable energy consumption</w:t>
      </w:r>
      <w:r>
        <w:rPr>
          <w:rFonts w:ascii="Gill Sans MT" w:hAnsi="Gill Sans MT"/>
          <w:sz w:val="21"/>
          <w:lang w:val="en-US"/>
        </w:rPr>
        <w:t>) and 7 (</w:t>
      </w:r>
      <w:r w:rsidRPr="00713394">
        <w:rPr>
          <w:rFonts w:ascii="Gill Sans MT" w:hAnsi="Gill Sans MT"/>
          <w:sz w:val="21"/>
          <w:lang w:val="en-US"/>
        </w:rPr>
        <w:t>Energy consumption intensity</w:t>
      </w:r>
      <w:r>
        <w:rPr>
          <w:rFonts w:ascii="Gill Sans MT" w:hAnsi="Gill Sans MT"/>
          <w:sz w:val="21"/>
          <w:lang w:val="en-US"/>
        </w:rPr>
        <w:t>) relevant and useful,</w:t>
      </w:r>
      <w:r w:rsidRPr="0071249B">
        <w:t xml:space="preserve"> </w:t>
      </w:r>
      <w:r>
        <w:rPr>
          <w:rFonts w:ascii="Gill Sans MT" w:hAnsi="Gill Sans MT"/>
          <w:sz w:val="21"/>
          <w:lang w:val="en-US"/>
        </w:rPr>
        <w:t xml:space="preserve">although the </w:t>
      </w:r>
      <w:r w:rsidRPr="0071249B">
        <w:rPr>
          <w:rFonts w:ascii="Gill Sans MT" w:hAnsi="Gill Sans MT"/>
          <w:sz w:val="21"/>
          <w:lang w:val="en-US"/>
        </w:rPr>
        <w:t>benefit</w:t>
      </w:r>
      <w:r>
        <w:rPr>
          <w:rFonts w:ascii="Gill Sans MT" w:hAnsi="Gill Sans MT"/>
          <w:sz w:val="21"/>
          <w:lang w:val="en-US"/>
        </w:rPr>
        <w:t>s of these indicators may be limited</w:t>
      </w:r>
      <w:r w:rsidRPr="0071249B">
        <w:rPr>
          <w:rFonts w:ascii="Gill Sans MT" w:hAnsi="Gill Sans MT"/>
          <w:sz w:val="21"/>
          <w:lang w:val="en-US"/>
        </w:rPr>
        <w:t xml:space="preserve"> next to existing and future CO2 disclosure</w:t>
      </w:r>
      <w:r>
        <w:rPr>
          <w:rFonts w:ascii="Gill Sans MT" w:hAnsi="Gill Sans MT"/>
          <w:sz w:val="21"/>
          <w:lang w:val="en-US"/>
        </w:rPr>
        <w:t xml:space="preserve">s; </w:t>
      </w:r>
    </w:p>
    <w:p w14:paraId="1E4F1472" w14:textId="77777777" w:rsidR="00052278" w:rsidRPr="00C44354" w:rsidRDefault="00052278" w:rsidP="00052278">
      <w:pPr>
        <w:pStyle w:val="Lijstalinea"/>
        <w:numPr>
          <w:ilvl w:val="0"/>
          <w:numId w:val="45"/>
        </w:numPr>
        <w:spacing w:line="280" w:lineRule="atLeast"/>
        <w:jc w:val="both"/>
        <w:rPr>
          <w:rFonts w:ascii="Gill Sans MT" w:hAnsi="Gill Sans MT"/>
          <w:sz w:val="21"/>
          <w:lang w:val="en-US"/>
        </w:rPr>
      </w:pPr>
      <w:r>
        <w:rPr>
          <w:rFonts w:ascii="Gill Sans MT" w:hAnsi="Gill Sans MT"/>
          <w:sz w:val="21"/>
          <w:u w:val="single"/>
          <w:lang w:val="en-US"/>
        </w:rPr>
        <w:lastRenderedPageBreak/>
        <w:t>Data availability</w:t>
      </w:r>
      <w:r>
        <w:rPr>
          <w:rFonts w:ascii="Gill Sans MT" w:hAnsi="Gill Sans MT"/>
          <w:sz w:val="21"/>
          <w:lang w:val="en-US"/>
        </w:rPr>
        <w:t>: However, m</w:t>
      </w:r>
      <w:r w:rsidRPr="003431BD">
        <w:rPr>
          <w:rFonts w:ascii="Gill Sans MT" w:hAnsi="Gill Sans MT"/>
          <w:sz w:val="21"/>
          <w:lang w:val="en-US"/>
        </w:rPr>
        <w:t>ost of the information under energy performance ar</w:t>
      </w:r>
      <w:r>
        <w:rPr>
          <w:rFonts w:ascii="Gill Sans MT" w:hAnsi="Gill Sans MT"/>
          <w:sz w:val="21"/>
          <w:lang w:val="en-US"/>
        </w:rPr>
        <w:t>e already included into the greenhouse emissions indicators. As such, this type of information will not readily available on a separate basis;  As to indicator 8 (</w:t>
      </w:r>
      <w:r w:rsidRPr="003A3526">
        <w:rPr>
          <w:rFonts w:ascii="Gill Sans MT" w:hAnsi="Gill Sans MT"/>
          <w:sz w:val="21"/>
          <w:lang w:val="en-US"/>
        </w:rPr>
        <w:t>Energy consumption intensity</w:t>
      </w:r>
      <w:r>
        <w:rPr>
          <w:rFonts w:ascii="Gill Sans MT" w:hAnsi="Gill Sans MT"/>
          <w:sz w:val="21"/>
          <w:lang w:val="en-US"/>
        </w:rPr>
        <w:t>), we would like to point out that c</w:t>
      </w:r>
      <w:r w:rsidRPr="003A3526">
        <w:rPr>
          <w:rFonts w:ascii="Gill Sans MT" w:hAnsi="Gill Sans MT"/>
          <w:sz w:val="21"/>
          <w:lang w:val="en-US"/>
        </w:rPr>
        <w:t xml:space="preserve">ompanies typically do not report </w:t>
      </w:r>
      <w:bookmarkStart w:id="9" w:name="_Hlk45355641"/>
      <w:r w:rsidRPr="003A3526">
        <w:rPr>
          <w:rFonts w:ascii="Gill Sans MT" w:hAnsi="Gill Sans MT"/>
          <w:sz w:val="21"/>
          <w:lang w:val="en-US"/>
        </w:rPr>
        <w:t>energy consumption</w:t>
      </w:r>
      <w:bookmarkEnd w:id="9"/>
      <w:r w:rsidRPr="003A3526">
        <w:rPr>
          <w:rFonts w:ascii="Gill Sans MT" w:hAnsi="Gill Sans MT"/>
          <w:sz w:val="21"/>
          <w:lang w:val="en-US"/>
        </w:rPr>
        <w:t xml:space="preserve"> or any other environmental data per NACE sector. All other questions are also on a company level and not disaggregated. We therefore find it difficult to justify the benefit of the question compared to the additional data reporting requirements for companies as well as for investors</w:t>
      </w:r>
      <w:r>
        <w:rPr>
          <w:rFonts w:ascii="Gill Sans MT" w:hAnsi="Gill Sans MT"/>
          <w:sz w:val="21"/>
          <w:lang w:val="en-US"/>
        </w:rPr>
        <w:t xml:space="preserve">; </w:t>
      </w:r>
    </w:p>
    <w:p w14:paraId="5AD02B29" w14:textId="2CE23BEC" w:rsidR="00052278" w:rsidRDefault="00052278" w:rsidP="00052278">
      <w:pPr>
        <w:pStyle w:val="Lijstalinea"/>
        <w:numPr>
          <w:ilvl w:val="0"/>
          <w:numId w:val="45"/>
        </w:numPr>
        <w:spacing w:line="280" w:lineRule="atLeast"/>
        <w:jc w:val="both"/>
        <w:rPr>
          <w:rFonts w:ascii="Gill Sans MT" w:hAnsi="Gill Sans MT"/>
          <w:sz w:val="21"/>
          <w:lang w:val="en-US"/>
        </w:rPr>
      </w:pPr>
      <w:r w:rsidRPr="00FD1599">
        <w:rPr>
          <w:rFonts w:ascii="Gill Sans MT" w:hAnsi="Gill Sans MT"/>
          <w:sz w:val="21"/>
          <w:lang w:val="en-US"/>
        </w:rPr>
        <w:t>Some members suggest to exchange these indicators with an indicator referring to</w:t>
      </w:r>
      <w:r>
        <w:rPr>
          <w:rFonts w:ascii="Gill Sans MT" w:hAnsi="Gill Sans MT"/>
          <w:sz w:val="21"/>
          <w:lang w:val="en-US"/>
        </w:rPr>
        <w:t xml:space="preserve"> </w:t>
      </w:r>
      <w:r w:rsidRPr="00FD1599">
        <w:rPr>
          <w:rFonts w:ascii="Gill Sans MT" w:hAnsi="Gill Sans MT"/>
          <w:sz w:val="21"/>
          <w:lang w:val="en-US"/>
        </w:rPr>
        <w:t>the percentage of the portfolio invested in renewable energy with</w:t>
      </w:r>
      <w:r>
        <w:rPr>
          <w:rFonts w:ascii="Gill Sans MT" w:hAnsi="Gill Sans MT"/>
          <w:sz w:val="21"/>
          <w:lang w:val="en-US"/>
        </w:rPr>
        <w:t xml:space="preserve"> a visible positive trend</w:t>
      </w:r>
      <w:r w:rsidRPr="00FD1599">
        <w:rPr>
          <w:rFonts w:ascii="Gill Sans MT" w:hAnsi="Gill Sans MT"/>
          <w:sz w:val="21"/>
          <w:lang w:val="en-US"/>
        </w:rPr>
        <w:t xml:space="preserve">. </w:t>
      </w:r>
    </w:p>
    <w:p w14:paraId="7F14A440" w14:textId="77777777" w:rsidR="00052278" w:rsidRDefault="00052278" w:rsidP="00052278">
      <w:pPr>
        <w:spacing w:line="280" w:lineRule="atLeast"/>
        <w:jc w:val="both"/>
        <w:rPr>
          <w:rFonts w:ascii="Gill Sans MT" w:hAnsi="Gill Sans MT"/>
          <w:i/>
          <w:iCs/>
          <w:sz w:val="21"/>
          <w:lang w:val="en-US"/>
        </w:rPr>
      </w:pPr>
    </w:p>
    <w:p w14:paraId="55EE1BB7" w14:textId="77777777" w:rsidR="00052278" w:rsidRDefault="00052278" w:rsidP="00052278">
      <w:pPr>
        <w:spacing w:line="280" w:lineRule="atLeast"/>
        <w:jc w:val="both"/>
        <w:rPr>
          <w:rFonts w:ascii="Gill Sans MT" w:hAnsi="Gill Sans MT"/>
          <w:i/>
          <w:iCs/>
          <w:sz w:val="21"/>
          <w:lang w:val="en-US"/>
        </w:rPr>
      </w:pPr>
      <w:r w:rsidRPr="00983896">
        <w:rPr>
          <w:rFonts w:ascii="Gill Sans MT" w:hAnsi="Gill Sans MT"/>
          <w:i/>
          <w:iCs/>
          <w:sz w:val="21"/>
          <w:lang w:val="en-US"/>
        </w:rPr>
        <w:t>Biodiversity</w:t>
      </w:r>
      <w:r>
        <w:rPr>
          <w:rFonts w:ascii="Gill Sans MT" w:hAnsi="Gill Sans MT"/>
          <w:i/>
          <w:iCs/>
          <w:sz w:val="21"/>
          <w:lang w:val="en-US"/>
        </w:rPr>
        <w:t xml:space="preserve"> [9-11]</w:t>
      </w:r>
    </w:p>
    <w:p w14:paraId="2AAA2E0C" w14:textId="3CBCB61E" w:rsidR="00052278" w:rsidRPr="00C5206B" w:rsidRDefault="00052278" w:rsidP="00052278">
      <w:pPr>
        <w:pStyle w:val="Lijstalinea"/>
        <w:numPr>
          <w:ilvl w:val="0"/>
          <w:numId w:val="46"/>
        </w:numPr>
        <w:spacing w:line="280" w:lineRule="atLeast"/>
        <w:jc w:val="both"/>
        <w:rPr>
          <w:rFonts w:ascii="Gill Sans MT" w:hAnsi="Gill Sans MT"/>
          <w:i/>
          <w:iCs/>
          <w:sz w:val="21"/>
          <w:lang w:val="en-US"/>
        </w:rPr>
      </w:pPr>
      <w:r w:rsidRPr="00C5206B">
        <w:rPr>
          <w:rFonts w:ascii="Gill Sans MT" w:hAnsi="Gill Sans MT"/>
          <w:sz w:val="21"/>
          <w:u w:val="single"/>
          <w:lang w:val="en-US"/>
        </w:rPr>
        <w:t xml:space="preserve">Relevant indicators &amp; </w:t>
      </w:r>
      <w:r w:rsidRPr="00A54E06">
        <w:rPr>
          <w:rFonts w:ascii="Gill Sans MT" w:hAnsi="Gill Sans MT"/>
          <w:sz w:val="21"/>
          <w:u w:val="single"/>
          <w:lang w:val="en-US"/>
        </w:rPr>
        <w:t>data availability</w:t>
      </w:r>
      <w:r w:rsidRPr="00A54E06">
        <w:rPr>
          <w:rFonts w:ascii="Gill Sans MT" w:hAnsi="Gill Sans MT"/>
          <w:sz w:val="21"/>
          <w:lang w:val="en-US"/>
        </w:rPr>
        <w:t>: DUFAS is of the opinion that indi</w:t>
      </w:r>
      <w:r w:rsidRPr="00876598">
        <w:rPr>
          <w:rFonts w:ascii="Gill Sans MT" w:hAnsi="Gill Sans MT"/>
          <w:sz w:val="21"/>
          <w:lang w:val="en-US"/>
        </w:rPr>
        <w:t>cator 9 (</w:t>
      </w:r>
      <w:bookmarkStart w:id="10" w:name="_Hlk45355731"/>
      <w:r w:rsidRPr="00876598">
        <w:rPr>
          <w:rFonts w:ascii="Gill Sans MT" w:hAnsi="Gill Sans MT"/>
          <w:sz w:val="21"/>
          <w:lang w:val="en-US"/>
        </w:rPr>
        <w:t xml:space="preserve">biodiversity </w:t>
      </w:r>
      <w:bookmarkEnd w:id="10"/>
      <w:r w:rsidRPr="00876598">
        <w:rPr>
          <w:rFonts w:ascii="Gill Sans MT" w:hAnsi="Gill Sans MT"/>
          <w:sz w:val="21"/>
          <w:lang w:val="en-US"/>
        </w:rPr>
        <w:t>and ecosystem preservation practices) and</w:t>
      </w:r>
      <w:r w:rsidRPr="00A7146E">
        <w:rPr>
          <w:rFonts w:ascii="Gill Sans MT" w:hAnsi="Gill Sans MT"/>
          <w:sz w:val="21"/>
          <w:lang w:val="en-US"/>
        </w:rPr>
        <w:t xml:space="preserve"> 10 (natural species and protected areas) are</w:t>
      </w:r>
      <w:r w:rsidRPr="003D0FB9">
        <w:rPr>
          <w:rFonts w:ascii="Gill Sans MT" w:hAnsi="Gill Sans MT"/>
          <w:sz w:val="21"/>
          <w:lang w:val="en-US"/>
        </w:rPr>
        <w:t xml:space="preserve"> preserved for </w:t>
      </w:r>
      <w:r w:rsidRPr="00C5206B">
        <w:rPr>
          <w:rFonts w:ascii="Gill Sans MT" w:hAnsi="Gill Sans MT"/>
          <w:sz w:val="21"/>
          <w:lang w:val="en-US"/>
        </w:rPr>
        <w:t>specialists only, and may not be relevant</w:t>
      </w:r>
      <w:r w:rsidR="0092297F">
        <w:rPr>
          <w:rFonts w:ascii="Gill Sans MT" w:hAnsi="Gill Sans MT"/>
          <w:sz w:val="21"/>
          <w:lang w:val="en-US"/>
        </w:rPr>
        <w:t xml:space="preserve"> in all cases</w:t>
      </w:r>
      <w:r w:rsidRPr="00C5206B">
        <w:rPr>
          <w:rFonts w:ascii="Gill Sans MT" w:hAnsi="Gill Sans MT"/>
          <w:sz w:val="21"/>
          <w:lang w:val="en-US"/>
        </w:rPr>
        <w:t xml:space="preserve">. </w:t>
      </w:r>
      <w:r w:rsidR="0092345A">
        <w:rPr>
          <w:rFonts w:ascii="Gill Sans MT" w:hAnsi="Gill Sans MT"/>
          <w:sz w:val="21"/>
          <w:lang w:val="en-US"/>
        </w:rPr>
        <w:t xml:space="preserve">Although, we do stress the importance of biodiversity. </w:t>
      </w:r>
      <w:r w:rsidRPr="00C5206B">
        <w:rPr>
          <w:rFonts w:ascii="Gill Sans MT" w:hAnsi="Gill Sans MT"/>
          <w:sz w:val="21"/>
          <w:lang w:val="en-US"/>
        </w:rPr>
        <w:t>Furthermore, data on these indicators are not available. In general this applies to information on biodiversity in general. Indicator 11 (</w:t>
      </w:r>
      <w:bookmarkStart w:id="11" w:name="_Hlk45355872"/>
      <w:r w:rsidRPr="00C5206B">
        <w:rPr>
          <w:rFonts w:ascii="Gill Sans MT" w:hAnsi="Gill Sans MT"/>
          <w:sz w:val="21"/>
          <w:lang w:val="en-US"/>
        </w:rPr>
        <w:t>deforestation</w:t>
      </w:r>
      <w:bookmarkEnd w:id="11"/>
      <w:r w:rsidRPr="00C5206B">
        <w:rPr>
          <w:rFonts w:ascii="Gill Sans MT" w:hAnsi="Gill Sans MT"/>
          <w:sz w:val="21"/>
          <w:lang w:val="en-US"/>
        </w:rPr>
        <w:t>) may be relevant and useful for some investment funds.</w:t>
      </w:r>
      <w:r w:rsidRPr="00C5206B">
        <w:t xml:space="preserve"> </w:t>
      </w:r>
      <w:r w:rsidRPr="00C5206B">
        <w:rPr>
          <w:rFonts w:ascii="Gill Sans MT" w:hAnsi="Gill Sans MT"/>
          <w:sz w:val="21"/>
        </w:rPr>
        <w:t>As to indicator</w:t>
      </w:r>
      <w:r w:rsidRPr="00A54E06">
        <w:rPr>
          <w:rFonts w:ascii="Gill Sans MT" w:hAnsi="Gill Sans MT"/>
          <w:sz w:val="21"/>
        </w:rPr>
        <w:t xml:space="preserve"> 10 (natural species and protected areas). </w:t>
      </w:r>
      <w:r w:rsidRPr="00A7146E">
        <w:rPr>
          <w:rFonts w:ascii="Gill Sans MT" w:hAnsi="Gill Sans MT"/>
          <w:sz w:val="21"/>
        </w:rPr>
        <w:t>It w</w:t>
      </w:r>
      <w:proofErr w:type="spellStart"/>
      <w:r w:rsidRPr="00A7146E">
        <w:rPr>
          <w:rFonts w:ascii="Gill Sans MT" w:hAnsi="Gill Sans MT"/>
          <w:sz w:val="21"/>
          <w:lang w:val="en-US"/>
        </w:rPr>
        <w:t>ould</w:t>
      </w:r>
      <w:proofErr w:type="spellEnd"/>
      <w:r w:rsidRPr="00A7146E">
        <w:rPr>
          <w:rFonts w:ascii="Gill Sans MT" w:hAnsi="Gill Sans MT"/>
          <w:sz w:val="21"/>
          <w:lang w:val="en-US"/>
        </w:rPr>
        <w:t xml:space="preserve"> be useful to define</w:t>
      </w:r>
      <w:r w:rsidRPr="003D0FB9">
        <w:rPr>
          <w:rFonts w:ascii="Gill Sans MT" w:hAnsi="Gill Sans MT"/>
          <w:sz w:val="21"/>
          <w:lang w:val="en-US"/>
        </w:rPr>
        <w:t xml:space="preserve"> whether the question is only on direct impact (part 2 clearly is) or should indirect impac</w:t>
      </w:r>
      <w:r w:rsidRPr="00C5206B">
        <w:rPr>
          <w:rFonts w:ascii="Gill Sans MT" w:hAnsi="Gill Sans MT"/>
          <w:sz w:val="21"/>
          <w:lang w:val="en-US"/>
        </w:rPr>
        <w:t>t also be considered. Especially, if indirect impact is included, the question should focus on whether and how risk of negative impact is assessed and managed.</w:t>
      </w:r>
    </w:p>
    <w:p w14:paraId="5DB551C8" w14:textId="77777777" w:rsidR="00052278" w:rsidRPr="00FC789B" w:rsidRDefault="00052278" w:rsidP="00052278">
      <w:pPr>
        <w:pStyle w:val="Lijstalinea"/>
        <w:numPr>
          <w:ilvl w:val="0"/>
          <w:numId w:val="46"/>
        </w:numPr>
        <w:spacing w:line="280" w:lineRule="atLeast"/>
        <w:jc w:val="both"/>
        <w:rPr>
          <w:lang w:val="en-US"/>
        </w:rPr>
      </w:pPr>
      <w:r w:rsidRPr="005B1243">
        <w:rPr>
          <w:rFonts w:ascii="Gill Sans MT" w:hAnsi="Gill Sans MT"/>
          <w:i/>
          <w:iCs/>
          <w:sz w:val="21"/>
          <w:u w:val="single"/>
          <w:lang w:val="en-US"/>
        </w:rPr>
        <w:t>High risk companies</w:t>
      </w:r>
      <w:r>
        <w:rPr>
          <w:rFonts w:ascii="Gill Sans MT" w:hAnsi="Gill Sans MT"/>
          <w:i/>
          <w:iCs/>
          <w:sz w:val="21"/>
          <w:lang w:val="en-US"/>
        </w:rPr>
        <w:t xml:space="preserve">: </w:t>
      </w:r>
      <w:r>
        <w:rPr>
          <w:rFonts w:ascii="Gill Sans MT" w:hAnsi="Gill Sans MT"/>
          <w:sz w:val="21"/>
          <w:lang w:val="en-US"/>
        </w:rPr>
        <w:t>Some members find that w</w:t>
      </w:r>
      <w:r w:rsidRPr="00FC789B">
        <w:rPr>
          <w:rFonts w:ascii="Gill Sans MT" w:hAnsi="Gill Sans MT"/>
          <w:sz w:val="21"/>
          <w:lang w:val="en-US"/>
        </w:rPr>
        <w:t xml:space="preserve">hat may be considered as </w:t>
      </w:r>
      <w:r>
        <w:rPr>
          <w:rFonts w:ascii="Gill Sans MT" w:hAnsi="Gill Sans MT"/>
          <w:sz w:val="21"/>
          <w:lang w:val="en-US"/>
        </w:rPr>
        <w:t xml:space="preserve">additional </w:t>
      </w:r>
      <w:r w:rsidRPr="00FC789B">
        <w:rPr>
          <w:rFonts w:ascii="Gill Sans MT" w:hAnsi="Gill Sans MT"/>
          <w:sz w:val="21"/>
          <w:lang w:val="en-US"/>
        </w:rPr>
        <w:t xml:space="preserve">indicators </w:t>
      </w:r>
      <w:r>
        <w:rPr>
          <w:rFonts w:ascii="Gill Sans MT" w:hAnsi="Gill Sans MT"/>
          <w:sz w:val="21"/>
          <w:lang w:val="en-US"/>
        </w:rPr>
        <w:t>is</w:t>
      </w:r>
      <w:r w:rsidRPr="00FC789B">
        <w:rPr>
          <w:rFonts w:ascii="Gill Sans MT" w:hAnsi="Gill Sans MT"/>
          <w:sz w:val="21"/>
          <w:lang w:val="en-US"/>
        </w:rPr>
        <w:t xml:space="preserve"> </w:t>
      </w:r>
      <w:r>
        <w:rPr>
          <w:rFonts w:ascii="Gill Sans MT" w:hAnsi="Gill Sans MT"/>
          <w:sz w:val="21"/>
          <w:lang w:val="en-US"/>
        </w:rPr>
        <w:t xml:space="preserve">the </w:t>
      </w:r>
      <w:r w:rsidRPr="00FC789B">
        <w:rPr>
          <w:rFonts w:ascii="Gill Sans MT" w:hAnsi="Gill Sans MT"/>
          <w:sz w:val="21"/>
          <w:lang w:val="en-US"/>
        </w:rPr>
        <w:t xml:space="preserve">percentage high risk companies may have in terms of policy on </w:t>
      </w:r>
      <w:r>
        <w:rPr>
          <w:rFonts w:ascii="Gill Sans MT" w:hAnsi="Gill Sans MT"/>
          <w:sz w:val="21"/>
          <w:lang w:val="en-US"/>
        </w:rPr>
        <w:t xml:space="preserve">e.g. soil degradation, deforestation, certified forest products, certified palm oil and/or possible non-organic pesticides.  </w:t>
      </w:r>
    </w:p>
    <w:p w14:paraId="100F542E" w14:textId="77777777" w:rsidR="00052278" w:rsidRDefault="00052278" w:rsidP="00052278">
      <w:pPr>
        <w:pStyle w:val="Lijstalinea"/>
        <w:spacing w:line="280" w:lineRule="atLeast"/>
        <w:ind w:left="360"/>
        <w:jc w:val="both"/>
        <w:rPr>
          <w:rFonts w:ascii="Gill Sans MT" w:hAnsi="Gill Sans MT"/>
          <w:sz w:val="21"/>
          <w:lang w:val="en-US"/>
        </w:rPr>
      </w:pPr>
    </w:p>
    <w:p w14:paraId="371D191E" w14:textId="77777777" w:rsidR="00052278" w:rsidRPr="00FC789B" w:rsidRDefault="00052278" w:rsidP="00052278">
      <w:pPr>
        <w:pStyle w:val="Lijstalinea"/>
        <w:spacing w:line="280" w:lineRule="atLeast"/>
        <w:ind w:left="0"/>
        <w:jc w:val="both"/>
        <w:rPr>
          <w:i/>
          <w:iCs/>
          <w:lang w:val="en-US"/>
        </w:rPr>
      </w:pPr>
      <w:r w:rsidRPr="00FC789B">
        <w:rPr>
          <w:rFonts w:ascii="Gill Sans MT" w:hAnsi="Gill Sans MT"/>
          <w:i/>
          <w:iCs/>
          <w:sz w:val="21"/>
          <w:lang w:val="en-US"/>
        </w:rPr>
        <w:t>Water</w:t>
      </w:r>
      <w:r w:rsidRPr="00FC789B">
        <w:rPr>
          <w:i/>
          <w:iCs/>
          <w:lang w:val="en-US"/>
        </w:rPr>
        <w:t xml:space="preserve"> </w:t>
      </w:r>
      <w:r>
        <w:rPr>
          <w:i/>
          <w:iCs/>
          <w:lang w:val="en-US"/>
        </w:rPr>
        <w:t>[12-14]</w:t>
      </w:r>
    </w:p>
    <w:p w14:paraId="72595469" w14:textId="77777777" w:rsidR="00052278" w:rsidRPr="00A54E06" w:rsidRDefault="00052278" w:rsidP="00052278">
      <w:pPr>
        <w:pStyle w:val="Default"/>
        <w:numPr>
          <w:ilvl w:val="0"/>
          <w:numId w:val="47"/>
        </w:numPr>
        <w:spacing w:line="280" w:lineRule="atLeast"/>
        <w:jc w:val="both"/>
        <w:rPr>
          <w:rFonts w:ascii="Gill Sans MT" w:hAnsi="Gill Sans MT"/>
          <w:sz w:val="21"/>
          <w:lang w:val="en-US"/>
        </w:rPr>
      </w:pPr>
      <w:r>
        <w:rPr>
          <w:rFonts w:ascii="Gill Sans MT" w:hAnsi="Gill Sans MT"/>
          <w:sz w:val="21"/>
          <w:u w:val="single"/>
          <w:lang w:val="en-US"/>
        </w:rPr>
        <w:t>Relevant indicators</w:t>
      </w:r>
      <w:r>
        <w:rPr>
          <w:rFonts w:ascii="Gill Sans MT" w:hAnsi="Gill Sans MT"/>
          <w:sz w:val="21"/>
          <w:lang w:val="en-US"/>
        </w:rPr>
        <w:t xml:space="preserve">: DUFAS is of the opinion that indicator 12 (water emissions) is certainly relevant. However, indicators </w:t>
      </w:r>
      <w:bookmarkStart w:id="12" w:name="_Hlk44319085"/>
      <w:r>
        <w:rPr>
          <w:rFonts w:ascii="Gill Sans MT" w:hAnsi="Gill Sans MT"/>
          <w:sz w:val="21"/>
          <w:lang w:val="en-US"/>
        </w:rPr>
        <w:t>13 (e</w:t>
      </w:r>
      <w:r w:rsidRPr="00B66706">
        <w:rPr>
          <w:rFonts w:ascii="Gill Sans MT" w:hAnsi="Gill Sans MT"/>
          <w:sz w:val="21"/>
          <w:lang w:val="en-US"/>
        </w:rPr>
        <w:t>xposure to areas of high water stress</w:t>
      </w:r>
      <w:r>
        <w:rPr>
          <w:rFonts w:ascii="Gill Sans MT" w:hAnsi="Gill Sans MT"/>
          <w:sz w:val="21"/>
          <w:lang w:val="en-US"/>
        </w:rPr>
        <w:t xml:space="preserve">) </w:t>
      </w:r>
      <w:bookmarkEnd w:id="12"/>
      <w:r>
        <w:rPr>
          <w:rFonts w:ascii="Gill Sans MT" w:hAnsi="Gill Sans MT"/>
          <w:sz w:val="21"/>
          <w:lang w:val="en-US"/>
        </w:rPr>
        <w:t>and 14 (u</w:t>
      </w:r>
      <w:r w:rsidRPr="00B66706">
        <w:rPr>
          <w:rFonts w:ascii="Gill Sans MT" w:hAnsi="Gill Sans MT"/>
          <w:sz w:val="21"/>
          <w:lang w:val="en-US"/>
        </w:rPr>
        <w:t>ntreated discharged waste water</w:t>
      </w:r>
      <w:r>
        <w:rPr>
          <w:rFonts w:ascii="Gill Sans MT" w:hAnsi="Gill Sans MT"/>
          <w:sz w:val="21"/>
          <w:lang w:val="en-US"/>
        </w:rPr>
        <w:t>) are hard to define. We therefore propose to delete these indicators.</w:t>
      </w:r>
      <w:r w:rsidRPr="00A54E06">
        <w:rPr>
          <w:lang w:val="en-US"/>
        </w:rPr>
        <w:t xml:space="preserve"> </w:t>
      </w:r>
      <w:r>
        <w:rPr>
          <w:rFonts w:ascii="Gill Sans MT" w:hAnsi="Gill Sans MT"/>
          <w:sz w:val="21"/>
          <w:lang w:val="en-US"/>
        </w:rPr>
        <w:t>As to indicator</w:t>
      </w:r>
      <w:r w:rsidRPr="00A54E06">
        <w:rPr>
          <w:rFonts w:ascii="Gill Sans MT" w:hAnsi="Gill Sans MT"/>
          <w:sz w:val="21"/>
          <w:lang w:val="en-US"/>
        </w:rPr>
        <w:t xml:space="preserve"> 13 (exposure to areas of high water stress) </w:t>
      </w:r>
      <w:r>
        <w:rPr>
          <w:rFonts w:ascii="Gill Sans MT" w:hAnsi="Gill Sans MT"/>
          <w:sz w:val="21"/>
          <w:lang w:val="en-US"/>
        </w:rPr>
        <w:t>it should focus more on the s</w:t>
      </w:r>
      <w:r w:rsidRPr="00A54E06">
        <w:rPr>
          <w:rFonts w:ascii="Gill Sans MT" w:hAnsi="Gill Sans MT"/>
          <w:sz w:val="21"/>
          <w:lang w:val="en-US"/>
        </w:rPr>
        <w:t>hare of companies that do not track and map water usage at plant level taking into account local water stress.</w:t>
      </w:r>
    </w:p>
    <w:p w14:paraId="6808290B" w14:textId="77777777" w:rsidR="00052278" w:rsidRPr="008B651A" w:rsidRDefault="00052278" w:rsidP="00052278">
      <w:pPr>
        <w:pStyle w:val="Default"/>
        <w:numPr>
          <w:ilvl w:val="0"/>
          <w:numId w:val="47"/>
        </w:numPr>
        <w:spacing w:line="280" w:lineRule="atLeast"/>
        <w:jc w:val="both"/>
        <w:rPr>
          <w:rFonts w:ascii="Gill Sans MT" w:hAnsi="Gill Sans MT"/>
          <w:sz w:val="21"/>
          <w:lang w:val="en-US"/>
        </w:rPr>
      </w:pPr>
      <w:r w:rsidRPr="00E80997">
        <w:rPr>
          <w:rFonts w:ascii="Gill Sans MT" w:hAnsi="Gill Sans MT"/>
          <w:sz w:val="21"/>
          <w:u w:val="single"/>
          <w:lang w:val="en-US"/>
        </w:rPr>
        <w:t>Data availability</w:t>
      </w:r>
      <w:r w:rsidRPr="008B651A">
        <w:rPr>
          <w:rFonts w:ascii="Gill Sans MT" w:hAnsi="Gill Sans MT"/>
          <w:sz w:val="21"/>
          <w:lang w:val="en-US"/>
        </w:rPr>
        <w:t>:</w:t>
      </w:r>
      <w:r>
        <w:rPr>
          <w:rFonts w:ascii="Gill Sans MT" w:hAnsi="Gill Sans MT"/>
          <w:sz w:val="21"/>
          <w:lang w:val="en-US"/>
        </w:rPr>
        <w:t xml:space="preserve"> as to data on indicator 12 (water emissions), these data are available reflected in consummation per m3.  </w:t>
      </w:r>
    </w:p>
    <w:p w14:paraId="1C1B703A" w14:textId="77777777" w:rsidR="00052278" w:rsidRPr="0028369B" w:rsidRDefault="00052278" w:rsidP="00052278">
      <w:pPr>
        <w:pStyle w:val="Default"/>
        <w:spacing w:line="280" w:lineRule="atLeast"/>
        <w:ind w:left="360"/>
        <w:jc w:val="both"/>
        <w:rPr>
          <w:rFonts w:ascii="Gill Sans MT" w:hAnsi="Gill Sans MT"/>
          <w:sz w:val="21"/>
          <w:lang w:val="en-US"/>
        </w:rPr>
      </w:pPr>
    </w:p>
    <w:p w14:paraId="63AD23C1" w14:textId="77777777" w:rsidR="00052278" w:rsidRPr="0088122E" w:rsidRDefault="00052278" w:rsidP="00052278">
      <w:pPr>
        <w:pStyle w:val="Default"/>
        <w:spacing w:line="280" w:lineRule="atLeast"/>
        <w:jc w:val="both"/>
        <w:rPr>
          <w:rFonts w:ascii="Gill Sans MT" w:hAnsi="Gill Sans MT"/>
          <w:i/>
          <w:iCs/>
          <w:sz w:val="21"/>
        </w:rPr>
      </w:pPr>
      <w:r w:rsidRPr="0088122E">
        <w:rPr>
          <w:rFonts w:ascii="Gill Sans MT" w:hAnsi="Gill Sans MT"/>
          <w:i/>
          <w:iCs/>
          <w:sz w:val="21"/>
        </w:rPr>
        <w:t xml:space="preserve">Waste </w:t>
      </w:r>
      <w:r>
        <w:rPr>
          <w:rFonts w:ascii="Gill Sans MT" w:hAnsi="Gill Sans MT"/>
          <w:i/>
          <w:iCs/>
          <w:sz w:val="21"/>
        </w:rPr>
        <w:t>[15-16]</w:t>
      </w:r>
    </w:p>
    <w:p w14:paraId="04419648" w14:textId="77777777" w:rsidR="00052278" w:rsidRPr="0088122E" w:rsidRDefault="00052278" w:rsidP="00052278">
      <w:pPr>
        <w:pStyle w:val="Default"/>
        <w:numPr>
          <w:ilvl w:val="0"/>
          <w:numId w:val="47"/>
        </w:numPr>
        <w:spacing w:line="280" w:lineRule="atLeast"/>
        <w:jc w:val="both"/>
        <w:rPr>
          <w:rFonts w:ascii="Gill Sans MT" w:hAnsi="Gill Sans MT"/>
          <w:sz w:val="21"/>
          <w:lang w:val="en-US"/>
        </w:rPr>
      </w:pPr>
      <w:r>
        <w:rPr>
          <w:rFonts w:ascii="Gill Sans MT" w:hAnsi="Gill Sans MT"/>
          <w:sz w:val="21"/>
          <w:u w:val="single"/>
          <w:lang w:val="en-US"/>
        </w:rPr>
        <w:t>Relevant indicators</w:t>
      </w:r>
      <w:r>
        <w:rPr>
          <w:rFonts w:ascii="Gill Sans MT" w:hAnsi="Gill Sans MT"/>
          <w:sz w:val="21"/>
          <w:lang w:val="en-US"/>
        </w:rPr>
        <w:t>: A number of m</w:t>
      </w:r>
      <w:r w:rsidRPr="0088122E">
        <w:rPr>
          <w:rFonts w:ascii="Gill Sans MT" w:hAnsi="Gill Sans MT"/>
          <w:sz w:val="21"/>
          <w:lang w:val="en-US"/>
        </w:rPr>
        <w:t>ember</w:t>
      </w:r>
      <w:r>
        <w:rPr>
          <w:rFonts w:ascii="Gill Sans MT" w:hAnsi="Gill Sans MT"/>
          <w:sz w:val="21"/>
          <w:lang w:val="en-US"/>
        </w:rPr>
        <w:t>s</w:t>
      </w:r>
      <w:r w:rsidRPr="0088122E">
        <w:rPr>
          <w:rFonts w:ascii="Gill Sans MT" w:hAnsi="Gill Sans MT"/>
          <w:sz w:val="21"/>
          <w:lang w:val="en-US"/>
        </w:rPr>
        <w:t xml:space="preserve"> find these indicators relevant</w:t>
      </w:r>
      <w:r>
        <w:rPr>
          <w:rFonts w:ascii="Gill Sans MT" w:hAnsi="Gill Sans MT"/>
          <w:sz w:val="21"/>
          <w:lang w:val="en-US"/>
        </w:rPr>
        <w:t xml:space="preserve">. However some members argue that there should be a </w:t>
      </w:r>
      <w:r w:rsidRPr="0088122E">
        <w:rPr>
          <w:rFonts w:ascii="Gill Sans MT" w:hAnsi="Gill Sans MT"/>
          <w:sz w:val="21"/>
          <w:lang w:val="en-US"/>
        </w:rPr>
        <w:t>focus o</w:t>
      </w:r>
      <w:r>
        <w:rPr>
          <w:rFonts w:ascii="Gill Sans MT" w:hAnsi="Gill Sans MT"/>
          <w:sz w:val="21"/>
          <w:lang w:val="en-US"/>
        </w:rPr>
        <w:t>n</w:t>
      </w:r>
      <w:r w:rsidRPr="0088122E">
        <w:rPr>
          <w:rFonts w:ascii="Gill Sans MT" w:hAnsi="Gill Sans MT"/>
          <w:sz w:val="21"/>
          <w:lang w:val="en-US"/>
        </w:rPr>
        <w:t xml:space="preserve"> landfill waste </w:t>
      </w:r>
      <w:r>
        <w:rPr>
          <w:rFonts w:ascii="Gill Sans MT" w:hAnsi="Gill Sans MT"/>
          <w:sz w:val="21"/>
          <w:lang w:val="en-US"/>
        </w:rPr>
        <w:t xml:space="preserve">and possible </w:t>
      </w:r>
      <w:r w:rsidRPr="0088122E">
        <w:rPr>
          <w:rFonts w:ascii="Gill Sans MT" w:hAnsi="Gill Sans MT"/>
          <w:sz w:val="21"/>
          <w:lang w:val="en-US"/>
        </w:rPr>
        <w:t xml:space="preserve">exposure to materials on the UN POP list </w:t>
      </w:r>
      <w:r>
        <w:rPr>
          <w:rFonts w:ascii="Gill Sans MT" w:hAnsi="Gill Sans MT"/>
          <w:sz w:val="21"/>
          <w:lang w:val="en-US"/>
        </w:rPr>
        <w:t xml:space="preserve">rather than </w:t>
      </w:r>
      <w:r w:rsidRPr="0088122E">
        <w:rPr>
          <w:rFonts w:ascii="Gill Sans MT" w:hAnsi="Gill Sans MT"/>
          <w:sz w:val="21"/>
          <w:lang w:val="en-US"/>
        </w:rPr>
        <w:t>hazardous waste ratio.</w:t>
      </w:r>
      <w:r>
        <w:rPr>
          <w:rFonts w:ascii="Gill Sans MT" w:hAnsi="Gill Sans MT"/>
          <w:sz w:val="21"/>
          <w:lang w:val="en-US"/>
        </w:rPr>
        <w:t xml:space="preserve"> Whilst other member found indicator 15 (hazardous waste ratio) a relevant and useful indicator. </w:t>
      </w:r>
    </w:p>
    <w:p w14:paraId="632F0299" w14:textId="77777777" w:rsidR="00052278" w:rsidRPr="0088122E" w:rsidRDefault="00052278" w:rsidP="00052278">
      <w:pPr>
        <w:pStyle w:val="Default"/>
        <w:spacing w:line="280" w:lineRule="atLeast"/>
        <w:jc w:val="both"/>
        <w:rPr>
          <w:rFonts w:ascii="Gill Sans MT" w:hAnsi="Gill Sans MT"/>
          <w:sz w:val="21"/>
          <w:lang w:val="en-US"/>
        </w:rPr>
      </w:pPr>
    </w:p>
    <w:p w14:paraId="1D839B80" w14:textId="77777777" w:rsidR="00052278" w:rsidRPr="008026BF" w:rsidRDefault="00052278" w:rsidP="00052278">
      <w:pPr>
        <w:pStyle w:val="Default"/>
        <w:spacing w:line="280" w:lineRule="atLeast"/>
        <w:jc w:val="both"/>
        <w:rPr>
          <w:rFonts w:ascii="Gill Sans MT" w:hAnsi="Gill Sans MT"/>
          <w:i/>
          <w:iCs/>
          <w:sz w:val="21"/>
          <w:lang w:val="en-US"/>
        </w:rPr>
      </w:pPr>
      <w:bookmarkStart w:id="13" w:name="_Hlk45357335"/>
      <w:r w:rsidRPr="008026BF">
        <w:rPr>
          <w:rFonts w:ascii="Gill Sans MT" w:hAnsi="Gill Sans MT"/>
          <w:i/>
          <w:iCs/>
          <w:sz w:val="21"/>
          <w:lang w:val="en-US"/>
        </w:rPr>
        <w:t>Social and employee matters</w:t>
      </w:r>
      <w:bookmarkEnd w:id="13"/>
      <w:r>
        <w:rPr>
          <w:rFonts w:ascii="Gill Sans MT" w:hAnsi="Gill Sans MT"/>
          <w:i/>
          <w:iCs/>
          <w:sz w:val="21"/>
          <w:lang w:val="en-US"/>
        </w:rPr>
        <w:t xml:space="preserve"> [17-22]</w:t>
      </w:r>
    </w:p>
    <w:p w14:paraId="5CF130E6" w14:textId="77777777" w:rsidR="00052278" w:rsidRPr="00352DAD" w:rsidRDefault="00052278" w:rsidP="00052278">
      <w:pPr>
        <w:pStyle w:val="Default"/>
        <w:numPr>
          <w:ilvl w:val="0"/>
          <w:numId w:val="47"/>
        </w:numPr>
        <w:spacing w:line="280" w:lineRule="atLeast"/>
        <w:jc w:val="both"/>
        <w:rPr>
          <w:rFonts w:ascii="Gill Sans MT" w:hAnsi="Gill Sans MT"/>
          <w:sz w:val="21"/>
          <w:lang w:val="en-US"/>
        </w:rPr>
      </w:pPr>
      <w:r>
        <w:rPr>
          <w:rFonts w:ascii="Gill Sans MT" w:hAnsi="Gill Sans MT"/>
          <w:sz w:val="21"/>
          <w:u w:val="single"/>
          <w:lang w:val="en-US"/>
        </w:rPr>
        <w:t>Relevant indicators</w:t>
      </w:r>
      <w:r>
        <w:rPr>
          <w:rFonts w:ascii="Gill Sans MT" w:hAnsi="Gill Sans MT"/>
          <w:sz w:val="21"/>
          <w:lang w:val="en-US"/>
        </w:rPr>
        <w:t xml:space="preserve">: </w:t>
      </w:r>
      <w:r w:rsidRPr="00352DAD">
        <w:rPr>
          <w:rFonts w:ascii="Gill Sans MT" w:hAnsi="Gill Sans MT"/>
          <w:sz w:val="21"/>
          <w:lang w:val="en-US"/>
        </w:rPr>
        <w:t>Some member</w:t>
      </w:r>
      <w:r>
        <w:rPr>
          <w:rFonts w:ascii="Gill Sans MT" w:hAnsi="Gill Sans MT"/>
          <w:sz w:val="21"/>
          <w:lang w:val="en-US"/>
        </w:rPr>
        <w:t>s</w:t>
      </w:r>
      <w:r w:rsidRPr="00352DAD">
        <w:rPr>
          <w:rFonts w:ascii="Gill Sans MT" w:hAnsi="Gill Sans MT"/>
          <w:sz w:val="21"/>
          <w:lang w:val="en-US"/>
        </w:rPr>
        <w:t xml:space="preserve"> find the indicators set fort</w:t>
      </w:r>
      <w:r>
        <w:rPr>
          <w:rFonts w:ascii="Gill Sans MT" w:hAnsi="Gill Sans MT"/>
          <w:sz w:val="21"/>
          <w:lang w:val="en-US"/>
        </w:rPr>
        <w:t>h</w:t>
      </w:r>
      <w:r w:rsidRPr="00352DAD">
        <w:rPr>
          <w:rFonts w:ascii="Gill Sans MT" w:hAnsi="Gill Sans MT"/>
          <w:sz w:val="21"/>
          <w:lang w:val="en-US"/>
        </w:rPr>
        <w:t xml:space="preserve"> under 17 (implementation of fundamental </w:t>
      </w:r>
      <w:bookmarkStart w:id="14" w:name="_Hlk45357736"/>
      <w:r w:rsidRPr="00352DAD">
        <w:rPr>
          <w:rFonts w:ascii="Gill Sans MT" w:hAnsi="Gill Sans MT"/>
          <w:sz w:val="21"/>
          <w:lang w:val="en-US"/>
        </w:rPr>
        <w:t>ILO Conventions</w:t>
      </w:r>
      <w:bookmarkEnd w:id="14"/>
      <w:r w:rsidRPr="00352DAD">
        <w:rPr>
          <w:rFonts w:ascii="Gill Sans MT" w:hAnsi="Gill Sans MT"/>
          <w:sz w:val="21"/>
          <w:lang w:val="en-US"/>
        </w:rPr>
        <w:t xml:space="preserve">) and 20 </w:t>
      </w:r>
      <w:r>
        <w:rPr>
          <w:rFonts w:ascii="Gill Sans MT" w:hAnsi="Gill Sans MT"/>
          <w:sz w:val="21"/>
          <w:lang w:val="en-US"/>
        </w:rPr>
        <w:t xml:space="preserve">(board gender diversity) relevant and useful;  </w:t>
      </w:r>
    </w:p>
    <w:p w14:paraId="2BEDD89F" w14:textId="77777777" w:rsidR="00052278" w:rsidRPr="00352DAD" w:rsidRDefault="00052278" w:rsidP="00052278">
      <w:pPr>
        <w:pStyle w:val="Default"/>
        <w:numPr>
          <w:ilvl w:val="0"/>
          <w:numId w:val="47"/>
        </w:numPr>
        <w:spacing w:line="280" w:lineRule="atLeast"/>
        <w:jc w:val="both"/>
        <w:rPr>
          <w:rFonts w:ascii="Gill Sans MT" w:hAnsi="Gill Sans MT"/>
          <w:sz w:val="21"/>
          <w:lang w:val="en-US"/>
        </w:rPr>
      </w:pPr>
      <w:r>
        <w:rPr>
          <w:rFonts w:ascii="Gill Sans MT" w:hAnsi="Gill Sans MT"/>
          <w:sz w:val="21"/>
          <w:lang w:val="en-US"/>
        </w:rPr>
        <w:t xml:space="preserve">Some members argue that the indicators set forth under </w:t>
      </w:r>
      <w:r w:rsidRPr="00352DAD">
        <w:rPr>
          <w:rFonts w:ascii="Gill Sans MT" w:hAnsi="Gill Sans MT"/>
          <w:sz w:val="21"/>
          <w:lang w:val="en-US"/>
        </w:rPr>
        <w:t>17</w:t>
      </w:r>
      <w:r>
        <w:rPr>
          <w:rFonts w:ascii="Gill Sans MT" w:hAnsi="Gill Sans MT"/>
          <w:sz w:val="21"/>
          <w:lang w:val="en-US"/>
        </w:rPr>
        <w:t xml:space="preserve"> (i</w:t>
      </w:r>
      <w:r w:rsidRPr="00352DAD">
        <w:rPr>
          <w:rFonts w:ascii="Gill Sans MT" w:hAnsi="Gill Sans MT"/>
          <w:sz w:val="21"/>
          <w:lang w:val="en-US"/>
        </w:rPr>
        <w:t>mplementation of fundamental ILO Conventions</w:t>
      </w:r>
      <w:r>
        <w:rPr>
          <w:rFonts w:ascii="Gill Sans MT" w:hAnsi="Gill Sans MT"/>
          <w:sz w:val="21"/>
          <w:lang w:val="en-US"/>
        </w:rPr>
        <w:t>)</w:t>
      </w:r>
      <w:r w:rsidRPr="00352DAD">
        <w:rPr>
          <w:rFonts w:ascii="Gill Sans MT" w:hAnsi="Gill Sans MT"/>
          <w:sz w:val="21"/>
          <w:lang w:val="en-US"/>
        </w:rPr>
        <w:t>, 21</w:t>
      </w:r>
      <w:r>
        <w:rPr>
          <w:rFonts w:ascii="Gill Sans MT" w:hAnsi="Gill Sans MT"/>
          <w:sz w:val="21"/>
          <w:lang w:val="en-US"/>
        </w:rPr>
        <w:t xml:space="preserve"> (i</w:t>
      </w:r>
      <w:r w:rsidRPr="00352DAD">
        <w:rPr>
          <w:rFonts w:ascii="Gill Sans MT" w:hAnsi="Gill Sans MT"/>
          <w:sz w:val="21"/>
          <w:lang w:val="en-US"/>
        </w:rPr>
        <w:t>nsufficient whistleblower protection</w:t>
      </w:r>
      <w:r>
        <w:rPr>
          <w:rFonts w:ascii="Gill Sans MT" w:hAnsi="Gill Sans MT"/>
          <w:sz w:val="21"/>
          <w:lang w:val="en-US"/>
        </w:rPr>
        <w:t>)</w:t>
      </w:r>
      <w:r w:rsidRPr="00352DAD">
        <w:rPr>
          <w:rFonts w:ascii="Gill Sans MT" w:hAnsi="Gill Sans MT"/>
          <w:sz w:val="21"/>
          <w:lang w:val="en-US"/>
        </w:rPr>
        <w:t xml:space="preserve"> </w:t>
      </w:r>
      <w:r>
        <w:rPr>
          <w:rFonts w:ascii="Gill Sans MT" w:hAnsi="Gill Sans MT"/>
          <w:sz w:val="21"/>
          <w:lang w:val="en-US"/>
        </w:rPr>
        <w:t>and</w:t>
      </w:r>
      <w:r w:rsidRPr="00352DAD">
        <w:rPr>
          <w:rFonts w:ascii="Gill Sans MT" w:hAnsi="Gill Sans MT"/>
          <w:sz w:val="21"/>
          <w:lang w:val="en-US"/>
        </w:rPr>
        <w:t xml:space="preserve"> 22 </w:t>
      </w:r>
      <w:r>
        <w:rPr>
          <w:rFonts w:ascii="Gill Sans MT" w:hAnsi="Gill Sans MT"/>
          <w:sz w:val="21"/>
          <w:lang w:val="en-US"/>
        </w:rPr>
        <w:t>(i</w:t>
      </w:r>
      <w:r w:rsidRPr="00352DAD">
        <w:rPr>
          <w:rFonts w:ascii="Gill Sans MT" w:hAnsi="Gill Sans MT"/>
          <w:sz w:val="21"/>
          <w:lang w:val="en-US"/>
        </w:rPr>
        <w:t>nvestment in investee companies without workplace accident prevention policies</w:t>
      </w:r>
      <w:r>
        <w:rPr>
          <w:rFonts w:ascii="Gill Sans MT" w:hAnsi="Gill Sans MT"/>
          <w:sz w:val="21"/>
          <w:lang w:val="en-US"/>
        </w:rPr>
        <w:t xml:space="preserve">) should only be relevant for high risk companies; </w:t>
      </w:r>
      <w:r w:rsidRPr="00352DAD">
        <w:rPr>
          <w:rFonts w:ascii="Gill Sans MT" w:hAnsi="Gill Sans MT"/>
          <w:sz w:val="21"/>
          <w:lang w:val="en-US"/>
        </w:rPr>
        <w:t xml:space="preserve"> </w:t>
      </w:r>
    </w:p>
    <w:p w14:paraId="5E9C2945" w14:textId="77777777" w:rsidR="00052278" w:rsidRDefault="00052278" w:rsidP="00052278">
      <w:pPr>
        <w:pStyle w:val="Default"/>
        <w:numPr>
          <w:ilvl w:val="0"/>
          <w:numId w:val="47"/>
        </w:numPr>
        <w:spacing w:line="280" w:lineRule="atLeast"/>
        <w:jc w:val="both"/>
        <w:rPr>
          <w:rFonts w:ascii="Gill Sans MT" w:hAnsi="Gill Sans MT"/>
          <w:sz w:val="21"/>
          <w:lang w:val="en-US"/>
        </w:rPr>
      </w:pPr>
      <w:r>
        <w:rPr>
          <w:rFonts w:ascii="Gill Sans MT" w:hAnsi="Gill Sans MT"/>
          <w:sz w:val="21"/>
          <w:u w:val="single"/>
          <w:lang w:val="en-US"/>
        </w:rPr>
        <w:t>Data availability</w:t>
      </w:r>
      <w:r>
        <w:rPr>
          <w:rFonts w:ascii="Gill Sans MT" w:hAnsi="Gill Sans MT"/>
          <w:sz w:val="21"/>
          <w:lang w:val="en-US"/>
        </w:rPr>
        <w:t>: I</w:t>
      </w:r>
      <w:r w:rsidRPr="00670579">
        <w:rPr>
          <w:rFonts w:ascii="Gill Sans MT" w:hAnsi="Gill Sans MT"/>
          <w:sz w:val="21"/>
          <w:lang w:val="en-US"/>
        </w:rPr>
        <w:t>ndicator 18 (gender pay gap) may not be deemed to be a relevant indicator, and in addition</w:t>
      </w:r>
      <w:r>
        <w:rPr>
          <w:rFonts w:ascii="Gill Sans MT" w:hAnsi="Gill Sans MT"/>
          <w:sz w:val="21"/>
          <w:lang w:val="en-US"/>
        </w:rPr>
        <w:t>,</w:t>
      </w:r>
      <w:r w:rsidRPr="00670579">
        <w:rPr>
          <w:rFonts w:ascii="Gill Sans MT" w:hAnsi="Gill Sans MT"/>
          <w:sz w:val="21"/>
          <w:lang w:val="en-US"/>
        </w:rPr>
        <w:t xml:space="preserve"> data on the gender pay gap is normally not available. In addition some members find that the inclusion of the living wage </w:t>
      </w:r>
      <w:r>
        <w:rPr>
          <w:rFonts w:ascii="Gill Sans MT" w:hAnsi="Gill Sans MT"/>
          <w:sz w:val="21"/>
          <w:lang w:val="en-US"/>
        </w:rPr>
        <w:t>may be more relevant;</w:t>
      </w:r>
    </w:p>
    <w:p w14:paraId="27E83048" w14:textId="77777777" w:rsidR="00052278" w:rsidRDefault="00052278" w:rsidP="00052278">
      <w:pPr>
        <w:pStyle w:val="Default"/>
        <w:numPr>
          <w:ilvl w:val="0"/>
          <w:numId w:val="47"/>
        </w:numPr>
        <w:spacing w:line="280" w:lineRule="atLeast"/>
        <w:jc w:val="both"/>
        <w:rPr>
          <w:rFonts w:ascii="Gill Sans MT" w:hAnsi="Gill Sans MT"/>
          <w:sz w:val="21"/>
          <w:lang w:val="en-US"/>
        </w:rPr>
      </w:pPr>
      <w:r w:rsidRPr="00AA0608">
        <w:rPr>
          <w:rFonts w:ascii="Gill Sans MT" w:hAnsi="Gill Sans MT"/>
          <w:sz w:val="21"/>
          <w:lang w:val="en-US"/>
        </w:rPr>
        <w:lastRenderedPageBreak/>
        <w:t xml:space="preserve">Some member propose to link indicator 19 (excessive CEO pay ratio) and 20 (board gender diversity) to </w:t>
      </w:r>
      <w:r>
        <w:rPr>
          <w:rFonts w:ascii="Gill Sans MT" w:hAnsi="Gill Sans MT"/>
          <w:sz w:val="21"/>
          <w:lang w:val="en-US"/>
        </w:rPr>
        <w:t xml:space="preserve">the exercise of </w:t>
      </w:r>
      <w:r w:rsidRPr="00AA0608">
        <w:rPr>
          <w:rFonts w:ascii="Gill Sans MT" w:hAnsi="Gill Sans MT"/>
          <w:sz w:val="21"/>
          <w:lang w:val="en-US"/>
        </w:rPr>
        <w:t>voting</w:t>
      </w:r>
      <w:r>
        <w:rPr>
          <w:rFonts w:ascii="Gill Sans MT" w:hAnsi="Gill Sans MT"/>
          <w:sz w:val="21"/>
          <w:lang w:val="en-US"/>
        </w:rPr>
        <w:t xml:space="preserve"> rights. </w:t>
      </w:r>
      <w:r w:rsidRPr="00B974E8">
        <w:rPr>
          <w:rFonts w:ascii="Gill Sans MT" w:hAnsi="Gill Sans MT"/>
          <w:sz w:val="21"/>
          <w:lang w:val="en-US"/>
        </w:rPr>
        <w:t xml:space="preserve">For indicator 19 this </w:t>
      </w:r>
      <w:r>
        <w:rPr>
          <w:rFonts w:ascii="Gill Sans MT" w:hAnsi="Gill Sans MT"/>
          <w:sz w:val="21"/>
          <w:lang w:val="en-US"/>
        </w:rPr>
        <w:t xml:space="preserve">should </w:t>
      </w:r>
      <w:r w:rsidRPr="00B974E8">
        <w:rPr>
          <w:rFonts w:ascii="Gill Sans MT" w:hAnsi="Gill Sans MT"/>
          <w:sz w:val="21"/>
          <w:lang w:val="en-US"/>
        </w:rPr>
        <w:t>include</w:t>
      </w:r>
      <w:r>
        <w:rPr>
          <w:rFonts w:ascii="Gill Sans MT" w:hAnsi="Gill Sans MT"/>
          <w:sz w:val="21"/>
          <w:lang w:val="en-US"/>
        </w:rPr>
        <w:t xml:space="preserve"> voting in relation to </w:t>
      </w:r>
      <w:r w:rsidRPr="00B974E8">
        <w:rPr>
          <w:rFonts w:ascii="Gill Sans MT" w:hAnsi="Gill Sans MT"/>
          <w:sz w:val="21"/>
          <w:lang w:val="en-US"/>
        </w:rPr>
        <w:t>gender, board diversity a</w:t>
      </w:r>
      <w:r>
        <w:rPr>
          <w:rFonts w:ascii="Gill Sans MT" w:hAnsi="Gill Sans MT"/>
          <w:sz w:val="21"/>
          <w:lang w:val="en-US"/>
        </w:rPr>
        <w:t>nd b</w:t>
      </w:r>
      <w:r w:rsidRPr="00B974E8">
        <w:rPr>
          <w:rFonts w:ascii="Gill Sans MT" w:hAnsi="Gill Sans MT"/>
          <w:sz w:val="21"/>
          <w:lang w:val="en-US"/>
        </w:rPr>
        <w:t xml:space="preserve">oard independence. </w:t>
      </w:r>
    </w:p>
    <w:p w14:paraId="1191096F" w14:textId="77777777" w:rsidR="00052278" w:rsidRDefault="00052278" w:rsidP="00052278">
      <w:pPr>
        <w:pStyle w:val="Default"/>
        <w:spacing w:line="280" w:lineRule="atLeast"/>
        <w:jc w:val="both"/>
        <w:rPr>
          <w:rFonts w:ascii="Gill Sans MT" w:hAnsi="Gill Sans MT"/>
          <w:sz w:val="21"/>
          <w:lang w:val="en-US"/>
        </w:rPr>
      </w:pPr>
    </w:p>
    <w:p w14:paraId="0423A18C" w14:textId="77777777" w:rsidR="00052278" w:rsidRPr="00B974E8" w:rsidRDefault="00052278" w:rsidP="00052278">
      <w:pPr>
        <w:pStyle w:val="Default"/>
        <w:spacing w:line="280" w:lineRule="atLeast"/>
        <w:jc w:val="both"/>
        <w:rPr>
          <w:rFonts w:ascii="Gill Sans MT" w:hAnsi="Gill Sans MT"/>
          <w:i/>
          <w:iCs/>
          <w:sz w:val="21"/>
          <w:lang w:val="en-US"/>
        </w:rPr>
      </w:pPr>
      <w:r w:rsidRPr="00B974E8">
        <w:rPr>
          <w:rFonts w:ascii="Gill Sans MT" w:hAnsi="Gill Sans MT"/>
          <w:i/>
          <w:iCs/>
          <w:sz w:val="21"/>
          <w:lang w:val="en-US"/>
        </w:rPr>
        <w:t xml:space="preserve">Human rights </w:t>
      </w:r>
      <w:r>
        <w:rPr>
          <w:rFonts w:ascii="Gill Sans MT" w:hAnsi="Gill Sans MT"/>
          <w:i/>
          <w:iCs/>
          <w:sz w:val="21"/>
          <w:lang w:val="en-US"/>
        </w:rPr>
        <w:t>[</w:t>
      </w:r>
      <w:r w:rsidRPr="00B974E8">
        <w:rPr>
          <w:rFonts w:ascii="Gill Sans MT" w:hAnsi="Gill Sans MT"/>
          <w:i/>
          <w:iCs/>
          <w:sz w:val="21"/>
          <w:lang w:val="en-US"/>
        </w:rPr>
        <w:t>23</w:t>
      </w:r>
      <w:r>
        <w:rPr>
          <w:rFonts w:ascii="Gill Sans MT" w:hAnsi="Gill Sans MT"/>
          <w:i/>
          <w:iCs/>
          <w:sz w:val="21"/>
          <w:lang w:val="en-US"/>
        </w:rPr>
        <w:t xml:space="preserve">- </w:t>
      </w:r>
      <w:r w:rsidRPr="00B974E8">
        <w:rPr>
          <w:rFonts w:ascii="Gill Sans MT" w:hAnsi="Gill Sans MT"/>
          <w:i/>
          <w:iCs/>
          <w:sz w:val="21"/>
          <w:lang w:val="en-US"/>
        </w:rPr>
        <w:t>29</w:t>
      </w:r>
      <w:r>
        <w:rPr>
          <w:rFonts w:ascii="Gill Sans MT" w:hAnsi="Gill Sans MT"/>
          <w:i/>
          <w:iCs/>
          <w:sz w:val="21"/>
          <w:lang w:val="en-US"/>
        </w:rPr>
        <w:t>]</w:t>
      </w:r>
      <w:r w:rsidRPr="00B974E8">
        <w:rPr>
          <w:rFonts w:ascii="Gill Sans MT" w:hAnsi="Gill Sans MT"/>
          <w:i/>
          <w:iCs/>
          <w:sz w:val="21"/>
          <w:lang w:val="en-US"/>
        </w:rPr>
        <w:t xml:space="preserve">. </w:t>
      </w:r>
    </w:p>
    <w:p w14:paraId="65F93081" w14:textId="3079109B" w:rsidR="00052278" w:rsidRPr="002834FB" w:rsidRDefault="00052278" w:rsidP="00052278">
      <w:pPr>
        <w:pStyle w:val="Default"/>
        <w:numPr>
          <w:ilvl w:val="0"/>
          <w:numId w:val="48"/>
        </w:numPr>
        <w:spacing w:line="280" w:lineRule="atLeast"/>
        <w:jc w:val="both"/>
        <w:rPr>
          <w:rFonts w:ascii="Gill Sans MT" w:hAnsi="Gill Sans MT"/>
          <w:sz w:val="21"/>
          <w:lang w:val="en-US"/>
        </w:rPr>
      </w:pPr>
      <w:r w:rsidRPr="002834FB">
        <w:rPr>
          <w:rFonts w:ascii="Gill Sans MT" w:hAnsi="Gill Sans MT"/>
          <w:sz w:val="21"/>
          <w:u w:val="single"/>
          <w:lang w:val="en-US"/>
        </w:rPr>
        <w:t>Relevant indicators</w:t>
      </w:r>
      <w:r w:rsidRPr="002834FB">
        <w:rPr>
          <w:rFonts w:ascii="Gill Sans MT" w:hAnsi="Gill Sans MT"/>
          <w:sz w:val="21"/>
          <w:lang w:val="en-US"/>
        </w:rPr>
        <w:t>:</w:t>
      </w:r>
      <w:r w:rsidRPr="002834FB">
        <w:rPr>
          <w:lang w:val="en-US"/>
        </w:rPr>
        <w:t xml:space="preserve"> </w:t>
      </w:r>
      <w:r w:rsidRPr="002834FB">
        <w:rPr>
          <w:rFonts w:ascii="Gill Sans MT" w:hAnsi="Gill Sans MT"/>
          <w:sz w:val="21"/>
          <w:lang w:val="en-US"/>
        </w:rPr>
        <w:t>DUFAS is of the opinion that the indicators 28 (number and nature of identified cases of severe human rights issues and incidents) and 29 (exposure to controversial weapons (land mines and cluster bombs)) are relevant and useful</w:t>
      </w:r>
      <w:r>
        <w:rPr>
          <w:rFonts w:ascii="Gill Sans MT" w:hAnsi="Gill Sans MT"/>
          <w:sz w:val="21"/>
          <w:lang w:val="en-US"/>
        </w:rPr>
        <w:t>, although it has to be defined further what is considered to be ‘controversial’. I</w:t>
      </w:r>
      <w:r w:rsidRPr="002834FB">
        <w:rPr>
          <w:rFonts w:ascii="Gill Sans MT" w:hAnsi="Gill Sans MT"/>
          <w:sz w:val="21"/>
          <w:lang w:val="en-US"/>
        </w:rPr>
        <w:t>ndicators 23</w:t>
      </w:r>
      <w:r w:rsidRPr="002834FB">
        <w:rPr>
          <w:lang w:val="en-US"/>
        </w:rPr>
        <w:t xml:space="preserve"> (</w:t>
      </w:r>
      <w:r w:rsidR="00C9380A">
        <w:rPr>
          <w:rFonts w:ascii="Gill Sans MT" w:hAnsi="Gill Sans MT"/>
          <w:sz w:val="21"/>
          <w:lang w:val="en-US"/>
        </w:rPr>
        <w:t>hu</w:t>
      </w:r>
      <w:r w:rsidRPr="002834FB">
        <w:rPr>
          <w:rFonts w:ascii="Gill Sans MT" w:hAnsi="Gill Sans MT"/>
          <w:sz w:val="21"/>
          <w:lang w:val="en-US"/>
        </w:rPr>
        <w:t xml:space="preserve">man rights policy), 24 (due diligence) and 25 (processes and measures for </w:t>
      </w:r>
      <w:bookmarkStart w:id="15" w:name="_Hlk45358233"/>
      <w:r w:rsidRPr="002834FB">
        <w:rPr>
          <w:rFonts w:ascii="Gill Sans MT" w:hAnsi="Gill Sans MT"/>
          <w:sz w:val="21"/>
          <w:lang w:val="en-US"/>
        </w:rPr>
        <w:t>preventing trafficking in human beings</w:t>
      </w:r>
      <w:bookmarkEnd w:id="15"/>
      <w:r w:rsidRPr="002834FB">
        <w:rPr>
          <w:rFonts w:ascii="Gill Sans MT" w:hAnsi="Gill Sans MT"/>
          <w:sz w:val="21"/>
          <w:lang w:val="en-US"/>
        </w:rPr>
        <w:t xml:space="preserve">) </w:t>
      </w:r>
      <w:r>
        <w:rPr>
          <w:rFonts w:ascii="Gill Sans MT" w:hAnsi="Gill Sans MT"/>
          <w:sz w:val="21"/>
          <w:lang w:val="en-US"/>
        </w:rPr>
        <w:t xml:space="preserve">are considered to be relevant as well, </w:t>
      </w:r>
      <w:bookmarkStart w:id="16" w:name="_Hlk45358121"/>
      <w:r>
        <w:rPr>
          <w:rFonts w:ascii="Gill Sans MT" w:hAnsi="Gill Sans MT"/>
          <w:sz w:val="21"/>
          <w:lang w:val="en-US"/>
        </w:rPr>
        <w:t xml:space="preserve">but </w:t>
      </w:r>
      <w:r w:rsidRPr="002834FB">
        <w:rPr>
          <w:rFonts w:ascii="Gill Sans MT" w:hAnsi="Gill Sans MT"/>
          <w:sz w:val="21"/>
          <w:lang w:val="en-US"/>
        </w:rPr>
        <w:t xml:space="preserve">only </w:t>
      </w:r>
      <w:r>
        <w:rPr>
          <w:rFonts w:ascii="Gill Sans MT" w:hAnsi="Gill Sans MT"/>
          <w:sz w:val="21"/>
          <w:lang w:val="en-US"/>
        </w:rPr>
        <w:t xml:space="preserve">in relation to certain </w:t>
      </w:r>
      <w:r w:rsidRPr="002834FB">
        <w:rPr>
          <w:rFonts w:ascii="Gill Sans MT" w:hAnsi="Gill Sans MT"/>
          <w:sz w:val="21"/>
          <w:lang w:val="en-US"/>
        </w:rPr>
        <w:t>high risk companies and sectors</w:t>
      </w:r>
      <w:bookmarkEnd w:id="16"/>
      <w:r w:rsidRPr="002834FB">
        <w:rPr>
          <w:rFonts w:ascii="Gill Sans MT" w:hAnsi="Gill Sans MT"/>
          <w:sz w:val="21"/>
          <w:lang w:val="en-US"/>
        </w:rPr>
        <w:t xml:space="preserve">. </w:t>
      </w:r>
    </w:p>
    <w:p w14:paraId="23C6AAFE" w14:textId="77777777" w:rsidR="00052278" w:rsidRPr="000B1308" w:rsidRDefault="00052278" w:rsidP="00052278">
      <w:pPr>
        <w:pStyle w:val="Default"/>
        <w:numPr>
          <w:ilvl w:val="0"/>
          <w:numId w:val="48"/>
        </w:numPr>
        <w:spacing w:line="280" w:lineRule="atLeast"/>
        <w:jc w:val="both"/>
        <w:rPr>
          <w:rFonts w:ascii="Gill Sans MT" w:hAnsi="Gill Sans MT"/>
          <w:sz w:val="21"/>
        </w:rPr>
      </w:pPr>
      <w:r w:rsidRPr="000B1308">
        <w:rPr>
          <w:rFonts w:ascii="Gill Sans MT" w:hAnsi="Gill Sans MT"/>
          <w:sz w:val="21"/>
          <w:lang w:val="en-US"/>
        </w:rPr>
        <w:t>Indicators 26</w:t>
      </w:r>
      <w:r w:rsidRPr="000B1308">
        <w:rPr>
          <w:lang w:val="en-US"/>
        </w:rPr>
        <w:t xml:space="preserve"> </w:t>
      </w:r>
      <w:r>
        <w:rPr>
          <w:lang w:val="en-US"/>
        </w:rPr>
        <w:t>(o</w:t>
      </w:r>
      <w:r w:rsidRPr="000B1308">
        <w:rPr>
          <w:rFonts w:ascii="Gill Sans MT" w:hAnsi="Gill Sans MT"/>
          <w:sz w:val="21"/>
          <w:lang w:val="en-US"/>
        </w:rPr>
        <w:t xml:space="preserve">perations and suppliers at significant risk of incidents of child </w:t>
      </w:r>
      <w:proofErr w:type="spellStart"/>
      <w:r w:rsidRPr="000B1308">
        <w:rPr>
          <w:rFonts w:ascii="Gill Sans MT" w:hAnsi="Gill Sans MT"/>
          <w:sz w:val="21"/>
          <w:lang w:val="en-US"/>
        </w:rPr>
        <w:t>labour</w:t>
      </w:r>
      <w:proofErr w:type="spellEnd"/>
      <w:r>
        <w:rPr>
          <w:rFonts w:ascii="Gill Sans MT" w:hAnsi="Gill Sans MT"/>
          <w:sz w:val="21"/>
          <w:lang w:val="en-US"/>
        </w:rPr>
        <w:t>)</w:t>
      </w:r>
      <w:r w:rsidRPr="000B1308">
        <w:rPr>
          <w:rFonts w:ascii="Gill Sans MT" w:hAnsi="Gill Sans MT"/>
          <w:sz w:val="21"/>
          <w:lang w:val="en-US"/>
        </w:rPr>
        <w:t xml:space="preserve"> and 27</w:t>
      </w:r>
      <w:r>
        <w:rPr>
          <w:rFonts w:ascii="Gill Sans MT" w:hAnsi="Gill Sans MT"/>
          <w:sz w:val="21"/>
          <w:lang w:val="en-US"/>
        </w:rPr>
        <w:t xml:space="preserve"> (o</w:t>
      </w:r>
      <w:r w:rsidRPr="000B1308">
        <w:rPr>
          <w:rFonts w:ascii="Gill Sans MT" w:hAnsi="Gill Sans MT"/>
          <w:sz w:val="21"/>
          <w:lang w:val="en-US"/>
        </w:rPr>
        <w:t xml:space="preserve">perations and suppliers at significant risk of incidents of forced or compulsory </w:t>
      </w:r>
      <w:proofErr w:type="spellStart"/>
      <w:r w:rsidRPr="000B1308">
        <w:rPr>
          <w:rFonts w:ascii="Gill Sans MT" w:hAnsi="Gill Sans MT"/>
          <w:sz w:val="21"/>
          <w:lang w:val="en-US"/>
        </w:rPr>
        <w:t>labour</w:t>
      </w:r>
      <w:proofErr w:type="spellEnd"/>
      <w:r>
        <w:rPr>
          <w:rFonts w:ascii="Gill Sans MT" w:hAnsi="Gill Sans MT"/>
          <w:sz w:val="21"/>
          <w:lang w:val="en-US"/>
        </w:rPr>
        <w:t>)</w:t>
      </w:r>
      <w:r w:rsidRPr="000B1308">
        <w:rPr>
          <w:rFonts w:ascii="Gill Sans MT" w:hAnsi="Gill Sans MT"/>
          <w:sz w:val="21"/>
          <w:lang w:val="en-US"/>
        </w:rPr>
        <w:t xml:space="preserve"> should be defined more accurately</w:t>
      </w:r>
      <w:r>
        <w:rPr>
          <w:rFonts w:ascii="Gill Sans MT" w:hAnsi="Gill Sans MT"/>
          <w:sz w:val="21"/>
          <w:lang w:val="en-US"/>
        </w:rPr>
        <w:t xml:space="preserve">. </w:t>
      </w:r>
      <w:r w:rsidRPr="000B1308">
        <w:rPr>
          <w:rFonts w:ascii="Gill Sans MT" w:hAnsi="Gill Sans MT"/>
          <w:sz w:val="21"/>
          <w:lang w:val="en-US"/>
        </w:rPr>
        <w:t>For example, which operations and suppliers a</w:t>
      </w:r>
      <w:r>
        <w:rPr>
          <w:rFonts w:ascii="Gill Sans MT" w:hAnsi="Gill Sans MT"/>
          <w:sz w:val="21"/>
          <w:lang w:val="en-US"/>
        </w:rPr>
        <w:t xml:space="preserve">re in scope;  </w:t>
      </w:r>
    </w:p>
    <w:p w14:paraId="179A9BDB" w14:textId="77777777" w:rsidR="00052278" w:rsidRDefault="00052278" w:rsidP="00052278">
      <w:pPr>
        <w:pStyle w:val="Default"/>
        <w:numPr>
          <w:ilvl w:val="0"/>
          <w:numId w:val="48"/>
        </w:numPr>
        <w:spacing w:line="280" w:lineRule="atLeast"/>
        <w:jc w:val="both"/>
        <w:rPr>
          <w:rFonts w:ascii="Gill Sans MT" w:hAnsi="Gill Sans MT"/>
          <w:sz w:val="21"/>
          <w:lang w:val="en-US"/>
        </w:rPr>
      </w:pPr>
      <w:r w:rsidRPr="008B651A">
        <w:rPr>
          <w:rFonts w:ascii="Gill Sans MT" w:hAnsi="Gill Sans MT"/>
          <w:sz w:val="21"/>
          <w:lang w:val="en-US"/>
        </w:rPr>
        <w:t xml:space="preserve">In addition, some members propose to include an indicator on conflict materials, for example the percentage of high risk companies with a policy on conflict materials. </w:t>
      </w:r>
    </w:p>
    <w:p w14:paraId="2159E246" w14:textId="77777777" w:rsidR="00052278" w:rsidRPr="001E70F8" w:rsidRDefault="00052278" w:rsidP="00052278">
      <w:pPr>
        <w:pStyle w:val="Default"/>
        <w:numPr>
          <w:ilvl w:val="0"/>
          <w:numId w:val="48"/>
        </w:numPr>
        <w:spacing w:line="280" w:lineRule="atLeast"/>
        <w:jc w:val="both"/>
        <w:rPr>
          <w:rFonts w:ascii="Gill Sans MT" w:hAnsi="Gill Sans MT"/>
          <w:sz w:val="21"/>
          <w:lang w:val="en-US"/>
        </w:rPr>
      </w:pPr>
      <w:r>
        <w:rPr>
          <w:rFonts w:ascii="Gill Sans MT" w:hAnsi="Gill Sans MT"/>
          <w:sz w:val="21"/>
          <w:lang w:val="en-US"/>
        </w:rPr>
        <w:t xml:space="preserve">Indicator </w:t>
      </w:r>
      <w:r w:rsidRPr="00AF0B79">
        <w:rPr>
          <w:rFonts w:ascii="Gill Sans MT" w:hAnsi="Gill Sans MT"/>
          <w:sz w:val="21"/>
          <w:lang w:val="en-US"/>
        </w:rPr>
        <w:t>29</w:t>
      </w:r>
      <w:r>
        <w:rPr>
          <w:rFonts w:ascii="Gill Sans MT" w:hAnsi="Gill Sans MT"/>
          <w:sz w:val="21"/>
          <w:lang w:val="en-US"/>
        </w:rPr>
        <w:t xml:space="preserve"> (</w:t>
      </w:r>
      <w:r w:rsidRPr="00AF0B79">
        <w:rPr>
          <w:rFonts w:ascii="Gill Sans MT" w:hAnsi="Gill Sans MT"/>
          <w:sz w:val="21"/>
          <w:lang w:val="en-US"/>
        </w:rPr>
        <w:t>Exposure to controversial weapons (</w:t>
      </w:r>
      <w:bookmarkStart w:id="17" w:name="_Hlk45358154"/>
      <w:r w:rsidRPr="00AF0B79">
        <w:rPr>
          <w:rFonts w:ascii="Gill Sans MT" w:hAnsi="Gill Sans MT"/>
          <w:sz w:val="21"/>
          <w:lang w:val="en-US"/>
        </w:rPr>
        <w:t>land mines and cluster bombs</w:t>
      </w:r>
      <w:bookmarkEnd w:id="17"/>
      <w:r w:rsidRPr="00AF0B79">
        <w:rPr>
          <w:rFonts w:ascii="Gill Sans MT" w:hAnsi="Gill Sans MT"/>
          <w:sz w:val="21"/>
          <w:lang w:val="en-US"/>
        </w:rPr>
        <w:t>)</w:t>
      </w:r>
      <w:r>
        <w:rPr>
          <w:rFonts w:ascii="Gill Sans MT" w:hAnsi="Gill Sans MT"/>
          <w:sz w:val="21"/>
          <w:lang w:val="en-US"/>
        </w:rPr>
        <w:t>) is relevant, but for the Dutch market this is already (partially) excluded under mandatory Dutch laws.</w:t>
      </w:r>
    </w:p>
    <w:p w14:paraId="104A565F" w14:textId="77777777" w:rsidR="00052278" w:rsidRPr="001E70F8" w:rsidRDefault="00052278" w:rsidP="00052278">
      <w:pPr>
        <w:pStyle w:val="Default"/>
        <w:spacing w:line="280" w:lineRule="atLeast"/>
        <w:ind w:left="360"/>
        <w:jc w:val="both"/>
        <w:rPr>
          <w:rFonts w:ascii="Gill Sans MT" w:hAnsi="Gill Sans MT"/>
          <w:sz w:val="21"/>
          <w:lang w:val="en-US"/>
        </w:rPr>
      </w:pPr>
    </w:p>
    <w:p w14:paraId="0EE0442B" w14:textId="77777777" w:rsidR="00052278" w:rsidRDefault="00052278" w:rsidP="00052278">
      <w:pPr>
        <w:pStyle w:val="Default"/>
        <w:spacing w:line="280" w:lineRule="atLeast"/>
        <w:jc w:val="both"/>
        <w:rPr>
          <w:rFonts w:ascii="Gill Sans MT" w:hAnsi="Gill Sans MT"/>
          <w:sz w:val="21"/>
          <w:lang w:val="en-US"/>
        </w:rPr>
      </w:pPr>
      <w:r w:rsidRPr="006E4056">
        <w:rPr>
          <w:rFonts w:ascii="Gill Sans MT" w:hAnsi="Gill Sans MT"/>
          <w:i/>
          <w:iCs/>
          <w:sz w:val="21"/>
          <w:lang w:val="en-US"/>
        </w:rPr>
        <w:t>Anti-corruption and anti-bribery</w:t>
      </w:r>
      <w:r>
        <w:rPr>
          <w:rFonts w:ascii="Gill Sans MT" w:hAnsi="Gill Sans MT"/>
          <w:i/>
          <w:iCs/>
          <w:sz w:val="21"/>
          <w:lang w:val="en-US"/>
        </w:rPr>
        <w:t xml:space="preserve"> [30-32]</w:t>
      </w:r>
      <w:r w:rsidRPr="0088122E">
        <w:rPr>
          <w:rFonts w:ascii="Gill Sans MT" w:hAnsi="Gill Sans MT"/>
          <w:sz w:val="21"/>
          <w:lang w:val="en-US"/>
        </w:rPr>
        <w:t xml:space="preserve">. </w:t>
      </w:r>
    </w:p>
    <w:p w14:paraId="4CA3EE4D" w14:textId="77777777" w:rsidR="00052278" w:rsidRPr="00561D65" w:rsidRDefault="00052278" w:rsidP="00052278">
      <w:pPr>
        <w:pStyle w:val="Default"/>
        <w:numPr>
          <w:ilvl w:val="0"/>
          <w:numId w:val="49"/>
        </w:numPr>
        <w:spacing w:line="280" w:lineRule="atLeast"/>
        <w:jc w:val="both"/>
        <w:rPr>
          <w:sz w:val="22"/>
          <w:szCs w:val="22"/>
          <w:lang w:val="en-US"/>
        </w:rPr>
      </w:pPr>
      <w:r w:rsidRPr="00395FD2">
        <w:rPr>
          <w:rFonts w:ascii="Gill Sans MT" w:hAnsi="Gill Sans MT"/>
          <w:sz w:val="21"/>
          <w:u w:val="single"/>
          <w:lang w:val="en-US"/>
        </w:rPr>
        <w:t>Relevant indicators</w:t>
      </w:r>
      <w:r w:rsidRPr="00395FD2">
        <w:rPr>
          <w:rFonts w:ascii="Gill Sans MT" w:hAnsi="Gill Sans MT"/>
          <w:sz w:val="21"/>
          <w:lang w:val="en-US"/>
        </w:rPr>
        <w:t>:</w:t>
      </w:r>
      <w:r w:rsidRPr="00395FD2">
        <w:rPr>
          <w:lang w:val="en-US"/>
        </w:rPr>
        <w:t xml:space="preserve"> </w:t>
      </w:r>
      <w:r w:rsidRPr="00395FD2">
        <w:rPr>
          <w:rFonts w:ascii="Gill Sans MT" w:hAnsi="Gill Sans MT"/>
          <w:sz w:val="21"/>
          <w:lang w:val="en-US"/>
        </w:rPr>
        <w:t>DUFAS is of the opinion that the indicator 30 (anti-corruption and anti-bribery policies) is relevant, particularly for high risk companies. Indicator 31 (cases of insufficient action taken to address breaches of standards of anti-corruption and anti-bribery) may only be useful to apply in severe cases</w:t>
      </w:r>
      <w:r>
        <w:rPr>
          <w:rFonts w:ascii="Gill Sans MT" w:hAnsi="Gill Sans MT"/>
          <w:sz w:val="21"/>
          <w:lang w:val="en-US"/>
        </w:rPr>
        <w:t xml:space="preserve">, and should be </w:t>
      </w:r>
      <w:r w:rsidRPr="00132E93">
        <w:rPr>
          <w:rFonts w:ascii="Gill Sans MT" w:hAnsi="Gill Sans MT"/>
          <w:sz w:val="21"/>
          <w:lang w:val="en-US"/>
        </w:rPr>
        <w:t xml:space="preserve"> based on controversies and not necessarily 'insufficiencies'</w:t>
      </w:r>
      <w:r>
        <w:rPr>
          <w:rFonts w:ascii="Gill Sans MT" w:hAnsi="Gill Sans MT"/>
          <w:sz w:val="21"/>
          <w:lang w:val="en-US"/>
        </w:rPr>
        <w:t>.</w:t>
      </w:r>
      <w:r w:rsidRPr="00395FD2">
        <w:rPr>
          <w:rFonts w:ascii="Gill Sans MT" w:hAnsi="Gill Sans MT"/>
          <w:sz w:val="21"/>
          <w:lang w:val="en-US"/>
        </w:rPr>
        <w:t xml:space="preserve"> </w:t>
      </w:r>
      <w:r>
        <w:rPr>
          <w:rFonts w:ascii="Gill Sans MT" w:hAnsi="Gill Sans MT"/>
          <w:sz w:val="21"/>
          <w:lang w:val="en-US"/>
        </w:rPr>
        <w:t>As to i</w:t>
      </w:r>
      <w:r w:rsidRPr="00395FD2">
        <w:rPr>
          <w:rFonts w:ascii="Gill Sans MT" w:hAnsi="Gill Sans MT"/>
          <w:sz w:val="21"/>
          <w:lang w:val="en-US"/>
        </w:rPr>
        <w:t>ndicator 32 (number of convictions and amount of fines for violation of anti-corruption and anti-bribery laws)</w:t>
      </w:r>
      <w:r>
        <w:rPr>
          <w:rFonts w:ascii="Gill Sans MT" w:hAnsi="Gill Sans MT"/>
          <w:sz w:val="21"/>
          <w:lang w:val="en-US"/>
        </w:rPr>
        <w:t xml:space="preserve">, we suggest to delete this as an indicator. </w:t>
      </w:r>
    </w:p>
    <w:p w14:paraId="47F9E128" w14:textId="77777777" w:rsidR="00052278" w:rsidRDefault="00052278" w:rsidP="00052278">
      <w:pPr>
        <w:pStyle w:val="Default"/>
        <w:spacing w:line="280" w:lineRule="atLeast"/>
        <w:jc w:val="both"/>
        <w:rPr>
          <w:sz w:val="22"/>
          <w:szCs w:val="22"/>
          <w:lang w:val="en-US"/>
        </w:rPr>
      </w:pPr>
    </w:p>
    <w:p w14:paraId="583F858F" w14:textId="77777777" w:rsidR="00052278" w:rsidRPr="00A7146E" w:rsidRDefault="00052278" w:rsidP="00052278">
      <w:pPr>
        <w:pStyle w:val="Default"/>
        <w:spacing w:line="280" w:lineRule="atLeast"/>
        <w:jc w:val="both"/>
        <w:rPr>
          <w:rFonts w:ascii="Gill Sans MT" w:hAnsi="Gill Sans MT"/>
          <w:i/>
          <w:iCs/>
          <w:sz w:val="21"/>
          <w:szCs w:val="22"/>
          <w:u w:val="single"/>
          <w:lang w:val="en-US"/>
        </w:rPr>
      </w:pPr>
      <w:r w:rsidRPr="00A7146E">
        <w:rPr>
          <w:rFonts w:ascii="Gill Sans MT" w:hAnsi="Gill Sans MT"/>
          <w:i/>
          <w:iCs/>
          <w:sz w:val="21"/>
          <w:szCs w:val="22"/>
          <w:u w:val="single"/>
          <w:lang w:val="en-US"/>
        </w:rPr>
        <w:t xml:space="preserve">Table 2: </w:t>
      </w:r>
    </w:p>
    <w:p w14:paraId="79DFB088" w14:textId="77777777" w:rsidR="00052278" w:rsidRDefault="00052278" w:rsidP="00052278">
      <w:pPr>
        <w:pStyle w:val="Default"/>
        <w:spacing w:line="280" w:lineRule="atLeast"/>
        <w:jc w:val="both"/>
        <w:rPr>
          <w:rFonts w:ascii="Gill Sans MT" w:hAnsi="Gill Sans MT"/>
          <w:i/>
          <w:iCs/>
          <w:sz w:val="21"/>
          <w:szCs w:val="22"/>
          <w:lang w:val="en-US"/>
        </w:rPr>
      </w:pPr>
      <w:r w:rsidRPr="00A7146E">
        <w:rPr>
          <w:rFonts w:ascii="Gill Sans MT" w:hAnsi="Gill Sans MT"/>
          <w:i/>
          <w:iCs/>
          <w:sz w:val="21"/>
          <w:szCs w:val="22"/>
          <w:lang w:val="en-US"/>
        </w:rPr>
        <w:t xml:space="preserve">Water, waste and material (5-10): </w:t>
      </w:r>
    </w:p>
    <w:p w14:paraId="158443AD" w14:textId="77777777" w:rsidR="00052278" w:rsidRPr="00A7146E" w:rsidRDefault="00052278" w:rsidP="00052278">
      <w:pPr>
        <w:pStyle w:val="Default"/>
        <w:numPr>
          <w:ilvl w:val="0"/>
          <w:numId w:val="49"/>
        </w:numPr>
        <w:spacing w:line="280" w:lineRule="atLeast"/>
        <w:jc w:val="both"/>
        <w:rPr>
          <w:rFonts w:ascii="Gill Sans MT" w:hAnsi="Gill Sans MT"/>
          <w:sz w:val="21"/>
          <w:szCs w:val="22"/>
          <w:lang w:val="en-US"/>
        </w:rPr>
      </w:pPr>
      <w:r w:rsidRPr="00DC37D4">
        <w:rPr>
          <w:rFonts w:ascii="Gill Sans MT" w:hAnsi="Gill Sans MT"/>
          <w:sz w:val="21"/>
          <w:szCs w:val="22"/>
          <w:lang w:val="en-US"/>
        </w:rPr>
        <w:t>As</w:t>
      </w:r>
      <w:r w:rsidRPr="00A7146E">
        <w:rPr>
          <w:rFonts w:ascii="Gill Sans MT" w:hAnsi="Gill Sans MT"/>
          <w:sz w:val="21"/>
          <w:szCs w:val="22"/>
          <w:lang w:val="en-US"/>
        </w:rPr>
        <w:t xml:space="preserve"> to indicator 5 (water usage</w:t>
      </w:r>
      <w:r>
        <w:rPr>
          <w:rFonts w:ascii="Gill Sans MT" w:hAnsi="Gill Sans MT"/>
          <w:sz w:val="21"/>
          <w:szCs w:val="22"/>
          <w:lang w:val="en-US"/>
        </w:rPr>
        <w:t xml:space="preserve">) </w:t>
      </w:r>
      <w:r w:rsidRPr="00A7146E">
        <w:rPr>
          <w:rFonts w:ascii="Gill Sans MT" w:hAnsi="Gill Sans MT"/>
          <w:sz w:val="21"/>
          <w:szCs w:val="22"/>
          <w:lang w:val="en-US"/>
        </w:rPr>
        <w:t>the difference between ‘reclaimed’ vs ‘recycled’(see in connection with Table I)</w:t>
      </w:r>
      <w:r>
        <w:rPr>
          <w:rFonts w:ascii="Gill Sans MT" w:hAnsi="Gill Sans MT"/>
          <w:sz w:val="21"/>
          <w:szCs w:val="22"/>
          <w:lang w:val="en-US"/>
        </w:rPr>
        <w:t xml:space="preserve"> </w:t>
      </w:r>
      <w:r w:rsidRPr="00A7146E">
        <w:rPr>
          <w:rFonts w:ascii="Gill Sans MT" w:hAnsi="Gill Sans MT"/>
          <w:sz w:val="21"/>
          <w:szCs w:val="22"/>
          <w:lang w:val="en-US"/>
        </w:rPr>
        <w:t xml:space="preserve">should be </w:t>
      </w:r>
      <w:r>
        <w:rPr>
          <w:rFonts w:ascii="Gill Sans MT" w:hAnsi="Gill Sans MT"/>
          <w:sz w:val="21"/>
          <w:szCs w:val="22"/>
          <w:lang w:val="en-US"/>
        </w:rPr>
        <w:t xml:space="preserve">clarified. As to indicator 8 ( </w:t>
      </w:r>
      <w:r w:rsidRPr="00A7146E">
        <w:rPr>
          <w:rFonts w:ascii="Gill Sans MT" w:hAnsi="Gill Sans MT"/>
          <w:sz w:val="21"/>
          <w:szCs w:val="22"/>
          <w:lang w:val="en-US"/>
        </w:rPr>
        <w:t>Land degradation, desertification, soil sealing</w:t>
      </w:r>
      <w:r>
        <w:rPr>
          <w:rFonts w:ascii="Gill Sans MT" w:hAnsi="Gill Sans MT"/>
          <w:sz w:val="21"/>
          <w:szCs w:val="22"/>
          <w:lang w:val="en-US"/>
        </w:rPr>
        <w:t>) we believe that this qu</w:t>
      </w:r>
      <w:r w:rsidRPr="00A7146E">
        <w:rPr>
          <w:rFonts w:ascii="Gill Sans MT" w:hAnsi="Gill Sans MT"/>
          <w:sz w:val="21"/>
          <w:szCs w:val="22"/>
          <w:lang w:val="en-US"/>
        </w:rPr>
        <w:t>estion does not make sense. Soil sealing is a much more limited challenge and very different in nature. Land/soil degradation and desertification are the bigger problems. For these, the majority of areas are in the supply chains of large companies and not owned by the companies themselves. Therefore the focus of the question should be on policies/measures of the companies to prevent soil</w:t>
      </w:r>
      <w:r>
        <w:rPr>
          <w:rFonts w:ascii="Gill Sans MT" w:hAnsi="Gill Sans MT"/>
          <w:sz w:val="21"/>
          <w:szCs w:val="22"/>
          <w:lang w:val="en-US"/>
        </w:rPr>
        <w:t xml:space="preserve"> </w:t>
      </w:r>
      <w:r w:rsidRPr="00A7146E">
        <w:rPr>
          <w:rFonts w:ascii="Gill Sans MT" w:hAnsi="Gill Sans MT"/>
          <w:sz w:val="21"/>
          <w:szCs w:val="22"/>
          <w:lang w:val="en-US"/>
        </w:rPr>
        <w:t>degradation or desertification in their supply chains.</w:t>
      </w:r>
    </w:p>
    <w:p w14:paraId="0E24F77A" w14:textId="77777777" w:rsidR="00052278" w:rsidRPr="005C0CE3" w:rsidRDefault="00052278" w:rsidP="00052278">
      <w:pPr>
        <w:pStyle w:val="Default"/>
        <w:spacing w:line="280" w:lineRule="atLeast"/>
        <w:jc w:val="both"/>
        <w:rPr>
          <w:sz w:val="22"/>
          <w:szCs w:val="22"/>
          <w:lang w:val="en-US"/>
        </w:rPr>
      </w:pPr>
    </w:p>
    <w:p w14:paraId="3B36BC91" w14:textId="3FD18D8E" w:rsidR="00052278" w:rsidRPr="006366BB" w:rsidRDefault="00052278" w:rsidP="00052278">
      <w:pPr>
        <w:spacing w:line="288" w:lineRule="auto"/>
        <w:jc w:val="both"/>
        <w:rPr>
          <w:rFonts w:ascii="Gill Sans MT" w:eastAsia="Cambria" w:hAnsi="Gill Sans MT" w:cs="Arial"/>
          <w:sz w:val="21"/>
          <w:szCs w:val="22"/>
          <w:lang w:val="en-US"/>
        </w:rPr>
      </w:pPr>
      <w:r w:rsidRPr="006366BB">
        <w:rPr>
          <w:rFonts w:ascii="Gill Sans MT" w:hAnsi="Gill Sans MT" w:cstheme="minorBidi"/>
          <w:sz w:val="21"/>
          <w:szCs w:val="22"/>
          <w:lang w:val="en-US"/>
        </w:rPr>
        <w:t>Given the above analysis</w:t>
      </w:r>
      <w:r w:rsidR="008B4AEA" w:rsidRPr="006366BB">
        <w:rPr>
          <w:rFonts w:ascii="Gill Sans MT" w:hAnsi="Gill Sans MT" w:cstheme="minorBidi"/>
          <w:sz w:val="21"/>
          <w:szCs w:val="22"/>
          <w:lang w:val="en-US"/>
        </w:rPr>
        <w:t>,</w:t>
      </w:r>
      <w:r w:rsidRPr="006366BB">
        <w:rPr>
          <w:rFonts w:ascii="Gill Sans MT" w:hAnsi="Gill Sans MT" w:cstheme="minorBidi"/>
          <w:sz w:val="21"/>
          <w:szCs w:val="22"/>
          <w:lang w:val="en-US"/>
        </w:rPr>
        <w:t xml:space="preserve"> we propose the following Table with remaining indicators. </w:t>
      </w:r>
      <w:r w:rsidRPr="006366BB">
        <w:rPr>
          <w:rFonts w:ascii="Gill Sans MT" w:eastAsia="Cambria" w:hAnsi="Gill Sans MT" w:cs="Arial"/>
          <w:sz w:val="21"/>
          <w:szCs w:val="22"/>
          <w:lang w:val="en-US"/>
        </w:rPr>
        <w:t>All</w:t>
      </w:r>
      <w:r w:rsidRPr="006366BB">
        <w:rPr>
          <w:rFonts w:ascii="Gill Sans MT" w:eastAsia="Cambria" w:hAnsi="Gill Sans MT" w:cs="Arial"/>
          <w:sz w:val="21"/>
          <w:lang w:val="en-US"/>
        </w:rPr>
        <w:t xml:space="preserve"> remaining indicators currently included in table 1 should be made optional and moved to tables 2 and 3 respectively. </w:t>
      </w:r>
    </w:p>
    <w:p w14:paraId="3DECD7D3" w14:textId="77777777" w:rsidR="00052278" w:rsidRDefault="00052278" w:rsidP="00052278">
      <w:pPr>
        <w:pStyle w:val="Default"/>
        <w:spacing w:line="280" w:lineRule="atLeast"/>
        <w:jc w:val="both"/>
        <w:rPr>
          <w:sz w:val="22"/>
          <w:szCs w:val="22"/>
          <w:lang w:val="en-US"/>
        </w:rPr>
      </w:pPr>
    </w:p>
    <w:tbl>
      <w:tblPr>
        <w:tblStyle w:val="Tabelraster"/>
        <w:tblW w:w="9209" w:type="dxa"/>
        <w:tblLook w:val="04A0" w:firstRow="1" w:lastRow="0" w:firstColumn="1" w:lastColumn="0" w:noHBand="0" w:noVBand="1"/>
      </w:tblPr>
      <w:tblGrid>
        <w:gridCol w:w="1960"/>
        <w:gridCol w:w="1262"/>
        <w:gridCol w:w="3743"/>
        <w:gridCol w:w="2244"/>
      </w:tblGrid>
      <w:tr w:rsidR="00052278" w14:paraId="3D8D2338" w14:textId="77777777" w:rsidTr="004A035F">
        <w:tc>
          <w:tcPr>
            <w:tcW w:w="1960" w:type="dxa"/>
          </w:tcPr>
          <w:p w14:paraId="422088A1" w14:textId="77777777" w:rsidR="00052278" w:rsidRPr="001B2723" w:rsidRDefault="00052278" w:rsidP="004A035F">
            <w:pPr>
              <w:pStyle w:val="Default"/>
              <w:rPr>
                <w:rFonts w:ascii="Gill Sans MT" w:hAnsi="Gill Sans MT"/>
                <w:sz w:val="20"/>
                <w:szCs w:val="20"/>
                <w:lang w:val="en-US"/>
              </w:rPr>
            </w:pPr>
          </w:p>
        </w:tc>
        <w:tc>
          <w:tcPr>
            <w:tcW w:w="1262" w:type="dxa"/>
          </w:tcPr>
          <w:p w14:paraId="75264D32" w14:textId="77777777" w:rsidR="00052278" w:rsidRPr="001B2723" w:rsidRDefault="00052278" w:rsidP="004A035F">
            <w:pPr>
              <w:pStyle w:val="Default"/>
              <w:rPr>
                <w:rFonts w:ascii="Gill Sans MT" w:hAnsi="Gill Sans MT"/>
                <w:sz w:val="20"/>
                <w:szCs w:val="20"/>
                <w:lang w:val="en-US"/>
              </w:rPr>
            </w:pPr>
          </w:p>
        </w:tc>
        <w:tc>
          <w:tcPr>
            <w:tcW w:w="3743" w:type="dxa"/>
          </w:tcPr>
          <w:p w14:paraId="596C66A8" w14:textId="77777777" w:rsidR="00052278" w:rsidRPr="001B2723" w:rsidRDefault="00052278" w:rsidP="004A035F">
            <w:pPr>
              <w:pStyle w:val="Default"/>
              <w:rPr>
                <w:rFonts w:ascii="Gill Sans MT" w:hAnsi="Gill Sans MT"/>
                <w:b/>
                <w:bCs/>
                <w:sz w:val="22"/>
                <w:szCs w:val="22"/>
                <w:lang w:val="en-US"/>
              </w:rPr>
            </w:pPr>
            <w:r w:rsidRPr="001B2723">
              <w:rPr>
                <w:rFonts w:ascii="Gill Sans MT" w:hAnsi="Gill Sans MT"/>
                <w:b/>
                <w:bCs/>
                <w:sz w:val="22"/>
                <w:szCs w:val="22"/>
                <w:lang w:val="en-US"/>
              </w:rPr>
              <w:t>Adverse sustainability indicator</w:t>
            </w:r>
          </w:p>
        </w:tc>
        <w:tc>
          <w:tcPr>
            <w:tcW w:w="2244" w:type="dxa"/>
          </w:tcPr>
          <w:p w14:paraId="2EAB1FA9" w14:textId="77777777" w:rsidR="00052278" w:rsidRPr="001B2723" w:rsidRDefault="00052278" w:rsidP="004A035F">
            <w:pPr>
              <w:pStyle w:val="Default"/>
              <w:rPr>
                <w:rFonts w:ascii="Gill Sans MT" w:hAnsi="Gill Sans MT"/>
                <w:b/>
                <w:bCs/>
                <w:sz w:val="22"/>
                <w:szCs w:val="22"/>
                <w:lang w:val="en-US"/>
              </w:rPr>
            </w:pPr>
            <w:r w:rsidRPr="001B2723">
              <w:rPr>
                <w:rFonts w:ascii="Gill Sans MT" w:hAnsi="Gill Sans MT"/>
                <w:b/>
                <w:bCs/>
                <w:sz w:val="22"/>
                <w:szCs w:val="22"/>
                <w:lang w:val="en-US"/>
              </w:rPr>
              <w:t>Availability of data</w:t>
            </w:r>
          </w:p>
          <w:p w14:paraId="75EA6E0F" w14:textId="77777777" w:rsidR="00052278" w:rsidRPr="001B2723" w:rsidRDefault="00052278" w:rsidP="004A035F">
            <w:pPr>
              <w:pStyle w:val="Default"/>
              <w:rPr>
                <w:rFonts w:ascii="Gill Sans MT" w:hAnsi="Gill Sans MT"/>
                <w:b/>
                <w:bCs/>
                <w:sz w:val="22"/>
                <w:szCs w:val="22"/>
                <w:lang w:val="en-US"/>
              </w:rPr>
            </w:pPr>
          </w:p>
        </w:tc>
      </w:tr>
      <w:tr w:rsidR="00052278" w:rsidRPr="00F1469F" w14:paraId="0650A879" w14:textId="77777777" w:rsidTr="004A035F">
        <w:tc>
          <w:tcPr>
            <w:tcW w:w="9209" w:type="dxa"/>
            <w:gridSpan w:val="4"/>
          </w:tcPr>
          <w:p w14:paraId="6A8CF93A" w14:textId="77777777" w:rsidR="00052278" w:rsidRPr="00983DEB" w:rsidRDefault="00052278" w:rsidP="004A035F">
            <w:pPr>
              <w:pStyle w:val="Default"/>
              <w:rPr>
                <w:rFonts w:ascii="Gill Sans MT" w:hAnsi="Gill Sans MT"/>
                <w:b/>
                <w:bCs/>
                <w:sz w:val="20"/>
                <w:szCs w:val="20"/>
                <w:lang w:val="en-US"/>
              </w:rPr>
            </w:pPr>
          </w:p>
          <w:p w14:paraId="3D4216C3" w14:textId="77777777" w:rsidR="00052278" w:rsidRPr="00983DEB" w:rsidRDefault="00052278" w:rsidP="004A035F">
            <w:pPr>
              <w:pStyle w:val="Default"/>
              <w:rPr>
                <w:rFonts w:ascii="Gill Sans MT" w:hAnsi="Gill Sans MT"/>
                <w:b/>
                <w:bCs/>
                <w:sz w:val="20"/>
                <w:szCs w:val="20"/>
                <w:lang w:val="en-US"/>
              </w:rPr>
            </w:pPr>
            <w:r w:rsidRPr="00983DEB">
              <w:rPr>
                <w:rFonts w:ascii="Gill Sans MT" w:hAnsi="Gill Sans MT"/>
                <w:b/>
                <w:bCs/>
                <w:sz w:val="20"/>
                <w:szCs w:val="20"/>
                <w:lang w:val="en-US"/>
              </w:rPr>
              <w:t>CLIMATE AND OTHER ENVIRONMENT-RELATED INDICATORS</w:t>
            </w:r>
          </w:p>
          <w:p w14:paraId="2B7017E0" w14:textId="77777777" w:rsidR="00052278" w:rsidRPr="001B2723" w:rsidRDefault="00052278" w:rsidP="004A035F">
            <w:pPr>
              <w:pStyle w:val="Default"/>
              <w:rPr>
                <w:rFonts w:ascii="Gill Sans MT" w:hAnsi="Gill Sans MT"/>
                <w:sz w:val="20"/>
                <w:szCs w:val="20"/>
                <w:lang w:val="en-US"/>
              </w:rPr>
            </w:pPr>
          </w:p>
        </w:tc>
      </w:tr>
      <w:tr w:rsidR="00052278" w:rsidRPr="00F1469F" w14:paraId="58247746" w14:textId="77777777" w:rsidTr="004A035F">
        <w:tc>
          <w:tcPr>
            <w:tcW w:w="1960" w:type="dxa"/>
          </w:tcPr>
          <w:p w14:paraId="5F5BD0FE" w14:textId="77777777" w:rsidR="00052278" w:rsidRPr="00983DEB" w:rsidRDefault="00052278" w:rsidP="004A035F">
            <w:pPr>
              <w:rPr>
                <w:rFonts w:ascii="Gill Sans MT" w:hAnsi="Gill Sans MT" w:cs="Calibri"/>
                <w:i/>
                <w:iCs/>
                <w:color w:val="000000"/>
                <w:szCs w:val="20"/>
              </w:rPr>
            </w:pPr>
            <w:r w:rsidRPr="00983DEB">
              <w:rPr>
                <w:rFonts w:ascii="Gill Sans MT" w:hAnsi="Gill Sans MT" w:cs="Calibri"/>
                <w:i/>
                <w:iCs/>
                <w:color w:val="000000"/>
                <w:szCs w:val="20"/>
              </w:rPr>
              <w:t>GHG emissions</w:t>
            </w:r>
          </w:p>
          <w:p w14:paraId="606D9276" w14:textId="77777777" w:rsidR="00052278" w:rsidRPr="001B2723" w:rsidRDefault="00052278" w:rsidP="004A035F">
            <w:pPr>
              <w:rPr>
                <w:rFonts w:ascii="Gill Sans MT" w:hAnsi="Gill Sans MT"/>
                <w:szCs w:val="20"/>
                <w:lang w:val="en-US"/>
              </w:rPr>
            </w:pPr>
          </w:p>
        </w:tc>
        <w:tc>
          <w:tcPr>
            <w:tcW w:w="1262" w:type="dxa"/>
          </w:tcPr>
          <w:p w14:paraId="6698B22D" w14:textId="77777777" w:rsidR="00052278" w:rsidRPr="001B2723" w:rsidRDefault="00052278" w:rsidP="004A035F">
            <w:pPr>
              <w:rPr>
                <w:rFonts w:ascii="Gill Sans MT" w:hAnsi="Gill Sans MT"/>
                <w:szCs w:val="20"/>
                <w:lang w:val="en-US"/>
              </w:rPr>
            </w:pPr>
            <w:r w:rsidRPr="001B2723">
              <w:rPr>
                <w:rFonts w:ascii="Gill Sans MT" w:hAnsi="Gill Sans MT"/>
                <w:szCs w:val="20"/>
                <w:lang w:val="en-US"/>
              </w:rPr>
              <w:t>1</w:t>
            </w:r>
          </w:p>
        </w:tc>
        <w:tc>
          <w:tcPr>
            <w:tcW w:w="3743" w:type="dxa"/>
          </w:tcPr>
          <w:p w14:paraId="0AF8451D" w14:textId="77777777" w:rsidR="00052278" w:rsidRPr="001B2723" w:rsidRDefault="00052278" w:rsidP="004A035F">
            <w:pPr>
              <w:rPr>
                <w:rFonts w:ascii="Gill Sans MT" w:hAnsi="Gill Sans MT" w:cs="Calibri"/>
                <w:color w:val="000000"/>
                <w:szCs w:val="20"/>
              </w:rPr>
            </w:pPr>
            <w:r w:rsidRPr="001B2723">
              <w:rPr>
                <w:rFonts w:ascii="Gill Sans MT" w:hAnsi="Gill Sans MT" w:cs="Calibri"/>
                <w:color w:val="000000"/>
                <w:szCs w:val="20"/>
              </w:rPr>
              <w:t>carbon emissions - scope 1,2,3</w:t>
            </w:r>
          </w:p>
          <w:p w14:paraId="71801810" w14:textId="77777777" w:rsidR="00052278" w:rsidRPr="001B2723" w:rsidRDefault="00052278" w:rsidP="004A035F">
            <w:pPr>
              <w:pStyle w:val="Default"/>
              <w:rPr>
                <w:rFonts w:ascii="Gill Sans MT" w:hAnsi="Gill Sans MT"/>
                <w:sz w:val="20"/>
                <w:szCs w:val="20"/>
                <w:lang w:val="en-US"/>
              </w:rPr>
            </w:pPr>
          </w:p>
        </w:tc>
        <w:tc>
          <w:tcPr>
            <w:tcW w:w="2244" w:type="dxa"/>
          </w:tcPr>
          <w:p w14:paraId="5A28164C" w14:textId="77777777" w:rsidR="00052278" w:rsidRPr="001B2723" w:rsidRDefault="00052278" w:rsidP="004A035F">
            <w:pPr>
              <w:rPr>
                <w:rFonts w:ascii="Gill Sans MT" w:hAnsi="Gill Sans MT" w:cs="Calibri"/>
                <w:color w:val="000000"/>
                <w:szCs w:val="20"/>
                <w:lang w:val="en-US"/>
              </w:rPr>
            </w:pPr>
            <w:r w:rsidRPr="001B2723">
              <w:rPr>
                <w:rFonts w:ascii="Gill Sans MT" w:hAnsi="Gill Sans MT" w:cs="Calibri"/>
                <w:color w:val="000000"/>
                <w:szCs w:val="20"/>
                <w:lang w:val="en-US"/>
              </w:rPr>
              <w:t>Good, except for scope 3; mainly listed equity</w:t>
            </w:r>
          </w:p>
          <w:p w14:paraId="4EEC3E72" w14:textId="77777777" w:rsidR="00052278" w:rsidRPr="001B2723" w:rsidRDefault="00052278" w:rsidP="004A035F">
            <w:pPr>
              <w:pStyle w:val="Default"/>
              <w:rPr>
                <w:rFonts w:ascii="Gill Sans MT" w:hAnsi="Gill Sans MT"/>
                <w:sz w:val="20"/>
                <w:szCs w:val="20"/>
                <w:lang w:val="en-US"/>
              </w:rPr>
            </w:pPr>
          </w:p>
        </w:tc>
      </w:tr>
      <w:tr w:rsidR="00052278" w:rsidRPr="00F1469F" w14:paraId="494417A9" w14:textId="77777777" w:rsidTr="004A035F">
        <w:tc>
          <w:tcPr>
            <w:tcW w:w="1960" w:type="dxa"/>
          </w:tcPr>
          <w:p w14:paraId="0A00ACCC" w14:textId="77777777" w:rsidR="00052278" w:rsidRPr="001B2723" w:rsidRDefault="00052278" w:rsidP="004A035F">
            <w:pPr>
              <w:pStyle w:val="Default"/>
              <w:rPr>
                <w:rFonts w:ascii="Gill Sans MT" w:hAnsi="Gill Sans MT"/>
                <w:sz w:val="20"/>
                <w:szCs w:val="20"/>
                <w:lang w:val="en-US"/>
              </w:rPr>
            </w:pPr>
          </w:p>
        </w:tc>
        <w:tc>
          <w:tcPr>
            <w:tcW w:w="1262" w:type="dxa"/>
          </w:tcPr>
          <w:p w14:paraId="56F1C4F5" w14:textId="77777777" w:rsidR="00052278" w:rsidRPr="001B2723" w:rsidRDefault="00052278" w:rsidP="004A035F">
            <w:pPr>
              <w:rPr>
                <w:rFonts w:ascii="Gill Sans MT" w:hAnsi="Gill Sans MT"/>
                <w:szCs w:val="20"/>
                <w:lang w:val="en-US"/>
              </w:rPr>
            </w:pPr>
            <w:r w:rsidRPr="001B2723">
              <w:rPr>
                <w:rFonts w:ascii="Gill Sans MT" w:hAnsi="Gill Sans MT"/>
                <w:szCs w:val="20"/>
                <w:lang w:val="en-US"/>
              </w:rPr>
              <w:t>2</w:t>
            </w:r>
          </w:p>
        </w:tc>
        <w:tc>
          <w:tcPr>
            <w:tcW w:w="3743" w:type="dxa"/>
          </w:tcPr>
          <w:p w14:paraId="141DC359" w14:textId="77777777" w:rsidR="00052278" w:rsidRPr="001B2723" w:rsidRDefault="00052278" w:rsidP="004A035F">
            <w:pPr>
              <w:rPr>
                <w:rFonts w:ascii="Gill Sans MT" w:hAnsi="Gill Sans MT" w:cs="Calibri"/>
                <w:color w:val="000000"/>
                <w:szCs w:val="20"/>
              </w:rPr>
            </w:pPr>
            <w:r w:rsidRPr="001B2723">
              <w:rPr>
                <w:rFonts w:ascii="Gill Sans MT" w:hAnsi="Gill Sans MT" w:cs="Calibri"/>
                <w:color w:val="000000"/>
                <w:szCs w:val="20"/>
              </w:rPr>
              <w:t>carbon footprint</w:t>
            </w:r>
          </w:p>
          <w:p w14:paraId="54DBE6BA" w14:textId="77777777" w:rsidR="00052278" w:rsidRPr="001B2723" w:rsidRDefault="00052278" w:rsidP="004A035F">
            <w:pPr>
              <w:pStyle w:val="Default"/>
              <w:rPr>
                <w:rFonts w:ascii="Gill Sans MT" w:hAnsi="Gill Sans MT"/>
                <w:sz w:val="20"/>
                <w:szCs w:val="20"/>
                <w:lang w:val="en-US"/>
              </w:rPr>
            </w:pPr>
          </w:p>
        </w:tc>
        <w:tc>
          <w:tcPr>
            <w:tcW w:w="2244" w:type="dxa"/>
          </w:tcPr>
          <w:p w14:paraId="132F4CA8" w14:textId="77777777" w:rsidR="00052278" w:rsidRPr="001B2723" w:rsidRDefault="00052278" w:rsidP="004A035F">
            <w:pPr>
              <w:rPr>
                <w:rFonts w:ascii="Gill Sans MT" w:hAnsi="Gill Sans MT" w:cs="Calibri"/>
                <w:color w:val="000000"/>
                <w:szCs w:val="20"/>
                <w:lang w:val="en-US"/>
              </w:rPr>
            </w:pPr>
            <w:r w:rsidRPr="001B2723">
              <w:rPr>
                <w:rFonts w:ascii="Gill Sans MT" w:hAnsi="Gill Sans MT" w:cs="Calibri"/>
                <w:color w:val="000000"/>
                <w:szCs w:val="20"/>
                <w:lang w:val="en-US"/>
              </w:rPr>
              <w:t>Good, except for scope 3; mainly listed equity</w:t>
            </w:r>
          </w:p>
          <w:p w14:paraId="189C8FC4" w14:textId="77777777" w:rsidR="00052278" w:rsidRPr="001B2723" w:rsidRDefault="00052278" w:rsidP="004A035F">
            <w:pPr>
              <w:pStyle w:val="Default"/>
              <w:rPr>
                <w:rFonts w:ascii="Gill Sans MT" w:hAnsi="Gill Sans MT"/>
                <w:sz w:val="20"/>
                <w:szCs w:val="20"/>
                <w:lang w:val="en-US"/>
              </w:rPr>
            </w:pPr>
          </w:p>
        </w:tc>
      </w:tr>
      <w:tr w:rsidR="00052278" w:rsidRPr="00F1469F" w14:paraId="6DF77439" w14:textId="77777777" w:rsidTr="004A035F">
        <w:tc>
          <w:tcPr>
            <w:tcW w:w="1960" w:type="dxa"/>
          </w:tcPr>
          <w:p w14:paraId="544C96D8" w14:textId="77777777" w:rsidR="00052278" w:rsidRPr="001B2723" w:rsidRDefault="00052278" w:rsidP="004A035F">
            <w:pPr>
              <w:pStyle w:val="Default"/>
              <w:rPr>
                <w:rFonts w:ascii="Gill Sans MT" w:hAnsi="Gill Sans MT"/>
                <w:sz w:val="20"/>
                <w:szCs w:val="20"/>
                <w:lang w:val="en-US"/>
              </w:rPr>
            </w:pPr>
          </w:p>
        </w:tc>
        <w:tc>
          <w:tcPr>
            <w:tcW w:w="1262" w:type="dxa"/>
          </w:tcPr>
          <w:p w14:paraId="1943BE41" w14:textId="77777777" w:rsidR="00052278" w:rsidRPr="001B2723" w:rsidRDefault="00052278" w:rsidP="004A035F">
            <w:pPr>
              <w:rPr>
                <w:rFonts w:ascii="Gill Sans MT" w:hAnsi="Gill Sans MT"/>
                <w:szCs w:val="20"/>
                <w:lang w:val="en-US"/>
              </w:rPr>
            </w:pPr>
            <w:r w:rsidRPr="001B2723">
              <w:rPr>
                <w:rFonts w:ascii="Gill Sans MT" w:hAnsi="Gill Sans MT"/>
                <w:szCs w:val="20"/>
                <w:lang w:val="en-US"/>
              </w:rPr>
              <w:t>3</w:t>
            </w:r>
          </w:p>
        </w:tc>
        <w:tc>
          <w:tcPr>
            <w:tcW w:w="3743" w:type="dxa"/>
          </w:tcPr>
          <w:p w14:paraId="56E678A9" w14:textId="77777777" w:rsidR="00052278" w:rsidRPr="001B2723" w:rsidRDefault="00052278" w:rsidP="004A035F">
            <w:pPr>
              <w:rPr>
                <w:rFonts w:ascii="Gill Sans MT" w:hAnsi="Gill Sans MT" w:cs="Calibri"/>
                <w:color w:val="000000"/>
                <w:szCs w:val="20"/>
              </w:rPr>
            </w:pPr>
            <w:r w:rsidRPr="001B2723">
              <w:rPr>
                <w:rFonts w:ascii="Gill Sans MT" w:hAnsi="Gill Sans MT" w:cs="Calibri"/>
                <w:color w:val="000000"/>
                <w:szCs w:val="20"/>
              </w:rPr>
              <w:t>weighted average carbon intensity</w:t>
            </w:r>
          </w:p>
          <w:p w14:paraId="62AFDC4F" w14:textId="77777777" w:rsidR="00052278" w:rsidRPr="001B2723" w:rsidRDefault="00052278" w:rsidP="004A035F">
            <w:pPr>
              <w:pStyle w:val="Default"/>
              <w:rPr>
                <w:rFonts w:ascii="Gill Sans MT" w:hAnsi="Gill Sans MT"/>
                <w:sz w:val="20"/>
                <w:szCs w:val="20"/>
                <w:lang w:val="en-US"/>
              </w:rPr>
            </w:pPr>
          </w:p>
        </w:tc>
        <w:tc>
          <w:tcPr>
            <w:tcW w:w="2244" w:type="dxa"/>
          </w:tcPr>
          <w:p w14:paraId="0FA3B8A4" w14:textId="77777777" w:rsidR="00052278" w:rsidRPr="001B2723" w:rsidRDefault="00052278" w:rsidP="004A035F">
            <w:pPr>
              <w:rPr>
                <w:rFonts w:ascii="Gill Sans MT" w:hAnsi="Gill Sans MT" w:cs="Calibri"/>
                <w:color w:val="000000"/>
                <w:szCs w:val="20"/>
                <w:lang w:val="en-US"/>
              </w:rPr>
            </w:pPr>
            <w:r w:rsidRPr="001B2723">
              <w:rPr>
                <w:rFonts w:ascii="Gill Sans MT" w:hAnsi="Gill Sans MT" w:cs="Calibri"/>
                <w:color w:val="000000"/>
                <w:szCs w:val="20"/>
                <w:lang w:val="en-US"/>
              </w:rPr>
              <w:t>Good, except for scope 3; mainly listed equity</w:t>
            </w:r>
          </w:p>
          <w:p w14:paraId="16EF1B4F" w14:textId="77777777" w:rsidR="00052278" w:rsidRPr="001B2723" w:rsidRDefault="00052278" w:rsidP="004A035F">
            <w:pPr>
              <w:pStyle w:val="Default"/>
              <w:rPr>
                <w:rFonts w:ascii="Gill Sans MT" w:hAnsi="Gill Sans MT"/>
                <w:sz w:val="20"/>
                <w:szCs w:val="20"/>
                <w:lang w:val="en-US"/>
              </w:rPr>
            </w:pPr>
          </w:p>
        </w:tc>
      </w:tr>
      <w:tr w:rsidR="00052278" w:rsidRPr="00F1469F" w14:paraId="0F06E723" w14:textId="77777777" w:rsidTr="004A035F">
        <w:tc>
          <w:tcPr>
            <w:tcW w:w="1960" w:type="dxa"/>
          </w:tcPr>
          <w:p w14:paraId="49329655" w14:textId="77777777" w:rsidR="00052278" w:rsidRPr="001B2723" w:rsidRDefault="00052278" w:rsidP="004A035F">
            <w:pPr>
              <w:pStyle w:val="Default"/>
              <w:rPr>
                <w:rFonts w:ascii="Gill Sans MT" w:hAnsi="Gill Sans MT"/>
                <w:sz w:val="20"/>
                <w:szCs w:val="20"/>
                <w:lang w:val="en-US"/>
              </w:rPr>
            </w:pPr>
          </w:p>
        </w:tc>
        <w:tc>
          <w:tcPr>
            <w:tcW w:w="1262" w:type="dxa"/>
          </w:tcPr>
          <w:p w14:paraId="34BE1CD0" w14:textId="77777777" w:rsidR="00052278" w:rsidRPr="001B2723" w:rsidRDefault="00052278" w:rsidP="004A035F">
            <w:pPr>
              <w:rPr>
                <w:rFonts w:ascii="Gill Sans MT" w:hAnsi="Gill Sans MT"/>
                <w:szCs w:val="20"/>
                <w:lang w:val="en-US"/>
              </w:rPr>
            </w:pPr>
            <w:r w:rsidRPr="001B2723">
              <w:rPr>
                <w:rFonts w:ascii="Gill Sans MT" w:hAnsi="Gill Sans MT"/>
                <w:szCs w:val="20"/>
                <w:lang w:val="en-US"/>
              </w:rPr>
              <w:t>4</w:t>
            </w:r>
          </w:p>
        </w:tc>
        <w:tc>
          <w:tcPr>
            <w:tcW w:w="3743" w:type="dxa"/>
          </w:tcPr>
          <w:p w14:paraId="7C641A8C" w14:textId="77777777" w:rsidR="00052278" w:rsidRPr="001B2723" w:rsidRDefault="00052278" w:rsidP="004A035F">
            <w:pPr>
              <w:rPr>
                <w:rFonts w:ascii="Gill Sans MT" w:hAnsi="Gill Sans MT" w:cs="Calibri"/>
                <w:color w:val="000000"/>
                <w:szCs w:val="20"/>
              </w:rPr>
            </w:pPr>
            <w:r w:rsidRPr="001B2723">
              <w:rPr>
                <w:rFonts w:ascii="Gill Sans MT" w:hAnsi="Gill Sans MT" w:cs="Calibri"/>
                <w:color w:val="000000"/>
                <w:szCs w:val="20"/>
              </w:rPr>
              <w:t>solid fossil fuel exposure</w:t>
            </w:r>
          </w:p>
          <w:p w14:paraId="275B5589" w14:textId="77777777" w:rsidR="00052278" w:rsidRPr="001B2723" w:rsidRDefault="00052278" w:rsidP="004A035F">
            <w:pPr>
              <w:pStyle w:val="Default"/>
              <w:rPr>
                <w:rFonts w:ascii="Gill Sans MT" w:hAnsi="Gill Sans MT"/>
                <w:sz w:val="20"/>
                <w:szCs w:val="20"/>
                <w:lang w:val="en-US"/>
              </w:rPr>
            </w:pPr>
          </w:p>
        </w:tc>
        <w:tc>
          <w:tcPr>
            <w:tcW w:w="2244" w:type="dxa"/>
          </w:tcPr>
          <w:p w14:paraId="75ED392A" w14:textId="77777777" w:rsidR="00052278" w:rsidRPr="001B2723" w:rsidRDefault="00052278" w:rsidP="004A035F">
            <w:pPr>
              <w:rPr>
                <w:rFonts w:ascii="Gill Sans MT" w:hAnsi="Gill Sans MT" w:cs="Calibri"/>
                <w:color w:val="000000"/>
                <w:szCs w:val="20"/>
                <w:lang w:val="en-US"/>
              </w:rPr>
            </w:pPr>
            <w:r w:rsidRPr="001B2723">
              <w:rPr>
                <w:rFonts w:ascii="Gill Sans MT" w:hAnsi="Gill Sans MT" w:cs="Calibri"/>
                <w:color w:val="000000"/>
                <w:szCs w:val="20"/>
                <w:lang w:val="en-US"/>
              </w:rPr>
              <w:t>Good, except for scope 3; mainly listed equity</w:t>
            </w:r>
          </w:p>
          <w:p w14:paraId="28B6FCA4" w14:textId="77777777" w:rsidR="00052278" w:rsidRPr="001B2723" w:rsidRDefault="00052278" w:rsidP="004A035F">
            <w:pPr>
              <w:pStyle w:val="Default"/>
              <w:rPr>
                <w:rFonts w:ascii="Gill Sans MT" w:hAnsi="Gill Sans MT"/>
                <w:sz w:val="20"/>
                <w:szCs w:val="20"/>
                <w:lang w:val="en-US"/>
              </w:rPr>
            </w:pPr>
          </w:p>
        </w:tc>
      </w:tr>
      <w:tr w:rsidR="00052278" w14:paraId="0A09D6F3" w14:textId="77777777" w:rsidTr="004A035F">
        <w:tc>
          <w:tcPr>
            <w:tcW w:w="1960" w:type="dxa"/>
          </w:tcPr>
          <w:p w14:paraId="16DDEF1A" w14:textId="77777777" w:rsidR="00052278" w:rsidRPr="005C0CE3" w:rsidRDefault="00052278" w:rsidP="004A035F">
            <w:pPr>
              <w:rPr>
                <w:rFonts w:ascii="Gill Sans MT" w:hAnsi="Gill Sans MT" w:cs="Calibri"/>
                <w:i/>
                <w:iCs/>
                <w:color w:val="000000"/>
                <w:szCs w:val="20"/>
              </w:rPr>
            </w:pPr>
            <w:r w:rsidRPr="005C0CE3">
              <w:rPr>
                <w:rFonts w:ascii="Gill Sans MT" w:hAnsi="Gill Sans MT" w:cs="Calibri"/>
                <w:i/>
                <w:iCs/>
                <w:color w:val="000000"/>
                <w:szCs w:val="20"/>
              </w:rPr>
              <w:t>energy</w:t>
            </w:r>
          </w:p>
          <w:p w14:paraId="5B2A7390" w14:textId="77777777" w:rsidR="00052278" w:rsidRPr="005C0CE3" w:rsidRDefault="00052278" w:rsidP="004A035F">
            <w:pPr>
              <w:pStyle w:val="Default"/>
              <w:rPr>
                <w:rFonts w:ascii="Gill Sans MT" w:hAnsi="Gill Sans MT"/>
                <w:sz w:val="20"/>
                <w:szCs w:val="20"/>
                <w:lang w:val="en-US"/>
              </w:rPr>
            </w:pPr>
          </w:p>
        </w:tc>
        <w:tc>
          <w:tcPr>
            <w:tcW w:w="1262" w:type="dxa"/>
          </w:tcPr>
          <w:p w14:paraId="06A04138" w14:textId="77777777" w:rsidR="00052278" w:rsidRPr="00F1469F" w:rsidRDefault="00052278" w:rsidP="004A035F">
            <w:pPr>
              <w:rPr>
                <w:rFonts w:ascii="Gill Sans MT" w:hAnsi="Gill Sans MT"/>
                <w:szCs w:val="20"/>
                <w:lang w:val="en-US"/>
              </w:rPr>
            </w:pPr>
            <w:r w:rsidRPr="00F1469F">
              <w:rPr>
                <w:rFonts w:ascii="Gill Sans MT" w:hAnsi="Gill Sans MT"/>
                <w:szCs w:val="20"/>
                <w:lang w:val="en-US"/>
              </w:rPr>
              <w:t>5</w:t>
            </w:r>
          </w:p>
        </w:tc>
        <w:tc>
          <w:tcPr>
            <w:tcW w:w="3743" w:type="dxa"/>
          </w:tcPr>
          <w:p w14:paraId="4CF2B605" w14:textId="77777777" w:rsidR="00052278" w:rsidRPr="00F1469F" w:rsidRDefault="00052278" w:rsidP="004A035F">
            <w:pPr>
              <w:rPr>
                <w:rFonts w:ascii="Gill Sans MT" w:hAnsi="Gill Sans MT" w:cs="Calibri"/>
                <w:color w:val="000000"/>
                <w:szCs w:val="20"/>
                <w:lang w:val="en-US"/>
              </w:rPr>
            </w:pPr>
            <w:r w:rsidRPr="00F1469F">
              <w:rPr>
                <w:rFonts w:ascii="Gill Sans MT" w:hAnsi="Gill Sans MT" w:cs="Calibri"/>
                <w:color w:val="000000"/>
                <w:szCs w:val="20"/>
                <w:lang w:val="en-US"/>
              </w:rPr>
              <w:t>total energy consumption from non-renewable sources in GWh</w:t>
            </w:r>
          </w:p>
          <w:p w14:paraId="163DABE5" w14:textId="77777777" w:rsidR="00052278" w:rsidRPr="00F1469F" w:rsidRDefault="00052278" w:rsidP="004A035F">
            <w:pPr>
              <w:pStyle w:val="Default"/>
              <w:rPr>
                <w:rFonts w:ascii="Gill Sans MT" w:hAnsi="Gill Sans MT"/>
                <w:sz w:val="20"/>
                <w:szCs w:val="20"/>
                <w:lang w:val="en-US"/>
              </w:rPr>
            </w:pPr>
          </w:p>
        </w:tc>
        <w:tc>
          <w:tcPr>
            <w:tcW w:w="2244" w:type="dxa"/>
          </w:tcPr>
          <w:p w14:paraId="56F82E02" w14:textId="77777777" w:rsidR="00052278" w:rsidRPr="00F1469F" w:rsidRDefault="00052278" w:rsidP="004A035F">
            <w:pPr>
              <w:pStyle w:val="Default"/>
              <w:rPr>
                <w:rFonts w:ascii="Gill Sans MT" w:hAnsi="Gill Sans MT"/>
                <w:sz w:val="20"/>
                <w:szCs w:val="20"/>
                <w:lang w:val="en-US"/>
              </w:rPr>
            </w:pPr>
            <w:r w:rsidRPr="00F1469F">
              <w:rPr>
                <w:rFonts w:ascii="Gill Sans MT" w:hAnsi="Gill Sans MT"/>
                <w:sz w:val="20"/>
                <w:szCs w:val="20"/>
                <w:lang w:val="en-US"/>
              </w:rPr>
              <w:t>Medium</w:t>
            </w:r>
          </w:p>
        </w:tc>
      </w:tr>
      <w:tr w:rsidR="00052278" w:rsidRPr="005F3D8C" w14:paraId="3E4016D2" w14:textId="77777777" w:rsidTr="004A035F">
        <w:tc>
          <w:tcPr>
            <w:tcW w:w="1960" w:type="dxa"/>
          </w:tcPr>
          <w:p w14:paraId="3687E20C" w14:textId="77777777" w:rsidR="00052278" w:rsidRPr="005C0CE3" w:rsidRDefault="00052278" w:rsidP="004A035F">
            <w:pPr>
              <w:pStyle w:val="Default"/>
              <w:rPr>
                <w:rFonts w:ascii="Gill Sans MT" w:hAnsi="Gill Sans MT"/>
                <w:sz w:val="20"/>
                <w:szCs w:val="20"/>
                <w:lang w:val="en-US"/>
              </w:rPr>
            </w:pPr>
          </w:p>
        </w:tc>
        <w:tc>
          <w:tcPr>
            <w:tcW w:w="1262" w:type="dxa"/>
          </w:tcPr>
          <w:p w14:paraId="15F7C1ED" w14:textId="77777777" w:rsidR="00052278" w:rsidRPr="00F1469F" w:rsidRDefault="00052278" w:rsidP="004A035F">
            <w:pPr>
              <w:pStyle w:val="Default"/>
              <w:rPr>
                <w:rFonts w:ascii="Gill Sans MT" w:hAnsi="Gill Sans MT"/>
                <w:sz w:val="20"/>
                <w:szCs w:val="20"/>
                <w:lang w:val="en-US"/>
              </w:rPr>
            </w:pPr>
            <w:r w:rsidRPr="00F1469F">
              <w:rPr>
                <w:rFonts w:ascii="Gill Sans MT" w:hAnsi="Gill Sans MT"/>
                <w:sz w:val="20"/>
                <w:szCs w:val="20"/>
                <w:lang w:val="en-US"/>
              </w:rPr>
              <w:t>6</w:t>
            </w:r>
          </w:p>
        </w:tc>
        <w:tc>
          <w:tcPr>
            <w:tcW w:w="3743" w:type="dxa"/>
          </w:tcPr>
          <w:p w14:paraId="5CD75339" w14:textId="77777777" w:rsidR="00052278" w:rsidRPr="00F1469F" w:rsidRDefault="00052278" w:rsidP="004A035F">
            <w:pPr>
              <w:rPr>
                <w:rFonts w:ascii="Gill Sans MT" w:hAnsi="Gill Sans MT" w:cs="Calibri"/>
                <w:color w:val="000000"/>
                <w:szCs w:val="20"/>
                <w:lang w:val="en-US"/>
              </w:rPr>
            </w:pPr>
            <w:r w:rsidRPr="00F1469F">
              <w:rPr>
                <w:rFonts w:ascii="Gill Sans MT" w:hAnsi="Gill Sans MT" w:cs="Calibri"/>
                <w:color w:val="000000"/>
                <w:szCs w:val="20"/>
                <w:lang w:val="en-US"/>
              </w:rPr>
              <w:t>energy consumption intensity (GWh per EURm revenue)</w:t>
            </w:r>
          </w:p>
          <w:p w14:paraId="4BA09F67" w14:textId="77777777" w:rsidR="00052278" w:rsidRPr="00F1469F" w:rsidRDefault="00052278" w:rsidP="004A035F">
            <w:pPr>
              <w:pStyle w:val="Default"/>
              <w:rPr>
                <w:rFonts w:ascii="Gill Sans MT" w:hAnsi="Gill Sans MT"/>
                <w:sz w:val="20"/>
                <w:szCs w:val="20"/>
                <w:lang w:val="en-US"/>
              </w:rPr>
            </w:pPr>
          </w:p>
        </w:tc>
        <w:tc>
          <w:tcPr>
            <w:tcW w:w="2244" w:type="dxa"/>
          </w:tcPr>
          <w:p w14:paraId="6C100942" w14:textId="77777777" w:rsidR="00052278" w:rsidRPr="00F1469F" w:rsidRDefault="00052278" w:rsidP="004A035F">
            <w:pPr>
              <w:pStyle w:val="Default"/>
              <w:rPr>
                <w:rFonts w:ascii="Gill Sans MT" w:hAnsi="Gill Sans MT"/>
                <w:sz w:val="20"/>
                <w:szCs w:val="20"/>
                <w:lang w:val="en-US"/>
              </w:rPr>
            </w:pPr>
            <w:r w:rsidRPr="00F1469F">
              <w:rPr>
                <w:rFonts w:ascii="Gill Sans MT" w:hAnsi="Gill Sans MT"/>
                <w:sz w:val="20"/>
                <w:szCs w:val="20"/>
                <w:lang w:val="en-US"/>
              </w:rPr>
              <w:t>Medium</w:t>
            </w:r>
          </w:p>
        </w:tc>
      </w:tr>
      <w:tr w:rsidR="00052278" w14:paraId="5714A233" w14:textId="77777777" w:rsidTr="004A035F">
        <w:tc>
          <w:tcPr>
            <w:tcW w:w="1960" w:type="dxa"/>
          </w:tcPr>
          <w:p w14:paraId="3BB85B38" w14:textId="77777777" w:rsidR="00052278" w:rsidRPr="005C0CE3" w:rsidRDefault="00052278" w:rsidP="004A035F">
            <w:pPr>
              <w:rPr>
                <w:rFonts w:ascii="Gill Sans MT" w:hAnsi="Gill Sans MT" w:cs="Calibri"/>
                <w:i/>
                <w:iCs/>
                <w:color w:val="000000"/>
                <w:szCs w:val="20"/>
              </w:rPr>
            </w:pPr>
            <w:r w:rsidRPr="005C0CE3">
              <w:rPr>
                <w:rFonts w:ascii="Gill Sans MT" w:hAnsi="Gill Sans MT" w:cs="Calibri"/>
                <w:i/>
                <w:iCs/>
                <w:color w:val="000000"/>
                <w:szCs w:val="20"/>
              </w:rPr>
              <w:t>water</w:t>
            </w:r>
          </w:p>
          <w:p w14:paraId="2A904086" w14:textId="77777777" w:rsidR="00052278" w:rsidRPr="005C0CE3" w:rsidRDefault="00052278" w:rsidP="004A035F">
            <w:pPr>
              <w:pStyle w:val="Default"/>
              <w:rPr>
                <w:rFonts w:ascii="Gill Sans MT" w:hAnsi="Gill Sans MT"/>
                <w:sz w:val="20"/>
                <w:szCs w:val="20"/>
                <w:lang w:val="en-US"/>
              </w:rPr>
            </w:pPr>
          </w:p>
        </w:tc>
        <w:tc>
          <w:tcPr>
            <w:tcW w:w="1262" w:type="dxa"/>
          </w:tcPr>
          <w:p w14:paraId="7B080B99" w14:textId="77777777" w:rsidR="00052278" w:rsidRPr="005C0CE3" w:rsidRDefault="00052278" w:rsidP="004A035F">
            <w:pPr>
              <w:rPr>
                <w:rFonts w:ascii="Gill Sans MT" w:hAnsi="Gill Sans MT"/>
                <w:szCs w:val="20"/>
                <w:lang w:val="en-US"/>
              </w:rPr>
            </w:pPr>
            <w:r w:rsidRPr="005C0CE3">
              <w:rPr>
                <w:rFonts w:ascii="Gill Sans MT" w:hAnsi="Gill Sans MT"/>
                <w:szCs w:val="20"/>
                <w:lang w:val="en-US"/>
              </w:rPr>
              <w:t>7</w:t>
            </w:r>
          </w:p>
        </w:tc>
        <w:tc>
          <w:tcPr>
            <w:tcW w:w="3743" w:type="dxa"/>
          </w:tcPr>
          <w:p w14:paraId="7EB1F240" w14:textId="77777777" w:rsidR="00052278" w:rsidRPr="00F1469F" w:rsidRDefault="00052278" w:rsidP="004A035F">
            <w:pPr>
              <w:rPr>
                <w:rFonts w:ascii="Gill Sans MT" w:hAnsi="Gill Sans MT" w:cs="Calibri"/>
                <w:color w:val="000000"/>
                <w:szCs w:val="20"/>
              </w:rPr>
            </w:pPr>
            <w:r w:rsidRPr="00F1469F">
              <w:rPr>
                <w:rFonts w:ascii="Gill Sans MT" w:hAnsi="Gill Sans MT" w:cs="Calibri"/>
                <w:color w:val="000000"/>
                <w:szCs w:val="20"/>
              </w:rPr>
              <w:t>water emissions</w:t>
            </w:r>
          </w:p>
          <w:p w14:paraId="0BA78341" w14:textId="77777777" w:rsidR="00052278" w:rsidRPr="00F1469F" w:rsidRDefault="00052278" w:rsidP="004A035F">
            <w:pPr>
              <w:rPr>
                <w:rFonts w:ascii="Gill Sans MT" w:hAnsi="Gill Sans MT"/>
                <w:szCs w:val="20"/>
                <w:lang w:val="en-US"/>
              </w:rPr>
            </w:pPr>
          </w:p>
        </w:tc>
        <w:tc>
          <w:tcPr>
            <w:tcW w:w="2244" w:type="dxa"/>
          </w:tcPr>
          <w:p w14:paraId="34630DC9" w14:textId="77777777" w:rsidR="00052278" w:rsidRPr="00F1469F" w:rsidRDefault="00052278" w:rsidP="004A035F">
            <w:pPr>
              <w:pStyle w:val="Default"/>
              <w:rPr>
                <w:rFonts w:ascii="Gill Sans MT" w:hAnsi="Gill Sans MT"/>
                <w:sz w:val="20"/>
                <w:szCs w:val="20"/>
                <w:lang w:val="en-US"/>
              </w:rPr>
            </w:pPr>
            <w:r w:rsidRPr="00F1469F">
              <w:rPr>
                <w:rFonts w:ascii="Gill Sans MT" w:hAnsi="Gill Sans MT"/>
                <w:sz w:val="20"/>
                <w:szCs w:val="20"/>
                <w:lang w:val="en-US"/>
              </w:rPr>
              <w:t>Good</w:t>
            </w:r>
          </w:p>
        </w:tc>
      </w:tr>
      <w:tr w:rsidR="00052278" w:rsidRPr="00F1469F" w14:paraId="6BF93342" w14:textId="77777777" w:rsidTr="004A035F">
        <w:tc>
          <w:tcPr>
            <w:tcW w:w="9209" w:type="dxa"/>
            <w:gridSpan w:val="4"/>
          </w:tcPr>
          <w:p w14:paraId="4D9F519F" w14:textId="77777777" w:rsidR="00052278" w:rsidRPr="005C0CE3" w:rsidRDefault="00052278" w:rsidP="004A035F">
            <w:pPr>
              <w:pStyle w:val="Default"/>
              <w:rPr>
                <w:rFonts w:ascii="Gill Sans MT" w:hAnsi="Gill Sans MT"/>
                <w:sz w:val="20"/>
                <w:szCs w:val="20"/>
                <w:lang w:val="en-US"/>
              </w:rPr>
            </w:pPr>
          </w:p>
          <w:p w14:paraId="740B2B75" w14:textId="77777777" w:rsidR="00052278" w:rsidRPr="005C0CE3" w:rsidRDefault="00052278" w:rsidP="004A035F">
            <w:pPr>
              <w:pStyle w:val="Default"/>
              <w:rPr>
                <w:rFonts w:ascii="Gill Sans MT" w:hAnsi="Gill Sans MT"/>
                <w:b/>
                <w:bCs/>
                <w:sz w:val="20"/>
                <w:szCs w:val="20"/>
                <w:lang w:val="en-US"/>
              </w:rPr>
            </w:pPr>
            <w:r w:rsidRPr="005C0CE3">
              <w:rPr>
                <w:rFonts w:ascii="Gill Sans MT" w:hAnsi="Gill Sans MT"/>
                <w:b/>
                <w:bCs/>
                <w:sz w:val="20"/>
                <w:szCs w:val="20"/>
                <w:lang w:val="en-US"/>
              </w:rPr>
              <w:t>SOCIAL AND EMPLOYEE, RESPECT FOR HUMAN RIGHTS, ANTI-CORRUPTION AND ANTI-BRIBERY MATTERS</w:t>
            </w:r>
          </w:p>
          <w:p w14:paraId="6B8F1A84" w14:textId="77777777" w:rsidR="00052278" w:rsidRPr="005C0CE3" w:rsidRDefault="00052278" w:rsidP="004A035F">
            <w:pPr>
              <w:pStyle w:val="Default"/>
              <w:rPr>
                <w:rFonts w:ascii="Gill Sans MT" w:hAnsi="Gill Sans MT"/>
                <w:sz w:val="20"/>
                <w:szCs w:val="20"/>
                <w:lang w:val="en-US"/>
              </w:rPr>
            </w:pPr>
          </w:p>
        </w:tc>
      </w:tr>
      <w:tr w:rsidR="00052278" w:rsidRPr="003C31F3" w14:paraId="0E294838" w14:textId="77777777" w:rsidTr="004A035F">
        <w:tc>
          <w:tcPr>
            <w:tcW w:w="1960" w:type="dxa"/>
          </w:tcPr>
          <w:p w14:paraId="52306E2D" w14:textId="77777777" w:rsidR="00052278" w:rsidRPr="005C0CE3" w:rsidRDefault="00052278" w:rsidP="004A035F">
            <w:pPr>
              <w:pStyle w:val="Default"/>
              <w:rPr>
                <w:rFonts w:ascii="Gill Sans MT" w:hAnsi="Gill Sans MT"/>
                <w:i/>
                <w:iCs/>
                <w:sz w:val="20"/>
                <w:szCs w:val="20"/>
                <w:lang w:val="en-US"/>
              </w:rPr>
            </w:pPr>
            <w:r w:rsidRPr="005C0CE3">
              <w:rPr>
                <w:rFonts w:ascii="Gill Sans MT" w:hAnsi="Gill Sans MT"/>
                <w:i/>
                <w:iCs/>
                <w:sz w:val="20"/>
                <w:szCs w:val="20"/>
                <w:lang w:val="en-US"/>
              </w:rPr>
              <w:t>Social and employee matters</w:t>
            </w:r>
          </w:p>
        </w:tc>
        <w:tc>
          <w:tcPr>
            <w:tcW w:w="1262" w:type="dxa"/>
          </w:tcPr>
          <w:p w14:paraId="26FF9049" w14:textId="77777777" w:rsidR="00052278" w:rsidRPr="005C0CE3" w:rsidRDefault="00052278" w:rsidP="004A035F">
            <w:pPr>
              <w:pStyle w:val="Default"/>
              <w:rPr>
                <w:rFonts w:ascii="Gill Sans MT" w:hAnsi="Gill Sans MT"/>
                <w:sz w:val="20"/>
                <w:szCs w:val="20"/>
                <w:lang w:val="en-US"/>
              </w:rPr>
            </w:pPr>
            <w:r w:rsidRPr="005C0CE3">
              <w:rPr>
                <w:rFonts w:ascii="Gill Sans MT" w:hAnsi="Gill Sans MT"/>
                <w:sz w:val="20"/>
                <w:szCs w:val="20"/>
                <w:lang w:val="en-US"/>
              </w:rPr>
              <w:t>8</w:t>
            </w:r>
          </w:p>
        </w:tc>
        <w:tc>
          <w:tcPr>
            <w:tcW w:w="3743" w:type="dxa"/>
          </w:tcPr>
          <w:p w14:paraId="354F157D" w14:textId="77777777" w:rsidR="00052278" w:rsidRPr="005C0CE3" w:rsidRDefault="00052278" w:rsidP="004A035F">
            <w:pPr>
              <w:pStyle w:val="Default"/>
              <w:rPr>
                <w:rFonts w:ascii="Gill Sans MT" w:hAnsi="Gill Sans MT"/>
                <w:sz w:val="20"/>
                <w:szCs w:val="20"/>
                <w:lang w:val="en-US"/>
              </w:rPr>
            </w:pPr>
            <w:r w:rsidRPr="005C0CE3">
              <w:rPr>
                <w:rFonts w:ascii="Gill Sans MT" w:hAnsi="Gill Sans MT"/>
                <w:sz w:val="20"/>
                <w:szCs w:val="20"/>
                <w:lang w:val="en-US"/>
              </w:rPr>
              <w:t>implementation of fundamental ILO conventions</w:t>
            </w:r>
          </w:p>
        </w:tc>
        <w:tc>
          <w:tcPr>
            <w:tcW w:w="2244" w:type="dxa"/>
          </w:tcPr>
          <w:p w14:paraId="35F83580" w14:textId="77777777" w:rsidR="00052278" w:rsidRPr="005C0CE3" w:rsidRDefault="00052278" w:rsidP="004A035F">
            <w:pPr>
              <w:pStyle w:val="Default"/>
              <w:rPr>
                <w:rFonts w:ascii="Gill Sans MT" w:hAnsi="Gill Sans MT"/>
                <w:sz w:val="20"/>
                <w:szCs w:val="20"/>
                <w:lang w:val="en-US"/>
              </w:rPr>
            </w:pPr>
            <w:r>
              <w:rPr>
                <w:rFonts w:ascii="Gill Sans MT" w:hAnsi="Gill Sans MT"/>
                <w:sz w:val="20"/>
                <w:szCs w:val="20"/>
                <w:lang w:val="en-US"/>
              </w:rPr>
              <w:t>Good</w:t>
            </w:r>
          </w:p>
        </w:tc>
      </w:tr>
      <w:tr w:rsidR="00052278" w:rsidRPr="003C31F3" w14:paraId="516D9F6D" w14:textId="77777777" w:rsidTr="004A035F">
        <w:tc>
          <w:tcPr>
            <w:tcW w:w="1960" w:type="dxa"/>
          </w:tcPr>
          <w:p w14:paraId="60C44237" w14:textId="77777777" w:rsidR="00052278" w:rsidRPr="005C0CE3" w:rsidRDefault="00052278" w:rsidP="004A035F">
            <w:pPr>
              <w:pStyle w:val="Default"/>
              <w:rPr>
                <w:rFonts w:ascii="Gill Sans MT" w:hAnsi="Gill Sans MT"/>
                <w:sz w:val="20"/>
                <w:szCs w:val="20"/>
                <w:lang w:val="en-US"/>
              </w:rPr>
            </w:pPr>
          </w:p>
        </w:tc>
        <w:tc>
          <w:tcPr>
            <w:tcW w:w="1262" w:type="dxa"/>
          </w:tcPr>
          <w:p w14:paraId="642D28D2" w14:textId="77777777" w:rsidR="00052278" w:rsidRPr="00F1469F" w:rsidRDefault="00052278" w:rsidP="004A035F">
            <w:pPr>
              <w:pStyle w:val="Default"/>
              <w:rPr>
                <w:rFonts w:ascii="Gill Sans MT" w:hAnsi="Gill Sans MT"/>
                <w:sz w:val="20"/>
                <w:szCs w:val="20"/>
                <w:lang w:val="en-US"/>
              </w:rPr>
            </w:pPr>
            <w:r w:rsidRPr="00F1469F">
              <w:rPr>
                <w:rFonts w:ascii="Gill Sans MT" w:hAnsi="Gill Sans MT"/>
                <w:sz w:val="20"/>
                <w:szCs w:val="20"/>
                <w:lang w:val="en-US"/>
              </w:rPr>
              <w:t>9</w:t>
            </w:r>
          </w:p>
        </w:tc>
        <w:tc>
          <w:tcPr>
            <w:tcW w:w="3743" w:type="dxa"/>
          </w:tcPr>
          <w:p w14:paraId="3383EF42" w14:textId="77777777" w:rsidR="00052278" w:rsidRDefault="00052278" w:rsidP="004A035F">
            <w:pPr>
              <w:pStyle w:val="Default"/>
              <w:rPr>
                <w:rFonts w:ascii="Gill Sans MT" w:hAnsi="Gill Sans MT"/>
                <w:sz w:val="20"/>
                <w:szCs w:val="20"/>
                <w:lang w:val="en-US"/>
              </w:rPr>
            </w:pPr>
            <w:r w:rsidRPr="00F1469F">
              <w:rPr>
                <w:rFonts w:ascii="Gill Sans MT" w:hAnsi="Gill Sans MT"/>
                <w:sz w:val="20"/>
                <w:szCs w:val="20"/>
                <w:lang w:val="en-US"/>
              </w:rPr>
              <w:t>board gender diversity</w:t>
            </w:r>
          </w:p>
          <w:p w14:paraId="677E9130" w14:textId="77777777" w:rsidR="00052278" w:rsidRPr="00F1469F" w:rsidRDefault="00052278" w:rsidP="004A035F">
            <w:pPr>
              <w:pStyle w:val="Default"/>
              <w:rPr>
                <w:rFonts w:ascii="Gill Sans MT" w:hAnsi="Gill Sans MT"/>
                <w:sz w:val="20"/>
                <w:szCs w:val="20"/>
                <w:lang w:val="en-US"/>
              </w:rPr>
            </w:pPr>
          </w:p>
        </w:tc>
        <w:tc>
          <w:tcPr>
            <w:tcW w:w="2244" w:type="dxa"/>
          </w:tcPr>
          <w:p w14:paraId="7D94D2F3" w14:textId="77777777" w:rsidR="00052278" w:rsidRPr="00F1469F" w:rsidRDefault="00052278" w:rsidP="004A035F">
            <w:pPr>
              <w:pStyle w:val="Default"/>
              <w:rPr>
                <w:rFonts w:ascii="Gill Sans MT" w:hAnsi="Gill Sans MT"/>
                <w:sz w:val="20"/>
                <w:szCs w:val="20"/>
                <w:lang w:val="en-US"/>
              </w:rPr>
            </w:pPr>
            <w:r w:rsidRPr="00F1469F">
              <w:rPr>
                <w:rFonts w:ascii="Gill Sans MT" w:hAnsi="Gill Sans MT"/>
                <w:sz w:val="20"/>
                <w:szCs w:val="20"/>
                <w:lang w:val="en-US"/>
              </w:rPr>
              <w:t>Good</w:t>
            </w:r>
          </w:p>
        </w:tc>
      </w:tr>
      <w:tr w:rsidR="00052278" w:rsidRPr="00436916" w14:paraId="289F70B0" w14:textId="77777777" w:rsidTr="004A035F">
        <w:tc>
          <w:tcPr>
            <w:tcW w:w="1960" w:type="dxa"/>
          </w:tcPr>
          <w:p w14:paraId="7589E8D8" w14:textId="77777777" w:rsidR="00052278" w:rsidRPr="005C0CE3" w:rsidRDefault="00052278" w:rsidP="004A035F">
            <w:pPr>
              <w:pStyle w:val="Default"/>
              <w:rPr>
                <w:rFonts w:ascii="Gill Sans MT" w:hAnsi="Gill Sans MT"/>
                <w:i/>
                <w:iCs/>
                <w:sz w:val="20"/>
                <w:szCs w:val="20"/>
                <w:lang w:val="en-US"/>
              </w:rPr>
            </w:pPr>
            <w:r w:rsidRPr="005C0CE3">
              <w:rPr>
                <w:rFonts w:ascii="Gill Sans MT" w:hAnsi="Gill Sans MT"/>
                <w:i/>
                <w:iCs/>
                <w:sz w:val="20"/>
                <w:szCs w:val="20"/>
                <w:lang w:val="en-US"/>
              </w:rPr>
              <w:t>Human rights</w:t>
            </w:r>
          </w:p>
        </w:tc>
        <w:tc>
          <w:tcPr>
            <w:tcW w:w="1262" w:type="dxa"/>
          </w:tcPr>
          <w:p w14:paraId="46B694EA" w14:textId="77777777" w:rsidR="00052278" w:rsidRPr="005C0CE3" w:rsidRDefault="00052278" w:rsidP="004A035F">
            <w:pPr>
              <w:pStyle w:val="Default"/>
              <w:rPr>
                <w:rFonts w:ascii="Gill Sans MT" w:hAnsi="Gill Sans MT"/>
                <w:sz w:val="20"/>
                <w:szCs w:val="20"/>
                <w:lang w:val="en-US"/>
              </w:rPr>
            </w:pPr>
            <w:r w:rsidRPr="005C0CE3">
              <w:rPr>
                <w:rFonts w:ascii="Gill Sans MT" w:hAnsi="Gill Sans MT"/>
                <w:sz w:val="20"/>
                <w:szCs w:val="20"/>
                <w:lang w:val="en-US"/>
              </w:rPr>
              <w:t>10</w:t>
            </w:r>
          </w:p>
        </w:tc>
        <w:tc>
          <w:tcPr>
            <w:tcW w:w="3743" w:type="dxa"/>
          </w:tcPr>
          <w:p w14:paraId="657BA4F4" w14:textId="77777777" w:rsidR="00052278" w:rsidRPr="00F1469F" w:rsidRDefault="00052278" w:rsidP="004A035F">
            <w:pPr>
              <w:pStyle w:val="Default"/>
              <w:rPr>
                <w:rFonts w:ascii="Gill Sans MT" w:hAnsi="Gill Sans MT"/>
                <w:sz w:val="20"/>
                <w:szCs w:val="20"/>
                <w:lang w:val="en-US"/>
              </w:rPr>
            </w:pPr>
            <w:r w:rsidRPr="005C0CE3">
              <w:rPr>
                <w:rFonts w:ascii="Gill Sans MT" w:hAnsi="Gill Sans MT"/>
                <w:sz w:val="20"/>
                <w:szCs w:val="20"/>
                <w:lang w:val="en-US"/>
              </w:rPr>
              <w:t>number and nature of identified cases of severe human rights issues and incidents</w:t>
            </w:r>
          </w:p>
        </w:tc>
        <w:tc>
          <w:tcPr>
            <w:tcW w:w="2244" w:type="dxa"/>
          </w:tcPr>
          <w:p w14:paraId="53741D93" w14:textId="77777777" w:rsidR="00052278" w:rsidRPr="00F1469F" w:rsidRDefault="00052278" w:rsidP="004A035F">
            <w:pPr>
              <w:pStyle w:val="Default"/>
              <w:rPr>
                <w:rFonts w:ascii="Gill Sans MT" w:hAnsi="Gill Sans MT"/>
                <w:sz w:val="20"/>
                <w:szCs w:val="20"/>
                <w:lang w:val="en-US"/>
              </w:rPr>
            </w:pPr>
            <w:r w:rsidRPr="00F1469F">
              <w:rPr>
                <w:rFonts w:ascii="Gill Sans MT" w:hAnsi="Gill Sans MT"/>
                <w:sz w:val="20"/>
                <w:szCs w:val="20"/>
                <w:lang w:val="en-US"/>
              </w:rPr>
              <w:t>Good</w:t>
            </w:r>
          </w:p>
        </w:tc>
      </w:tr>
      <w:tr w:rsidR="00052278" w:rsidRPr="00F1469F" w14:paraId="517B1219" w14:textId="77777777" w:rsidTr="004A035F">
        <w:tc>
          <w:tcPr>
            <w:tcW w:w="1960" w:type="dxa"/>
          </w:tcPr>
          <w:p w14:paraId="07B2D314" w14:textId="77777777" w:rsidR="00052278" w:rsidRPr="005C0CE3" w:rsidRDefault="00052278" w:rsidP="004A035F">
            <w:pPr>
              <w:pStyle w:val="Default"/>
              <w:rPr>
                <w:rFonts w:ascii="Gill Sans MT" w:hAnsi="Gill Sans MT"/>
                <w:sz w:val="22"/>
                <w:szCs w:val="22"/>
                <w:lang w:val="en-US"/>
              </w:rPr>
            </w:pPr>
          </w:p>
        </w:tc>
        <w:tc>
          <w:tcPr>
            <w:tcW w:w="1262" w:type="dxa"/>
          </w:tcPr>
          <w:p w14:paraId="72585026" w14:textId="77777777" w:rsidR="00052278" w:rsidRPr="005C0CE3" w:rsidRDefault="00052278" w:rsidP="004A035F">
            <w:pPr>
              <w:pStyle w:val="Default"/>
              <w:rPr>
                <w:rFonts w:ascii="Gill Sans MT" w:hAnsi="Gill Sans MT"/>
                <w:sz w:val="20"/>
                <w:szCs w:val="20"/>
                <w:lang w:val="en-US"/>
              </w:rPr>
            </w:pPr>
            <w:r w:rsidRPr="005C0CE3">
              <w:rPr>
                <w:rFonts w:ascii="Gill Sans MT" w:hAnsi="Gill Sans MT"/>
                <w:sz w:val="20"/>
                <w:szCs w:val="20"/>
                <w:lang w:val="en-US"/>
              </w:rPr>
              <w:t>11</w:t>
            </w:r>
          </w:p>
        </w:tc>
        <w:tc>
          <w:tcPr>
            <w:tcW w:w="3743" w:type="dxa"/>
          </w:tcPr>
          <w:p w14:paraId="4107B040" w14:textId="77777777" w:rsidR="00052278" w:rsidRPr="00F1469F" w:rsidRDefault="00052278" w:rsidP="004A035F">
            <w:pPr>
              <w:pStyle w:val="Default"/>
              <w:rPr>
                <w:rFonts w:ascii="Gill Sans MT" w:hAnsi="Gill Sans MT"/>
                <w:sz w:val="20"/>
                <w:szCs w:val="20"/>
                <w:lang w:val="en-US"/>
              </w:rPr>
            </w:pPr>
            <w:r w:rsidRPr="00F1469F">
              <w:rPr>
                <w:rFonts w:ascii="Gill Sans MT" w:hAnsi="Gill Sans MT"/>
                <w:sz w:val="20"/>
                <w:szCs w:val="20"/>
                <w:lang w:val="en-US"/>
              </w:rPr>
              <w:t>exposure to controversial weapons</w:t>
            </w:r>
          </w:p>
        </w:tc>
        <w:tc>
          <w:tcPr>
            <w:tcW w:w="2244" w:type="dxa"/>
          </w:tcPr>
          <w:p w14:paraId="5F015732" w14:textId="20061247" w:rsidR="00052278" w:rsidRPr="00F1469F" w:rsidRDefault="00052278" w:rsidP="004A035F">
            <w:pPr>
              <w:pStyle w:val="Default"/>
              <w:rPr>
                <w:rFonts w:ascii="Gill Sans MT" w:hAnsi="Gill Sans MT"/>
                <w:sz w:val="20"/>
                <w:szCs w:val="20"/>
                <w:lang w:val="en-US"/>
              </w:rPr>
            </w:pPr>
            <w:r w:rsidRPr="00F1469F">
              <w:rPr>
                <w:rFonts w:ascii="Gill Sans MT" w:hAnsi="Gill Sans MT"/>
                <w:sz w:val="20"/>
                <w:szCs w:val="20"/>
                <w:lang w:val="en-US"/>
              </w:rPr>
              <w:t xml:space="preserve">Already </w:t>
            </w:r>
            <w:r w:rsidR="00C83D1B">
              <w:rPr>
                <w:rFonts w:ascii="Gill Sans MT" w:hAnsi="Gill Sans MT"/>
                <w:sz w:val="20"/>
                <w:szCs w:val="20"/>
                <w:lang w:val="en-US"/>
              </w:rPr>
              <w:t xml:space="preserve">(partially) </w:t>
            </w:r>
            <w:r w:rsidRPr="00F1469F">
              <w:rPr>
                <w:rFonts w:ascii="Gill Sans MT" w:hAnsi="Gill Sans MT"/>
                <w:sz w:val="20"/>
                <w:szCs w:val="20"/>
                <w:lang w:val="en-US"/>
              </w:rPr>
              <w:t>dealt with in Dutch regulation, i.e. prohibited</w:t>
            </w:r>
          </w:p>
        </w:tc>
      </w:tr>
    </w:tbl>
    <w:p w14:paraId="4EE27C0A" w14:textId="2F4A342A" w:rsidR="003E573C" w:rsidRDefault="003E573C" w:rsidP="003E573C">
      <w:pPr>
        <w:rPr>
          <w:rFonts w:cs="Arial"/>
        </w:rPr>
      </w:pPr>
    </w:p>
    <w:permEnd w:id="209390932"/>
    <w:p w14:paraId="61BD6C84" w14:textId="2768234A" w:rsidR="003E573C" w:rsidRDefault="003E573C" w:rsidP="003E573C">
      <w:pPr>
        <w:rPr>
          <w:rFonts w:cs="Arial"/>
        </w:rPr>
      </w:pPr>
      <w:r>
        <w:rPr>
          <w:rFonts w:cs="Arial"/>
        </w:rPr>
        <w:t>&lt;ESA_QUESTION_</w:t>
      </w:r>
      <w:r w:rsidR="00C86E1C">
        <w:rPr>
          <w:rFonts w:cs="Arial"/>
        </w:rPr>
        <w:t>ESG</w:t>
      </w:r>
      <w:r>
        <w:rPr>
          <w:rFonts w:cs="Arial"/>
        </w:rPr>
        <w:t>_5&gt;</w:t>
      </w:r>
    </w:p>
    <w:p w14:paraId="3AF8EF7A" w14:textId="77777777" w:rsidR="003E573C" w:rsidRDefault="003E573C" w:rsidP="003E573C">
      <w:pPr>
        <w:rPr>
          <w:rFonts w:cs="Arial"/>
        </w:rPr>
      </w:pPr>
    </w:p>
    <w:p w14:paraId="7B07E7E5" w14:textId="217A1EF0" w:rsidR="003E573C" w:rsidRDefault="003E573C" w:rsidP="003E573C">
      <w:pPr>
        <w:pStyle w:val="Questionstyle"/>
        <w:numPr>
          <w:ilvl w:val="0"/>
          <w:numId w:val="39"/>
        </w:numPr>
      </w:pPr>
      <w:r>
        <w:t xml:space="preserve">: </w:t>
      </w:r>
      <w:r w:rsidR="002A73F1" w:rsidRPr="002A73F1">
        <w:t>In addition to the proposed indicators on carbon emissions in Annex I, do you see merit in also requesting a) a relative measure of carbon emissions relative to the EU 2030 climate and energy framework target and b) a relative measure of carbon emissions relative to the prevailing carbon price?</w:t>
      </w:r>
    </w:p>
    <w:p w14:paraId="79582E74" w14:textId="6F09E1E7" w:rsidR="003E573C" w:rsidRDefault="003E573C" w:rsidP="003E573C">
      <w:pPr>
        <w:rPr>
          <w:rFonts w:cs="Arial"/>
        </w:rPr>
      </w:pPr>
      <w:r>
        <w:rPr>
          <w:rFonts w:cs="Arial"/>
        </w:rPr>
        <w:t>&lt;ESA_QUESTION_</w:t>
      </w:r>
      <w:r w:rsidR="00C86E1C">
        <w:rPr>
          <w:rFonts w:cs="Arial"/>
        </w:rPr>
        <w:t>ESG</w:t>
      </w:r>
      <w:r>
        <w:rPr>
          <w:rFonts w:cs="Arial"/>
        </w:rPr>
        <w:t>_6&gt;</w:t>
      </w:r>
    </w:p>
    <w:p w14:paraId="52AFDAE6" w14:textId="77777777" w:rsidR="00E808EF" w:rsidRPr="005A6063" w:rsidRDefault="00E808EF" w:rsidP="00E808EF">
      <w:pPr>
        <w:pStyle w:val="Default"/>
        <w:spacing w:line="280" w:lineRule="atLeast"/>
        <w:jc w:val="both"/>
        <w:rPr>
          <w:rFonts w:ascii="Gill Sans MT" w:hAnsi="Gill Sans MT"/>
          <w:sz w:val="21"/>
          <w:szCs w:val="22"/>
          <w:lang w:val="en-US"/>
        </w:rPr>
      </w:pPr>
      <w:permStart w:id="418122716" w:edGrp="everyone"/>
      <w:r w:rsidRPr="005A6063">
        <w:rPr>
          <w:rFonts w:ascii="Gill Sans MT" w:hAnsi="Gill Sans MT"/>
          <w:sz w:val="21"/>
          <w:szCs w:val="22"/>
          <w:lang w:val="en-US"/>
        </w:rPr>
        <w:t>DUFAS has the following comment on the calculation of the carbon footprint as formulated in sub (g) Annex I template on principle adverse impact.</w:t>
      </w:r>
    </w:p>
    <w:p w14:paraId="3F6D7E73" w14:textId="77777777" w:rsidR="00E808EF" w:rsidRPr="005A6063" w:rsidRDefault="00E808EF" w:rsidP="00E808EF">
      <w:pPr>
        <w:pStyle w:val="Default"/>
        <w:spacing w:line="280" w:lineRule="atLeast"/>
        <w:jc w:val="both"/>
        <w:rPr>
          <w:rFonts w:ascii="Gill Sans MT" w:hAnsi="Gill Sans MT"/>
          <w:sz w:val="21"/>
          <w:szCs w:val="22"/>
          <w:lang w:val="en-US"/>
        </w:rPr>
      </w:pPr>
    </w:p>
    <w:p w14:paraId="6698D3E6" w14:textId="508A3B88" w:rsidR="00E808EF" w:rsidRDefault="00E808EF" w:rsidP="00E808EF">
      <w:pPr>
        <w:pStyle w:val="Default"/>
        <w:spacing w:line="280" w:lineRule="atLeast"/>
        <w:jc w:val="both"/>
        <w:rPr>
          <w:rFonts w:ascii="Gill Sans MT" w:hAnsi="Gill Sans MT"/>
          <w:sz w:val="21"/>
          <w:szCs w:val="22"/>
          <w:lang w:val="en-US"/>
        </w:rPr>
      </w:pPr>
      <w:r w:rsidRPr="004925E9">
        <w:rPr>
          <w:rFonts w:ascii="Gill Sans MT" w:hAnsi="Gill Sans MT"/>
          <w:sz w:val="21"/>
          <w:szCs w:val="22"/>
          <w:lang w:val="en-US"/>
        </w:rPr>
        <w:t>The formula includes scope 3 emissions. Unfortunately, there is not much data reported by companies on scope 3 emissions. Including scope 3 emission into the formula would result in flaws in the outcome</w:t>
      </w:r>
      <w:r>
        <w:rPr>
          <w:rFonts w:ascii="Gill Sans MT" w:hAnsi="Gill Sans MT"/>
          <w:sz w:val="21"/>
          <w:szCs w:val="22"/>
          <w:lang w:val="en-US"/>
        </w:rPr>
        <w:t xml:space="preserve">. </w:t>
      </w:r>
      <w:r w:rsidR="00B640F6" w:rsidRPr="00B640F6">
        <w:rPr>
          <w:rFonts w:ascii="Gill Sans MT" w:hAnsi="Gill Sans MT"/>
          <w:sz w:val="21"/>
          <w:szCs w:val="22"/>
          <w:lang w:val="en-US"/>
        </w:rPr>
        <w:t xml:space="preserve">We suggest that the formulas of the carbon emissions should use calculations or should be defined in accordance with current international calculation methods such as TCFD, PCAF which may be developed further from time to time. </w:t>
      </w:r>
      <w:r w:rsidRPr="004925E9">
        <w:rPr>
          <w:rFonts w:ascii="Gill Sans MT" w:hAnsi="Gill Sans MT"/>
          <w:sz w:val="21"/>
          <w:szCs w:val="22"/>
          <w:lang w:val="en-US"/>
        </w:rPr>
        <w:t>Where markets develops, more tight formula</w:t>
      </w:r>
      <w:r w:rsidR="00962736">
        <w:rPr>
          <w:rFonts w:ascii="Gill Sans MT" w:hAnsi="Gill Sans MT"/>
          <w:sz w:val="21"/>
          <w:szCs w:val="22"/>
          <w:lang w:val="en-US"/>
        </w:rPr>
        <w:t>s</w:t>
      </w:r>
      <w:r w:rsidRPr="004925E9">
        <w:rPr>
          <w:rFonts w:ascii="Gill Sans MT" w:hAnsi="Gill Sans MT"/>
          <w:sz w:val="21"/>
          <w:szCs w:val="22"/>
          <w:lang w:val="en-US"/>
        </w:rPr>
        <w:t xml:space="preserve"> for calculating carbon </w:t>
      </w:r>
      <w:r w:rsidR="00CD3499">
        <w:rPr>
          <w:rFonts w:ascii="Gill Sans MT" w:hAnsi="Gill Sans MT"/>
          <w:sz w:val="21"/>
          <w:szCs w:val="22"/>
          <w:lang w:val="en-US"/>
        </w:rPr>
        <w:t>emissions</w:t>
      </w:r>
      <w:r>
        <w:rPr>
          <w:rFonts w:ascii="Gill Sans MT" w:hAnsi="Gill Sans MT"/>
          <w:sz w:val="21"/>
          <w:szCs w:val="22"/>
          <w:lang w:val="en-US"/>
        </w:rPr>
        <w:t xml:space="preserve"> may evolve</w:t>
      </w:r>
      <w:r w:rsidRPr="004925E9">
        <w:rPr>
          <w:rFonts w:ascii="Gill Sans MT" w:hAnsi="Gill Sans MT"/>
          <w:sz w:val="21"/>
          <w:szCs w:val="22"/>
          <w:lang w:val="en-US"/>
        </w:rPr>
        <w:t>.</w:t>
      </w:r>
    </w:p>
    <w:permEnd w:id="418122716"/>
    <w:p w14:paraId="29E77975" w14:textId="6590E75B" w:rsidR="003E573C" w:rsidRDefault="003E573C" w:rsidP="003E573C">
      <w:pPr>
        <w:rPr>
          <w:rFonts w:cs="Arial"/>
        </w:rPr>
      </w:pPr>
      <w:r>
        <w:rPr>
          <w:rFonts w:cs="Arial"/>
        </w:rPr>
        <w:t>&lt;ESA_QUESTION_</w:t>
      </w:r>
      <w:r w:rsidR="00C86E1C">
        <w:rPr>
          <w:rFonts w:cs="Arial"/>
        </w:rPr>
        <w:t>ESG</w:t>
      </w:r>
      <w:r>
        <w:rPr>
          <w:rFonts w:cs="Arial"/>
        </w:rPr>
        <w:t>_6&gt;</w:t>
      </w:r>
    </w:p>
    <w:p w14:paraId="302B559F" w14:textId="77777777" w:rsidR="003E573C" w:rsidRDefault="003E573C" w:rsidP="003E573C">
      <w:pPr>
        <w:rPr>
          <w:rFonts w:cs="Arial"/>
        </w:rPr>
      </w:pPr>
    </w:p>
    <w:p w14:paraId="09807F9E" w14:textId="403676DE" w:rsidR="003E573C" w:rsidRDefault="003E573C" w:rsidP="003E573C">
      <w:pPr>
        <w:pStyle w:val="Questionstyle"/>
        <w:numPr>
          <w:ilvl w:val="0"/>
          <w:numId w:val="39"/>
        </w:numPr>
      </w:pPr>
      <w:r>
        <w:lastRenderedPageBreak/>
        <w:t xml:space="preserve">: </w:t>
      </w:r>
      <w:r w:rsidR="002A73F1" w:rsidRPr="002A73F1">
        <w:t>The ESAs saw merit in requiring measurement of both (1) the share of the investments in companies without a particular issue required by the indicator and (2) the share of all companies in the investments without that issue. Do you have any feedback on this proposal?</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736A3B59" w14:textId="77777777" w:rsidR="004F3DD0" w:rsidRDefault="004F3DD0" w:rsidP="004F3DD0">
      <w:pPr>
        <w:pStyle w:val="Default"/>
        <w:spacing w:line="280" w:lineRule="atLeast"/>
        <w:jc w:val="both"/>
        <w:rPr>
          <w:rFonts w:ascii="Gill Sans MT" w:hAnsi="Gill Sans MT"/>
          <w:sz w:val="21"/>
          <w:szCs w:val="22"/>
          <w:lang w:val="en-US"/>
        </w:rPr>
      </w:pPr>
      <w:permStart w:id="569465455" w:edGrp="everyone"/>
      <w:r w:rsidRPr="00AE5781">
        <w:rPr>
          <w:rFonts w:ascii="Gill Sans MT" w:hAnsi="Gill Sans MT"/>
          <w:sz w:val="21"/>
          <w:szCs w:val="22"/>
          <w:lang w:val="en-US"/>
        </w:rPr>
        <w:t>We understand that this differentiation is made. Based on our observations, most likely larger companies have policies on particular issues, so the (2) share of all companies in the investments will most likely be larger than the (1) share of investments in companies. The question is whether this additional information will not confuse the party receiving this information and whether the difference in drivers of (1) and (2) is sufficiently understood</w:t>
      </w:r>
      <w:r>
        <w:rPr>
          <w:rFonts w:ascii="Gill Sans MT" w:hAnsi="Gill Sans MT"/>
          <w:sz w:val="21"/>
          <w:szCs w:val="22"/>
          <w:lang w:val="en-US"/>
        </w:rPr>
        <w:t>.</w:t>
      </w:r>
    </w:p>
    <w:permEnd w:id="569465455"/>
    <w:p w14:paraId="2267AC0F" w14:textId="00044BD1" w:rsidR="003E573C" w:rsidRDefault="003E573C" w:rsidP="003E573C">
      <w:pPr>
        <w:rPr>
          <w:rFonts w:cs="Arial"/>
        </w:rPr>
      </w:pPr>
      <w:r>
        <w:rPr>
          <w:rFonts w:cs="Arial"/>
        </w:rPr>
        <w:t>&lt;ESA_QUESTION_</w:t>
      </w:r>
      <w:r w:rsidR="00C86E1C">
        <w:rPr>
          <w:rFonts w:cs="Arial"/>
        </w:rPr>
        <w:t>ESG</w:t>
      </w:r>
      <w:r>
        <w:rPr>
          <w:rFonts w:cs="Arial"/>
        </w:rPr>
        <w:t>_7&gt;</w:t>
      </w:r>
    </w:p>
    <w:p w14:paraId="7E406E9F" w14:textId="77777777" w:rsidR="003E573C" w:rsidRDefault="003E573C" w:rsidP="003E573C">
      <w:pPr>
        <w:rPr>
          <w:rFonts w:cs="Arial"/>
        </w:rPr>
      </w:pPr>
    </w:p>
    <w:p w14:paraId="08E0CC4A" w14:textId="0B700084" w:rsidR="003E573C" w:rsidRDefault="003E573C" w:rsidP="002A73F1">
      <w:pPr>
        <w:pStyle w:val="Lijstalinea"/>
        <w:numPr>
          <w:ilvl w:val="0"/>
          <w:numId w:val="39"/>
        </w:numPr>
        <w:rPr>
          <w:rFonts w:asciiTheme="minorHAnsi" w:eastAsiaTheme="minorEastAsia" w:hAnsiTheme="minorHAnsi" w:cstheme="minorBidi"/>
          <w:b/>
          <w:sz w:val="22"/>
          <w:szCs w:val="20"/>
          <w:lang w:eastAsia="en-US"/>
        </w:rPr>
      </w:pPr>
      <w:r>
        <w:t xml:space="preserve">: </w:t>
      </w:r>
      <w:r w:rsidR="002A73F1" w:rsidRPr="002A73F1">
        <w:rPr>
          <w:rFonts w:asciiTheme="minorHAnsi" w:eastAsiaTheme="minorEastAsia" w:hAnsiTheme="minorHAnsi" w:cstheme="minorBidi"/>
          <w:b/>
          <w:sz w:val="22"/>
          <w:szCs w:val="20"/>
          <w:lang w:eastAsia="en-US"/>
        </w:rPr>
        <w:t>Would you see merit in including more advanced indicators or metrics to allow financial market participants to capture activities by investee companies to reduce GHG emissions? If yes, how would such advanced metrics capture adverse impacts?</w:t>
      </w:r>
    </w:p>
    <w:p w14:paraId="62D07B51" w14:textId="77777777" w:rsidR="002A73F1" w:rsidRPr="002A73F1" w:rsidRDefault="002A73F1" w:rsidP="002A73F1">
      <w:pPr>
        <w:pStyle w:val="Lijstalinea"/>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t>&lt;ESA_QUESTION_</w:t>
      </w:r>
      <w:r w:rsidR="00C86E1C">
        <w:rPr>
          <w:rFonts w:cs="Arial"/>
        </w:rPr>
        <w:t>ESG</w:t>
      </w:r>
      <w:r>
        <w:rPr>
          <w:rFonts w:cs="Arial"/>
        </w:rPr>
        <w:t>_8&gt;</w:t>
      </w:r>
    </w:p>
    <w:p w14:paraId="481FAE04" w14:textId="77777777" w:rsidR="006E4FAE" w:rsidRDefault="006E4FAE" w:rsidP="006E4FAE">
      <w:pPr>
        <w:spacing w:line="280" w:lineRule="atLeast"/>
        <w:jc w:val="both"/>
        <w:rPr>
          <w:rFonts w:ascii="Gill Sans MT" w:hAnsi="Gill Sans MT"/>
          <w:sz w:val="21"/>
          <w:lang w:val="en-US"/>
        </w:rPr>
      </w:pPr>
      <w:permStart w:id="1713528049" w:edGrp="everyone"/>
      <w:r>
        <w:rPr>
          <w:rFonts w:ascii="Gill Sans MT" w:hAnsi="Gill Sans MT"/>
          <w:sz w:val="21"/>
          <w:lang w:val="en-US"/>
        </w:rPr>
        <w:t xml:space="preserve">As suggested in our response to question 1, </w:t>
      </w:r>
      <w:r w:rsidRPr="000E752F">
        <w:rPr>
          <w:rFonts w:ascii="Gill Sans MT" w:hAnsi="Gill Sans MT"/>
          <w:sz w:val="21"/>
          <w:lang w:val="en-US"/>
        </w:rPr>
        <w:t>the list of indicators as presented seems to</w:t>
      </w:r>
      <w:r>
        <w:rPr>
          <w:rFonts w:ascii="Gill Sans MT" w:hAnsi="Gill Sans MT"/>
          <w:sz w:val="21"/>
          <w:lang w:val="en-US"/>
        </w:rPr>
        <w:t xml:space="preserve"> be focused on ‘negative’ indicators. </w:t>
      </w:r>
      <w:r w:rsidRPr="000E752F">
        <w:rPr>
          <w:rFonts w:ascii="Gill Sans MT" w:hAnsi="Gill Sans MT"/>
          <w:sz w:val="21"/>
          <w:lang w:val="en-US"/>
        </w:rPr>
        <w:t>However some members feel that indicators ma</w:t>
      </w:r>
      <w:r>
        <w:rPr>
          <w:rFonts w:ascii="Gill Sans MT" w:hAnsi="Gill Sans MT"/>
          <w:sz w:val="21"/>
          <w:lang w:val="en-US"/>
        </w:rPr>
        <w:t xml:space="preserve">y also be more formulated in a positive way, i.e. positive datapoints and indicators. </w:t>
      </w:r>
      <w:r w:rsidRPr="000E752F">
        <w:rPr>
          <w:rFonts w:ascii="Gill Sans MT" w:hAnsi="Gill Sans MT"/>
          <w:sz w:val="21"/>
          <w:lang w:val="en-US"/>
        </w:rPr>
        <w:t>This may include for example the percentage of the portfolio which is managed in a sustainable way, the percenta</w:t>
      </w:r>
      <w:r>
        <w:rPr>
          <w:rFonts w:ascii="Gill Sans MT" w:hAnsi="Gill Sans MT"/>
          <w:sz w:val="21"/>
          <w:lang w:val="en-US"/>
        </w:rPr>
        <w:t>g</w:t>
      </w:r>
      <w:r w:rsidRPr="000E752F">
        <w:rPr>
          <w:rFonts w:ascii="Gill Sans MT" w:hAnsi="Gill Sans MT"/>
          <w:sz w:val="21"/>
          <w:lang w:val="en-US"/>
        </w:rPr>
        <w:t>e of th</w:t>
      </w:r>
      <w:r>
        <w:rPr>
          <w:rFonts w:ascii="Gill Sans MT" w:hAnsi="Gill Sans MT"/>
          <w:sz w:val="21"/>
          <w:lang w:val="en-US"/>
        </w:rPr>
        <w:t xml:space="preserve">e portfolio that is or will be invested in renewable energy or </w:t>
      </w:r>
      <w:r w:rsidRPr="000E752F">
        <w:rPr>
          <w:rFonts w:ascii="Gill Sans MT" w:hAnsi="Gill Sans MT"/>
          <w:sz w:val="21"/>
          <w:lang w:val="en-US"/>
        </w:rPr>
        <w:t>the percenta</w:t>
      </w:r>
      <w:r>
        <w:rPr>
          <w:rFonts w:ascii="Gill Sans MT" w:hAnsi="Gill Sans MT"/>
          <w:sz w:val="21"/>
          <w:lang w:val="en-US"/>
        </w:rPr>
        <w:t>g</w:t>
      </w:r>
      <w:r w:rsidRPr="000E752F">
        <w:rPr>
          <w:rFonts w:ascii="Gill Sans MT" w:hAnsi="Gill Sans MT"/>
          <w:sz w:val="21"/>
          <w:lang w:val="en-US"/>
        </w:rPr>
        <w:t>e of th</w:t>
      </w:r>
      <w:r>
        <w:rPr>
          <w:rFonts w:ascii="Gill Sans MT" w:hAnsi="Gill Sans MT"/>
          <w:sz w:val="21"/>
          <w:lang w:val="en-US"/>
        </w:rPr>
        <w:t xml:space="preserve">e portfolio that actively contributes to the </w:t>
      </w:r>
      <w:r w:rsidRPr="000E752F">
        <w:rPr>
          <w:rFonts w:ascii="Gill Sans MT" w:hAnsi="Gill Sans MT"/>
          <w:sz w:val="21"/>
          <w:lang w:val="en-US"/>
        </w:rPr>
        <w:t>SDG’s.</w:t>
      </w:r>
    </w:p>
    <w:p w14:paraId="20440D29" w14:textId="736D3F12" w:rsidR="003E573C" w:rsidRDefault="006E4FAE" w:rsidP="006E4FAE">
      <w:pPr>
        <w:spacing w:line="280" w:lineRule="atLeast"/>
        <w:jc w:val="both"/>
        <w:rPr>
          <w:rFonts w:cs="Arial"/>
        </w:rPr>
      </w:pPr>
      <w:r>
        <w:rPr>
          <w:rFonts w:ascii="Gill Sans MT" w:hAnsi="Gill Sans MT"/>
          <w:sz w:val="21"/>
          <w:lang w:val="en-US"/>
        </w:rPr>
        <w:t>Furthermore, a</w:t>
      </w:r>
      <w:r w:rsidRPr="00AE5781">
        <w:rPr>
          <w:rFonts w:ascii="Gill Sans MT" w:hAnsi="Gill Sans MT"/>
          <w:sz w:val="21"/>
          <w:lang w:val="en-US"/>
        </w:rPr>
        <w:t>s long as these more advanced indicators are voluntary by nature</w:t>
      </w:r>
      <w:r>
        <w:rPr>
          <w:rFonts w:ascii="Gill Sans MT" w:hAnsi="Gill Sans MT"/>
          <w:sz w:val="21"/>
          <w:lang w:val="en-US"/>
        </w:rPr>
        <w:t xml:space="preserve"> we would see merit in including them</w:t>
      </w:r>
      <w:r w:rsidRPr="00AE5781">
        <w:rPr>
          <w:rFonts w:ascii="Gill Sans MT" w:hAnsi="Gill Sans MT"/>
          <w:sz w:val="21"/>
          <w:lang w:val="en-US"/>
        </w:rPr>
        <w:t>. Please keep in mind that metrics such as ‘avoided emissions’ are largely a theoretical concept, and the calculation is heavily dependent on the assumptions used in that calculation. Hence, these advanced metrics are prone to green washing if used loosely.</w:t>
      </w:r>
    </w:p>
    <w:permEnd w:id="1713528049"/>
    <w:p w14:paraId="6DB9AF7D" w14:textId="789B574E" w:rsidR="003E573C" w:rsidRDefault="003E573C" w:rsidP="003E573C">
      <w:pPr>
        <w:rPr>
          <w:rFonts w:cs="Arial"/>
        </w:rPr>
      </w:pPr>
      <w:r>
        <w:rPr>
          <w:rFonts w:cs="Arial"/>
        </w:rPr>
        <w:t>&lt;ESA_QUESTION_</w:t>
      </w:r>
      <w:r w:rsidR="00C86E1C">
        <w:rPr>
          <w:rFonts w:cs="Arial"/>
        </w:rPr>
        <w:t>ESG</w:t>
      </w:r>
      <w:r>
        <w:rPr>
          <w:rFonts w:cs="Arial"/>
        </w:rPr>
        <w:t>_8&gt;</w:t>
      </w:r>
    </w:p>
    <w:p w14:paraId="078E4733" w14:textId="77777777" w:rsidR="003E573C" w:rsidRDefault="003E573C" w:rsidP="003E573C">
      <w:pPr>
        <w:rPr>
          <w:rFonts w:cs="Arial"/>
        </w:rPr>
      </w:pPr>
    </w:p>
    <w:p w14:paraId="784E1B82" w14:textId="7C9C7281" w:rsidR="003E573C" w:rsidRDefault="003E573C" w:rsidP="003E573C">
      <w:pPr>
        <w:pStyle w:val="Questionstyle"/>
        <w:numPr>
          <w:ilvl w:val="0"/>
          <w:numId w:val="39"/>
        </w:numPr>
      </w:pPr>
      <w:r>
        <w:t xml:space="preserve">: </w:t>
      </w:r>
      <w:r w:rsidR="002A73F1" w:rsidRPr="002A73F1">
        <w:t>Do you agree with the goal of trying to deliver indicators for social and employee matters, respect for human rights, anti-corruption and anti-bribery matters at the same time as the environmental indicators?</w:t>
      </w:r>
    </w:p>
    <w:p w14:paraId="67823BF7" w14:textId="671B4280" w:rsidR="003E573C" w:rsidRDefault="003E573C" w:rsidP="003E573C">
      <w:pPr>
        <w:rPr>
          <w:rFonts w:cs="Arial"/>
        </w:rPr>
      </w:pPr>
      <w:r>
        <w:rPr>
          <w:rFonts w:cs="Arial"/>
        </w:rPr>
        <w:t>&lt;ESA_QUESTION_</w:t>
      </w:r>
      <w:r w:rsidR="00C86E1C">
        <w:rPr>
          <w:rFonts w:cs="Arial"/>
        </w:rPr>
        <w:t>ESG</w:t>
      </w:r>
      <w:r>
        <w:rPr>
          <w:rFonts w:cs="Arial"/>
        </w:rPr>
        <w:t>_9&gt;</w:t>
      </w:r>
    </w:p>
    <w:p w14:paraId="44D64335" w14:textId="77777777" w:rsidR="001D1107" w:rsidRDefault="00170CA2" w:rsidP="003E573C">
      <w:pPr>
        <w:rPr>
          <w:rFonts w:ascii="Gill Sans MT" w:hAnsi="Gill Sans MT"/>
          <w:sz w:val="21"/>
          <w:szCs w:val="22"/>
          <w:lang w:val="en-US"/>
        </w:rPr>
      </w:pPr>
      <w:permStart w:id="221670941" w:edGrp="everyone"/>
      <w:r w:rsidRPr="00326A1E">
        <w:rPr>
          <w:rFonts w:ascii="Gill Sans MT" w:hAnsi="Gill Sans MT"/>
          <w:sz w:val="21"/>
          <w:szCs w:val="22"/>
          <w:lang w:val="en-US"/>
        </w:rPr>
        <w:t>Yes, we agree that adverse impact metrics should cover the full spectrum of ESG issues. Social issues should not be underrepresented compared to environmental issues.</w:t>
      </w:r>
    </w:p>
    <w:permEnd w:id="221670941"/>
    <w:p w14:paraId="57161E15" w14:textId="6C6048D0" w:rsidR="003E573C" w:rsidRDefault="003E573C" w:rsidP="003E573C">
      <w:pPr>
        <w:rPr>
          <w:rFonts w:cs="Arial"/>
        </w:rPr>
      </w:pPr>
      <w:r>
        <w:rPr>
          <w:rFonts w:cs="Arial"/>
        </w:rPr>
        <w:t>&lt;ESA_QUESTION_</w:t>
      </w:r>
      <w:r w:rsidR="00C86E1C">
        <w:rPr>
          <w:rFonts w:cs="Arial"/>
        </w:rPr>
        <w:t>ESG</w:t>
      </w:r>
      <w:r>
        <w:rPr>
          <w:rFonts w:cs="Arial"/>
        </w:rPr>
        <w:t>_9&gt;</w:t>
      </w:r>
    </w:p>
    <w:p w14:paraId="068CFC66" w14:textId="77777777" w:rsidR="003E573C" w:rsidRDefault="003E573C" w:rsidP="003E573C">
      <w:pPr>
        <w:rPr>
          <w:rFonts w:cs="Arial"/>
        </w:rPr>
      </w:pPr>
    </w:p>
    <w:p w14:paraId="69BB96B1" w14:textId="6B69127A" w:rsidR="003E573C" w:rsidRDefault="003E573C" w:rsidP="003E573C">
      <w:pPr>
        <w:pStyle w:val="Questionstyle"/>
        <w:numPr>
          <w:ilvl w:val="0"/>
          <w:numId w:val="39"/>
        </w:numPr>
      </w:pPr>
      <w:bookmarkStart w:id="18" w:name="_Hlk18829484"/>
      <w:r>
        <w:t xml:space="preserve">: </w:t>
      </w:r>
      <w:r w:rsidR="002A73F1" w:rsidRPr="002A73F1">
        <w:t>Do you agree with the proposal that financial market participants should provide a historical comparison of principal adverse impact disclosures up to ten years? If not, what timespan would you suggest?</w:t>
      </w:r>
      <w:r w:rsidRPr="00763760">
        <w:t xml:space="preserve"> </w:t>
      </w:r>
      <w:bookmarkEnd w:id="18"/>
    </w:p>
    <w:p w14:paraId="5C90E2A2" w14:textId="6C4211F4" w:rsidR="003E573C" w:rsidRDefault="003E573C" w:rsidP="003E573C">
      <w:pPr>
        <w:rPr>
          <w:rFonts w:cs="Arial"/>
        </w:rPr>
      </w:pPr>
      <w:r>
        <w:rPr>
          <w:rFonts w:cs="Arial"/>
        </w:rPr>
        <w:t>&lt;ESA_QUESTION_</w:t>
      </w:r>
      <w:r w:rsidR="00C86E1C">
        <w:rPr>
          <w:rFonts w:cs="Arial"/>
        </w:rPr>
        <w:t>ESG</w:t>
      </w:r>
      <w:r>
        <w:rPr>
          <w:rFonts w:cs="Arial"/>
        </w:rPr>
        <w:t>_10&gt;</w:t>
      </w:r>
    </w:p>
    <w:p w14:paraId="41A0BA7D" w14:textId="77777777" w:rsidR="001A0870" w:rsidRDefault="001A0870" w:rsidP="00126E09">
      <w:pPr>
        <w:jc w:val="both"/>
        <w:rPr>
          <w:rFonts w:ascii="Gill Sans MT" w:hAnsi="Gill Sans MT"/>
          <w:sz w:val="21"/>
          <w:szCs w:val="22"/>
          <w:lang w:val="en-US"/>
        </w:rPr>
      </w:pPr>
      <w:permStart w:id="610013876" w:edGrp="everyone"/>
      <w:r w:rsidRPr="004F0A10">
        <w:rPr>
          <w:rFonts w:ascii="Gill Sans MT" w:hAnsi="Gill Sans MT"/>
          <w:sz w:val="21"/>
          <w:szCs w:val="22"/>
          <w:lang w:val="en-US"/>
        </w:rPr>
        <w:t xml:space="preserve">Although DUFAS </w:t>
      </w:r>
      <w:r>
        <w:rPr>
          <w:rFonts w:ascii="Gill Sans MT" w:hAnsi="Gill Sans MT"/>
          <w:sz w:val="21"/>
          <w:szCs w:val="22"/>
          <w:lang w:val="en-US"/>
        </w:rPr>
        <w:t>appreciates and understands the relevance of including a historical compariso</w:t>
      </w:r>
      <w:r w:rsidRPr="004F0A10">
        <w:rPr>
          <w:rFonts w:ascii="Gill Sans MT" w:hAnsi="Gill Sans MT"/>
          <w:sz w:val="21"/>
          <w:szCs w:val="22"/>
          <w:lang w:val="en-US"/>
        </w:rPr>
        <w:t>n of principal adverse impact disclosures up to ten years</w:t>
      </w:r>
      <w:r>
        <w:rPr>
          <w:rFonts w:ascii="Gill Sans MT" w:hAnsi="Gill Sans MT"/>
          <w:sz w:val="21"/>
          <w:szCs w:val="22"/>
          <w:lang w:val="en-US"/>
        </w:rPr>
        <w:t xml:space="preserve">, we do foresee an issue on obtaining this data from the start or SFDR. As mentioned, data will be crucial for being able to comply with the SFDR obligations from 2021 onwards. Backtracking these data ten years before 10 March 2021 or ten years prior to starting </w:t>
      </w:r>
      <w:r w:rsidRPr="00EB7BFE">
        <w:rPr>
          <w:rFonts w:ascii="Gill Sans MT" w:hAnsi="Gill Sans MT"/>
          <w:sz w:val="21"/>
          <w:szCs w:val="22"/>
          <w:lang w:val="en-US"/>
        </w:rPr>
        <w:t xml:space="preserve">from the date on which </w:t>
      </w:r>
      <w:r>
        <w:rPr>
          <w:rFonts w:ascii="Gill Sans MT" w:hAnsi="Gill Sans MT"/>
          <w:sz w:val="21"/>
          <w:szCs w:val="22"/>
          <w:lang w:val="en-US"/>
        </w:rPr>
        <w:t>a</w:t>
      </w:r>
      <w:r w:rsidRPr="00EB7BFE">
        <w:rPr>
          <w:rFonts w:ascii="Gill Sans MT" w:hAnsi="Gill Sans MT"/>
          <w:sz w:val="21"/>
          <w:szCs w:val="22"/>
          <w:lang w:val="en-US"/>
        </w:rPr>
        <w:t xml:space="preserve"> financial market participant first considered principal adverse impacts of its investment decisions on sustainability factors</w:t>
      </w:r>
      <w:r>
        <w:rPr>
          <w:rFonts w:ascii="Gill Sans MT" w:hAnsi="Gill Sans MT"/>
          <w:sz w:val="21"/>
          <w:szCs w:val="22"/>
          <w:lang w:val="en-US"/>
        </w:rPr>
        <w:t>, would not be feasible to accomplish</w:t>
      </w:r>
      <w:r w:rsidRPr="00EB7BFE">
        <w:rPr>
          <w:rFonts w:ascii="Gill Sans MT" w:hAnsi="Gill Sans MT"/>
          <w:sz w:val="21"/>
          <w:szCs w:val="22"/>
          <w:lang w:val="en-US"/>
        </w:rPr>
        <w:t>.</w:t>
      </w:r>
      <w:r>
        <w:rPr>
          <w:rFonts w:ascii="Gill Sans MT" w:hAnsi="Gill Sans MT"/>
          <w:sz w:val="21"/>
          <w:szCs w:val="22"/>
          <w:lang w:val="en-US"/>
        </w:rPr>
        <w:t xml:space="preserve"> It would rather make more sense to start backtracking from 10 March 2021 onwards or starting </w:t>
      </w:r>
      <w:r w:rsidRPr="00EB7BFE">
        <w:rPr>
          <w:rFonts w:ascii="Gill Sans MT" w:hAnsi="Gill Sans MT"/>
          <w:sz w:val="21"/>
          <w:szCs w:val="22"/>
          <w:lang w:val="en-US"/>
        </w:rPr>
        <w:t xml:space="preserve">from the date on which </w:t>
      </w:r>
      <w:r>
        <w:rPr>
          <w:rFonts w:ascii="Gill Sans MT" w:hAnsi="Gill Sans MT"/>
          <w:sz w:val="21"/>
          <w:szCs w:val="22"/>
          <w:lang w:val="en-US"/>
        </w:rPr>
        <w:t>a</w:t>
      </w:r>
      <w:r w:rsidRPr="00EB7BFE">
        <w:rPr>
          <w:rFonts w:ascii="Gill Sans MT" w:hAnsi="Gill Sans MT"/>
          <w:sz w:val="21"/>
          <w:szCs w:val="22"/>
          <w:lang w:val="en-US"/>
        </w:rPr>
        <w:t xml:space="preserve"> financial market participant first considered principal adverse impacts of its investment decisions on sustainability factors</w:t>
      </w:r>
      <w:r>
        <w:rPr>
          <w:rFonts w:ascii="Gill Sans MT" w:hAnsi="Gill Sans MT"/>
          <w:sz w:val="21"/>
          <w:szCs w:val="22"/>
          <w:lang w:val="en-US"/>
        </w:rPr>
        <w:t xml:space="preserve">. </w:t>
      </w:r>
      <w:r w:rsidRPr="00326A1E">
        <w:rPr>
          <w:rFonts w:ascii="Gill Sans MT" w:hAnsi="Gill Sans MT"/>
          <w:sz w:val="21"/>
          <w:szCs w:val="22"/>
          <w:lang w:val="en-US"/>
        </w:rPr>
        <w:t xml:space="preserve">In addition, ten years seems pretty </w:t>
      </w:r>
      <w:r w:rsidRPr="00326A1E">
        <w:rPr>
          <w:rFonts w:ascii="Gill Sans MT" w:hAnsi="Gill Sans MT"/>
          <w:sz w:val="21"/>
          <w:szCs w:val="22"/>
          <w:lang w:val="en-US"/>
        </w:rPr>
        <w:lastRenderedPageBreak/>
        <w:t>rich. Proposing to build up a rolling history of up to five years would be our suggestion.</w:t>
      </w:r>
      <w:r>
        <w:rPr>
          <w:rFonts w:ascii="Gill Sans MT" w:hAnsi="Gill Sans MT"/>
          <w:sz w:val="21"/>
          <w:szCs w:val="22"/>
          <w:lang w:val="en-US"/>
        </w:rPr>
        <w:t xml:space="preserve"> Whilst at the same time, we also think that a one year comparison is quite short and may not reflect substantial changes in principal adverse impact indicators</w:t>
      </w:r>
    </w:p>
    <w:permEnd w:id="610013876"/>
    <w:p w14:paraId="40F05C94" w14:textId="3D535997" w:rsidR="003E573C" w:rsidRDefault="003E573C" w:rsidP="003E573C">
      <w:pPr>
        <w:rPr>
          <w:rFonts w:cs="Arial"/>
        </w:rPr>
      </w:pPr>
      <w:r>
        <w:rPr>
          <w:rFonts w:cs="Arial"/>
        </w:rPr>
        <w:t>&lt;ESA_QUESTION_</w:t>
      </w:r>
      <w:r w:rsidR="00C86E1C">
        <w:rPr>
          <w:rFonts w:cs="Arial"/>
        </w:rPr>
        <w:t>ESG</w:t>
      </w:r>
      <w:r>
        <w:rPr>
          <w:rFonts w:cs="Arial"/>
        </w:rPr>
        <w:t>_10&gt;</w:t>
      </w:r>
    </w:p>
    <w:p w14:paraId="601C7E78" w14:textId="77777777" w:rsidR="003E573C" w:rsidRDefault="003E573C" w:rsidP="003E573C">
      <w:pPr>
        <w:rPr>
          <w:rFonts w:cs="Arial"/>
        </w:rPr>
      </w:pPr>
    </w:p>
    <w:p w14:paraId="402CA03A" w14:textId="74A6821D" w:rsidR="003E573C" w:rsidRDefault="003E573C" w:rsidP="003E573C">
      <w:pPr>
        <w:pStyle w:val="Questionstyle"/>
        <w:numPr>
          <w:ilvl w:val="0"/>
          <w:numId w:val="39"/>
        </w:numPr>
      </w:pPr>
      <w:r>
        <w:t xml:space="preserve">: </w:t>
      </w:r>
      <w:r w:rsidR="002A73F1" w:rsidRPr="002A73F1">
        <w:t>Are there any ways to discourage potential “window dressing” techniques in the principal adverse impact reporting? Should the ESAs consider harmonising the methodology and timing of reporting across the reference period, e.g. on what dates the composition of investments must be taken into account? If not, what alternative would you suggest to curtail window dressing techniques?</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140C09C0" w14:textId="0C916CE7" w:rsidR="003E573C" w:rsidRDefault="00ED13A0" w:rsidP="003E573C">
      <w:pPr>
        <w:rPr>
          <w:rFonts w:cs="Arial"/>
        </w:rPr>
      </w:pPr>
      <w:permStart w:id="790175202" w:edGrp="everyone"/>
      <w:r w:rsidRPr="004C0E76">
        <w:rPr>
          <w:rFonts w:ascii="Gill Sans MT" w:hAnsi="Gill Sans MT"/>
          <w:sz w:val="21"/>
          <w:szCs w:val="22"/>
          <w:lang w:val="en-US"/>
        </w:rPr>
        <w:t>Yes, in terms of timing of the reporting, we suggest to set a fixed reporting date in the year.</w:t>
      </w:r>
      <w:permEnd w:id="790175202"/>
      <w:r w:rsidR="003E573C">
        <w:rPr>
          <w:rFonts w:cs="Arial"/>
        </w:rPr>
        <w:t>&lt;ESA_QUESTION_</w:t>
      </w:r>
      <w:r w:rsidR="00C86E1C">
        <w:rPr>
          <w:rFonts w:cs="Arial"/>
        </w:rPr>
        <w:t>ESG</w:t>
      </w:r>
      <w:r w:rsidR="003E573C">
        <w:rPr>
          <w:rFonts w:cs="Arial"/>
        </w:rPr>
        <w:t>_11&gt;</w:t>
      </w:r>
    </w:p>
    <w:p w14:paraId="2CDEB4F0" w14:textId="77777777" w:rsidR="003E573C" w:rsidRDefault="003E573C" w:rsidP="003E573C">
      <w:pPr>
        <w:rPr>
          <w:rFonts w:cs="Arial"/>
        </w:rPr>
      </w:pPr>
    </w:p>
    <w:p w14:paraId="76D018C7" w14:textId="48A3259C" w:rsidR="003E573C" w:rsidRDefault="003E573C" w:rsidP="003E573C">
      <w:pPr>
        <w:pStyle w:val="Questionstyle"/>
        <w:numPr>
          <w:ilvl w:val="0"/>
          <w:numId w:val="39"/>
        </w:numPr>
      </w:pPr>
      <w:r>
        <w:t xml:space="preserve">: </w:t>
      </w:r>
      <w:r w:rsidR="002A73F1" w:rsidRPr="002A73F1">
        <w:t>Do you agree with the approach to have mandatory (1) pre-contractual and (2) periodic templates for financial products?</w:t>
      </w:r>
    </w:p>
    <w:p w14:paraId="28536FF9" w14:textId="23342845" w:rsidR="003E573C" w:rsidRDefault="003E573C" w:rsidP="003E573C">
      <w:pPr>
        <w:rPr>
          <w:rFonts w:cs="Arial"/>
        </w:rPr>
      </w:pPr>
      <w:r>
        <w:rPr>
          <w:rFonts w:cs="Arial"/>
        </w:rPr>
        <w:t>&lt;ESA_QUESTION_</w:t>
      </w:r>
      <w:r w:rsidR="00C86E1C">
        <w:rPr>
          <w:rFonts w:cs="Arial"/>
        </w:rPr>
        <w:t>ESG</w:t>
      </w:r>
      <w:r>
        <w:rPr>
          <w:rFonts w:cs="Arial"/>
        </w:rPr>
        <w:t>_12&gt;</w:t>
      </w:r>
    </w:p>
    <w:p w14:paraId="079B2BF2" w14:textId="77777777" w:rsidR="00BB6D91" w:rsidRDefault="00BB6D91" w:rsidP="003E573C">
      <w:pPr>
        <w:rPr>
          <w:rFonts w:ascii="Gill Sans MT" w:hAnsi="Gill Sans MT"/>
          <w:sz w:val="21"/>
          <w:szCs w:val="22"/>
          <w:lang w:val="en-US"/>
        </w:rPr>
      </w:pPr>
      <w:permStart w:id="800330460" w:edGrp="everyone"/>
      <w:r w:rsidRPr="00BB6D91">
        <w:rPr>
          <w:rFonts w:ascii="Gill Sans MT" w:hAnsi="Gill Sans MT"/>
          <w:sz w:val="21"/>
          <w:szCs w:val="22"/>
          <w:lang w:val="en-US"/>
        </w:rPr>
        <w:t>Yes, we do see merit in having templates for pre-contractual information and periodic reporting as these contributes to comparability of financial products and financial market participants</w:t>
      </w:r>
    </w:p>
    <w:permEnd w:id="800330460"/>
    <w:p w14:paraId="7F118029" w14:textId="1CB9310B" w:rsidR="003E573C" w:rsidRDefault="003E573C" w:rsidP="003E573C">
      <w:pPr>
        <w:rPr>
          <w:rFonts w:cs="Arial"/>
        </w:rPr>
      </w:pPr>
      <w:r>
        <w:rPr>
          <w:rFonts w:cs="Arial"/>
        </w:rPr>
        <w:t>&lt;ESA_QUESTION_</w:t>
      </w:r>
      <w:r w:rsidR="00C86E1C">
        <w:rPr>
          <w:rFonts w:cs="Arial"/>
        </w:rPr>
        <w:t>ESG</w:t>
      </w:r>
      <w:r>
        <w:rPr>
          <w:rFonts w:cs="Arial"/>
        </w:rPr>
        <w:t>_12&gt;</w:t>
      </w:r>
    </w:p>
    <w:p w14:paraId="5D6EAA31" w14:textId="77777777" w:rsidR="003E573C" w:rsidRDefault="003E573C" w:rsidP="003E573C">
      <w:pPr>
        <w:rPr>
          <w:rFonts w:cs="Arial"/>
        </w:rPr>
      </w:pPr>
    </w:p>
    <w:p w14:paraId="7983F908" w14:textId="50BC38BE" w:rsidR="003E573C" w:rsidRDefault="003E573C" w:rsidP="003E573C">
      <w:pPr>
        <w:pStyle w:val="Questionstyle"/>
        <w:numPr>
          <w:ilvl w:val="0"/>
          <w:numId w:val="39"/>
        </w:numPr>
      </w:pPr>
      <w:r>
        <w:t xml:space="preserve">: </w:t>
      </w:r>
      <w:r w:rsidR="002A73F1" w:rsidRPr="002A73F1">
        <w:t>If the ESAs develop such pre-contractual and periodic templates, what elements should the ESAs include and how should they be formatted?</w:t>
      </w:r>
    </w:p>
    <w:p w14:paraId="56F5A2F0" w14:textId="619A0097" w:rsidR="003E573C" w:rsidRDefault="003E573C" w:rsidP="003E573C">
      <w:pPr>
        <w:rPr>
          <w:rFonts w:cs="Arial"/>
        </w:rPr>
      </w:pPr>
      <w:r>
        <w:rPr>
          <w:rFonts w:cs="Arial"/>
        </w:rPr>
        <w:t>&lt;ESA_QUESTION_</w:t>
      </w:r>
      <w:r w:rsidR="00C86E1C">
        <w:rPr>
          <w:rFonts w:cs="Arial"/>
        </w:rPr>
        <w:t>ESG</w:t>
      </w:r>
      <w:r>
        <w:rPr>
          <w:rFonts w:cs="Arial"/>
        </w:rPr>
        <w:t>_13&gt;</w:t>
      </w:r>
    </w:p>
    <w:p w14:paraId="00271E6A" w14:textId="77777777" w:rsidR="00130453" w:rsidRDefault="00130453" w:rsidP="003E573C">
      <w:pPr>
        <w:rPr>
          <w:rFonts w:ascii="Gill Sans MT" w:hAnsi="Gill Sans MT"/>
          <w:sz w:val="21"/>
          <w:szCs w:val="22"/>
          <w:lang w:val="en-US"/>
        </w:rPr>
      </w:pPr>
      <w:permStart w:id="1179406826" w:edGrp="everyone"/>
      <w:r w:rsidRPr="007B56BA">
        <w:rPr>
          <w:rFonts w:ascii="Gill Sans MT" w:hAnsi="Gill Sans MT"/>
          <w:sz w:val="21"/>
          <w:szCs w:val="22"/>
          <w:lang w:val="en-US"/>
        </w:rPr>
        <w:t>Such templates should be easy to access, readable and comprehensible for investors.</w:t>
      </w:r>
    </w:p>
    <w:permEnd w:id="1179406826"/>
    <w:p w14:paraId="39C16C25" w14:textId="57089ACA" w:rsidR="003E573C" w:rsidRDefault="003E573C" w:rsidP="003E573C">
      <w:pPr>
        <w:rPr>
          <w:rFonts w:cs="Arial"/>
        </w:rPr>
      </w:pPr>
      <w:r>
        <w:rPr>
          <w:rFonts w:cs="Arial"/>
        </w:rPr>
        <w:t>&lt;ESA_QUESTION_</w:t>
      </w:r>
      <w:r w:rsidR="00C86E1C">
        <w:rPr>
          <w:rFonts w:cs="Arial"/>
        </w:rPr>
        <w:t>ESG</w:t>
      </w:r>
      <w:r>
        <w:rPr>
          <w:rFonts w:cs="Arial"/>
        </w:rPr>
        <w:t>_13&gt;</w:t>
      </w:r>
    </w:p>
    <w:p w14:paraId="4C5E99F0" w14:textId="77777777" w:rsidR="003E573C" w:rsidRDefault="003E573C" w:rsidP="003E573C">
      <w:pPr>
        <w:rPr>
          <w:rFonts w:cs="Arial"/>
        </w:rPr>
      </w:pPr>
    </w:p>
    <w:p w14:paraId="64446580" w14:textId="7F73C6BF" w:rsidR="003E573C" w:rsidRDefault="003E573C" w:rsidP="003E573C">
      <w:pPr>
        <w:pStyle w:val="Questionstyle"/>
        <w:numPr>
          <w:ilvl w:val="0"/>
          <w:numId w:val="39"/>
        </w:numPr>
      </w:pPr>
      <w:r>
        <w:t xml:space="preserve">: </w:t>
      </w:r>
      <w:r w:rsidR="002A73F1" w:rsidRPr="002A73F1">
        <w:t>If you do not agree with harmonised reporting templates for financial products, please suggest what other approach you would propose that would ensure comparability between products.</w:t>
      </w:r>
    </w:p>
    <w:p w14:paraId="2EF6CD1F" w14:textId="378E184E" w:rsidR="003E573C" w:rsidRDefault="003E573C" w:rsidP="003E573C">
      <w:pPr>
        <w:rPr>
          <w:rFonts w:cs="Arial"/>
        </w:rPr>
      </w:pPr>
      <w:r>
        <w:rPr>
          <w:rFonts w:cs="Arial"/>
        </w:rPr>
        <w:t>&lt;ESA_QUESTION_</w:t>
      </w:r>
      <w:r w:rsidR="00C86E1C">
        <w:rPr>
          <w:rFonts w:cs="Arial"/>
        </w:rPr>
        <w:t>ESG</w:t>
      </w:r>
      <w:r>
        <w:rPr>
          <w:rFonts w:cs="Arial"/>
        </w:rPr>
        <w:t>_14&gt;</w:t>
      </w:r>
    </w:p>
    <w:p w14:paraId="4D27EE23" w14:textId="77777777" w:rsidR="003E573C" w:rsidRDefault="003E573C" w:rsidP="003E573C">
      <w:pPr>
        <w:rPr>
          <w:rFonts w:cs="Arial"/>
        </w:rPr>
      </w:pPr>
      <w:permStart w:id="1646396141" w:edGrp="everyone"/>
      <w:r>
        <w:rPr>
          <w:rFonts w:cs="Arial"/>
        </w:rPr>
        <w:t>TYPE YOUR TEXT HERE</w:t>
      </w:r>
    </w:p>
    <w:permEnd w:id="1646396141"/>
    <w:p w14:paraId="0FE78052" w14:textId="02AEED75" w:rsidR="003E573C" w:rsidRDefault="003E573C" w:rsidP="003E573C">
      <w:pPr>
        <w:rPr>
          <w:rFonts w:cs="Arial"/>
        </w:rPr>
      </w:pPr>
      <w:r>
        <w:rPr>
          <w:rFonts w:cs="Arial"/>
        </w:rPr>
        <w:t>&lt;ESA_QUESTION_</w:t>
      </w:r>
      <w:r w:rsidR="00C86E1C">
        <w:rPr>
          <w:rFonts w:cs="Arial"/>
        </w:rPr>
        <w:t>ESG</w:t>
      </w:r>
      <w:r>
        <w:rPr>
          <w:rFonts w:cs="Arial"/>
        </w:rPr>
        <w:t>_14&gt;</w:t>
      </w:r>
    </w:p>
    <w:p w14:paraId="3F3287D4" w14:textId="77777777" w:rsidR="003E573C" w:rsidRDefault="003E573C" w:rsidP="003E573C">
      <w:pPr>
        <w:rPr>
          <w:rFonts w:cs="Arial"/>
        </w:rPr>
      </w:pPr>
    </w:p>
    <w:p w14:paraId="1091B925" w14:textId="47FA8968" w:rsidR="003E573C" w:rsidRDefault="003E573C" w:rsidP="003E573C">
      <w:pPr>
        <w:pStyle w:val="Questionstyle"/>
        <w:numPr>
          <w:ilvl w:val="0"/>
          <w:numId w:val="39"/>
        </w:numPr>
      </w:pPr>
      <w:r>
        <w:t xml:space="preserve">: </w:t>
      </w:r>
      <w:r w:rsidR="002A73F1" w:rsidRPr="002A73F1">
        <w:t>Do you agree with the balance of information between pre-contractual and website information requirements? Apart from the items listed under Questions 25 and 26, is there anything you would add or subtract from these proposals?</w:t>
      </w:r>
    </w:p>
    <w:p w14:paraId="41786DD9" w14:textId="07ADD6ED" w:rsidR="003E573C" w:rsidRDefault="003E573C" w:rsidP="003E573C">
      <w:pPr>
        <w:rPr>
          <w:rFonts w:cs="Arial"/>
        </w:rPr>
      </w:pPr>
      <w:r>
        <w:rPr>
          <w:rFonts w:cs="Arial"/>
        </w:rPr>
        <w:t>&lt;ESA_QUESTION_</w:t>
      </w:r>
      <w:r w:rsidR="00C86E1C">
        <w:rPr>
          <w:rFonts w:cs="Arial"/>
        </w:rPr>
        <w:t>ESG</w:t>
      </w:r>
      <w:r>
        <w:rPr>
          <w:rFonts w:cs="Arial"/>
        </w:rPr>
        <w:t>_15&gt;</w:t>
      </w:r>
    </w:p>
    <w:p w14:paraId="55632F50" w14:textId="77777777" w:rsidR="00D62485" w:rsidRPr="002923CF" w:rsidRDefault="00D62485" w:rsidP="00D62485">
      <w:pPr>
        <w:pStyle w:val="Default"/>
        <w:spacing w:line="280" w:lineRule="atLeast"/>
        <w:jc w:val="both"/>
        <w:rPr>
          <w:rFonts w:ascii="Gill Sans MT" w:hAnsi="Gill Sans MT"/>
          <w:sz w:val="21"/>
          <w:szCs w:val="22"/>
          <w:lang w:val="en-US"/>
        </w:rPr>
      </w:pPr>
      <w:permStart w:id="1271138379" w:edGrp="everyone"/>
      <w:r w:rsidRPr="002923CF">
        <w:rPr>
          <w:rFonts w:ascii="Gill Sans MT" w:hAnsi="Gill Sans MT"/>
          <w:sz w:val="21"/>
          <w:szCs w:val="22"/>
          <w:lang w:val="en-US"/>
        </w:rPr>
        <w:t>F</w:t>
      </w:r>
      <w:r>
        <w:rPr>
          <w:rFonts w:ascii="Gill Sans MT" w:hAnsi="Gill Sans MT"/>
          <w:sz w:val="21"/>
          <w:szCs w:val="22"/>
          <w:lang w:val="en-US"/>
        </w:rPr>
        <w:t>inancial market participants a</w:t>
      </w:r>
      <w:r w:rsidRPr="002923CF">
        <w:rPr>
          <w:rFonts w:ascii="Gill Sans MT" w:hAnsi="Gill Sans MT"/>
          <w:sz w:val="21"/>
          <w:szCs w:val="22"/>
          <w:lang w:val="en-US"/>
        </w:rPr>
        <w:t xml:space="preserve">re both the providers and users of this information. </w:t>
      </w:r>
      <w:r>
        <w:rPr>
          <w:rFonts w:ascii="Gill Sans MT" w:hAnsi="Gill Sans MT"/>
          <w:sz w:val="21"/>
          <w:szCs w:val="22"/>
          <w:lang w:val="en-US"/>
        </w:rPr>
        <w:t>We believe that there should be l</w:t>
      </w:r>
      <w:r w:rsidRPr="002923CF">
        <w:rPr>
          <w:rFonts w:ascii="Gill Sans MT" w:hAnsi="Gill Sans MT"/>
          <w:sz w:val="21"/>
          <w:szCs w:val="22"/>
          <w:lang w:val="en-US"/>
        </w:rPr>
        <w:t xml:space="preserve">ess pre-contractual </w:t>
      </w:r>
      <w:r>
        <w:rPr>
          <w:rFonts w:ascii="Gill Sans MT" w:hAnsi="Gill Sans MT"/>
          <w:sz w:val="21"/>
          <w:szCs w:val="22"/>
          <w:lang w:val="en-US"/>
        </w:rPr>
        <w:t xml:space="preserve">information in client documentation in order </w:t>
      </w:r>
      <w:r w:rsidRPr="002923CF">
        <w:rPr>
          <w:rFonts w:ascii="Gill Sans MT" w:hAnsi="Gill Sans MT"/>
          <w:sz w:val="21"/>
          <w:szCs w:val="22"/>
          <w:lang w:val="en-US"/>
        </w:rPr>
        <w:t>to prevent info</w:t>
      </w:r>
      <w:r>
        <w:rPr>
          <w:rFonts w:ascii="Gill Sans MT" w:hAnsi="Gill Sans MT"/>
          <w:sz w:val="21"/>
          <w:szCs w:val="22"/>
          <w:lang w:val="en-US"/>
        </w:rPr>
        <w:t>rmation</w:t>
      </w:r>
      <w:r w:rsidRPr="002923CF">
        <w:rPr>
          <w:rFonts w:ascii="Gill Sans MT" w:hAnsi="Gill Sans MT"/>
          <w:sz w:val="21"/>
          <w:szCs w:val="22"/>
          <w:lang w:val="en-US"/>
        </w:rPr>
        <w:t xml:space="preserve"> overload and </w:t>
      </w:r>
      <w:r>
        <w:rPr>
          <w:rFonts w:ascii="Gill Sans MT" w:hAnsi="Gill Sans MT"/>
          <w:sz w:val="21"/>
          <w:szCs w:val="22"/>
          <w:lang w:val="en-US"/>
        </w:rPr>
        <w:t xml:space="preserve">to have </w:t>
      </w:r>
      <w:r w:rsidRPr="002923CF">
        <w:rPr>
          <w:rFonts w:ascii="Gill Sans MT" w:hAnsi="Gill Sans MT"/>
          <w:sz w:val="21"/>
          <w:szCs w:val="22"/>
          <w:lang w:val="en-US"/>
        </w:rPr>
        <w:t xml:space="preserve">more disclosures on </w:t>
      </w:r>
      <w:r>
        <w:rPr>
          <w:rFonts w:ascii="Gill Sans MT" w:hAnsi="Gill Sans MT"/>
          <w:sz w:val="21"/>
          <w:szCs w:val="22"/>
          <w:lang w:val="en-US"/>
        </w:rPr>
        <w:t xml:space="preserve">the financial market participant </w:t>
      </w:r>
      <w:r w:rsidRPr="002923CF">
        <w:rPr>
          <w:rFonts w:ascii="Gill Sans MT" w:hAnsi="Gill Sans MT"/>
          <w:sz w:val="21"/>
          <w:szCs w:val="22"/>
          <w:lang w:val="en-US"/>
        </w:rPr>
        <w:t xml:space="preserve">website. </w:t>
      </w:r>
      <w:r w:rsidRPr="00CE40BA">
        <w:rPr>
          <w:rFonts w:ascii="Gill Sans MT" w:hAnsi="Gill Sans MT"/>
          <w:sz w:val="21"/>
          <w:szCs w:val="22"/>
          <w:lang w:val="en-US"/>
        </w:rPr>
        <w:t>Because parts of this information changes rapidly over time</w:t>
      </w:r>
      <w:r>
        <w:rPr>
          <w:rFonts w:ascii="Gill Sans MT" w:hAnsi="Gill Sans MT"/>
          <w:sz w:val="21"/>
          <w:szCs w:val="22"/>
          <w:lang w:val="en-US"/>
        </w:rPr>
        <w:t xml:space="preserve">, this </w:t>
      </w:r>
      <w:r w:rsidRPr="00CE40BA">
        <w:rPr>
          <w:rFonts w:ascii="Gill Sans MT" w:hAnsi="Gill Sans MT"/>
          <w:sz w:val="21"/>
          <w:szCs w:val="22"/>
          <w:lang w:val="en-US"/>
        </w:rPr>
        <w:t xml:space="preserve">means that we </w:t>
      </w:r>
      <w:r>
        <w:rPr>
          <w:rFonts w:ascii="Gill Sans MT" w:hAnsi="Gill Sans MT"/>
          <w:sz w:val="21"/>
          <w:szCs w:val="22"/>
          <w:lang w:val="en-US"/>
        </w:rPr>
        <w:t xml:space="preserve">may need to </w:t>
      </w:r>
      <w:r w:rsidRPr="00CE40BA">
        <w:rPr>
          <w:rFonts w:ascii="Gill Sans MT" w:hAnsi="Gill Sans MT"/>
          <w:sz w:val="21"/>
          <w:szCs w:val="22"/>
          <w:lang w:val="en-US"/>
        </w:rPr>
        <w:t xml:space="preserve">change the prospectus </w:t>
      </w:r>
      <w:r>
        <w:rPr>
          <w:rFonts w:ascii="Gill Sans MT" w:hAnsi="Gill Sans MT"/>
          <w:sz w:val="21"/>
          <w:szCs w:val="22"/>
          <w:lang w:val="en-US"/>
        </w:rPr>
        <w:t xml:space="preserve">each and </w:t>
      </w:r>
      <w:r w:rsidRPr="00CE40BA">
        <w:rPr>
          <w:rFonts w:ascii="Gill Sans MT" w:hAnsi="Gill Sans MT"/>
          <w:sz w:val="21"/>
          <w:szCs w:val="22"/>
          <w:lang w:val="en-US"/>
        </w:rPr>
        <w:t>every time</w:t>
      </w:r>
      <w:r>
        <w:rPr>
          <w:rFonts w:ascii="Gill Sans MT" w:hAnsi="Gill Sans MT"/>
          <w:sz w:val="21"/>
          <w:szCs w:val="22"/>
          <w:lang w:val="en-US"/>
        </w:rPr>
        <w:t xml:space="preserve">, this may be another reason why not to put too much disclosures in client documentation. </w:t>
      </w:r>
    </w:p>
    <w:permEnd w:id="1271138379"/>
    <w:p w14:paraId="5A098E3E" w14:textId="2E81C49D" w:rsidR="003E573C" w:rsidRDefault="003E573C" w:rsidP="003E573C">
      <w:pPr>
        <w:rPr>
          <w:rFonts w:cs="Arial"/>
        </w:rPr>
      </w:pPr>
      <w:r>
        <w:rPr>
          <w:rFonts w:cs="Arial"/>
        </w:rPr>
        <w:t>&lt;ESA_QUESTION_</w:t>
      </w:r>
      <w:r w:rsidR="00C86E1C">
        <w:rPr>
          <w:rFonts w:cs="Arial"/>
        </w:rPr>
        <w:t>ESG</w:t>
      </w:r>
      <w:r>
        <w:rPr>
          <w:rFonts w:cs="Arial"/>
        </w:rPr>
        <w:t>_15&gt;</w:t>
      </w:r>
    </w:p>
    <w:p w14:paraId="3BA2B6C4" w14:textId="77777777" w:rsidR="003E573C" w:rsidRDefault="003E573C" w:rsidP="003E573C">
      <w:pPr>
        <w:rPr>
          <w:rFonts w:cs="Arial"/>
        </w:rPr>
      </w:pPr>
    </w:p>
    <w:p w14:paraId="6C4A59AA" w14:textId="241CEA66" w:rsidR="003E573C" w:rsidRDefault="003E573C" w:rsidP="003E573C">
      <w:pPr>
        <w:pStyle w:val="Questionstyle"/>
        <w:numPr>
          <w:ilvl w:val="0"/>
          <w:numId w:val="39"/>
        </w:numPr>
      </w:pPr>
      <w:r>
        <w:lastRenderedPageBreak/>
        <w:t xml:space="preserve">: </w:t>
      </w:r>
      <w:r w:rsidR="002A73F1" w:rsidRPr="002A73F1">
        <w:t>Do you think the differences between Article 8 and Article 9 products are sufficiently well captured by the proposed provisions? If not, please suggest how the disclosures could be further distinguished.</w:t>
      </w:r>
    </w:p>
    <w:p w14:paraId="7B5EAE23" w14:textId="6B08695F" w:rsidR="003E573C" w:rsidRDefault="003E573C" w:rsidP="003E573C">
      <w:pPr>
        <w:rPr>
          <w:rFonts w:cs="Arial"/>
        </w:rPr>
      </w:pPr>
      <w:r>
        <w:rPr>
          <w:rFonts w:cs="Arial"/>
        </w:rPr>
        <w:t>&lt;ESA_QUESTION_</w:t>
      </w:r>
      <w:r w:rsidR="00C86E1C">
        <w:rPr>
          <w:rFonts w:cs="Arial"/>
        </w:rPr>
        <w:t>ESG</w:t>
      </w:r>
      <w:r>
        <w:rPr>
          <w:rFonts w:cs="Arial"/>
        </w:rPr>
        <w:t>_16&gt;</w:t>
      </w:r>
    </w:p>
    <w:p w14:paraId="31E5F324" w14:textId="77777777" w:rsidR="007D1315" w:rsidRPr="007D1315" w:rsidRDefault="007D1315" w:rsidP="007D1315">
      <w:pPr>
        <w:pStyle w:val="Default"/>
        <w:rPr>
          <w:rFonts w:ascii="Gill Sans MT" w:hAnsi="Gill Sans MT"/>
          <w:b/>
          <w:bCs/>
          <w:i/>
          <w:iCs/>
          <w:sz w:val="21"/>
          <w:szCs w:val="22"/>
          <w:lang w:val="en-US"/>
        </w:rPr>
      </w:pPr>
      <w:permStart w:id="739535953" w:edGrp="everyone"/>
      <w:r w:rsidRPr="007D1315">
        <w:rPr>
          <w:rFonts w:ascii="Gill Sans MT" w:hAnsi="Gill Sans MT"/>
          <w:b/>
          <w:bCs/>
          <w:i/>
          <w:iCs/>
          <w:sz w:val="21"/>
          <w:szCs w:val="22"/>
          <w:lang w:val="en-US"/>
        </w:rPr>
        <w:t>General observations</w:t>
      </w:r>
    </w:p>
    <w:p w14:paraId="5DAD834B" w14:textId="77777777" w:rsidR="007D1315" w:rsidRPr="007D1315" w:rsidRDefault="007D1315" w:rsidP="007D1315">
      <w:pPr>
        <w:pStyle w:val="Default"/>
        <w:spacing w:line="280" w:lineRule="atLeast"/>
        <w:jc w:val="both"/>
        <w:rPr>
          <w:rFonts w:ascii="Gill Sans MT" w:hAnsi="Gill Sans MT"/>
          <w:sz w:val="21"/>
          <w:szCs w:val="22"/>
          <w:lang w:val="en-US"/>
        </w:rPr>
      </w:pPr>
      <w:r w:rsidRPr="007D1315">
        <w:rPr>
          <w:rFonts w:ascii="Gill Sans MT" w:hAnsi="Gill Sans MT"/>
          <w:sz w:val="21"/>
          <w:szCs w:val="22"/>
          <w:lang w:val="en-US"/>
        </w:rPr>
        <w:t>First of all, we believe that is positive that in the recitals of the draft RTS some more guidance is given on the product classification (18-22). Clarity on the scope of product with environmental and social characteristics (art 8) and products with an sustainable investment as objective (art 9) ultimately helps to increase comparability between sustainable funds and address ‘greenwashing’. Whilst both templates of art. 8 and art. 9 are not made available yet for consultation, the difference may not be fully captured, although we acknowledge that the draft RTS SFDR does contain the disclosure requirements for both type of products. The differences therefore between article 8 and 9 could be more clearly explained, also to avoid different interpretations across Member States. Setting an uniform EU definition is of crucial importance here.</w:t>
      </w:r>
    </w:p>
    <w:p w14:paraId="6492BE91" w14:textId="77777777" w:rsidR="007D1315" w:rsidRPr="007D1315" w:rsidRDefault="007D1315" w:rsidP="007D1315">
      <w:pPr>
        <w:pStyle w:val="Default"/>
        <w:spacing w:line="280" w:lineRule="atLeast"/>
        <w:jc w:val="both"/>
        <w:rPr>
          <w:rFonts w:ascii="Gill Sans MT" w:hAnsi="Gill Sans MT"/>
          <w:sz w:val="21"/>
          <w:szCs w:val="22"/>
          <w:lang w:val="en-US"/>
        </w:rPr>
      </w:pPr>
    </w:p>
    <w:p w14:paraId="6CA5B736" w14:textId="4F116238" w:rsidR="007D1315" w:rsidRPr="007D1315" w:rsidRDefault="007D1315" w:rsidP="007D1315">
      <w:pPr>
        <w:pStyle w:val="Default"/>
        <w:spacing w:line="280" w:lineRule="atLeast"/>
        <w:jc w:val="both"/>
        <w:rPr>
          <w:rFonts w:ascii="Gill Sans MT" w:hAnsi="Gill Sans MT"/>
          <w:sz w:val="21"/>
          <w:szCs w:val="22"/>
          <w:lang w:val="en-US"/>
        </w:rPr>
      </w:pPr>
      <w:r w:rsidRPr="007D1315">
        <w:rPr>
          <w:rFonts w:ascii="Gill Sans MT" w:hAnsi="Gill Sans MT"/>
          <w:sz w:val="21"/>
          <w:szCs w:val="22"/>
          <w:lang w:val="en-US"/>
        </w:rPr>
        <w:t xml:space="preserve">Secondly, we believe that the product classification under SFDR should not discourage managers of funds that are not specifically marketed as sustainable (‘growth funds’) to integrate a broad spectrum of ESG. These should not necessarily be limited to just some baseline environmental or social safeguards as recital 22 points out. Investment managers that currently apply a more sophisticated ESG approach across all their strategies, i.e. not only exclusions, but also ESG information integration in investment decisions, voting/engagement </w:t>
      </w:r>
      <w:proofErr w:type="spellStart"/>
      <w:r w:rsidRPr="007D1315">
        <w:rPr>
          <w:rFonts w:ascii="Gill Sans MT" w:hAnsi="Gill Sans MT"/>
          <w:sz w:val="21"/>
          <w:szCs w:val="22"/>
          <w:lang w:val="en-US"/>
        </w:rPr>
        <w:t>etc</w:t>
      </w:r>
      <w:proofErr w:type="spellEnd"/>
      <w:r w:rsidRPr="007D1315">
        <w:rPr>
          <w:rFonts w:ascii="Gill Sans MT" w:hAnsi="Gill Sans MT"/>
          <w:sz w:val="21"/>
          <w:szCs w:val="22"/>
          <w:lang w:val="en-US"/>
        </w:rPr>
        <w:t xml:space="preserve">, should be allowed to continue to do so - including for their funds </w:t>
      </w:r>
      <w:r w:rsidR="00041746">
        <w:rPr>
          <w:rFonts w:ascii="Gill Sans MT" w:hAnsi="Gill Sans MT"/>
          <w:sz w:val="21"/>
          <w:szCs w:val="22"/>
          <w:lang w:val="en-US"/>
        </w:rPr>
        <w:t xml:space="preserve">that </w:t>
      </w:r>
      <w:r w:rsidRPr="007D1315">
        <w:rPr>
          <w:rFonts w:ascii="Gill Sans MT" w:hAnsi="Gill Sans MT"/>
          <w:sz w:val="21"/>
          <w:szCs w:val="22"/>
          <w:lang w:val="en-US"/>
        </w:rPr>
        <w:t xml:space="preserve">do not fall under art 8 and art 9 categories. After all, the overall purpose of Sustainable Finance is to facilitate sustainable investing and not force market participants to reduce on sensible ESG practices for some products. </w:t>
      </w:r>
    </w:p>
    <w:p w14:paraId="2C727A18" w14:textId="77777777" w:rsidR="007D1315" w:rsidRPr="007D1315" w:rsidRDefault="007D1315" w:rsidP="007D1315">
      <w:pPr>
        <w:pStyle w:val="Default"/>
        <w:spacing w:line="280" w:lineRule="atLeast"/>
        <w:jc w:val="both"/>
        <w:rPr>
          <w:rFonts w:ascii="Gill Sans MT" w:hAnsi="Gill Sans MT"/>
          <w:sz w:val="21"/>
          <w:szCs w:val="22"/>
          <w:lang w:val="en-US"/>
        </w:rPr>
      </w:pPr>
    </w:p>
    <w:p w14:paraId="3EC2BEB7" w14:textId="3E89C34F" w:rsidR="007D1315" w:rsidRPr="007D1315" w:rsidRDefault="007D1315" w:rsidP="007D1315">
      <w:pPr>
        <w:pStyle w:val="Default"/>
        <w:spacing w:line="280" w:lineRule="atLeast"/>
        <w:jc w:val="both"/>
        <w:rPr>
          <w:rFonts w:ascii="Gill Sans MT" w:hAnsi="Gill Sans MT"/>
          <w:sz w:val="21"/>
          <w:szCs w:val="22"/>
          <w:lang w:val="en-US"/>
        </w:rPr>
      </w:pPr>
      <w:r w:rsidRPr="007D1315">
        <w:rPr>
          <w:rFonts w:ascii="Gill Sans MT" w:hAnsi="Gill Sans MT"/>
          <w:sz w:val="21"/>
          <w:szCs w:val="22"/>
          <w:lang w:val="en-US"/>
        </w:rPr>
        <w:t xml:space="preserve">Therefore we propose to adjust recital 22 as follows: “(22) </w:t>
      </w:r>
      <w:r w:rsidRPr="007D1315">
        <w:rPr>
          <w:rFonts w:ascii="Gill Sans MT" w:hAnsi="Gill Sans MT"/>
          <w:i/>
          <w:iCs/>
          <w:sz w:val="21"/>
          <w:szCs w:val="22"/>
          <w:lang w:val="en-US"/>
        </w:rPr>
        <w:t xml:space="preserve">As regards products </w:t>
      </w:r>
      <w:r w:rsidRPr="007D1315">
        <w:rPr>
          <w:rFonts w:ascii="Gill Sans MT" w:hAnsi="Gill Sans MT"/>
          <w:i/>
          <w:iCs/>
          <w:strike/>
          <w:sz w:val="21"/>
          <w:szCs w:val="22"/>
          <w:lang w:val="en-US"/>
        </w:rPr>
        <w:t>investments</w:t>
      </w:r>
      <w:r w:rsidRPr="007D1315">
        <w:rPr>
          <w:rFonts w:ascii="Gill Sans MT" w:hAnsi="Gill Sans MT"/>
          <w:i/>
          <w:iCs/>
          <w:sz w:val="21"/>
          <w:szCs w:val="22"/>
          <w:lang w:val="en-US"/>
        </w:rPr>
        <w:t xml:space="preserve"> that do not qualify as sustainable or as contributing to the environmental or social characteristics </w:t>
      </w:r>
      <w:r w:rsidRPr="007D1315">
        <w:rPr>
          <w:rFonts w:ascii="Gill Sans MT" w:hAnsi="Gill Sans MT"/>
          <w:i/>
          <w:iCs/>
          <w:strike/>
          <w:sz w:val="21"/>
          <w:szCs w:val="22"/>
          <w:lang w:val="en-US"/>
        </w:rPr>
        <w:t>promoted by the financial product</w:t>
      </w:r>
      <w:r w:rsidRPr="007D1315">
        <w:rPr>
          <w:rFonts w:ascii="Gill Sans MT" w:hAnsi="Gill Sans MT"/>
          <w:i/>
          <w:iCs/>
          <w:sz w:val="21"/>
          <w:szCs w:val="22"/>
          <w:lang w:val="en-US"/>
        </w:rPr>
        <w:t xml:space="preserve"> and are not marketed as such, financial market participants may decide to apply some </w:t>
      </w:r>
      <w:r w:rsidRPr="007D1315">
        <w:rPr>
          <w:rFonts w:ascii="Gill Sans MT" w:hAnsi="Gill Sans MT"/>
          <w:i/>
          <w:iCs/>
          <w:strike/>
          <w:sz w:val="21"/>
          <w:szCs w:val="22"/>
          <w:lang w:val="en-US"/>
        </w:rPr>
        <w:t>baseline</w:t>
      </w:r>
      <w:r w:rsidRPr="007D1315">
        <w:rPr>
          <w:rFonts w:ascii="Gill Sans MT" w:hAnsi="Gill Sans MT"/>
          <w:i/>
          <w:iCs/>
          <w:sz w:val="21"/>
          <w:szCs w:val="22"/>
          <w:lang w:val="en-US"/>
        </w:rPr>
        <w:t xml:space="preserve"> broad environmental and/or social overlays</w:t>
      </w:r>
      <w:r w:rsidRPr="007D1315">
        <w:rPr>
          <w:rFonts w:ascii="Gill Sans MT" w:hAnsi="Gill Sans MT"/>
          <w:i/>
          <w:iCs/>
          <w:sz w:val="21"/>
          <w:szCs w:val="22"/>
          <w:u w:val="single"/>
          <w:lang w:val="en-US"/>
        </w:rPr>
        <w:t xml:space="preserve"> </w:t>
      </w:r>
      <w:r w:rsidRPr="007D1315">
        <w:rPr>
          <w:rFonts w:ascii="Gill Sans MT" w:hAnsi="Gill Sans MT"/>
          <w:i/>
          <w:iCs/>
          <w:strike/>
          <w:sz w:val="21"/>
          <w:szCs w:val="22"/>
          <w:u w:val="single"/>
          <w:lang w:val="en-US"/>
        </w:rPr>
        <w:t>safeguards</w:t>
      </w:r>
      <w:r w:rsidRPr="007D1315">
        <w:rPr>
          <w:rFonts w:ascii="Gill Sans MT" w:hAnsi="Gill Sans MT"/>
          <w:i/>
          <w:iCs/>
          <w:sz w:val="21"/>
          <w:szCs w:val="22"/>
          <w:lang w:val="en-US"/>
        </w:rPr>
        <w:t>. These may vary in terms of intensity, depending the market participant’s overall approach towards ESG.  Financial market participants should explain those overlays</w:t>
      </w:r>
      <w:r w:rsidRPr="007D1315">
        <w:rPr>
          <w:rFonts w:ascii="Gill Sans MT" w:hAnsi="Gill Sans MT"/>
          <w:sz w:val="21"/>
          <w:szCs w:val="22"/>
          <w:lang w:val="en-US"/>
        </w:rPr>
        <w:t xml:space="preserve">.” </w:t>
      </w:r>
    </w:p>
    <w:p w14:paraId="501B3DB5" w14:textId="77777777" w:rsidR="007D1315" w:rsidRPr="007D1315" w:rsidRDefault="007D1315" w:rsidP="007D1315">
      <w:pPr>
        <w:pStyle w:val="Default"/>
        <w:spacing w:line="280" w:lineRule="atLeast"/>
        <w:jc w:val="both"/>
        <w:rPr>
          <w:rFonts w:ascii="Gill Sans MT" w:hAnsi="Gill Sans MT"/>
          <w:sz w:val="21"/>
          <w:szCs w:val="22"/>
          <w:lang w:val="en-US"/>
        </w:rPr>
      </w:pPr>
      <w:r w:rsidRPr="007D1315">
        <w:rPr>
          <w:rFonts w:ascii="Gill Sans MT" w:hAnsi="Gill Sans MT"/>
          <w:sz w:val="21"/>
          <w:szCs w:val="22"/>
          <w:lang w:val="en-US"/>
        </w:rPr>
        <w:br/>
        <w:t>Thirdly, given the clarification of the ESAs in the RTS SFRD, it seems that art. 9 products not only include sustainable investment products with a reference benchmark, but more market wide benchmarks. Furthermore, art. 9 products do not seem to only relate to products with a passive investment strategy, but also with an active strategy with a market wide benchmark. Art 9 SFDR suggests that when an index has been designated as a reference benchmark for a fund, this index should differ from a broad market index. However, page 10 of the consultation paper seems to suggests that this only applies to passive funds and that active funds can still use a broad market index. In our understanding even when they make ‘use’ of a benchmark as defined in EU Benchmark Regulation (BMR). Recital 28 of the SFDR RTS uses the phrase: ‘portfolios that match a sustainability-related index’ when it comes to article 9. This makes the scope even more unclear since ‘match’ is an undefined term under BMR and the UCITS Directive. More clarity would be welcome on this point.</w:t>
      </w:r>
    </w:p>
    <w:p w14:paraId="401B30AE" w14:textId="77777777" w:rsidR="007D1315" w:rsidRPr="007D1315" w:rsidRDefault="007D1315" w:rsidP="007D1315">
      <w:pPr>
        <w:pStyle w:val="Default"/>
        <w:spacing w:line="280" w:lineRule="atLeast"/>
        <w:jc w:val="both"/>
        <w:rPr>
          <w:rFonts w:ascii="Gill Sans MT" w:hAnsi="Gill Sans MT"/>
          <w:sz w:val="21"/>
          <w:szCs w:val="22"/>
          <w:lang w:val="en-US"/>
        </w:rPr>
      </w:pPr>
    </w:p>
    <w:p w14:paraId="6E275A93" w14:textId="77777777" w:rsidR="007D1315" w:rsidRPr="007D1315" w:rsidRDefault="007D1315" w:rsidP="007D1315">
      <w:pPr>
        <w:pStyle w:val="Default"/>
        <w:spacing w:line="280" w:lineRule="atLeast"/>
        <w:jc w:val="both"/>
        <w:rPr>
          <w:rFonts w:ascii="Gill Sans MT" w:hAnsi="Gill Sans MT"/>
          <w:sz w:val="21"/>
          <w:szCs w:val="22"/>
          <w:lang w:val="en-US"/>
        </w:rPr>
      </w:pPr>
      <w:r w:rsidRPr="007D1315">
        <w:rPr>
          <w:rFonts w:ascii="Gill Sans MT" w:hAnsi="Gill Sans MT"/>
          <w:sz w:val="21"/>
          <w:szCs w:val="22"/>
          <w:lang w:val="en-US"/>
        </w:rPr>
        <w:t xml:space="preserve">Fourthly, key element in order to qualify under art. 8 products is the </w:t>
      </w:r>
      <w:r w:rsidRPr="007D1315">
        <w:rPr>
          <w:rFonts w:ascii="Gill Sans MT" w:hAnsi="Gill Sans MT"/>
          <w:i/>
          <w:iCs/>
          <w:sz w:val="21"/>
          <w:szCs w:val="22"/>
          <w:lang w:val="en-US"/>
        </w:rPr>
        <w:t xml:space="preserve">promotion </w:t>
      </w:r>
      <w:r w:rsidRPr="007D1315">
        <w:rPr>
          <w:rFonts w:ascii="Gill Sans MT" w:hAnsi="Gill Sans MT"/>
          <w:sz w:val="21"/>
          <w:szCs w:val="22"/>
          <w:lang w:val="en-US"/>
        </w:rPr>
        <w:t>of financial products with ESG characteristics. Draft recital (21) SFDR RTS provides that “</w:t>
      </w:r>
      <w:r w:rsidRPr="007D1315">
        <w:rPr>
          <w:rFonts w:ascii="Gill Sans MT" w:hAnsi="Gill Sans MT"/>
          <w:i/>
          <w:iCs/>
          <w:sz w:val="21"/>
          <w:szCs w:val="22"/>
          <w:lang w:val="en-US"/>
        </w:rPr>
        <w:t xml:space="preserve">Financial products with environmental or social characteristics should be considered to be promoting, among other characteristics, environmental or social characteristics, or a </w:t>
      </w:r>
      <w:r w:rsidRPr="007D1315">
        <w:rPr>
          <w:rFonts w:ascii="Gill Sans MT" w:hAnsi="Gill Sans MT"/>
          <w:i/>
          <w:iCs/>
          <w:sz w:val="21"/>
          <w:szCs w:val="22"/>
          <w:lang w:val="en-US"/>
        </w:rPr>
        <w:lastRenderedPageBreak/>
        <w:t>combination thereof, when information provided to clients, in marketing communications or in mandatory investor disclosures or as part of a process of automatic enrolment in an IORP, references sustainability factors that are taken in consideration when allocating the capital invested of the product</w:t>
      </w:r>
      <w:r w:rsidRPr="007D1315">
        <w:rPr>
          <w:rFonts w:ascii="Gill Sans MT" w:hAnsi="Gill Sans MT"/>
          <w:sz w:val="21"/>
          <w:szCs w:val="22"/>
          <w:lang w:val="en-US"/>
        </w:rPr>
        <w:t xml:space="preserve">.’ </w:t>
      </w:r>
    </w:p>
    <w:p w14:paraId="76CAB1A9" w14:textId="77777777" w:rsidR="007D1315" w:rsidRPr="007D1315" w:rsidRDefault="007D1315" w:rsidP="007D1315">
      <w:pPr>
        <w:jc w:val="both"/>
        <w:rPr>
          <w:rFonts w:ascii="Gill Sans MT" w:hAnsi="Gill Sans MT"/>
          <w:sz w:val="21"/>
          <w:lang w:val="en-US"/>
        </w:rPr>
      </w:pPr>
    </w:p>
    <w:p w14:paraId="590E8EC3" w14:textId="2F7E128E" w:rsidR="007D1315" w:rsidRPr="007D1315" w:rsidRDefault="007D1315" w:rsidP="007D1315">
      <w:pPr>
        <w:jc w:val="both"/>
        <w:rPr>
          <w:rFonts w:ascii="Gill Sans MT" w:hAnsi="Gill Sans MT"/>
          <w:sz w:val="21"/>
          <w:lang w:val="en-US"/>
        </w:rPr>
      </w:pPr>
      <w:r w:rsidRPr="007D1315">
        <w:rPr>
          <w:rFonts w:ascii="Gill Sans MT" w:hAnsi="Gill Sans MT"/>
          <w:sz w:val="21"/>
          <w:lang w:val="en-US"/>
        </w:rPr>
        <w:t xml:space="preserve">DUFAS has the following comments </w:t>
      </w:r>
      <w:r w:rsidR="00126E09">
        <w:rPr>
          <w:rFonts w:ascii="Gill Sans MT" w:hAnsi="Gill Sans MT"/>
          <w:sz w:val="21"/>
          <w:lang w:val="en-US"/>
        </w:rPr>
        <w:t>i</w:t>
      </w:r>
      <w:r w:rsidRPr="007D1315">
        <w:rPr>
          <w:rFonts w:ascii="Gill Sans MT" w:hAnsi="Gill Sans MT"/>
          <w:sz w:val="21"/>
          <w:lang w:val="en-US"/>
        </w:rPr>
        <w:t xml:space="preserve">n the way the ESAs provide some context around ‘promotion’. </w:t>
      </w:r>
    </w:p>
    <w:p w14:paraId="21C47EEA" w14:textId="77777777" w:rsidR="00126E09" w:rsidRDefault="00126E09" w:rsidP="007D1315">
      <w:pPr>
        <w:jc w:val="both"/>
        <w:rPr>
          <w:rFonts w:ascii="Gill Sans MT" w:hAnsi="Gill Sans MT"/>
          <w:i/>
          <w:iCs/>
          <w:sz w:val="21"/>
          <w:lang w:val="en-US"/>
        </w:rPr>
      </w:pPr>
    </w:p>
    <w:p w14:paraId="1E87BE1C" w14:textId="5C04086F" w:rsidR="007D1315" w:rsidRPr="007D1315" w:rsidRDefault="007D1315" w:rsidP="00522160">
      <w:pPr>
        <w:spacing w:line="280" w:lineRule="atLeast"/>
        <w:jc w:val="both"/>
        <w:rPr>
          <w:rFonts w:ascii="Gill Sans MT" w:hAnsi="Gill Sans MT"/>
          <w:i/>
          <w:iCs/>
          <w:sz w:val="21"/>
          <w:lang w:val="en-US"/>
        </w:rPr>
      </w:pPr>
      <w:r w:rsidRPr="007D1315">
        <w:rPr>
          <w:rFonts w:ascii="Gill Sans MT" w:hAnsi="Gill Sans MT"/>
          <w:i/>
          <w:iCs/>
          <w:sz w:val="21"/>
          <w:lang w:val="en-US"/>
        </w:rPr>
        <w:t>Discretion to financial market participant</w:t>
      </w:r>
    </w:p>
    <w:p w14:paraId="589507E5" w14:textId="29C6D7DB" w:rsidR="007D1315" w:rsidRDefault="00DB318F" w:rsidP="00522160">
      <w:pPr>
        <w:spacing w:line="280" w:lineRule="atLeast"/>
        <w:jc w:val="both"/>
        <w:rPr>
          <w:rFonts w:ascii="Gill Sans MT" w:hAnsi="Gill Sans MT"/>
          <w:sz w:val="21"/>
          <w:lang w:val="en-US"/>
        </w:rPr>
      </w:pPr>
      <w:r>
        <w:rPr>
          <w:rFonts w:ascii="Gill Sans MT" w:hAnsi="Gill Sans MT"/>
          <w:sz w:val="21"/>
          <w:lang w:val="en-US"/>
        </w:rPr>
        <w:t>W</w:t>
      </w:r>
      <w:r w:rsidR="007D1315" w:rsidRPr="007D1315">
        <w:rPr>
          <w:rFonts w:ascii="Gill Sans MT" w:hAnsi="Gill Sans MT"/>
          <w:sz w:val="21"/>
          <w:lang w:val="en-US"/>
        </w:rPr>
        <w:t xml:space="preserve">e are of the opinion that </w:t>
      </w:r>
      <w:r w:rsidR="007D1315" w:rsidRPr="007D1315">
        <w:rPr>
          <w:rFonts w:ascii="Gill Sans MT" w:hAnsi="Gill Sans MT"/>
          <w:b/>
          <w:bCs/>
          <w:sz w:val="21"/>
          <w:lang w:val="en-US"/>
        </w:rPr>
        <w:t xml:space="preserve">not each reference to </w:t>
      </w:r>
      <w:r w:rsidR="007D1315" w:rsidRPr="007D1315">
        <w:rPr>
          <w:rFonts w:ascii="Gill Sans MT" w:hAnsi="Gill Sans MT"/>
          <w:b/>
          <w:bCs/>
          <w:i/>
          <w:iCs/>
          <w:sz w:val="21"/>
          <w:lang w:val="en-US"/>
        </w:rPr>
        <w:t xml:space="preserve">environmental or social characteristics </w:t>
      </w:r>
      <w:r w:rsidR="007D1315" w:rsidRPr="007D1315">
        <w:rPr>
          <w:rFonts w:ascii="Gill Sans MT" w:hAnsi="Gill Sans MT"/>
          <w:b/>
          <w:bCs/>
          <w:sz w:val="21"/>
          <w:lang w:val="en-US"/>
        </w:rPr>
        <w:t>in a mandatory investor disclosure of a financial product should considered to be ‘promotion’ within the meaning of article 8 SFDR.</w:t>
      </w:r>
      <w:r w:rsidR="007D1315" w:rsidRPr="007D1315">
        <w:rPr>
          <w:rFonts w:ascii="Gill Sans MT" w:hAnsi="Gill Sans MT"/>
          <w:sz w:val="21"/>
          <w:lang w:val="en-US"/>
        </w:rPr>
        <w:t xml:space="preserve"> In that respect ‘promotion’ is defined in a too broad manner, as recital (21) draft RTS seems to capture any and all mandatory investor disclosure. </w:t>
      </w:r>
      <w:r w:rsidR="007D1315" w:rsidRPr="007D1315">
        <w:rPr>
          <w:rFonts w:ascii="Gill Sans MT" w:hAnsi="Gill Sans MT"/>
          <w:b/>
          <w:bCs/>
          <w:sz w:val="21"/>
          <w:lang w:val="en-US"/>
        </w:rPr>
        <w:t xml:space="preserve">It is in that respect up to the financial market participant to expressly indicate whether or not they promote </w:t>
      </w:r>
      <w:r w:rsidR="007D1315" w:rsidRPr="007D1315">
        <w:rPr>
          <w:rFonts w:ascii="Gill Sans MT" w:hAnsi="Gill Sans MT"/>
          <w:b/>
          <w:bCs/>
          <w:i/>
          <w:iCs/>
          <w:sz w:val="21"/>
          <w:lang w:val="en-US"/>
        </w:rPr>
        <w:t xml:space="preserve">environmental or social characteristics </w:t>
      </w:r>
      <w:r w:rsidR="007D1315" w:rsidRPr="007D1315">
        <w:rPr>
          <w:rFonts w:ascii="Gill Sans MT" w:hAnsi="Gill Sans MT"/>
          <w:b/>
          <w:bCs/>
          <w:sz w:val="21"/>
          <w:lang w:val="en-US"/>
        </w:rPr>
        <w:t xml:space="preserve">of the product within the meaning of article 8 SFDR. </w:t>
      </w:r>
      <w:r w:rsidR="007D1315" w:rsidRPr="007D1315">
        <w:rPr>
          <w:rFonts w:ascii="Gill Sans MT" w:hAnsi="Gill Sans MT"/>
          <w:sz w:val="21"/>
          <w:lang w:val="en-US"/>
        </w:rPr>
        <w:t xml:space="preserve">In which case, they should indicate this e.g. in the prospectus of the financial product or in the </w:t>
      </w:r>
      <w:proofErr w:type="spellStart"/>
      <w:r w:rsidR="007D1315" w:rsidRPr="007D1315">
        <w:rPr>
          <w:rFonts w:ascii="Gill Sans MT" w:hAnsi="Gill Sans MT"/>
          <w:sz w:val="21"/>
          <w:lang w:val="en-US"/>
        </w:rPr>
        <w:t>pré</w:t>
      </w:r>
      <w:proofErr w:type="spellEnd"/>
      <w:r w:rsidR="007D1315" w:rsidRPr="007D1315">
        <w:rPr>
          <w:rFonts w:ascii="Gill Sans MT" w:hAnsi="Gill Sans MT"/>
          <w:sz w:val="21"/>
          <w:lang w:val="en-US"/>
        </w:rPr>
        <w:t xml:space="preserve">-contractual information of an individual managed portfolio.  </w:t>
      </w:r>
    </w:p>
    <w:p w14:paraId="37AD1049" w14:textId="77777777" w:rsidR="00126E09" w:rsidRPr="007D1315" w:rsidRDefault="00126E09" w:rsidP="00522160">
      <w:pPr>
        <w:spacing w:line="280" w:lineRule="atLeast"/>
        <w:jc w:val="both"/>
        <w:rPr>
          <w:rFonts w:ascii="Gill Sans MT" w:hAnsi="Gill Sans MT"/>
          <w:sz w:val="21"/>
          <w:lang w:val="en-US"/>
        </w:rPr>
      </w:pPr>
    </w:p>
    <w:p w14:paraId="685CC038" w14:textId="77777777" w:rsidR="007D1315" w:rsidRPr="007D1315" w:rsidRDefault="007D1315" w:rsidP="00522160">
      <w:pPr>
        <w:spacing w:line="280" w:lineRule="atLeast"/>
        <w:jc w:val="both"/>
        <w:rPr>
          <w:rFonts w:ascii="Gill Sans MT" w:hAnsi="Gill Sans MT"/>
          <w:i/>
          <w:iCs/>
          <w:sz w:val="21"/>
          <w:lang w:val="en-US"/>
        </w:rPr>
      </w:pPr>
      <w:r w:rsidRPr="007D1315">
        <w:rPr>
          <w:rFonts w:ascii="Gill Sans MT" w:hAnsi="Gill Sans MT"/>
          <w:i/>
          <w:iCs/>
          <w:sz w:val="21"/>
          <w:lang w:val="en-US"/>
        </w:rPr>
        <w:t>ESG promotion in marketing communications</w:t>
      </w:r>
    </w:p>
    <w:p w14:paraId="494710FD" w14:textId="6EB33228" w:rsidR="007D1315" w:rsidRPr="007D1315" w:rsidRDefault="00DB318F" w:rsidP="00522160">
      <w:pPr>
        <w:spacing w:line="280" w:lineRule="atLeast"/>
        <w:jc w:val="both"/>
        <w:rPr>
          <w:rFonts w:ascii="Gill Sans MT" w:hAnsi="Gill Sans MT"/>
          <w:b/>
          <w:bCs/>
          <w:sz w:val="21"/>
          <w:lang w:val="en-US"/>
        </w:rPr>
      </w:pPr>
      <w:r>
        <w:rPr>
          <w:rFonts w:ascii="Gill Sans MT" w:hAnsi="Gill Sans MT"/>
          <w:sz w:val="21"/>
          <w:lang w:val="en-US"/>
        </w:rPr>
        <w:t>I</w:t>
      </w:r>
      <w:r w:rsidR="007D1315" w:rsidRPr="007D1315">
        <w:rPr>
          <w:rFonts w:ascii="Gill Sans MT" w:hAnsi="Gill Sans MT"/>
          <w:sz w:val="21"/>
          <w:lang w:val="en-US"/>
        </w:rPr>
        <w:t xml:space="preserve">n addition, any marketing communication of a financial product where reference is made to </w:t>
      </w:r>
      <w:r w:rsidR="007D1315" w:rsidRPr="007D1315">
        <w:rPr>
          <w:rFonts w:ascii="Gill Sans MT" w:hAnsi="Gill Sans MT"/>
          <w:i/>
          <w:iCs/>
          <w:sz w:val="21"/>
          <w:lang w:val="en-US"/>
        </w:rPr>
        <w:t>environmental or social characteristics, or a combination thereof</w:t>
      </w:r>
      <w:r w:rsidR="007D1315" w:rsidRPr="007D1315">
        <w:rPr>
          <w:rFonts w:ascii="Gill Sans MT" w:hAnsi="Gill Sans MT"/>
          <w:sz w:val="21"/>
          <w:lang w:val="en-US"/>
        </w:rPr>
        <w:t xml:space="preserve"> should always be considered to be ‘promotion’ within the context of article 8 SFDR.</w:t>
      </w:r>
      <w:r w:rsidR="007D1315" w:rsidRPr="007D1315">
        <w:rPr>
          <w:rFonts w:ascii="Gill Sans MT" w:hAnsi="Gill Sans MT"/>
          <w:b/>
          <w:bCs/>
          <w:sz w:val="21"/>
          <w:lang w:val="en-US"/>
        </w:rPr>
        <w:t xml:space="preserve"> </w:t>
      </w:r>
      <w:r w:rsidR="007D1315" w:rsidRPr="007D1315">
        <w:rPr>
          <w:rFonts w:ascii="Gill Sans MT" w:hAnsi="Gill Sans MT"/>
          <w:sz w:val="21"/>
          <w:lang w:val="en-US"/>
        </w:rPr>
        <w:t>Promotion and marketing communications should then be interpreted and defined consistent with other existing EU financial legislation, such as e.g. MiFID. Although e.g. MiFID itself does not contain a definition, adherence should be sought in the way national legislators and national competent authorities have defined ‘promotion’ or marketing communications. For example, in the Netherlands, article 1:1 Act on the Financial Supervision Act (“</w:t>
      </w:r>
      <w:proofErr w:type="spellStart"/>
      <w:r w:rsidR="007D1315" w:rsidRPr="007D1315">
        <w:rPr>
          <w:rFonts w:ascii="Gill Sans MT" w:hAnsi="Gill Sans MT"/>
          <w:sz w:val="21"/>
          <w:lang w:val="en-US"/>
        </w:rPr>
        <w:t>Wft</w:t>
      </w:r>
      <w:proofErr w:type="spellEnd"/>
      <w:r w:rsidR="007D1315" w:rsidRPr="007D1315">
        <w:rPr>
          <w:rFonts w:ascii="Gill Sans MT" w:hAnsi="Gill Sans MT"/>
          <w:sz w:val="21"/>
          <w:lang w:val="en-US"/>
        </w:rPr>
        <w:t>”) defines a marketing communication as “</w:t>
      </w:r>
      <w:r w:rsidR="007D1315" w:rsidRPr="007D1315">
        <w:rPr>
          <w:rFonts w:ascii="Gill Sans MT" w:hAnsi="Gill Sans MT"/>
          <w:i/>
          <w:iCs/>
          <w:sz w:val="21"/>
          <w:lang w:val="en-US"/>
        </w:rPr>
        <w:t>any form of information that serves to promote or have a promotional character with regard to a specific financial service or a specific financial product</w:t>
      </w:r>
      <w:r w:rsidR="007D1315" w:rsidRPr="007D1315">
        <w:rPr>
          <w:rFonts w:ascii="Gill Sans MT" w:hAnsi="Gill Sans MT"/>
          <w:sz w:val="21"/>
          <w:lang w:val="en-US"/>
        </w:rPr>
        <w:t xml:space="preserve">”. The key element of a marketing communication is whether the information invites of induces the reader to buy the financial product. A similar definition if also given by the FCA. We suggest to explicitly clarify in the draft RTS that </w:t>
      </w:r>
      <w:r w:rsidR="007D1315" w:rsidRPr="007D1315">
        <w:rPr>
          <w:rFonts w:ascii="Gill Sans MT" w:hAnsi="Gill Sans MT"/>
          <w:b/>
          <w:bCs/>
          <w:sz w:val="21"/>
          <w:lang w:val="en-US"/>
        </w:rPr>
        <w:t xml:space="preserve">any marketing communication of a financial product where reference is made to </w:t>
      </w:r>
      <w:r w:rsidR="007D1315" w:rsidRPr="007D1315">
        <w:rPr>
          <w:rFonts w:ascii="Gill Sans MT" w:hAnsi="Gill Sans MT"/>
          <w:b/>
          <w:bCs/>
          <w:i/>
          <w:iCs/>
          <w:sz w:val="21"/>
          <w:lang w:val="en-US"/>
        </w:rPr>
        <w:t>environmental or social characteristics, or a combination thereof</w:t>
      </w:r>
      <w:r w:rsidR="007D1315" w:rsidRPr="007D1315">
        <w:rPr>
          <w:rFonts w:ascii="Gill Sans MT" w:hAnsi="Gill Sans MT"/>
          <w:b/>
          <w:bCs/>
          <w:sz w:val="21"/>
          <w:lang w:val="en-US"/>
        </w:rPr>
        <w:t xml:space="preserve"> should always be considered to be ‘promotion’ within the context of article 8 SFDR</w:t>
      </w:r>
    </w:p>
    <w:p w14:paraId="0EF49AF6" w14:textId="77777777" w:rsidR="007D1315" w:rsidRPr="007D1315" w:rsidRDefault="007D1315" w:rsidP="00522160">
      <w:pPr>
        <w:spacing w:line="280" w:lineRule="atLeast"/>
        <w:jc w:val="both"/>
        <w:rPr>
          <w:rFonts w:ascii="Gill Sans MT" w:hAnsi="Gill Sans MT"/>
          <w:sz w:val="21"/>
          <w:lang w:val="en-US"/>
        </w:rPr>
      </w:pPr>
    </w:p>
    <w:p w14:paraId="4663A249" w14:textId="77777777" w:rsidR="007D1315" w:rsidRPr="007D1315" w:rsidRDefault="007D1315" w:rsidP="00522160">
      <w:pPr>
        <w:spacing w:line="280" w:lineRule="atLeast"/>
        <w:jc w:val="both"/>
        <w:rPr>
          <w:rFonts w:ascii="Gill Sans MT" w:hAnsi="Gill Sans MT"/>
          <w:i/>
          <w:iCs/>
          <w:sz w:val="21"/>
          <w:lang w:val="en-US"/>
        </w:rPr>
      </w:pPr>
      <w:r w:rsidRPr="007D1315">
        <w:rPr>
          <w:rFonts w:ascii="Gill Sans MT" w:hAnsi="Gill Sans MT"/>
          <w:i/>
          <w:iCs/>
          <w:sz w:val="21"/>
          <w:lang w:val="en-US"/>
        </w:rPr>
        <w:t>Signatories to ESG covenants</w:t>
      </w:r>
    </w:p>
    <w:p w14:paraId="7755A554" w14:textId="3DF055E0" w:rsidR="007D1315" w:rsidRPr="007D1315" w:rsidRDefault="00DB318F" w:rsidP="00522160">
      <w:pPr>
        <w:spacing w:line="280" w:lineRule="atLeast"/>
        <w:jc w:val="both"/>
        <w:rPr>
          <w:rFonts w:ascii="Gill Sans MT" w:hAnsi="Gill Sans MT"/>
          <w:sz w:val="21"/>
          <w:lang w:val="en-US"/>
        </w:rPr>
      </w:pPr>
      <w:r>
        <w:rPr>
          <w:rFonts w:ascii="Gill Sans MT" w:hAnsi="Gill Sans MT"/>
          <w:sz w:val="21"/>
          <w:lang w:val="en-US"/>
        </w:rPr>
        <w:t>I</w:t>
      </w:r>
      <w:r w:rsidR="007D1315" w:rsidRPr="007D1315">
        <w:rPr>
          <w:rFonts w:ascii="Gill Sans MT" w:hAnsi="Gill Sans MT"/>
          <w:sz w:val="21"/>
          <w:lang w:val="en-US"/>
        </w:rPr>
        <w:t xml:space="preserve">t may also need to be clarified under the draft RTS SFDR whether or not promoting also includes the situation where financial market parties have signed various ESG covenants. </w:t>
      </w:r>
      <w:r w:rsidR="007D1315" w:rsidRPr="007D1315">
        <w:rPr>
          <w:rFonts w:ascii="Gill Sans MT" w:hAnsi="Gill Sans MT"/>
          <w:b/>
          <w:bCs/>
          <w:sz w:val="21"/>
          <w:lang w:val="en-US"/>
        </w:rPr>
        <w:t>We would suggest to clarify that if a financial market participant refers in the information of a financial product to a signatory to a certain ESG covenant, either in mandatory investor disclosures or in marketing communications this will automatically deemed to be ‘promotion’ under article 8 SFDR.</w:t>
      </w:r>
      <w:r w:rsidR="007D1315" w:rsidRPr="007D1315">
        <w:rPr>
          <w:rFonts w:ascii="Gill Sans MT" w:hAnsi="Gill Sans MT"/>
          <w:sz w:val="21"/>
          <w:lang w:val="en-US"/>
        </w:rPr>
        <w:t xml:space="preserve"> However, where a financial market participant does not explicitly refer in the information of financial product to its signatory to various ESG covenants the situation may be different. Although the financial market participant has signed various ESG covenants, the financial product does not necessarily fall under article 8 solely based on the accession of the FMP to various ESG covenants, if the communication does not refer to that fact. </w:t>
      </w:r>
    </w:p>
    <w:p w14:paraId="2BB48D6A" w14:textId="77777777" w:rsidR="007D1315" w:rsidRPr="007D1315" w:rsidRDefault="007D1315" w:rsidP="00522160">
      <w:pPr>
        <w:pStyle w:val="Default"/>
        <w:spacing w:line="280" w:lineRule="atLeast"/>
        <w:jc w:val="both"/>
        <w:rPr>
          <w:rFonts w:ascii="Gill Sans MT" w:hAnsi="Gill Sans MT"/>
          <w:sz w:val="21"/>
          <w:szCs w:val="22"/>
          <w:lang w:val="en-US"/>
        </w:rPr>
      </w:pPr>
    </w:p>
    <w:p w14:paraId="48A1E5C3" w14:textId="77777777" w:rsidR="007D1315" w:rsidRPr="007D1315" w:rsidRDefault="007D1315" w:rsidP="00522160">
      <w:pPr>
        <w:pStyle w:val="Default"/>
        <w:spacing w:line="280" w:lineRule="atLeast"/>
        <w:jc w:val="both"/>
        <w:rPr>
          <w:rFonts w:ascii="Gill Sans MT" w:hAnsi="Gill Sans MT"/>
          <w:sz w:val="21"/>
          <w:szCs w:val="22"/>
          <w:lang w:val="en-US"/>
        </w:rPr>
      </w:pPr>
      <w:r w:rsidRPr="007D1315">
        <w:rPr>
          <w:rFonts w:ascii="Gill Sans MT" w:hAnsi="Gill Sans MT"/>
          <w:sz w:val="21"/>
          <w:szCs w:val="22"/>
          <w:lang w:val="en-US"/>
        </w:rPr>
        <w:t xml:space="preserve">Fifthly, </w:t>
      </w:r>
      <w:bookmarkStart w:id="19" w:name="_Hlk45359849"/>
      <w:r w:rsidRPr="007D1315">
        <w:rPr>
          <w:rFonts w:ascii="Gill Sans MT" w:hAnsi="Gill Sans MT"/>
          <w:sz w:val="21"/>
          <w:szCs w:val="22"/>
          <w:lang w:val="en-US"/>
        </w:rPr>
        <w:t>given the broad definition of ‘promotion’ we wonder which financial products do not fall under the SFDR scope or under art 6/art. 7, art. 8 or art. 9 as the case may be</w:t>
      </w:r>
      <w:bookmarkEnd w:id="19"/>
      <w:r w:rsidRPr="007D1315">
        <w:rPr>
          <w:rFonts w:ascii="Gill Sans MT" w:hAnsi="Gill Sans MT"/>
          <w:sz w:val="21"/>
          <w:szCs w:val="22"/>
          <w:lang w:val="en-US"/>
        </w:rPr>
        <w:t xml:space="preserve">. We assume that this group will be relatively small, if existing at all. </w:t>
      </w:r>
    </w:p>
    <w:p w14:paraId="05F843E8" w14:textId="77777777" w:rsidR="007D1315" w:rsidRPr="007D1315" w:rsidRDefault="007D1315" w:rsidP="00522160">
      <w:pPr>
        <w:pStyle w:val="Default"/>
        <w:spacing w:line="280" w:lineRule="atLeast"/>
        <w:jc w:val="both"/>
        <w:rPr>
          <w:rFonts w:ascii="Gill Sans MT" w:hAnsi="Gill Sans MT"/>
          <w:sz w:val="21"/>
          <w:szCs w:val="22"/>
          <w:lang w:val="en-US"/>
        </w:rPr>
      </w:pPr>
    </w:p>
    <w:p w14:paraId="7F5E6429" w14:textId="7AAD53F6" w:rsidR="007D1315" w:rsidRDefault="007D1315" w:rsidP="00522160">
      <w:pPr>
        <w:pStyle w:val="Default"/>
        <w:spacing w:line="280" w:lineRule="atLeast"/>
        <w:jc w:val="both"/>
        <w:rPr>
          <w:rFonts w:cs="Arial"/>
          <w:b/>
          <w:bCs/>
          <w:lang w:val="en-US"/>
        </w:rPr>
      </w:pPr>
      <w:r w:rsidRPr="007D1315">
        <w:rPr>
          <w:rFonts w:ascii="Gill Sans MT" w:hAnsi="Gill Sans MT"/>
          <w:sz w:val="21"/>
          <w:szCs w:val="22"/>
          <w:lang w:val="en-US"/>
        </w:rPr>
        <w:lastRenderedPageBreak/>
        <w:t>Finally, we understand that art. 9 products are not the typically EU taxonomy aligned financial products only, as the definition of sustainable investments in art. 2(17) SFDR Regulation includes both environmental and social objectives. The taxonomy regulation is only limited to environmental objectives, with application of the DNSH criterium and minimum social safeguards. We suggest to clarify this in the draft RTS SFDR</w:t>
      </w:r>
      <w:r w:rsidRPr="00952D2D">
        <w:rPr>
          <w:rFonts w:ascii="Gill Sans MT" w:hAnsi="Gill Sans MT"/>
          <w:sz w:val="21"/>
          <w:szCs w:val="22"/>
          <w:lang w:val="en-US"/>
        </w:rPr>
        <w:t>.</w:t>
      </w:r>
      <w:r>
        <w:rPr>
          <w:rFonts w:ascii="Gill Sans MT" w:hAnsi="Gill Sans MT"/>
          <w:sz w:val="21"/>
          <w:szCs w:val="22"/>
          <w:lang w:val="en-US"/>
        </w:rPr>
        <w:t xml:space="preserve"> </w:t>
      </w:r>
    </w:p>
    <w:permEnd w:id="739535953"/>
    <w:p w14:paraId="3D245DDC" w14:textId="14A18067" w:rsidR="003E573C" w:rsidRDefault="003E573C" w:rsidP="003E573C">
      <w:pPr>
        <w:rPr>
          <w:rFonts w:cs="Arial"/>
        </w:rPr>
      </w:pPr>
      <w:r>
        <w:rPr>
          <w:rFonts w:cs="Arial"/>
        </w:rPr>
        <w:t>&lt;ESA_QUESTION_</w:t>
      </w:r>
      <w:r w:rsidR="00C86E1C">
        <w:rPr>
          <w:rFonts w:cs="Arial"/>
        </w:rPr>
        <w:t>ESG</w:t>
      </w:r>
      <w:r>
        <w:rPr>
          <w:rFonts w:cs="Arial"/>
        </w:rPr>
        <w:t>_16&gt;</w:t>
      </w:r>
    </w:p>
    <w:p w14:paraId="3731876E" w14:textId="77777777" w:rsidR="003E573C" w:rsidRDefault="003E573C" w:rsidP="003E573C">
      <w:pPr>
        <w:rPr>
          <w:rFonts w:cs="Arial"/>
        </w:rPr>
      </w:pPr>
    </w:p>
    <w:p w14:paraId="02255DE2" w14:textId="2A03C0E4" w:rsidR="003E573C" w:rsidRDefault="003E573C" w:rsidP="003E573C">
      <w:pPr>
        <w:pStyle w:val="Questionstyle"/>
        <w:numPr>
          <w:ilvl w:val="0"/>
          <w:numId w:val="39"/>
        </w:numPr>
      </w:pPr>
      <w:r>
        <w:t xml:space="preserve">: </w:t>
      </w:r>
      <w:r w:rsidR="002A73F1" w:rsidRPr="002A73F1">
        <w:t>Do the graphical and narrative descriptions of investment proportions capture indirect investments sufficiently?</w:t>
      </w:r>
    </w:p>
    <w:p w14:paraId="6E8F4F30" w14:textId="126FFDF5" w:rsidR="003E573C" w:rsidRDefault="003E573C" w:rsidP="003E573C">
      <w:pPr>
        <w:rPr>
          <w:rFonts w:cs="Arial"/>
        </w:rPr>
      </w:pPr>
      <w:r>
        <w:rPr>
          <w:rFonts w:cs="Arial"/>
        </w:rPr>
        <w:t>&lt;ESA_QUESTION_</w:t>
      </w:r>
      <w:r w:rsidR="00C86E1C">
        <w:rPr>
          <w:rFonts w:cs="Arial"/>
        </w:rPr>
        <w:t>ESG</w:t>
      </w:r>
      <w:r>
        <w:rPr>
          <w:rFonts w:cs="Arial"/>
        </w:rPr>
        <w:t>_17&gt;</w:t>
      </w:r>
    </w:p>
    <w:p w14:paraId="4D31B9BA" w14:textId="77777777" w:rsidR="00F5792E" w:rsidRPr="00952D2D" w:rsidRDefault="00F5792E" w:rsidP="00F5792E">
      <w:pPr>
        <w:spacing w:line="257" w:lineRule="auto"/>
        <w:jc w:val="both"/>
        <w:rPr>
          <w:rFonts w:ascii="Gill Sans MT" w:hAnsi="Gill Sans MT" w:cs="Arial"/>
          <w:b/>
          <w:bCs/>
          <w:i/>
          <w:iCs/>
          <w:sz w:val="21"/>
          <w:lang w:val="en-US"/>
        </w:rPr>
      </w:pPr>
      <w:permStart w:id="225396737" w:edGrp="everyone"/>
      <w:r w:rsidRPr="00952D2D">
        <w:rPr>
          <w:rFonts w:ascii="Gill Sans MT" w:hAnsi="Gill Sans MT" w:cs="Arial"/>
          <w:b/>
          <w:bCs/>
          <w:i/>
          <w:iCs/>
          <w:sz w:val="21"/>
          <w:lang w:val="en-US"/>
        </w:rPr>
        <w:t>Recommendations</w:t>
      </w:r>
    </w:p>
    <w:p w14:paraId="07AF04F8" w14:textId="77777777" w:rsidR="00F5792E" w:rsidRPr="00952D2D" w:rsidRDefault="00F5792E" w:rsidP="00F5792E">
      <w:pPr>
        <w:spacing w:line="257" w:lineRule="auto"/>
        <w:jc w:val="both"/>
        <w:rPr>
          <w:rFonts w:ascii="Gill Sans MT" w:hAnsi="Gill Sans MT" w:cs="Arial"/>
          <w:sz w:val="21"/>
          <w:lang w:val="en-US"/>
        </w:rPr>
      </w:pPr>
      <w:r w:rsidRPr="00952D2D">
        <w:rPr>
          <w:rFonts w:ascii="Gill Sans MT" w:hAnsi="Gill Sans MT" w:cs="Arial"/>
          <w:sz w:val="21"/>
          <w:lang w:val="en-US"/>
        </w:rPr>
        <w:t xml:space="preserve">We believe the difference between the two categories can be made clearer. The following adjustments will help in that respect. </w:t>
      </w:r>
    </w:p>
    <w:p w14:paraId="605E53E4" w14:textId="77777777" w:rsidR="00F5792E" w:rsidRPr="00952D2D" w:rsidRDefault="00F5792E" w:rsidP="00F5792E">
      <w:pPr>
        <w:spacing w:line="257" w:lineRule="auto"/>
        <w:jc w:val="both"/>
        <w:rPr>
          <w:rFonts w:ascii="Gill Sans MT" w:hAnsi="Gill Sans MT" w:cs="Arial"/>
          <w:sz w:val="21"/>
          <w:lang w:val="en-US"/>
        </w:rPr>
      </w:pPr>
    </w:p>
    <w:p w14:paraId="1DC53BB4" w14:textId="77777777" w:rsidR="00F5792E" w:rsidRPr="00952D2D" w:rsidRDefault="00F5792E" w:rsidP="00F5792E">
      <w:pPr>
        <w:pStyle w:val="Lijstalinea"/>
        <w:numPr>
          <w:ilvl w:val="1"/>
          <w:numId w:val="50"/>
        </w:numPr>
        <w:spacing w:line="257" w:lineRule="auto"/>
        <w:ind w:left="360"/>
        <w:jc w:val="both"/>
        <w:rPr>
          <w:rFonts w:ascii="Gill Sans MT" w:hAnsi="Gill Sans MT" w:cs="Arial"/>
          <w:sz w:val="21"/>
          <w:lang w:val="en-US"/>
        </w:rPr>
      </w:pPr>
      <w:r w:rsidRPr="00952D2D">
        <w:rPr>
          <w:rFonts w:ascii="Gill Sans MT" w:hAnsi="Gill Sans MT" w:cs="Arial"/>
          <w:sz w:val="21"/>
          <w:lang w:val="en-US"/>
        </w:rPr>
        <w:t>We suggest to remove the required illustration of proportion of sustainable investment for art 8 products (art 15 (2). Making sustainable investments, is not mandatory for art 8 products. The high level definition of sustainable investment, as set out in art 2(17) SFDR, is determined in the context of ‘sustainable investment objectives’ related to article 9 products rather than a means of classifying individual underlying investments of article 8 products.</w:t>
      </w:r>
    </w:p>
    <w:p w14:paraId="3290351E" w14:textId="77777777" w:rsidR="00F5792E" w:rsidRPr="00952D2D" w:rsidRDefault="00F5792E" w:rsidP="00F5792E">
      <w:pPr>
        <w:spacing w:line="257" w:lineRule="auto"/>
        <w:jc w:val="both"/>
        <w:rPr>
          <w:rFonts w:ascii="Gill Sans MT" w:hAnsi="Gill Sans MT" w:cs="Arial"/>
          <w:sz w:val="21"/>
          <w:lang w:val="en-US"/>
        </w:rPr>
      </w:pPr>
    </w:p>
    <w:p w14:paraId="615299BC" w14:textId="77777777" w:rsidR="00F5792E" w:rsidRPr="00952D2D" w:rsidRDefault="00F5792E" w:rsidP="00F5792E">
      <w:pPr>
        <w:pStyle w:val="Lijstalinea"/>
        <w:numPr>
          <w:ilvl w:val="1"/>
          <w:numId w:val="50"/>
        </w:numPr>
        <w:spacing w:line="257" w:lineRule="auto"/>
        <w:ind w:left="360"/>
        <w:jc w:val="both"/>
        <w:rPr>
          <w:rFonts w:ascii="Gill Sans MT" w:hAnsi="Gill Sans MT" w:cs="Arial"/>
          <w:sz w:val="21"/>
          <w:lang w:val="en-US"/>
        </w:rPr>
      </w:pPr>
      <w:r w:rsidRPr="00952D2D">
        <w:rPr>
          <w:rFonts w:ascii="Gill Sans MT" w:hAnsi="Gill Sans MT" w:cs="Arial"/>
          <w:sz w:val="21"/>
          <w:lang w:val="en-US"/>
        </w:rPr>
        <w:t>We furthermore suggest to remove the required explanations in the fund prospectus and annual report for art 8 products regarding do not significantly harm (art 16(2)(b) RTS, 38). In SFDR level 1 the concept of ‘do not significantly harm’ is only mentioned in the definition of ‘sustainable investment’, which definition is exclusively used for art. 9 products.</w:t>
      </w:r>
    </w:p>
    <w:p w14:paraId="38E0B955" w14:textId="77777777" w:rsidR="00F5792E" w:rsidRPr="00952D2D" w:rsidRDefault="00F5792E" w:rsidP="00F5792E">
      <w:pPr>
        <w:spacing w:line="257" w:lineRule="auto"/>
        <w:jc w:val="both"/>
        <w:rPr>
          <w:rFonts w:ascii="Gill Sans MT" w:hAnsi="Gill Sans MT" w:cs="Arial"/>
          <w:sz w:val="21"/>
          <w:lang w:val="en-US"/>
        </w:rPr>
      </w:pPr>
    </w:p>
    <w:p w14:paraId="2032CB45" w14:textId="77777777" w:rsidR="00F5792E" w:rsidRPr="0071616E" w:rsidRDefault="00F5792E" w:rsidP="00F5792E">
      <w:pPr>
        <w:spacing w:line="257" w:lineRule="auto"/>
        <w:jc w:val="both"/>
        <w:rPr>
          <w:rFonts w:ascii="Gill Sans MT" w:hAnsi="Gill Sans MT" w:cs="Arial"/>
          <w:sz w:val="21"/>
          <w:lang w:val="en-US"/>
        </w:rPr>
      </w:pPr>
      <w:r w:rsidRPr="00952D2D">
        <w:rPr>
          <w:rFonts w:ascii="Gill Sans MT" w:hAnsi="Gill Sans MT" w:cs="Arial"/>
          <w:sz w:val="21"/>
          <w:lang w:val="en-US"/>
        </w:rPr>
        <w:t>If these two simple adjustments are applied, the difference between art 8 and art. 9 will become easier.</w:t>
      </w:r>
    </w:p>
    <w:permEnd w:id="225396737"/>
    <w:p w14:paraId="78DF26C5" w14:textId="3E543289" w:rsidR="003E573C" w:rsidRDefault="003E573C" w:rsidP="003E573C">
      <w:pPr>
        <w:rPr>
          <w:rFonts w:cs="Arial"/>
        </w:rPr>
      </w:pPr>
      <w:r>
        <w:rPr>
          <w:rFonts w:cs="Arial"/>
        </w:rPr>
        <w:t>&lt;ESA_QUESTION_</w:t>
      </w:r>
      <w:r w:rsidR="00C86E1C">
        <w:rPr>
          <w:rFonts w:cs="Arial"/>
        </w:rPr>
        <w:t>ESG</w:t>
      </w:r>
      <w:r>
        <w:rPr>
          <w:rFonts w:cs="Arial"/>
        </w:rPr>
        <w:t>_17&gt;</w:t>
      </w:r>
    </w:p>
    <w:p w14:paraId="23DF59D7" w14:textId="77777777" w:rsidR="003E573C" w:rsidRDefault="003E573C" w:rsidP="003E573C">
      <w:pPr>
        <w:rPr>
          <w:rFonts w:cs="Arial"/>
        </w:rPr>
      </w:pPr>
    </w:p>
    <w:p w14:paraId="4A8653C3" w14:textId="195D385D" w:rsidR="003E573C" w:rsidRDefault="003E573C" w:rsidP="003E573C">
      <w:pPr>
        <w:pStyle w:val="Questionstyle"/>
        <w:numPr>
          <w:ilvl w:val="0"/>
          <w:numId w:val="39"/>
        </w:numPr>
      </w:pPr>
      <w:r>
        <w:t xml:space="preserve">: </w:t>
      </w:r>
      <w:r w:rsidR="002A73F1" w:rsidRPr="002A73F1">
        <w:t>The draft RTS require in Article 15(2) that for Article 8 products graphical representations illustrate the proportion of investments screened against the environmental or social characteristics of the financial product. However, as characteristics can widely vary from product to product do you think using the same graphical representation for very different types of products could be misleading to end-investors? If yes, how should such graphic representation be adapted?</w:t>
      </w:r>
      <w:r w:rsidRPr="00763760">
        <w:t xml:space="preserve"> </w:t>
      </w:r>
    </w:p>
    <w:p w14:paraId="1E4844B2" w14:textId="4FEF4585" w:rsidR="003E573C" w:rsidRDefault="003E573C" w:rsidP="003E573C">
      <w:pPr>
        <w:rPr>
          <w:rFonts w:cs="Arial"/>
        </w:rPr>
      </w:pPr>
      <w:r>
        <w:rPr>
          <w:rFonts w:cs="Arial"/>
        </w:rPr>
        <w:t>&lt;ESA_QUESTION_</w:t>
      </w:r>
      <w:r w:rsidR="00C86E1C">
        <w:rPr>
          <w:rFonts w:cs="Arial"/>
        </w:rPr>
        <w:t>ESG</w:t>
      </w:r>
      <w:r>
        <w:rPr>
          <w:rFonts w:cs="Arial"/>
        </w:rPr>
        <w:t>_18&gt;</w:t>
      </w:r>
    </w:p>
    <w:p w14:paraId="558026DF" w14:textId="77777777" w:rsidR="003E573C" w:rsidRDefault="003E573C" w:rsidP="003E573C">
      <w:pPr>
        <w:rPr>
          <w:rFonts w:cs="Arial"/>
        </w:rPr>
      </w:pPr>
      <w:permStart w:id="1687822303" w:edGrp="everyone"/>
      <w:r>
        <w:rPr>
          <w:rFonts w:cs="Arial"/>
        </w:rPr>
        <w:t>TYPE YOUR TEXT HERE</w:t>
      </w:r>
    </w:p>
    <w:permEnd w:id="1687822303"/>
    <w:p w14:paraId="30601A6B" w14:textId="3603F604" w:rsidR="003E573C" w:rsidRDefault="003E573C" w:rsidP="003E573C">
      <w:pPr>
        <w:rPr>
          <w:rFonts w:cs="Arial"/>
        </w:rPr>
      </w:pPr>
      <w:r>
        <w:rPr>
          <w:rFonts w:cs="Arial"/>
        </w:rPr>
        <w:t>&lt;ESA_QUESTION_</w:t>
      </w:r>
      <w:r w:rsidR="00C86E1C">
        <w:rPr>
          <w:rFonts w:cs="Arial"/>
        </w:rPr>
        <w:t>ESG</w:t>
      </w:r>
      <w:r>
        <w:rPr>
          <w:rFonts w:cs="Arial"/>
        </w:rPr>
        <w:t>_18&gt;</w:t>
      </w:r>
    </w:p>
    <w:p w14:paraId="71E259CD" w14:textId="77777777" w:rsidR="003E573C" w:rsidRDefault="003E573C" w:rsidP="003E573C">
      <w:pPr>
        <w:rPr>
          <w:rFonts w:cs="Arial"/>
        </w:rPr>
      </w:pPr>
    </w:p>
    <w:p w14:paraId="139C12FF" w14:textId="5DBA941B" w:rsidR="003E573C" w:rsidRDefault="003E573C" w:rsidP="003E573C">
      <w:pPr>
        <w:pStyle w:val="Questionstyle"/>
        <w:numPr>
          <w:ilvl w:val="0"/>
          <w:numId w:val="39"/>
        </w:numPr>
      </w:pPr>
      <w:r>
        <w:t xml:space="preserve">: </w:t>
      </w:r>
      <w:r w:rsidR="002A73F1" w:rsidRPr="002A73F1">
        <w:t>Do you agree with always disclosing exposure to solid fossil-fuel sectors? Are there other sectors that should be captured in such a way, such as nuclear energy?</w:t>
      </w:r>
    </w:p>
    <w:p w14:paraId="65918E7C" w14:textId="4D81FF05" w:rsidR="003E573C" w:rsidRDefault="003E573C" w:rsidP="003E573C">
      <w:pPr>
        <w:rPr>
          <w:rFonts w:cs="Arial"/>
        </w:rPr>
      </w:pPr>
      <w:r>
        <w:rPr>
          <w:rFonts w:cs="Arial"/>
        </w:rPr>
        <w:t>&lt;ESA_QUESTION_</w:t>
      </w:r>
      <w:r w:rsidR="00C86E1C">
        <w:rPr>
          <w:rFonts w:cs="Arial"/>
        </w:rPr>
        <w:t>ESG</w:t>
      </w:r>
      <w:r>
        <w:rPr>
          <w:rFonts w:cs="Arial"/>
        </w:rPr>
        <w:t>_19&gt;</w:t>
      </w:r>
    </w:p>
    <w:p w14:paraId="1C1420B0" w14:textId="4B92E5D7" w:rsidR="003E573C" w:rsidRPr="00B92659" w:rsidRDefault="005176F4" w:rsidP="00254A5F">
      <w:pPr>
        <w:pStyle w:val="Default"/>
        <w:spacing w:line="280" w:lineRule="atLeast"/>
        <w:jc w:val="both"/>
        <w:rPr>
          <w:rFonts w:cs="Arial"/>
          <w:lang w:val="en-US"/>
        </w:rPr>
      </w:pPr>
      <w:permStart w:id="669663577" w:edGrp="everyone"/>
      <w:r>
        <w:rPr>
          <w:rFonts w:ascii="Gill Sans MT" w:hAnsi="Gill Sans MT"/>
          <w:sz w:val="21"/>
          <w:szCs w:val="22"/>
          <w:lang w:val="en-GB"/>
        </w:rPr>
        <w:t>S</w:t>
      </w:r>
      <w:proofErr w:type="spellStart"/>
      <w:r w:rsidR="00254A5F" w:rsidRPr="00BB10CF">
        <w:rPr>
          <w:rFonts w:ascii="Gill Sans MT" w:hAnsi="Gill Sans MT"/>
          <w:sz w:val="21"/>
          <w:szCs w:val="22"/>
          <w:lang w:val="en-US"/>
        </w:rPr>
        <w:t>ome</w:t>
      </w:r>
      <w:proofErr w:type="spellEnd"/>
      <w:r w:rsidR="00254A5F" w:rsidRPr="00BB10CF">
        <w:rPr>
          <w:rFonts w:ascii="Gill Sans MT" w:hAnsi="Gill Sans MT"/>
          <w:sz w:val="21"/>
          <w:szCs w:val="22"/>
          <w:lang w:val="en-US"/>
        </w:rPr>
        <w:t xml:space="preserve"> members </w:t>
      </w:r>
      <w:r w:rsidR="00254A5F" w:rsidRPr="00BB10CF">
        <w:rPr>
          <w:rFonts w:ascii="Gill Sans MT" w:hAnsi="Gill Sans MT"/>
          <w:sz w:val="21"/>
          <w:lang w:val="en-US"/>
        </w:rPr>
        <w:t xml:space="preserve">disagree with the narrow interpretation of "fossil fuel” in the definition in article 1(1). In </w:t>
      </w:r>
      <w:r w:rsidR="00AB51E5">
        <w:rPr>
          <w:rFonts w:ascii="Gill Sans MT" w:hAnsi="Gill Sans MT"/>
          <w:sz w:val="21"/>
          <w:lang w:val="en-US"/>
        </w:rPr>
        <w:t>their</w:t>
      </w:r>
      <w:r w:rsidR="00254A5F" w:rsidRPr="00BB10CF">
        <w:rPr>
          <w:rFonts w:ascii="Gill Sans MT" w:hAnsi="Gill Sans MT"/>
          <w:sz w:val="21"/>
          <w:lang w:val="en-US"/>
        </w:rPr>
        <w:t xml:space="preserve"> view, “fossil fuel” for compliance with the </w:t>
      </w:r>
      <w:r w:rsidR="00254A5F">
        <w:rPr>
          <w:rFonts w:ascii="Gill Sans MT" w:hAnsi="Gill Sans MT"/>
          <w:sz w:val="21"/>
          <w:lang w:val="en-US"/>
        </w:rPr>
        <w:t>SFDR</w:t>
      </w:r>
      <w:r w:rsidR="00254A5F" w:rsidRPr="00BB10CF">
        <w:rPr>
          <w:rFonts w:ascii="Gill Sans MT" w:hAnsi="Gill Sans MT"/>
          <w:sz w:val="21"/>
          <w:lang w:val="en-US"/>
        </w:rPr>
        <w:t xml:space="preserve"> must follow the definition by Eurostat: "</w:t>
      </w:r>
      <w:r w:rsidR="00254A5F" w:rsidRPr="000151DE">
        <w:rPr>
          <w:rFonts w:ascii="Gill Sans MT" w:hAnsi="Gill Sans MT"/>
          <w:i/>
          <w:iCs/>
          <w:sz w:val="21"/>
          <w:lang w:val="en-US"/>
        </w:rPr>
        <w:t>Fossil fuel is a generic term for non-renewable energy sources such as coal, coal products, natural gas, derived gas, crude oil, petroleum products and non-renewable wastes. These fuels originate from plants and animals that existed in the geological past (for example, millions of years ago). Fossil fuels can be also made by industrial processes from other fossil fuels</w:t>
      </w:r>
      <w:r w:rsidR="00254A5F" w:rsidRPr="00BB10CF">
        <w:rPr>
          <w:rFonts w:ascii="Gill Sans MT" w:hAnsi="Gill Sans MT"/>
          <w:sz w:val="21"/>
          <w:lang w:val="en-US"/>
        </w:rPr>
        <w:t>." Any deviation from commonly used definitions in the European</w:t>
      </w:r>
      <w:r w:rsidR="00254A5F">
        <w:rPr>
          <w:rFonts w:ascii="Gill Sans MT" w:hAnsi="Gill Sans MT"/>
          <w:sz w:val="21"/>
          <w:lang w:val="en-US"/>
        </w:rPr>
        <w:t xml:space="preserve"> </w:t>
      </w:r>
      <w:r w:rsidR="00254A5F" w:rsidRPr="00BB10CF">
        <w:rPr>
          <w:rFonts w:ascii="Gill Sans MT" w:hAnsi="Gill Sans MT"/>
          <w:sz w:val="21"/>
          <w:lang w:val="en-US"/>
        </w:rPr>
        <w:t xml:space="preserve">Union would be highly confusing, for investors, for companies that </w:t>
      </w:r>
      <w:r w:rsidR="00254A5F" w:rsidRPr="00BB10CF">
        <w:rPr>
          <w:rFonts w:ascii="Gill Sans MT" w:hAnsi="Gill Sans MT"/>
          <w:sz w:val="21"/>
          <w:lang w:val="en-US"/>
        </w:rPr>
        <w:lastRenderedPageBreak/>
        <w:t>would be required to report two different costly sets of information, and for monitoring the EU’s environmental footprint in statistics</w:t>
      </w:r>
      <w:r w:rsidR="00254A5F">
        <w:rPr>
          <w:rFonts w:ascii="Gill Sans MT" w:hAnsi="Gill Sans MT"/>
          <w:sz w:val="21"/>
          <w:lang w:val="en-US"/>
        </w:rPr>
        <w:t>.</w:t>
      </w:r>
    </w:p>
    <w:permEnd w:id="669663577"/>
    <w:p w14:paraId="4B36BA28" w14:textId="0C626534" w:rsidR="003E573C" w:rsidRDefault="003E573C" w:rsidP="003E573C">
      <w:pPr>
        <w:rPr>
          <w:rFonts w:cs="Arial"/>
        </w:rPr>
      </w:pPr>
      <w:r>
        <w:rPr>
          <w:rFonts w:cs="Arial"/>
        </w:rPr>
        <w:t>&lt;ESA_QUESTION_</w:t>
      </w:r>
      <w:r w:rsidR="00C86E1C">
        <w:rPr>
          <w:rFonts w:cs="Arial"/>
        </w:rPr>
        <w:t>ESG</w:t>
      </w:r>
      <w:r>
        <w:rPr>
          <w:rFonts w:cs="Arial"/>
        </w:rPr>
        <w:t>_19&gt;</w:t>
      </w:r>
    </w:p>
    <w:p w14:paraId="0D906F8B" w14:textId="77777777" w:rsidR="003E573C" w:rsidRDefault="003E573C" w:rsidP="003E573C">
      <w:pPr>
        <w:rPr>
          <w:rFonts w:cs="Arial"/>
        </w:rPr>
      </w:pPr>
    </w:p>
    <w:p w14:paraId="7913E742" w14:textId="76181CFC" w:rsidR="003E573C" w:rsidRDefault="003E573C" w:rsidP="003E573C">
      <w:pPr>
        <w:pStyle w:val="Questionstyle"/>
        <w:numPr>
          <w:ilvl w:val="0"/>
          <w:numId w:val="39"/>
        </w:numPr>
      </w:pPr>
      <w:r>
        <w:t xml:space="preserve">: </w:t>
      </w:r>
      <w:r w:rsidR="002A73F1" w:rsidRPr="002A73F1">
        <w:t>Do the product disclosure rules take sufficient account of the differences between products, such as multi-option products or portfolio management products?</w:t>
      </w:r>
    </w:p>
    <w:p w14:paraId="0B9BBEEC" w14:textId="342185AF" w:rsidR="003E573C" w:rsidRDefault="003E573C" w:rsidP="003E573C">
      <w:pPr>
        <w:rPr>
          <w:rFonts w:cs="Arial"/>
        </w:rPr>
      </w:pPr>
      <w:r>
        <w:rPr>
          <w:rFonts w:cs="Arial"/>
        </w:rPr>
        <w:t>&lt;ESA_QUESTION_</w:t>
      </w:r>
      <w:r w:rsidR="00C86E1C">
        <w:rPr>
          <w:rFonts w:cs="Arial"/>
        </w:rPr>
        <w:t>ESG</w:t>
      </w:r>
      <w:r>
        <w:rPr>
          <w:rFonts w:cs="Arial"/>
        </w:rPr>
        <w:t>_20&gt;</w:t>
      </w:r>
    </w:p>
    <w:p w14:paraId="70F82598" w14:textId="7C848A9E" w:rsidR="003E573C" w:rsidRPr="00B92659" w:rsidRDefault="0062439E" w:rsidP="0062439E">
      <w:pPr>
        <w:pStyle w:val="Default"/>
        <w:spacing w:line="280" w:lineRule="atLeast"/>
        <w:jc w:val="both"/>
        <w:rPr>
          <w:rFonts w:cs="Arial"/>
          <w:lang w:val="en-US"/>
        </w:rPr>
      </w:pPr>
      <w:permStart w:id="806708611" w:edGrp="everyone"/>
      <w:r>
        <w:rPr>
          <w:rFonts w:ascii="Gill Sans MT" w:hAnsi="Gill Sans MT"/>
          <w:sz w:val="21"/>
          <w:szCs w:val="22"/>
          <w:lang w:val="en-US"/>
        </w:rPr>
        <w:t>In general DUFAS believes that t</w:t>
      </w:r>
      <w:r w:rsidRPr="002F14CC">
        <w:rPr>
          <w:rFonts w:ascii="Gill Sans MT" w:hAnsi="Gill Sans MT"/>
          <w:sz w:val="21"/>
          <w:szCs w:val="22"/>
          <w:lang w:val="en-US"/>
        </w:rPr>
        <w:t>here is no reason why for a</w:t>
      </w:r>
      <w:r>
        <w:rPr>
          <w:rFonts w:ascii="Gill Sans MT" w:hAnsi="Gill Sans MT"/>
          <w:sz w:val="21"/>
          <w:szCs w:val="22"/>
          <w:lang w:val="en-US"/>
        </w:rPr>
        <w:t>n</w:t>
      </w:r>
      <w:r w:rsidRPr="002F14CC">
        <w:rPr>
          <w:rFonts w:ascii="Gill Sans MT" w:hAnsi="Gill Sans MT"/>
          <w:sz w:val="21"/>
          <w:szCs w:val="22"/>
          <w:lang w:val="en-US"/>
        </w:rPr>
        <w:t xml:space="preserve"> </w:t>
      </w:r>
      <w:r>
        <w:rPr>
          <w:rFonts w:ascii="Gill Sans MT" w:hAnsi="Gill Sans MT"/>
          <w:sz w:val="21"/>
          <w:szCs w:val="22"/>
          <w:lang w:val="en-US"/>
        </w:rPr>
        <w:t xml:space="preserve">investment </w:t>
      </w:r>
      <w:r w:rsidRPr="002F14CC">
        <w:rPr>
          <w:rFonts w:ascii="Gill Sans MT" w:hAnsi="Gill Sans MT"/>
          <w:sz w:val="21"/>
          <w:szCs w:val="22"/>
          <w:lang w:val="en-US"/>
        </w:rPr>
        <w:t xml:space="preserve">fund different sustainability disclosures should apply than for a discretionary portfolio mandate that follows a similar strategy. </w:t>
      </w:r>
      <w:r>
        <w:rPr>
          <w:rFonts w:ascii="Gill Sans MT" w:hAnsi="Gill Sans MT"/>
          <w:sz w:val="21"/>
          <w:szCs w:val="22"/>
          <w:lang w:val="en-US"/>
        </w:rPr>
        <w:t xml:space="preserve">However, discretionary portfolio mandates are set up for an individual client and has been made custom made. Where this is not the case for an investment fund or other investment products defined in the SFDR. In that context we refer to the fact that portfolio management under MiFID is defined as an </w:t>
      </w:r>
      <w:r w:rsidRPr="00455211">
        <w:rPr>
          <w:rFonts w:ascii="Gill Sans MT" w:hAnsi="Gill Sans MT"/>
          <w:i/>
          <w:iCs/>
          <w:sz w:val="21"/>
          <w:szCs w:val="22"/>
          <w:lang w:val="en-US"/>
        </w:rPr>
        <w:t>investment service</w:t>
      </w:r>
      <w:r>
        <w:rPr>
          <w:rFonts w:ascii="Gill Sans MT" w:hAnsi="Gill Sans MT"/>
          <w:i/>
          <w:iCs/>
          <w:sz w:val="21"/>
          <w:szCs w:val="22"/>
          <w:lang w:val="en-US"/>
        </w:rPr>
        <w:t xml:space="preserve">, </w:t>
      </w:r>
      <w:r>
        <w:rPr>
          <w:rFonts w:ascii="Gill Sans MT" w:hAnsi="Gill Sans MT"/>
          <w:sz w:val="21"/>
          <w:szCs w:val="22"/>
          <w:lang w:val="en-US"/>
        </w:rPr>
        <w:t xml:space="preserve">not as an </w:t>
      </w:r>
      <w:r w:rsidRPr="00455211">
        <w:rPr>
          <w:rFonts w:ascii="Gill Sans MT" w:hAnsi="Gill Sans MT"/>
          <w:i/>
          <w:iCs/>
          <w:sz w:val="21"/>
          <w:szCs w:val="22"/>
          <w:lang w:val="en-US"/>
        </w:rPr>
        <w:t>investment product</w:t>
      </w:r>
      <w:r>
        <w:rPr>
          <w:rFonts w:ascii="Gill Sans MT" w:hAnsi="Gill Sans MT"/>
          <w:sz w:val="21"/>
          <w:szCs w:val="22"/>
          <w:lang w:val="en-US"/>
        </w:rPr>
        <w:t xml:space="preserve">, such as an investment fund. The differences between an </w:t>
      </w:r>
      <w:r>
        <w:rPr>
          <w:rFonts w:ascii="Gill Sans MT" w:hAnsi="Gill Sans MT"/>
          <w:i/>
          <w:iCs/>
          <w:sz w:val="21"/>
          <w:szCs w:val="22"/>
          <w:lang w:val="en-US"/>
        </w:rPr>
        <w:t xml:space="preserve">investment service </w:t>
      </w:r>
      <w:r>
        <w:rPr>
          <w:rFonts w:ascii="Gill Sans MT" w:hAnsi="Gill Sans MT"/>
          <w:sz w:val="21"/>
          <w:szCs w:val="22"/>
          <w:lang w:val="en-US"/>
        </w:rPr>
        <w:t xml:space="preserve">and </w:t>
      </w:r>
      <w:r>
        <w:rPr>
          <w:rFonts w:ascii="Gill Sans MT" w:hAnsi="Gill Sans MT"/>
          <w:i/>
          <w:iCs/>
          <w:sz w:val="21"/>
          <w:szCs w:val="22"/>
          <w:lang w:val="en-US"/>
        </w:rPr>
        <w:t xml:space="preserve">investment product </w:t>
      </w:r>
      <w:r>
        <w:rPr>
          <w:rFonts w:ascii="Gill Sans MT" w:hAnsi="Gill Sans MT"/>
          <w:sz w:val="21"/>
          <w:szCs w:val="22"/>
          <w:lang w:val="en-US"/>
        </w:rPr>
        <w:t xml:space="preserve">should also be taken into account under the SFDR. Therefore, given the individuality of an customize individual </w:t>
      </w:r>
      <w:r w:rsidRPr="002F14CC">
        <w:rPr>
          <w:rFonts w:ascii="Gill Sans MT" w:hAnsi="Gill Sans MT"/>
          <w:sz w:val="21"/>
          <w:szCs w:val="22"/>
          <w:lang w:val="en-US"/>
        </w:rPr>
        <w:t>discretionary portfolio mandate</w:t>
      </w:r>
      <w:r>
        <w:rPr>
          <w:rFonts w:ascii="Gill Sans MT" w:hAnsi="Gill Sans MT"/>
          <w:sz w:val="21"/>
          <w:szCs w:val="22"/>
          <w:lang w:val="en-US"/>
        </w:rPr>
        <w:t>, contrary to other investment products, it cannot be ex</w:t>
      </w:r>
      <w:r w:rsidR="00AB51E5">
        <w:rPr>
          <w:rFonts w:ascii="Gill Sans MT" w:hAnsi="Gill Sans MT"/>
          <w:sz w:val="21"/>
          <w:szCs w:val="22"/>
          <w:lang w:val="en-US"/>
        </w:rPr>
        <w:t>pected</w:t>
      </w:r>
      <w:r>
        <w:rPr>
          <w:rFonts w:ascii="Gill Sans MT" w:hAnsi="Gill Sans MT"/>
          <w:sz w:val="21"/>
          <w:szCs w:val="22"/>
          <w:lang w:val="en-US"/>
        </w:rPr>
        <w:t xml:space="preserve"> that </w:t>
      </w:r>
      <w:r w:rsidRPr="002F14CC">
        <w:rPr>
          <w:rFonts w:ascii="Gill Sans MT" w:hAnsi="Gill Sans MT"/>
          <w:sz w:val="21"/>
          <w:szCs w:val="22"/>
          <w:lang w:val="en-US"/>
        </w:rPr>
        <w:t xml:space="preserve">sustainable information </w:t>
      </w:r>
      <w:r>
        <w:rPr>
          <w:rFonts w:ascii="Gill Sans MT" w:hAnsi="Gill Sans MT"/>
          <w:sz w:val="21"/>
          <w:szCs w:val="22"/>
          <w:lang w:val="en-US"/>
        </w:rPr>
        <w:t xml:space="preserve">of these portfolio </w:t>
      </w:r>
      <w:r w:rsidR="00CF207D">
        <w:rPr>
          <w:rFonts w:ascii="Gill Sans MT" w:hAnsi="Gill Sans MT"/>
          <w:sz w:val="21"/>
          <w:szCs w:val="22"/>
          <w:lang w:val="en-US"/>
        </w:rPr>
        <w:t>is to</w:t>
      </w:r>
      <w:r>
        <w:rPr>
          <w:rFonts w:ascii="Gill Sans MT" w:hAnsi="Gill Sans MT"/>
          <w:sz w:val="21"/>
          <w:szCs w:val="22"/>
          <w:lang w:val="en-US"/>
        </w:rPr>
        <w:t xml:space="preserve"> be published </w:t>
      </w:r>
      <w:r w:rsidRPr="002F14CC">
        <w:rPr>
          <w:rFonts w:ascii="Gill Sans MT" w:hAnsi="Gill Sans MT"/>
          <w:sz w:val="21"/>
          <w:szCs w:val="22"/>
          <w:lang w:val="en-US"/>
        </w:rPr>
        <w:t>on the Financial Market participants website. For discretionary portfolio management mandates</w:t>
      </w:r>
      <w:r>
        <w:rPr>
          <w:rFonts w:ascii="Gill Sans MT" w:hAnsi="Gill Sans MT"/>
          <w:sz w:val="21"/>
          <w:szCs w:val="22"/>
          <w:lang w:val="en-US"/>
        </w:rPr>
        <w:t>, we recommend that</w:t>
      </w:r>
      <w:r w:rsidRPr="002F14CC">
        <w:rPr>
          <w:rFonts w:ascii="Gill Sans MT" w:hAnsi="Gill Sans MT"/>
          <w:sz w:val="21"/>
          <w:szCs w:val="22"/>
          <w:lang w:val="en-US"/>
        </w:rPr>
        <w:t xml:space="preserve"> all the necessary sustainability disclosures should be</w:t>
      </w:r>
      <w:r>
        <w:rPr>
          <w:rFonts w:ascii="Gill Sans MT" w:hAnsi="Gill Sans MT"/>
          <w:sz w:val="21"/>
          <w:szCs w:val="22"/>
          <w:lang w:val="en-US"/>
        </w:rPr>
        <w:t xml:space="preserve"> </w:t>
      </w:r>
      <w:r w:rsidRPr="002F14CC">
        <w:rPr>
          <w:rFonts w:ascii="Gill Sans MT" w:hAnsi="Gill Sans MT"/>
          <w:sz w:val="21"/>
          <w:szCs w:val="22"/>
          <w:lang w:val="en-US"/>
        </w:rPr>
        <w:t>made in the MIFID II precontractual and periodic information</w:t>
      </w:r>
      <w:r>
        <w:rPr>
          <w:rFonts w:ascii="Gill Sans MT" w:hAnsi="Gill Sans MT"/>
          <w:sz w:val="21"/>
          <w:szCs w:val="22"/>
          <w:lang w:val="en-US"/>
        </w:rPr>
        <w:t xml:space="preserve"> only and not on a public website</w:t>
      </w:r>
      <w:r w:rsidRPr="002F14CC">
        <w:rPr>
          <w:rFonts w:ascii="Gill Sans MT" w:hAnsi="Gill Sans MT"/>
          <w:sz w:val="21"/>
          <w:szCs w:val="22"/>
          <w:lang w:val="en-US"/>
        </w:rPr>
        <w:t>.</w:t>
      </w:r>
    </w:p>
    <w:permEnd w:id="806708611"/>
    <w:p w14:paraId="7AC72B75" w14:textId="2DB44768" w:rsidR="003E573C" w:rsidRDefault="003E573C" w:rsidP="003E573C">
      <w:pPr>
        <w:rPr>
          <w:rFonts w:cs="Arial"/>
        </w:rPr>
      </w:pPr>
      <w:r>
        <w:rPr>
          <w:rFonts w:cs="Arial"/>
        </w:rPr>
        <w:t>&lt;ESA_QUESTION_</w:t>
      </w:r>
      <w:r w:rsidR="00C86E1C">
        <w:rPr>
          <w:rFonts w:cs="Arial"/>
        </w:rPr>
        <w:t>ESG</w:t>
      </w:r>
      <w:r>
        <w:rPr>
          <w:rFonts w:cs="Arial"/>
        </w:rPr>
        <w:t>_20&gt;</w:t>
      </w:r>
    </w:p>
    <w:p w14:paraId="45DB0F6E" w14:textId="77777777" w:rsidR="003E573C" w:rsidRDefault="003E573C" w:rsidP="003E573C">
      <w:pPr>
        <w:rPr>
          <w:rFonts w:cs="Arial"/>
        </w:rPr>
      </w:pPr>
    </w:p>
    <w:p w14:paraId="7FEBC666" w14:textId="27612EC4" w:rsidR="003E573C" w:rsidRDefault="003E573C" w:rsidP="003E573C">
      <w:pPr>
        <w:pStyle w:val="Questionstyle"/>
        <w:numPr>
          <w:ilvl w:val="0"/>
          <w:numId w:val="39"/>
        </w:numPr>
      </w:pPr>
      <w:r>
        <w:t xml:space="preserve">: </w:t>
      </w:r>
      <w:r w:rsidR="002A73F1" w:rsidRPr="002A73F1">
        <w:t>While Article 8 SFDR suggests investee companies should have “good governance practices”, Article 2(17) SFDR includes specific details for good governance practices for sustainable investment investee companies including “sound management structures, employee relations, remuneration of staff and tax compliance”. Should the requirements in the RTS for good governance practices for Article 8 products also capture these elements, bearing in mind Article 8 products may not be undertaking sustainable investments?</w:t>
      </w:r>
    </w:p>
    <w:p w14:paraId="13273649" w14:textId="1D23E2E4" w:rsidR="003E573C" w:rsidRDefault="003E573C" w:rsidP="003E573C">
      <w:pPr>
        <w:rPr>
          <w:rFonts w:cs="Arial"/>
        </w:rPr>
      </w:pPr>
      <w:r>
        <w:rPr>
          <w:rFonts w:cs="Arial"/>
        </w:rPr>
        <w:t>&lt;ESA_QUESTION_</w:t>
      </w:r>
      <w:r w:rsidR="00C86E1C">
        <w:rPr>
          <w:rFonts w:cs="Arial"/>
        </w:rPr>
        <w:t>ESG</w:t>
      </w:r>
      <w:r>
        <w:rPr>
          <w:rFonts w:cs="Arial"/>
        </w:rPr>
        <w:t>_21&gt;</w:t>
      </w:r>
    </w:p>
    <w:p w14:paraId="625A527A" w14:textId="265321D2" w:rsidR="003E573C" w:rsidRDefault="00EB4326" w:rsidP="00EB4326">
      <w:pPr>
        <w:spacing w:line="257" w:lineRule="auto"/>
        <w:jc w:val="both"/>
        <w:rPr>
          <w:rFonts w:cs="Arial"/>
        </w:rPr>
      </w:pPr>
      <w:permStart w:id="2245015" w:edGrp="everyone"/>
      <w:r w:rsidRPr="0062210C">
        <w:rPr>
          <w:rFonts w:ascii="Gill Sans MT" w:hAnsi="Gill Sans MT" w:cs="Arial"/>
          <w:sz w:val="21"/>
          <w:lang w:val="en-US"/>
        </w:rPr>
        <w:t xml:space="preserve">We do not think this is necessary. Requiring a short description of the policy that is used to assess good governance is enough (art 17(c) SFDR RTS). Most </w:t>
      </w:r>
      <w:r>
        <w:rPr>
          <w:rFonts w:ascii="Gill Sans MT" w:hAnsi="Gill Sans MT" w:cs="Arial"/>
          <w:sz w:val="21"/>
          <w:lang w:val="en-US"/>
        </w:rPr>
        <w:t>a</w:t>
      </w:r>
      <w:r w:rsidRPr="0062210C">
        <w:rPr>
          <w:rFonts w:ascii="Gill Sans MT" w:hAnsi="Gill Sans MT" w:cs="Arial"/>
          <w:sz w:val="21"/>
          <w:lang w:val="en-US"/>
        </w:rPr>
        <w:t>sset managers already have mature long term engagement (required by SRD II for equity investments) and stewardship policies that, among other things,  capture assessment and promotion of good governance practices.</w:t>
      </w:r>
    </w:p>
    <w:permEnd w:id="2245015"/>
    <w:p w14:paraId="3E1B08DB" w14:textId="6D981451" w:rsidR="003E573C" w:rsidRDefault="003E573C" w:rsidP="003E573C">
      <w:pPr>
        <w:rPr>
          <w:rFonts w:cs="Arial"/>
        </w:rPr>
      </w:pPr>
      <w:r>
        <w:rPr>
          <w:rFonts w:cs="Arial"/>
        </w:rPr>
        <w:t>&lt;ESA_QUESTION_</w:t>
      </w:r>
      <w:r w:rsidR="00C86E1C">
        <w:rPr>
          <w:rFonts w:cs="Arial"/>
        </w:rPr>
        <w:t>ESG</w:t>
      </w:r>
      <w:r>
        <w:rPr>
          <w:rFonts w:cs="Arial"/>
        </w:rPr>
        <w:t>_21&gt;</w:t>
      </w:r>
    </w:p>
    <w:p w14:paraId="2E2FA109" w14:textId="77777777" w:rsidR="003E573C" w:rsidRDefault="003E573C" w:rsidP="003E573C">
      <w:pPr>
        <w:rPr>
          <w:rFonts w:cs="Arial"/>
        </w:rPr>
      </w:pPr>
    </w:p>
    <w:p w14:paraId="7441AA30" w14:textId="4E4A50BF" w:rsidR="003E573C" w:rsidRDefault="003E573C" w:rsidP="003E573C">
      <w:pPr>
        <w:pStyle w:val="Questionstyle"/>
        <w:numPr>
          <w:ilvl w:val="0"/>
          <w:numId w:val="39"/>
        </w:numPr>
      </w:pPr>
      <w:r>
        <w:t xml:space="preserve">: </w:t>
      </w:r>
      <w:r w:rsidR="002A73F1" w:rsidRPr="002A73F1">
        <w:t>What are your views on the preliminary proposals on “do not significantly harm” principle disclosures in line with the new empowerment under the taxonomy regulation, which can be found in Recital (33), Articles 16(2), 25, 34(3), 35(3), 38 and 45 in the draft RTS?</w:t>
      </w:r>
    </w:p>
    <w:p w14:paraId="162ADE10" w14:textId="6965CE1E" w:rsidR="003E573C" w:rsidRDefault="003E573C" w:rsidP="003E573C">
      <w:pPr>
        <w:rPr>
          <w:rFonts w:cs="Arial"/>
        </w:rPr>
      </w:pPr>
      <w:r>
        <w:rPr>
          <w:rFonts w:cs="Arial"/>
        </w:rPr>
        <w:t>&lt;ESA_QUESTION_</w:t>
      </w:r>
      <w:r w:rsidR="00C86E1C">
        <w:rPr>
          <w:rFonts w:cs="Arial"/>
        </w:rPr>
        <w:t>ESG</w:t>
      </w:r>
      <w:r>
        <w:rPr>
          <w:rFonts w:cs="Arial"/>
        </w:rPr>
        <w:t>_22&gt;</w:t>
      </w:r>
    </w:p>
    <w:p w14:paraId="0595D193" w14:textId="2D9DBB0C" w:rsidR="003E573C" w:rsidRPr="00B92659" w:rsidRDefault="00245588" w:rsidP="00415720">
      <w:pPr>
        <w:pStyle w:val="Default"/>
        <w:spacing w:line="280" w:lineRule="atLeast"/>
        <w:jc w:val="both"/>
        <w:rPr>
          <w:rFonts w:cs="Arial"/>
          <w:lang w:val="en-US"/>
        </w:rPr>
      </w:pPr>
      <w:permStart w:id="1182486711" w:edGrp="everyone"/>
      <w:r w:rsidRPr="002F14CC">
        <w:rPr>
          <w:rFonts w:ascii="Gill Sans MT" w:hAnsi="Gill Sans MT"/>
          <w:sz w:val="21"/>
          <w:szCs w:val="22"/>
          <w:lang w:val="en-US"/>
        </w:rPr>
        <w:t>Requiring ‘do not significantly harm’ descriptions in the fund prospectus and annual report for art 8 products (art 16(2)(b) RTS, 38) do</w:t>
      </w:r>
      <w:r w:rsidR="00947D84">
        <w:rPr>
          <w:rFonts w:ascii="Gill Sans MT" w:hAnsi="Gill Sans MT"/>
          <w:sz w:val="21"/>
          <w:szCs w:val="22"/>
          <w:lang w:val="en-US"/>
        </w:rPr>
        <w:t>es</w:t>
      </w:r>
      <w:r w:rsidRPr="002F14CC">
        <w:rPr>
          <w:rFonts w:ascii="Gill Sans MT" w:hAnsi="Gill Sans MT"/>
          <w:sz w:val="21"/>
          <w:szCs w:val="22"/>
          <w:lang w:val="en-US"/>
        </w:rPr>
        <w:t xml:space="preserve"> not fit with the level 1 approach in which ‘do not significantly harm’  is only relevant for art 9 products. In level 1 ‘Do not significantly harm’ in the context of SFDR is only used in the definition of sustainable investment (art 2(17) SFDR, which definition is exclusively relevant for art 9 products. Hence, we propose to remove the proposed disclosures related to do not significantly harm for art 8 products.</w:t>
      </w:r>
    </w:p>
    <w:permEnd w:id="1182486711"/>
    <w:p w14:paraId="5F95ABFF" w14:textId="2402E6DD" w:rsidR="003E573C" w:rsidRDefault="003E573C" w:rsidP="003E573C">
      <w:pPr>
        <w:rPr>
          <w:rFonts w:cs="Arial"/>
        </w:rPr>
      </w:pPr>
      <w:r>
        <w:rPr>
          <w:rFonts w:cs="Arial"/>
        </w:rPr>
        <w:t>&lt;ESA_QUESTION_</w:t>
      </w:r>
      <w:r w:rsidR="00C86E1C">
        <w:rPr>
          <w:rFonts w:cs="Arial"/>
        </w:rPr>
        <w:t>ESG</w:t>
      </w:r>
      <w:r>
        <w:rPr>
          <w:rFonts w:cs="Arial"/>
        </w:rPr>
        <w:t>_22&gt;</w:t>
      </w:r>
    </w:p>
    <w:p w14:paraId="0BF44D4D" w14:textId="77777777" w:rsidR="003E573C" w:rsidRDefault="003E573C" w:rsidP="003E573C">
      <w:pPr>
        <w:rPr>
          <w:rFonts w:cs="Arial"/>
        </w:rPr>
      </w:pPr>
    </w:p>
    <w:p w14:paraId="36463985" w14:textId="2803403A" w:rsidR="003E573C" w:rsidRDefault="003E573C" w:rsidP="003E573C">
      <w:pPr>
        <w:pStyle w:val="Questionstyle"/>
        <w:numPr>
          <w:ilvl w:val="0"/>
          <w:numId w:val="39"/>
        </w:numPr>
      </w:pPr>
      <w:r>
        <w:lastRenderedPageBreak/>
        <w:t xml:space="preserve">: </w:t>
      </w:r>
      <w:r w:rsidR="002A73F1" w:rsidRPr="002A73F1">
        <w:t>Do you see merit in the ESAs defining widely used ESG investment strategies (such as best-in-class, best-in-universe, exclusions, etc.) and giving financial market participants an opportunity to disclose the use of such strategies, where relevant? If yes, how would you define such widely used strategies?</w:t>
      </w:r>
    </w:p>
    <w:p w14:paraId="3F198626" w14:textId="4D42897E" w:rsidR="003E573C" w:rsidRDefault="003E573C" w:rsidP="003E573C">
      <w:pPr>
        <w:rPr>
          <w:rFonts w:cs="Arial"/>
        </w:rPr>
      </w:pPr>
      <w:r>
        <w:rPr>
          <w:rFonts w:cs="Arial"/>
        </w:rPr>
        <w:t>&lt;ESA_QUESTION_</w:t>
      </w:r>
      <w:r w:rsidR="00C86E1C">
        <w:rPr>
          <w:rFonts w:cs="Arial"/>
        </w:rPr>
        <w:t>ESG</w:t>
      </w:r>
      <w:r>
        <w:rPr>
          <w:rFonts w:cs="Arial"/>
        </w:rPr>
        <w:t>_23&gt;</w:t>
      </w:r>
    </w:p>
    <w:p w14:paraId="472ABA5A" w14:textId="77777777" w:rsidR="002A33F1" w:rsidRPr="0062210C" w:rsidRDefault="002A33F1" w:rsidP="002A33F1">
      <w:pPr>
        <w:spacing w:line="257" w:lineRule="auto"/>
        <w:jc w:val="both"/>
        <w:rPr>
          <w:rFonts w:ascii="Gill Sans MT" w:hAnsi="Gill Sans MT" w:cs="Arial"/>
          <w:sz w:val="21"/>
          <w:szCs w:val="20"/>
          <w:lang w:val="en-US"/>
        </w:rPr>
      </w:pPr>
      <w:permStart w:id="1634935588" w:edGrp="everyone"/>
      <w:r>
        <w:rPr>
          <w:rFonts w:ascii="Gill Sans MT" w:hAnsi="Gill Sans MT" w:cs="Arial"/>
          <w:sz w:val="21"/>
          <w:szCs w:val="20"/>
          <w:lang w:val="en-US"/>
        </w:rPr>
        <w:t xml:space="preserve">Some members of DUFAS </w:t>
      </w:r>
      <w:r w:rsidRPr="0062210C">
        <w:rPr>
          <w:rFonts w:ascii="Gill Sans MT" w:hAnsi="Gill Sans MT" w:cs="Arial"/>
          <w:sz w:val="21"/>
          <w:szCs w:val="20"/>
          <w:lang w:val="en-US"/>
        </w:rPr>
        <w:t>do not see merit in defining these strategies by ESAs. In the market it is already sufficiently clear what is covered by the strategies. The RTS proposals already include granular provisions for market participants to disclose what their ESG strategies entails, how these are applied and how the ESG performance is measures.</w:t>
      </w:r>
    </w:p>
    <w:p w14:paraId="4D3BECCE" w14:textId="77777777" w:rsidR="002A33F1" w:rsidRPr="00521F8A" w:rsidRDefault="002A33F1" w:rsidP="002A33F1">
      <w:pPr>
        <w:pStyle w:val="Default"/>
        <w:rPr>
          <w:rFonts w:ascii="Gill Sans MT" w:hAnsi="Gill Sans MT"/>
          <w:b/>
          <w:bCs/>
          <w:sz w:val="21"/>
          <w:szCs w:val="22"/>
          <w:lang w:val="en-US"/>
        </w:rPr>
      </w:pPr>
    </w:p>
    <w:p w14:paraId="513C29AF" w14:textId="79981B12" w:rsidR="003E573C" w:rsidRPr="00B92659" w:rsidRDefault="002A33F1" w:rsidP="002A33F1">
      <w:pPr>
        <w:pStyle w:val="Default"/>
        <w:spacing w:line="280" w:lineRule="atLeast"/>
        <w:jc w:val="both"/>
        <w:rPr>
          <w:rFonts w:cs="Arial"/>
          <w:lang w:val="en-US"/>
        </w:rPr>
      </w:pPr>
      <w:r>
        <w:rPr>
          <w:rFonts w:ascii="Gill Sans MT" w:hAnsi="Gill Sans MT"/>
          <w:sz w:val="21"/>
          <w:szCs w:val="22"/>
          <w:lang w:val="en-US"/>
        </w:rPr>
        <w:t xml:space="preserve">Other members of DUFAS believe that the </w:t>
      </w:r>
      <w:r w:rsidRPr="00521F8A">
        <w:rPr>
          <w:rFonts w:ascii="Gill Sans MT" w:hAnsi="Gill Sans MT"/>
          <w:sz w:val="21"/>
          <w:szCs w:val="22"/>
          <w:lang w:val="en-US"/>
        </w:rPr>
        <w:t xml:space="preserve">ESG </w:t>
      </w:r>
      <w:r>
        <w:rPr>
          <w:rFonts w:ascii="Gill Sans MT" w:hAnsi="Gill Sans MT"/>
          <w:sz w:val="21"/>
          <w:szCs w:val="22"/>
          <w:lang w:val="en-US"/>
        </w:rPr>
        <w:t>i</w:t>
      </w:r>
      <w:r w:rsidRPr="00521F8A">
        <w:rPr>
          <w:rFonts w:ascii="Gill Sans MT" w:hAnsi="Gill Sans MT"/>
          <w:sz w:val="21"/>
          <w:szCs w:val="22"/>
          <w:lang w:val="en-US"/>
        </w:rPr>
        <w:t>ncorporation approach that is used on a product level is relevant. For example, the best in class fund will have less adverse impact in comparison to a fund without such approach.</w:t>
      </w:r>
      <w:r>
        <w:rPr>
          <w:rFonts w:ascii="Gill Sans MT" w:hAnsi="Gill Sans MT"/>
          <w:sz w:val="21"/>
          <w:szCs w:val="22"/>
          <w:lang w:val="en-US"/>
        </w:rPr>
        <w:t xml:space="preserve"> </w:t>
      </w:r>
      <w:r w:rsidRPr="00521F8A">
        <w:rPr>
          <w:rFonts w:ascii="Gill Sans MT" w:hAnsi="Gill Sans MT"/>
          <w:sz w:val="21"/>
          <w:szCs w:val="22"/>
          <w:lang w:val="en-US"/>
        </w:rPr>
        <w:t xml:space="preserve">Furthermore, </w:t>
      </w:r>
      <w:r>
        <w:rPr>
          <w:rFonts w:ascii="Gill Sans MT" w:hAnsi="Gill Sans MT"/>
          <w:sz w:val="21"/>
          <w:szCs w:val="22"/>
          <w:lang w:val="en-US"/>
        </w:rPr>
        <w:t xml:space="preserve">where the </w:t>
      </w:r>
      <w:r w:rsidRPr="00521F8A">
        <w:rPr>
          <w:rFonts w:ascii="Gill Sans MT" w:hAnsi="Gill Sans MT"/>
          <w:sz w:val="21"/>
          <w:szCs w:val="22"/>
          <w:lang w:val="en-US"/>
        </w:rPr>
        <w:t>exclusion approach is used</w:t>
      </w:r>
      <w:r>
        <w:rPr>
          <w:rFonts w:ascii="Gill Sans MT" w:hAnsi="Gill Sans MT"/>
          <w:sz w:val="21"/>
          <w:szCs w:val="22"/>
          <w:lang w:val="en-US"/>
        </w:rPr>
        <w:t>,</w:t>
      </w:r>
      <w:r w:rsidRPr="00521F8A">
        <w:rPr>
          <w:rFonts w:ascii="Gill Sans MT" w:hAnsi="Gill Sans MT"/>
          <w:sz w:val="21"/>
          <w:szCs w:val="22"/>
          <w:lang w:val="en-US"/>
        </w:rPr>
        <w:t xml:space="preserve"> companies with the most severe impact on sustainability factors could be excluded from investment universe. This is a relevant information. It would be helpful to have this included in terms of the transparency requirements to the client (pre-contractual information) and as part of the </w:t>
      </w:r>
      <w:r>
        <w:rPr>
          <w:rFonts w:ascii="Gill Sans MT" w:hAnsi="Gill Sans MT"/>
          <w:sz w:val="21"/>
          <w:szCs w:val="22"/>
          <w:lang w:val="en-US"/>
        </w:rPr>
        <w:t>SFDR</w:t>
      </w:r>
      <w:r w:rsidRPr="00521F8A">
        <w:rPr>
          <w:rFonts w:ascii="Gill Sans MT" w:hAnsi="Gill Sans MT"/>
          <w:b/>
          <w:bCs/>
          <w:sz w:val="21"/>
          <w:szCs w:val="22"/>
          <w:lang w:val="en-US"/>
        </w:rPr>
        <w:t>.</w:t>
      </w:r>
    </w:p>
    <w:permEnd w:id="1634935588"/>
    <w:p w14:paraId="0C17FC2A" w14:textId="2D9188FF" w:rsidR="003E573C" w:rsidRDefault="003E573C" w:rsidP="003E573C">
      <w:pPr>
        <w:rPr>
          <w:rFonts w:cs="Arial"/>
        </w:rPr>
      </w:pPr>
      <w:r>
        <w:rPr>
          <w:rFonts w:cs="Arial"/>
        </w:rPr>
        <w:t>&lt;ESA_QUESTION_</w:t>
      </w:r>
      <w:r w:rsidR="00C86E1C">
        <w:rPr>
          <w:rFonts w:cs="Arial"/>
        </w:rPr>
        <w:t>ESG</w:t>
      </w:r>
      <w:r>
        <w:rPr>
          <w:rFonts w:cs="Arial"/>
        </w:rPr>
        <w:t>_23&gt;</w:t>
      </w:r>
    </w:p>
    <w:p w14:paraId="0F3185B7" w14:textId="77777777" w:rsidR="003E573C" w:rsidRDefault="003E573C" w:rsidP="003E573C">
      <w:pPr>
        <w:rPr>
          <w:rFonts w:cs="Arial"/>
        </w:rPr>
      </w:pPr>
    </w:p>
    <w:p w14:paraId="79E388A1" w14:textId="3E4B0800" w:rsidR="003E573C" w:rsidRDefault="003E573C" w:rsidP="003E573C">
      <w:pPr>
        <w:pStyle w:val="Questionstyle"/>
        <w:numPr>
          <w:ilvl w:val="0"/>
          <w:numId w:val="39"/>
        </w:numPr>
      </w:pPr>
      <w:r>
        <w:t xml:space="preserve">: </w:t>
      </w:r>
      <w:r w:rsidR="006920C8" w:rsidRPr="006920C8">
        <w:t>Do you agree with the approach on the disclosure of financial products’ top investments in periodic disclosures as currently set out in Articles 39 and 46 of the draft RTS?</w:t>
      </w:r>
      <w:r w:rsidRPr="00763760">
        <w:t xml:space="preserve"> </w:t>
      </w:r>
    </w:p>
    <w:p w14:paraId="28FD8FCF" w14:textId="40088564" w:rsidR="003E573C" w:rsidRDefault="003E573C" w:rsidP="003E573C">
      <w:pPr>
        <w:rPr>
          <w:rFonts w:cs="Arial"/>
        </w:rPr>
      </w:pPr>
      <w:r>
        <w:rPr>
          <w:rFonts w:cs="Arial"/>
        </w:rPr>
        <w:t>&lt;ESA_QUESTION_</w:t>
      </w:r>
      <w:r w:rsidR="00C86E1C">
        <w:rPr>
          <w:rFonts w:cs="Arial"/>
        </w:rPr>
        <w:t>ESG</w:t>
      </w:r>
      <w:r>
        <w:rPr>
          <w:rFonts w:cs="Arial"/>
        </w:rPr>
        <w:t>_24&gt;</w:t>
      </w:r>
    </w:p>
    <w:p w14:paraId="08E69516" w14:textId="77777777" w:rsidR="006E40B0" w:rsidRPr="00C84C8B" w:rsidRDefault="006E40B0" w:rsidP="006E40B0">
      <w:pPr>
        <w:pStyle w:val="Lijstalinea"/>
        <w:spacing w:line="257" w:lineRule="auto"/>
        <w:ind w:left="0"/>
        <w:jc w:val="both"/>
        <w:rPr>
          <w:rFonts w:ascii="Gill Sans MT" w:hAnsi="Gill Sans MT" w:cs="Arial"/>
          <w:sz w:val="21"/>
          <w:szCs w:val="20"/>
        </w:rPr>
      </w:pPr>
      <w:permStart w:id="872961277" w:edGrp="everyone"/>
      <w:r w:rsidRPr="002F14CC">
        <w:rPr>
          <w:rFonts w:ascii="Gill Sans MT" w:hAnsi="Gill Sans MT" w:cs="Arial"/>
          <w:sz w:val="21"/>
          <w:szCs w:val="20"/>
        </w:rPr>
        <w:t xml:space="preserve">We believe this requirements is </w:t>
      </w:r>
      <w:bookmarkStart w:id="20" w:name="_Hlk45360610"/>
      <w:r w:rsidRPr="002F14CC">
        <w:rPr>
          <w:rFonts w:ascii="Gill Sans MT" w:hAnsi="Gill Sans MT" w:cs="Arial"/>
          <w:sz w:val="21"/>
          <w:szCs w:val="20"/>
        </w:rPr>
        <w:t>beyond the scope of SFDR. The focus of the RTS should be on fostering comparable disclosures of the sustainability aspects of investment strategies, rather than requiring general top investment lists.</w:t>
      </w:r>
    </w:p>
    <w:bookmarkEnd w:id="20"/>
    <w:permEnd w:id="872961277"/>
    <w:p w14:paraId="10059834" w14:textId="626AE791" w:rsidR="003E573C" w:rsidRDefault="003E573C" w:rsidP="003E573C">
      <w:pPr>
        <w:rPr>
          <w:rFonts w:cs="Arial"/>
        </w:rPr>
      </w:pPr>
      <w:r>
        <w:rPr>
          <w:rFonts w:cs="Arial"/>
        </w:rPr>
        <w:t>&lt;ESA_QUESTION_</w:t>
      </w:r>
      <w:r w:rsidR="00C86E1C">
        <w:rPr>
          <w:rFonts w:cs="Arial"/>
        </w:rPr>
        <w:t>ESG</w:t>
      </w:r>
      <w:r>
        <w:rPr>
          <w:rFonts w:cs="Arial"/>
        </w:rPr>
        <w:t>_24&gt;</w:t>
      </w:r>
    </w:p>
    <w:p w14:paraId="41ACC61A" w14:textId="77777777" w:rsidR="003E573C" w:rsidRDefault="003E573C" w:rsidP="003E573C">
      <w:pPr>
        <w:rPr>
          <w:rFonts w:cs="Arial"/>
        </w:rPr>
      </w:pPr>
    </w:p>
    <w:p w14:paraId="6D616070" w14:textId="77777777" w:rsidR="006920C8" w:rsidRDefault="003E573C" w:rsidP="006920C8">
      <w:pPr>
        <w:pStyle w:val="Questionstyle"/>
        <w:numPr>
          <w:ilvl w:val="0"/>
          <w:numId w:val="39"/>
        </w:numPr>
      </w:pPr>
      <w:r>
        <w:t xml:space="preserve">: </w:t>
      </w:r>
      <w:r w:rsidR="006920C8">
        <w:t>For each of the following four elements, please indicate whether you believe it is better to include the item in the pre-contractual or the website disclosures for financial products? Please explain your reasoning.</w:t>
      </w:r>
    </w:p>
    <w:p w14:paraId="4BBDAD76" w14:textId="77777777" w:rsidR="006920C8" w:rsidRDefault="006920C8" w:rsidP="006920C8">
      <w:pPr>
        <w:pStyle w:val="Questionstyle"/>
        <w:numPr>
          <w:ilvl w:val="0"/>
          <w:numId w:val="50"/>
        </w:numPr>
      </w:pPr>
      <w:r>
        <w:t>an indication of any commitment of a minimum reduction rate of the investments (sometimes referred to as the "investable universe") considered prior to the application of the investment strategy - in the draft RTS below it is in the pre-contractual disclosure Articles 17(b) and 26(b);</w:t>
      </w:r>
    </w:p>
    <w:p w14:paraId="46B45C9C" w14:textId="77777777" w:rsidR="006920C8" w:rsidRDefault="006920C8" w:rsidP="006920C8">
      <w:pPr>
        <w:pStyle w:val="Questionstyle"/>
        <w:numPr>
          <w:ilvl w:val="0"/>
          <w:numId w:val="50"/>
        </w:numPr>
      </w:pPr>
      <w:r>
        <w:t>a short description of the policy to assess good governance practices of the investee companies - in the draft RTS below it is in pre-contractual disclosure Articles 17(c) and 26(c);</w:t>
      </w:r>
    </w:p>
    <w:p w14:paraId="1051B739" w14:textId="77777777" w:rsidR="006920C8" w:rsidRDefault="006920C8" w:rsidP="006920C8">
      <w:pPr>
        <w:pStyle w:val="Questionstyle"/>
        <w:numPr>
          <w:ilvl w:val="0"/>
          <w:numId w:val="50"/>
        </w:numPr>
      </w:pPr>
      <w:r>
        <w:t>a description of the limitations to (1) methodologies and (2) data sources and how such limitations do not affect the attainment of any environmental or social characteristics or sustainable investment objective of the financial product - in the draft RTS below it is in the website disclosure under Article 34(1)(k) and Article 35(1)(k); and</w:t>
      </w:r>
    </w:p>
    <w:p w14:paraId="29EEC46C" w14:textId="77777777" w:rsidR="006920C8" w:rsidRDefault="006920C8" w:rsidP="006920C8">
      <w:pPr>
        <w:pStyle w:val="Questionstyle"/>
        <w:numPr>
          <w:ilvl w:val="0"/>
          <w:numId w:val="50"/>
        </w:numPr>
      </w:pPr>
      <w:r>
        <w:t xml:space="preserve">a reference to whether data sources are external or internal and in what proportions - not currently reflected in the draft RTS but could complement the pre-contractual disclosures under Article 17. </w:t>
      </w:r>
    </w:p>
    <w:p w14:paraId="1C38AAAA" w14:textId="584BC214" w:rsidR="003E573C" w:rsidRDefault="003E573C" w:rsidP="006920C8">
      <w:pPr>
        <w:pStyle w:val="Questionstyle"/>
        <w:ind w:left="720"/>
      </w:pPr>
      <w:r w:rsidRPr="00763760">
        <w:t xml:space="preserve"> </w:t>
      </w:r>
    </w:p>
    <w:p w14:paraId="44F7FFB8" w14:textId="2672E1FC" w:rsidR="003E573C" w:rsidRDefault="003E573C" w:rsidP="003E573C">
      <w:pPr>
        <w:rPr>
          <w:rFonts w:cs="Arial"/>
        </w:rPr>
      </w:pPr>
      <w:r>
        <w:rPr>
          <w:rFonts w:cs="Arial"/>
        </w:rPr>
        <w:t>&lt;ESA_QUESTION_</w:t>
      </w:r>
      <w:r w:rsidR="00C86E1C">
        <w:rPr>
          <w:rFonts w:cs="Arial"/>
        </w:rPr>
        <w:t>ESG</w:t>
      </w:r>
      <w:r>
        <w:rPr>
          <w:rFonts w:cs="Arial"/>
        </w:rPr>
        <w:t>_25&gt;</w:t>
      </w:r>
    </w:p>
    <w:p w14:paraId="791A0604" w14:textId="77777777" w:rsidR="003E573C" w:rsidRDefault="003E573C" w:rsidP="003E573C">
      <w:pPr>
        <w:rPr>
          <w:rFonts w:cs="Arial"/>
        </w:rPr>
      </w:pPr>
      <w:permStart w:id="374105505" w:edGrp="everyone"/>
      <w:r>
        <w:rPr>
          <w:rFonts w:cs="Arial"/>
        </w:rPr>
        <w:lastRenderedPageBreak/>
        <w:t>TYPE YOUR TEXT HERE</w:t>
      </w:r>
    </w:p>
    <w:permEnd w:id="374105505"/>
    <w:p w14:paraId="7665AEED" w14:textId="5E4D62F2" w:rsidR="003E573C" w:rsidRDefault="003E573C" w:rsidP="003E573C">
      <w:pPr>
        <w:rPr>
          <w:rFonts w:cs="Arial"/>
        </w:rPr>
      </w:pPr>
      <w:r>
        <w:rPr>
          <w:rFonts w:cs="Arial"/>
        </w:rPr>
        <w:t>&lt;ESA_QUESTION_</w:t>
      </w:r>
      <w:r w:rsidR="00C86E1C">
        <w:rPr>
          <w:rFonts w:cs="Arial"/>
        </w:rPr>
        <w:t>ESG</w:t>
      </w:r>
      <w:r>
        <w:rPr>
          <w:rFonts w:cs="Arial"/>
        </w:rPr>
        <w:t>_25&gt;</w:t>
      </w:r>
    </w:p>
    <w:p w14:paraId="35F4B475" w14:textId="77777777" w:rsidR="003E573C" w:rsidRDefault="003E573C" w:rsidP="003E573C">
      <w:pPr>
        <w:rPr>
          <w:rFonts w:cs="Arial"/>
        </w:rPr>
      </w:pPr>
    </w:p>
    <w:p w14:paraId="07BBB7D0" w14:textId="6512F9CE" w:rsidR="003E573C" w:rsidRDefault="003E573C" w:rsidP="003E573C">
      <w:pPr>
        <w:pStyle w:val="Questionstyle"/>
        <w:numPr>
          <w:ilvl w:val="0"/>
          <w:numId w:val="39"/>
        </w:numPr>
      </w:pPr>
      <w:r>
        <w:t xml:space="preserve">: </w:t>
      </w:r>
      <w:r w:rsidR="006920C8" w:rsidRPr="006920C8">
        <w:t>Is it better to include a separate section on information on how the use of derivatives meets each of the environmental or social characteristics or sustainable investment objectives promoted by the financial product, as in the below draft RTS under Article 19 and article 28, or would it be better to integrate this section with the graphical and narrative explanation of the investment proportions under Article 15(2) and 24(2)?</w:t>
      </w:r>
    </w:p>
    <w:p w14:paraId="478748BB" w14:textId="1492C8F0" w:rsidR="003E573C" w:rsidRDefault="003E573C" w:rsidP="003E573C">
      <w:pPr>
        <w:rPr>
          <w:rFonts w:cs="Arial"/>
        </w:rPr>
      </w:pPr>
      <w:r>
        <w:rPr>
          <w:rFonts w:cs="Arial"/>
        </w:rPr>
        <w:t>&lt;ESA_QUESTION_</w:t>
      </w:r>
      <w:r w:rsidR="00C86E1C">
        <w:rPr>
          <w:rFonts w:cs="Arial"/>
        </w:rPr>
        <w:t>ESG</w:t>
      </w:r>
      <w:r>
        <w:rPr>
          <w:rFonts w:cs="Arial"/>
        </w:rPr>
        <w:t>_26&gt;</w:t>
      </w:r>
    </w:p>
    <w:p w14:paraId="2BFE012E" w14:textId="77777777" w:rsidR="003E573C" w:rsidRDefault="003E573C" w:rsidP="003E573C">
      <w:pPr>
        <w:rPr>
          <w:rFonts w:cs="Arial"/>
        </w:rPr>
      </w:pPr>
      <w:permStart w:id="624894902" w:edGrp="everyone"/>
      <w:r>
        <w:rPr>
          <w:rFonts w:cs="Arial"/>
        </w:rPr>
        <w:t>TYPE YOUR TEXT HERE</w:t>
      </w:r>
    </w:p>
    <w:permEnd w:id="624894902"/>
    <w:p w14:paraId="4A8013FB" w14:textId="735B8564" w:rsidR="003E573C" w:rsidRDefault="003E573C" w:rsidP="003E573C">
      <w:pPr>
        <w:rPr>
          <w:rFonts w:cs="Arial"/>
        </w:rPr>
      </w:pPr>
      <w:r>
        <w:rPr>
          <w:rFonts w:cs="Arial"/>
        </w:rPr>
        <w:t>&lt;ESA_QUESTION_</w:t>
      </w:r>
      <w:r w:rsidR="00C86E1C">
        <w:rPr>
          <w:rFonts w:cs="Arial"/>
        </w:rPr>
        <w:t>ESG</w:t>
      </w:r>
      <w:r>
        <w:rPr>
          <w:rFonts w:cs="Arial"/>
        </w:rPr>
        <w:t>_26&gt;</w:t>
      </w:r>
    </w:p>
    <w:p w14:paraId="2E8B6EF5" w14:textId="77777777" w:rsidR="003E573C" w:rsidRDefault="003E573C" w:rsidP="003E573C">
      <w:pPr>
        <w:rPr>
          <w:rFonts w:cs="Arial"/>
        </w:rPr>
      </w:pPr>
    </w:p>
    <w:p w14:paraId="362C80A0" w14:textId="45A589EB" w:rsidR="003E573C" w:rsidRDefault="003E573C" w:rsidP="003E573C">
      <w:pPr>
        <w:pStyle w:val="Questionstyle"/>
        <w:numPr>
          <w:ilvl w:val="0"/>
          <w:numId w:val="39"/>
        </w:numPr>
      </w:pPr>
      <w:r>
        <w:t xml:space="preserve">: </w:t>
      </w:r>
      <w:r w:rsidR="006920C8" w:rsidRPr="006920C8">
        <w:t>Do you have any views regarding the preliminary impact assessments? Can you provide more granular examples of costs associated with the policy options?</w:t>
      </w:r>
      <w:r w:rsidRPr="00763760">
        <w:t xml:space="preserve"> </w:t>
      </w:r>
    </w:p>
    <w:p w14:paraId="644F48DF" w14:textId="78D78223" w:rsidR="003E573C" w:rsidRDefault="003E573C" w:rsidP="003E573C">
      <w:pPr>
        <w:rPr>
          <w:rFonts w:cs="Arial"/>
        </w:rPr>
      </w:pPr>
      <w:r>
        <w:rPr>
          <w:rFonts w:cs="Arial"/>
        </w:rPr>
        <w:t>&lt;ESA_QUESTION_</w:t>
      </w:r>
      <w:r w:rsidR="00C86E1C">
        <w:rPr>
          <w:rFonts w:cs="Arial"/>
        </w:rPr>
        <w:t>ESG</w:t>
      </w:r>
      <w:r>
        <w:rPr>
          <w:rFonts w:cs="Arial"/>
        </w:rPr>
        <w:t>_27&gt;</w:t>
      </w:r>
    </w:p>
    <w:p w14:paraId="50AB8F8B" w14:textId="7C37EC05" w:rsidR="003E573C" w:rsidRDefault="00DF796A" w:rsidP="00DF796A">
      <w:pPr>
        <w:spacing w:line="280" w:lineRule="atLeast"/>
        <w:jc w:val="both"/>
        <w:rPr>
          <w:rFonts w:cs="Arial"/>
        </w:rPr>
      </w:pPr>
      <w:permStart w:id="1007688109" w:edGrp="everyone"/>
      <w:r>
        <w:rPr>
          <w:rFonts w:ascii="Gill Sans MT" w:hAnsi="Gill Sans MT" w:cs="Arial"/>
          <w:sz w:val="21"/>
          <w:szCs w:val="20"/>
          <w:lang w:val="en-US"/>
        </w:rPr>
        <w:t>It is hard to assess what the c</w:t>
      </w:r>
      <w:r w:rsidRPr="00974F6E">
        <w:rPr>
          <w:rFonts w:ascii="Gill Sans MT" w:hAnsi="Gill Sans MT" w:cs="Arial"/>
          <w:sz w:val="21"/>
          <w:szCs w:val="20"/>
          <w:lang w:val="en-US"/>
        </w:rPr>
        <w:t>osts of implementation</w:t>
      </w:r>
      <w:r>
        <w:rPr>
          <w:rFonts w:ascii="Gill Sans MT" w:hAnsi="Gill Sans MT" w:cs="Arial"/>
          <w:sz w:val="21"/>
          <w:szCs w:val="20"/>
          <w:lang w:val="en-US"/>
        </w:rPr>
        <w:t xml:space="preserve"> will be at this stage. A substantial number of data is not available yet, therefore the costs are hard to estimate. However, w</w:t>
      </w:r>
      <w:r w:rsidRPr="001B0DD2">
        <w:rPr>
          <w:rFonts w:ascii="Gill Sans MT" w:hAnsi="Gill Sans MT" w:cs="Arial"/>
          <w:sz w:val="21"/>
          <w:szCs w:val="20"/>
          <w:lang w:val="en-US"/>
        </w:rPr>
        <w:t xml:space="preserve">e </w:t>
      </w:r>
      <w:r>
        <w:rPr>
          <w:rFonts w:ascii="Gill Sans MT" w:hAnsi="Gill Sans MT" w:cs="Arial"/>
          <w:sz w:val="21"/>
          <w:szCs w:val="20"/>
          <w:lang w:val="en-US"/>
        </w:rPr>
        <w:t xml:space="preserve">do </w:t>
      </w:r>
      <w:r w:rsidRPr="001B0DD2">
        <w:rPr>
          <w:rFonts w:ascii="Gill Sans MT" w:hAnsi="Gill Sans MT" w:cs="Arial"/>
          <w:sz w:val="21"/>
          <w:szCs w:val="20"/>
          <w:lang w:val="en-US"/>
        </w:rPr>
        <w:t>believe</w:t>
      </w:r>
      <w:r>
        <w:rPr>
          <w:rFonts w:ascii="Gill Sans MT" w:hAnsi="Gill Sans MT" w:cs="Arial"/>
          <w:sz w:val="21"/>
          <w:szCs w:val="20"/>
          <w:lang w:val="en-US"/>
        </w:rPr>
        <w:t xml:space="preserve"> overall</w:t>
      </w:r>
      <w:r w:rsidRPr="001B0DD2">
        <w:rPr>
          <w:rFonts w:ascii="Gill Sans MT" w:hAnsi="Gill Sans MT" w:cs="Arial"/>
          <w:sz w:val="21"/>
          <w:szCs w:val="20"/>
          <w:lang w:val="en-US"/>
        </w:rPr>
        <w:t xml:space="preserve"> that </w:t>
      </w:r>
      <w:r>
        <w:rPr>
          <w:rFonts w:ascii="Gill Sans MT" w:hAnsi="Gill Sans MT" w:cs="Arial"/>
          <w:sz w:val="21"/>
          <w:szCs w:val="20"/>
          <w:lang w:val="en-US"/>
        </w:rPr>
        <w:t xml:space="preserve">the </w:t>
      </w:r>
      <w:r w:rsidRPr="001B0DD2">
        <w:rPr>
          <w:rFonts w:ascii="Gill Sans MT" w:hAnsi="Gill Sans MT" w:cs="Arial"/>
          <w:sz w:val="21"/>
          <w:szCs w:val="20"/>
          <w:lang w:val="en-US"/>
        </w:rPr>
        <w:t xml:space="preserve">costs </w:t>
      </w:r>
      <w:r>
        <w:rPr>
          <w:rFonts w:ascii="Gill Sans MT" w:hAnsi="Gill Sans MT" w:cs="Arial"/>
          <w:sz w:val="21"/>
          <w:szCs w:val="20"/>
          <w:lang w:val="en-US"/>
        </w:rPr>
        <w:t>may</w:t>
      </w:r>
      <w:r w:rsidRPr="001B0DD2">
        <w:rPr>
          <w:rFonts w:ascii="Gill Sans MT" w:hAnsi="Gill Sans MT" w:cs="Arial"/>
          <w:sz w:val="21"/>
          <w:szCs w:val="20"/>
          <w:lang w:val="en-US"/>
        </w:rPr>
        <w:t xml:space="preserve"> go beyond the c</w:t>
      </w:r>
      <w:r>
        <w:rPr>
          <w:rFonts w:ascii="Gill Sans MT" w:hAnsi="Gill Sans MT" w:cs="Arial"/>
          <w:sz w:val="21"/>
          <w:szCs w:val="20"/>
          <w:lang w:val="en-US"/>
        </w:rPr>
        <w:t xml:space="preserve">osts estimates as indicated by the ESAs in their consultation paper amounting between </w:t>
      </w:r>
      <w:r w:rsidRPr="001B0DD2">
        <w:rPr>
          <w:rFonts w:ascii="Gill Sans MT" w:hAnsi="Gill Sans MT" w:cs="Arial"/>
          <w:sz w:val="21"/>
          <w:szCs w:val="20"/>
          <w:lang w:val="en-US"/>
        </w:rPr>
        <w:t>EUR 80</w:t>
      </w:r>
      <w:r w:rsidR="000C752D">
        <w:rPr>
          <w:rFonts w:ascii="Gill Sans MT" w:hAnsi="Gill Sans MT" w:cs="Arial"/>
          <w:sz w:val="21"/>
          <w:szCs w:val="20"/>
          <w:lang w:val="en-US"/>
        </w:rPr>
        <w:t>,</w:t>
      </w:r>
      <w:r w:rsidRPr="001B0DD2">
        <w:rPr>
          <w:rFonts w:ascii="Gill Sans MT" w:hAnsi="Gill Sans MT" w:cs="Arial"/>
          <w:sz w:val="21"/>
          <w:szCs w:val="20"/>
          <w:lang w:val="en-US"/>
        </w:rPr>
        <w:t xml:space="preserve">000 </w:t>
      </w:r>
      <w:r>
        <w:rPr>
          <w:rFonts w:ascii="Gill Sans MT" w:hAnsi="Gill Sans MT" w:cs="Arial"/>
          <w:sz w:val="21"/>
          <w:szCs w:val="20"/>
          <w:lang w:val="en-US"/>
        </w:rPr>
        <w:t xml:space="preserve">and </w:t>
      </w:r>
      <w:r w:rsidRPr="001B0DD2">
        <w:rPr>
          <w:rFonts w:ascii="Gill Sans MT" w:hAnsi="Gill Sans MT" w:cs="Arial"/>
          <w:sz w:val="21"/>
          <w:szCs w:val="20"/>
          <w:lang w:val="en-US"/>
        </w:rPr>
        <w:t>EUR 200</w:t>
      </w:r>
      <w:r w:rsidR="000C752D">
        <w:rPr>
          <w:rFonts w:ascii="Gill Sans MT" w:hAnsi="Gill Sans MT" w:cs="Arial"/>
          <w:sz w:val="21"/>
          <w:szCs w:val="20"/>
          <w:lang w:val="en-US"/>
        </w:rPr>
        <w:t>,</w:t>
      </w:r>
      <w:r w:rsidRPr="001B0DD2">
        <w:rPr>
          <w:rFonts w:ascii="Gill Sans MT" w:hAnsi="Gill Sans MT" w:cs="Arial"/>
          <w:sz w:val="21"/>
          <w:szCs w:val="20"/>
          <w:lang w:val="en-US"/>
        </w:rPr>
        <w:t>000.</w:t>
      </w:r>
      <w:r>
        <w:rPr>
          <w:rFonts w:ascii="Gill Sans MT" w:hAnsi="Gill Sans MT" w:cs="Arial"/>
          <w:sz w:val="21"/>
          <w:szCs w:val="20"/>
          <w:lang w:val="en-US"/>
        </w:rPr>
        <w:t xml:space="preserve"> </w:t>
      </w:r>
      <w:r w:rsidRPr="001B0DD2">
        <w:rPr>
          <w:rFonts w:ascii="Gill Sans MT" w:hAnsi="Gill Sans MT" w:cs="Arial"/>
          <w:sz w:val="21"/>
          <w:szCs w:val="20"/>
          <w:lang w:val="en-US"/>
        </w:rPr>
        <w:t xml:space="preserve">Costs </w:t>
      </w:r>
      <w:r>
        <w:rPr>
          <w:rFonts w:ascii="Gill Sans MT" w:hAnsi="Gill Sans MT" w:cs="Arial"/>
          <w:sz w:val="21"/>
          <w:szCs w:val="20"/>
          <w:lang w:val="en-US"/>
        </w:rPr>
        <w:t>may</w:t>
      </w:r>
      <w:r w:rsidRPr="001B0DD2">
        <w:rPr>
          <w:rFonts w:ascii="Gill Sans MT" w:hAnsi="Gill Sans MT" w:cs="Arial"/>
          <w:sz w:val="21"/>
          <w:szCs w:val="20"/>
          <w:lang w:val="en-US"/>
        </w:rPr>
        <w:t xml:space="preserve"> be considerable higher as a result of </w:t>
      </w:r>
      <w:r>
        <w:rPr>
          <w:rFonts w:ascii="Gill Sans MT" w:hAnsi="Gill Sans MT" w:cs="Arial"/>
          <w:i/>
          <w:iCs/>
          <w:sz w:val="21"/>
          <w:szCs w:val="20"/>
          <w:lang w:val="en-US"/>
        </w:rPr>
        <w:t xml:space="preserve">inter alia </w:t>
      </w:r>
      <w:r>
        <w:rPr>
          <w:rFonts w:ascii="Gill Sans MT" w:hAnsi="Gill Sans MT" w:cs="Arial"/>
          <w:sz w:val="21"/>
          <w:szCs w:val="20"/>
          <w:lang w:val="en-US"/>
        </w:rPr>
        <w:t>(</w:t>
      </w:r>
      <w:proofErr w:type="spellStart"/>
      <w:r>
        <w:rPr>
          <w:rFonts w:ascii="Gill Sans MT" w:hAnsi="Gill Sans MT" w:cs="Arial"/>
          <w:sz w:val="21"/>
          <w:szCs w:val="20"/>
          <w:lang w:val="en-US"/>
        </w:rPr>
        <w:t>i</w:t>
      </w:r>
      <w:proofErr w:type="spellEnd"/>
      <w:r>
        <w:rPr>
          <w:rFonts w:ascii="Gill Sans MT" w:hAnsi="Gill Sans MT" w:cs="Arial"/>
          <w:sz w:val="21"/>
          <w:szCs w:val="20"/>
          <w:lang w:val="en-US"/>
        </w:rPr>
        <w:t>) t</w:t>
      </w:r>
      <w:r w:rsidRPr="001B0DD2">
        <w:rPr>
          <w:rFonts w:ascii="Gill Sans MT" w:hAnsi="Gill Sans MT" w:cs="Arial"/>
          <w:sz w:val="21"/>
          <w:szCs w:val="20"/>
          <w:lang w:val="en-US"/>
        </w:rPr>
        <w:t xml:space="preserve">he </w:t>
      </w:r>
      <w:r>
        <w:rPr>
          <w:rFonts w:ascii="Gill Sans MT" w:hAnsi="Gill Sans MT" w:cs="Arial"/>
          <w:sz w:val="21"/>
          <w:szCs w:val="20"/>
          <w:lang w:val="en-US"/>
        </w:rPr>
        <w:t xml:space="preserve">acquisition of external data from data vendors, (ii) additional internal research and engagement with companies, but also (iii) costs of implementation of SFDR, which includes all internal FTEs who are engaged and consulted (iv) at least annually maintaining obligations under the SFDR, such as periodic reporting, and last but not least (v) significant IT related costs </w:t>
      </w:r>
      <w:r w:rsidRPr="00093512">
        <w:rPr>
          <w:rFonts w:ascii="Gill Sans MT" w:hAnsi="Gill Sans MT" w:cs="Arial"/>
          <w:sz w:val="21"/>
          <w:szCs w:val="20"/>
          <w:lang w:val="en-US"/>
        </w:rPr>
        <w:t xml:space="preserve">related costs required to implement the required disclosures (Annex 1 table 1+ 2+3)  on </w:t>
      </w:r>
      <w:r>
        <w:rPr>
          <w:rFonts w:ascii="Gill Sans MT" w:hAnsi="Gill Sans MT" w:cs="Arial"/>
          <w:sz w:val="21"/>
          <w:szCs w:val="20"/>
          <w:lang w:val="en-US"/>
        </w:rPr>
        <w:t xml:space="preserve">both </w:t>
      </w:r>
      <w:r w:rsidRPr="00093512">
        <w:rPr>
          <w:rFonts w:ascii="Gill Sans MT" w:hAnsi="Gill Sans MT" w:cs="Arial"/>
          <w:sz w:val="21"/>
          <w:szCs w:val="20"/>
          <w:lang w:val="en-US"/>
        </w:rPr>
        <w:t>entity and product level</w:t>
      </w:r>
      <w:r>
        <w:rPr>
          <w:rFonts w:ascii="Gill Sans MT" w:hAnsi="Gill Sans MT" w:cs="Arial"/>
          <w:sz w:val="21"/>
          <w:szCs w:val="20"/>
          <w:lang w:val="en-US"/>
        </w:rPr>
        <w:t xml:space="preserve">. </w:t>
      </w:r>
      <w:r w:rsidRPr="001B0DD2">
        <w:rPr>
          <w:rFonts w:ascii="Gill Sans MT" w:hAnsi="Gill Sans MT" w:cs="Arial"/>
          <w:sz w:val="21"/>
          <w:szCs w:val="20"/>
          <w:lang w:val="en-US"/>
        </w:rPr>
        <w:t>H</w:t>
      </w:r>
      <w:r w:rsidRPr="00CB42C6">
        <w:rPr>
          <w:rFonts w:ascii="Gill Sans MT" w:hAnsi="Gill Sans MT" w:cs="Arial"/>
          <w:sz w:val="21"/>
          <w:szCs w:val="20"/>
          <w:lang w:val="en-US"/>
        </w:rPr>
        <w:t xml:space="preserve">owever, </w:t>
      </w:r>
      <w:r>
        <w:rPr>
          <w:rFonts w:ascii="Gill Sans MT" w:hAnsi="Gill Sans MT" w:cs="Arial"/>
          <w:sz w:val="21"/>
          <w:szCs w:val="20"/>
          <w:lang w:val="en-US"/>
        </w:rPr>
        <w:t>needless to say the costs will also depend on final obligations under the SFDR RTS. For example, it will make a difference whether or not indicators will be removed from Annex I Table I as proposed, particularly in respect of indicators of which data is available, but only at a high expense.</w:t>
      </w:r>
    </w:p>
    <w:permEnd w:id="1007688109"/>
    <w:p w14:paraId="60AE9CFD" w14:textId="1CEF26AE" w:rsidR="003E573C" w:rsidRDefault="003E573C" w:rsidP="003E573C">
      <w:pPr>
        <w:rPr>
          <w:rFonts w:cs="Arial"/>
        </w:rPr>
      </w:pPr>
      <w:r>
        <w:rPr>
          <w:rFonts w:cs="Arial"/>
        </w:rPr>
        <w:t>&lt;ESA_QUESTION_</w:t>
      </w:r>
      <w:r w:rsidR="00C86E1C">
        <w:rPr>
          <w:rFonts w:cs="Arial"/>
        </w:rPr>
        <w:t>ESG</w:t>
      </w:r>
      <w:r>
        <w:rPr>
          <w:rFonts w:cs="Arial"/>
        </w:rPr>
        <w:t>_27&gt;</w:t>
      </w:r>
    </w:p>
    <w:p w14:paraId="25C9796B"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2"/>
      <w:headerReference w:type="first" r:id="rId23"/>
      <w:footerReference w:type="first" r:id="rId24"/>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A614B" w14:textId="77777777" w:rsidR="00703E9A" w:rsidRDefault="00703E9A">
      <w:r>
        <w:separator/>
      </w:r>
    </w:p>
    <w:p w14:paraId="6A035954" w14:textId="77777777" w:rsidR="00703E9A" w:rsidRDefault="00703E9A"/>
  </w:endnote>
  <w:endnote w:type="continuationSeparator" w:id="0">
    <w:p w14:paraId="5930C47E" w14:textId="77777777" w:rsidR="00703E9A" w:rsidRDefault="00703E9A">
      <w:r>
        <w:continuationSeparator/>
      </w:r>
    </w:p>
    <w:p w14:paraId="3EEEFE39" w14:textId="77777777" w:rsidR="00703E9A" w:rsidRDefault="00703E9A"/>
  </w:endnote>
  <w:endnote w:type="continuationNotice" w:id="1">
    <w:p w14:paraId="7D1B40D2" w14:textId="77777777" w:rsidR="00703E9A" w:rsidRDefault="00703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EU Albertina"/>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80E59" w14:textId="77777777" w:rsidR="008F65D5" w:rsidRDefault="008F65D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23180CB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64042">
            <w:rPr>
              <w:rFonts w:cs="Arial"/>
              <w:noProof/>
              <w:sz w:val="22"/>
              <w:szCs w:val="22"/>
            </w:rPr>
            <w:t>3</w:t>
          </w:r>
          <w:r w:rsidRPr="00616B9B">
            <w:rPr>
              <w:rFonts w:cs="Arial"/>
              <w:noProof/>
              <w:sz w:val="22"/>
              <w:szCs w:val="22"/>
            </w:rPr>
            <w:fldChar w:fldCharType="end"/>
          </w:r>
        </w:p>
      </w:tc>
    </w:tr>
  </w:tbl>
  <w:p w14:paraId="6A3CB0F0" w14:textId="77777777" w:rsidR="00811EDA" w:rsidRDefault="00811ED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AD7D7" w14:textId="77777777" w:rsidR="008F65D5" w:rsidRDefault="008F65D5">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100" w14:textId="77777777" w:rsidR="00811EDA" w:rsidRDefault="00811E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EF10C" w14:textId="77777777" w:rsidR="00703E9A" w:rsidRDefault="00703E9A">
      <w:r>
        <w:separator/>
      </w:r>
    </w:p>
    <w:p w14:paraId="11D2549F" w14:textId="77777777" w:rsidR="00703E9A" w:rsidRDefault="00703E9A"/>
  </w:footnote>
  <w:footnote w:type="continuationSeparator" w:id="0">
    <w:p w14:paraId="5464E227" w14:textId="77777777" w:rsidR="00703E9A" w:rsidRDefault="00703E9A">
      <w:r>
        <w:continuationSeparator/>
      </w:r>
    </w:p>
    <w:p w14:paraId="3D44CE08" w14:textId="77777777" w:rsidR="00703E9A" w:rsidRDefault="00703E9A"/>
  </w:footnote>
  <w:footnote w:type="continuationNotice" w:id="1">
    <w:p w14:paraId="1C615F7F" w14:textId="77777777" w:rsidR="00703E9A" w:rsidRDefault="00703E9A"/>
  </w:footnote>
  <w:footnote w:id="2">
    <w:p w14:paraId="52F26208" w14:textId="77777777" w:rsidR="00197794" w:rsidRDefault="00197794" w:rsidP="00197794">
      <w:pPr>
        <w:pStyle w:val="Voetnoottekst"/>
      </w:pPr>
      <w:r>
        <w:rPr>
          <w:rStyle w:val="Voetnootmarkering"/>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3">
    <w:p w14:paraId="7AC41BE1" w14:textId="77777777" w:rsidR="009476B5" w:rsidRPr="00703577" w:rsidRDefault="009476B5" w:rsidP="009476B5">
      <w:pPr>
        <w:pStyle w:val="Voetnoottekst"/>
        <w:jc w:val="both"/>
        <w:rPr>
          <w:rFonts w:ascii="Gill Sans MT" w:hAnsi="Gill Sans MT"/>
          <w:lang w:val="en-US"/>
        </w:rPr>
      </w:pPr>
      <w:r w:rsidRPr="00C82711">
        <w:rPr>
          <w:rStyle w:val="Voetnootmarkering"/>
          <w:rFonts w:ascii="Gill Sans MT" w:hAnsi="Gill Sans MT"/>
        </w:rPr>
        <w:footnoteRef/>
      </w:r>
      <w:r w:rsidRPr="00C82711">
        <w:rPr>
          <w:rFonts w:ascii="Gill Sans MT" w:hAnsi="Gill Sans MT"/>
        </w:rPr>
        <w:t xml:space="preserve"> </w:t>
      </w:r>
      <w:r w:rsidRPr="00C82711">
        <w:rPr>
          <w:rFonts w:ascii="Gill Sans MT" w:hAnsi="Gill Sans MT"/>
          <w:i/>
        </w:rPr>
        <w:t>The Dutch Fund and Asset Management Association (D</w:t>
      </w:r>
      <w:r>
        <w:rPr>
          <w:rFonts w:ascii="Gill Sans MT" w:hAnsi="Gill Sans MT"/>
          <w:i/>
        </w:rPr>
        <w:t>UFAS</w:t>
      </w:r>
      <w:r w:rsidRPr="00C82711">
        <w:rPr>
          <w:rFonts w:ascii="Gill Sans MT" w:hAnsi="Gill Sans MT"/>
          <w:i/>
        </w:rPr>
        <w:t>) promotes the collective interests of asset managers, investment firms and custodians, operating on and from the Dutch market place – both Dutch and foreign parties. D</w:t>
      </w:r>
      <w:r>
        <w:rPr>
          <w:rFonts w:ascii="Gill Sans MT" w:hAnsi="Gill Sans MT"/>
          <w:i/>
        </w:rPr>
        <w:t>UFAS</w:t>
      </w:r>
      <w:r w:rsidRPr="00C82711">
        <w:rPr>
          <w:rFonts w:ascii="Gill Sans MT" w:hAnsi="Gill Sans MT"/>
          <w:i/>
        </w:rPr>
        <w:t xml:space="preserve"> has a commercial focus, aimed at creating both institutional and retail business opportunities for its members. Central to this is the promotion of an optimal business climate for asset management in the Netherlands. A level playing field for free supply of investment products and asset management services within the European Union and a broadening of the market for investment products are key. D</w:t>
      </w:r>
      <w:r>
        <w:rPr>
          <w:rFonts w:ascii="Gill Sans MT" w:hAnsi="Gill Sans MT"/>
          <w:i/>
        </w:rPr>
        <w:t>UFAS</w:t>
      </w:r>
      <w:r w:rsidRPr="00C82711">
        <w:rPr>
          <w:rFonts w:ascii="Gill Sans MT" w:hAnsi="Gill Sans MT"/>
          <w:i/>
        </w:rPr>
        <w:t xml:space="preserve"> represents over 9</w:t>
      </w:r>
      <w:r>
        <w:rPr>
          <w:rFonts w:ascii="Gill Sans MT" w:hAnsi="Gill Sans MT"/>
          <w:i/>
        </w:rPr>
        <w:t>5</w:t>
      </w:r>
      <w:r w:rsidRPr="00C82711">
        <w:rPr>
          <w:rFonts w:ascii="Gill Sans MT" w:hAnsi="Gill Sans MT"/>
          <w:i/>
        </w:rPr>
        <w:t>% of the Dutch asset management market, both retail and institutional business. Next to independent asset management firms, self-managed (real estate) funds and custodians, D</w:t>
      </w:r>
      <w:r>
        <w:rPr>
          <w:rFonts w:ascii="Gill Sans MT" w:hAnsi="Gill Sans MT"/>
          <w:i/>
        </w:rPr>
        <w:t>UFAS</w:t>
      </w:r>
      <w:r w:rsidRPr="00C82711">
        <w:rPr>
          <w:rFonts w:ascii="Gill Sans MT" w:hAnsi="Gill Sans MT"/>
          <w:i/>
        </w:rPr>
        <w:t xml:space="preserve"> membership is comprised of asset management firms that are linked to banking, insurance and pension funds. For more information, see: www.dufas.nl</w:t>
      </w:r>
    </w:p>
  </w:footnote>
  <w:footnote w:id="4">
    <w:p w14:paraId="7972295D" w14:textId="77777777" w:rsidR="00052278" w:rsidRPr="00816A9B" w:rsidRDefault="00052278" w:rsidP="00052278">
      <w:pPr>
        <w:pStyle w:val="Voetnoottekst"/>
        <w:jc w:val="both"/>
        <w:rPr>
          <w:lang w:val="en-US"/>
        </w:rPr>
      </w:pPr>
      <w:r>
        <w:rPr>
          <w:rStyle w:val="Voetnootmarkering"/>
        </w:rPr>
        <w:footnoteRef/>
      </w:r>
      <w:r>
        <w:t xml:space="preserve"> </w:t>
      </w:r>
      <w:r w:rsidRPr="0071616E">
        <w:rPr>
          <w:rFonts w:ascii="Gill Sans MT" w:hAnsi="Gill Sans MT"/>
          <w:sz w:val="18"/>
          <w:szCs w:val="18"/>
        </w:rPr>
        <w:t>We anticipate that the pursuant to the Dutch climate agreement the measurement and disclosure of emissions will be expanded to other asset classes in the coming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5DCD1" w14:textId="77777777" w:rsidR="008F65D5" w:rsidRDefault="008F65D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EC" w14:textId="0B1FCCA2" w:rsidR="00811EDA" w:rsidRDefault="008F65D5">
    <w:pPr>
      <w:pStyle w:val="Koptekst"/>
    </w:pPr>
    <w:r>
      <w:rPr>
        <w:noProof/>
        <w:lang w:eastAsia="en-GB"/>
      </w:rPr>
      <w:drawing>
        <wp:inline distT="0" distB="0" distL="0" distR="0" wp14:anchorId="5DFA0AC9" wp14:editId="5C7CBA1A">
          <wp:extent cx="5575935" cy="548005"/>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00DE66EB">
      <w:rPr>
        <w:noProof/>
        <w:lang w:eastAsia="en-GB"/>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7B898"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F1" w14:textId="57FA93C8" w:rsidR="00811EDA" w:rsidRDefault="008F65D5" w:rsidP="00013CCE">
    <w:pPr>
      <w:pStyle w:val="Koptekst"/>
      <w:jc w:val="right"/>
    </w:pPr>
    <w:r>
      <w:rPr>
        <w:noProof/>
        <w:lang w:eastAsia="en-GB"/>
      </w:rPr>
      <w:drawing>
        <wp:inline distT="0" distB="0" distL="0" distR="0" wp14:anchorId="43043680" wp14:editId="13AB93FC">
          <wp:extent cx="5575935" cy="548005"/>
          <wp:effectExtent l="0" t="0" r="0" b="0"/>
          <wp:docPr id="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00DE66EB">
      <w:rPr>
        <w:noProof/>
        <w:lang w:eastAsia="en-GB"/>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6"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F2" w14:textId="77777777" w:rsidR="00811EDA" w:rsidRDefault="00811ED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Koptekst"/>
      <w:rPr>
        <w:lang w:val="fr-FR"/>
      </w:rPr>
    </w:pPr>
  </w:p>
  <w:p w14:paraId="6A3CB0F8" w14:textId="77777777" w:rsidR="00811EDA" w:rsidRPr="002F4496" w:rsidRDefault="00811EDA" w:rsidP="000C06C9">
    <w:pPr>
      <w:pStyle w:val="Koptekst"/>
      <w:tabs>
        <w:tab w:val="clear" w:pos="4536"/>
        <w:tab w:val="clear" w:pos="9072"/>
        <w:tab w:val="left" w:pos="8227"/>
      </w:tabs>
      <w:rPr>
        <w:lang w:val="fr-FR"/>
      </w:rPr>
    </w:pPr>
  </w:p>
  <w:p w14:paraId="6A3CB0F9" w14:textId="77777777" w:rsidR="00811EDA" w:rsidRPr="002F4496" w:rsidRDefault="00811EDA" w:rsidP="000C06C9">
    <w:pPr>
      <w:pStyle w:val="Koptekst"/>
      <w:tabs>
        <w:tab w:val="clear" w:pos="4536"/>
        <w:tab w:val="clear" w:pos="9072"/>
        <w:tab w:val="left" w:pos="8227"/>
      </w:tabs>
      <w:rPr>
        <w:lang w:val="fr-FR"/>
      </w:rPr>
    </w:pPr>
  </w:p>
  <w:p w14:paraId="6A3CB0FA" w14:textId="77777777" w:rsidR="00811EDA" w:rsidRPr="002F4496" w:rsidRDefault="00811EDA">
    <w:pPr>
      <w:pStyle w:val="Koptekst"/>
      <w:rPr>
        <w:lang w:val="fr-FR"/>
      </w:rPr>
    </w:pPr>
  </w:p>
  <w:p w14:paraId="6A3CB0FB" w14:textId="77777777" w:rsidR="00811EDA" w:rsidRPr="002F4496" w:rsidRDefault="00811EDA">
    <w:pPr>
      <w:pStyle w:val="Koptekst"/>
      <w:rPr>
        <w:lang w:val="fr-FR"/>
      </w:rPr>
    </w:pPr>
  </w:p>
  <w:p w14:paraId="6A3CB0FC" w14:textId="77777777" w:rsidR="00811EDA" w:rsidRPr="002F4496" w:rsidRDefault="00811EDA">
    <w:pPr>
      <w:pStyle w:val="Koptekst"/>
      <w:rPr>
        <w:lang w:val="fr-FR"/>
      </w:rPr>
    </w:pPr>
  </w:p>
  <w:p w14:paraId="6A3CB0FD" w14:textId="77777777" w:rsidR="00811EDA" w:rsidRPr="002F4496" w:rsidRDefault="00811EDA">
    <w:pPr>
      <w:pStyle w:val="Koptekst"/>
      <w:rPr>
        <w:lang w:val="fr-FR"/>
      </w:rPr>
    </w:pPr>
  </w:p>
  <w:p w14:paraId="6A3CB0FE" w14:textId="77777777" w:rsidR="00811EDA" w:rsidRPr="002F4496" w:rsidRDefault="00811EDA">
    <w:pPr>
      <w:pStyle w:val="Koptekst"/>
      <w:rPr>
        <w:highlight w:val="yellow"/>
        <w:lang w:val="fr-FR"/>
      </w:rPr>
    </w:pPr>
  </w:p>
  <w:p w14:paraId="6A3CB0FF" w14:textId="05D5FF53" w:rsidR="00811EDA" w:rsidRDefault="00DE66EB">
    <w:pPr>
      <w:pStyle w:val="Koptekst"/>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B2F39"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sidR="008F65D5">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jstopsomtek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317674"/>
    <w:multiLevelType w:val="hybridMultilevel"/>
    <w:tmpl w:val="1D0254A4"/>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4984288"/>
    <w:multiLevelType w:val="hybridMultilevel"/>
    <w:tmpl w:val="C70E0FE4"/>
    <w:lvl w:ilvl="0" w:tplc="04130005">
      <w:start w:val="1"/>
      <w:numFmt w:val="bullet"/>
      <w:lvlText w:val=""/>
      <w:lvlJc w:val="left"/>
      <w:pPr>
        <w:ind w:left="360" w:hanging="360"/>
      </w:pPr>
      <w:rPr>
        <w:rFonts w:ascii="Wingdings" w:hAnsi="Wingdings" w:hint="default"/>
      </w:rPr>
    </w:lvl>
    <w:lvl w:ilvl="1" w:tplc="17069E42">
      <w:numFmt w:val="bullet"/>
      <w:lvlText w:val="•"/>
      <w:lvlJc w:val="left"/>
      <w:pPr>
        <w:ind w:left="1430" w:hanging="710"/>
      </w:pPr>
      <w:rPr>
        <w:rFonts w:ascii="Gill Sans MT" w:eastAsiaTheme="minorHAnsi" w:hAnsi="Gill Sans MT"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F978D4"/>
    <w:multiLevelType w:val="hybridMultilevel"/>
    <w:tmpl w:val="3B8A919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15:restartNumberingAfterBreak="0">
    <w:nsid w:val="1DAE53C8"/>
    <w:multiLevelType w:val="multilevel"/>
    <w:tmpl w:val="ACFA87A8"/>
    <w:lvl w:ilvl="0">
      <w:start w:val="1"/>
      <w:numFmt w:val="decimal"/>
      <w:pStyle w:val="Platteteks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12A5DE5"/>
    <w:multiLevelType w:val="hybridMultilevel"/>
    <w:tmpl w:val="8630529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8" w15:restartNumberingAfterBreak="0">
    <w:nsid w:val="3A841364"/>
    <w:multiLevelType w:val="hybridMultilevel"/>
    <w:tmpl w:val="21CCF614"/>
    <w:lvl w:ilvl="0" w:tplc="08090017">
      <w:start w:val="1"/>
      <w:numFmt w:val="lowerLetter"/>
      <w:pStyle w:val="Lijstopsomtek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0"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2" w15:restartNumberingAfterBreak="0">
    <w:nsid w:val="3F8626AF"/>
    <w:multiLevelType w:val="hybridMultilevel"/>
    <w:tmpl w:val="9EF0DD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4" w15:restartNumberingAfterBreak="0">
    <w:nsid w:val="46597DA4"/>
    <w:multiLevelType w:val="hybridMultilevel"/>
    <w:tmpl w:val="8C643B28"/>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9" w15:restartNumberingAfterBreak="0">
    <w:nsid w:val="4C7151D2"/>
    <w:multiLevelType w:val="hybridMultilevel"/>
    <w:tmpl w:val="DE90C632"/>
    <w:lvl w:ilvl="0" w:tplc="08090001">
      <w:start w:val="1"/>
      <w:numFmt w:val="bullet"/>
      <w:pStyle w:val="Lijstopsomtek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3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3" w15:restartNumberingAfterBreak="0">
    <w:nsid w:val="55DE60E9"/>
    <w:multiLevelType w:val="hybridMultilevel"/>
    <w:tmpl w:val="1084069A"/>
    <w:lvl w:ilvl="0" w:tplc="B532C018">
      <w:start w:val="2"/>
      <w:numFmt w:val="upperRoman"/>
      <w:pStyle w:val="Kop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8" w15:restartNumberingAfterBreak="0">
    <w:nsid w:val="605735B9"/>
    <w:multiLevelType w:val="hybridMultilevel"/>
    <w:tmpl w:val="AD1C76E8"/>
    <w:lvl w:ilvl="0" w:tplc="6658B948">
      <w:start w:val="1"/>
      <w:numFmt w:val="decimal"/>
      <w:pStyle w:val="Kop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E303A6"/>
    <w:multiLevelType w:val="hybridMultilevel"/>
    <w:tmpl w:val="FBFCBD52"/>
    <w:lvl w:ilvl="0" w:tplc="9376C0F2">
      <w:start w:val="1"/>
      <w:numFmt w:val="bullet"/>
      <w:lvlText w:val=""/>
      <w:lvlJc w:val="left"/>
      <w:pPr>
        <w:ind w:left="360" w:hanging="360"/>
      </w:pPr>
      <w:rPr>
        <w:rFonts w:ascii="Wingdings" w:hAnsi="Wingdings" w:hint="default"/>
        <w:lang w:val="en-US"/>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62970F71"/>
    <w:multiLevelType w:val="singleLevel"/>
    <w:tmpl w:val="A8CADBFA"/>
    <w:name w:val="Bullet 0"/>
    <w:lvl w:ilvl="0">
      <w:start w:val="1"/>
      <w:numFmt w:val="bullet"/>
      <w:pStyle w:val="Lijstnummering"/>
      <w:lvlText w:val="–"/>
      <w:lvlJc w:val="left"/>
      <w:pPr>
        <w:tabs>
          <w:tab w:val="num" w:pos="1417"/>
        </w:tabs>
        <w:ind w:left="1417" w:hanging="567"/>
      </w:pPr>
    </w:lvl>
  </w:abstractNum>
  <w:abstractNum w:abstractNumId="41" w15:restartNumberingAfterBreak="0">
    <w:nsid w:val="672D6894"/>
    <w:multiLevelType w:val="hybridMultilevel"/>
    <w:tmpl w:val="972CE67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6CF67058"/>
    <w:multiLevelType w:val="hybridMultilevel"/>
    <w:tmpl w:val="707004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8F2B21"/>
    <w:multiLevelType w:val="hybridMultilevel"/>
    <w:tmpl w:val="A00EC7A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15:restartNumberingAfterBreak="0">
    <w:nsid w:val="75F92A14"/>
    <w:multiLevelType w:val="hybridMultilevel"/>
    <w:tmpl w:val="168C379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5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0"/>
  </w:num>
  <w:num w:numId="2">
    <w:abstractNumId w:val="23"/>
  </w:num>
  <w:num w:numId="3">
    <w:abstractNumId w:val="15"/>
  </w:num>
  <w:num w:numId="4">
    <w:abstractNumId w:val="30"/>
  </w:num>
  <w:num w:numId="5">
    <w:abstractNumId w:val="33"/>
  </w:num>
  <w:num w:numId="6">
    <w:abstractNumId w:val="0"/>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8"/>
  </w:num>
  <w:num w:numId="14">
    <w:abstractNumId w:val="29"/>
  </w:num>
  <w:num w:numId="15">
    <w:abstractNumId w:val="11"/>
  </w:num>
  <w:num w:numId="16">
    <w:abstractNumId w:val="1"/>
  </w:num>
  <w:num w:numId="17">
    <w:abstractNumId w:val="18"/>
  </w:num>
  <w:num w:numId="18">
    <w:abstractNumId w:val="19"/>
  </w:num>
  <w:num w:numId="19">
    <w:abstractNumId w:val="21"/>
  </w:num>
  <w:num w:numId="20">
    <w:abstractNumId w:val="34"/>
  </w:num>
  <w:num w:numId="21">
    <w:abstractNumId w:val="47"/>
  </w:num>
  <w:num w:numId="22">
    <w:abstractNumId w:val="32"/>
  </w:num>
  <w:num w:numId="23">
    <w:abstractNumId w:val="10"/>
  </w:num>
  <w:num w:numId="24">
    <w:abstractNumId w:val="37"/>
  </w:num>
  <w:num w:numId="25">
    <w:abstractNumId w:val="36"/>
  </w:num>
  <w:num w:numId="26">
    <w:abstractNumId w:val="25"/>
  </w:num>
  <w:num w:numId="27">
    <w:abstractNumId w:val="42"/>
  </w:num>
  <w:num w:numId="28">
    <w:abstractNumId w:val="50"/>
  </w:num>
  <w:num w:numId="29">
    <w:abstractNumId w:val="8"/>
  </w:num>
  <w:num w:numId="30">
    <w:abstractNumId w:val="4"/>
  </w:num>
  <w:num w:numId="31">
    <w:abstractNumId w:val="28"/>
  </w:num>
  <w:num w:numId="32">
    <w:abstractNumId w:val="26"/>
  </w:num>
  <w:num w:numId="33">
    <w:abstractNumId w:val="45"/>
  </w:num>
  <w:num w:numId="34">
    <w:abstractNumId w:val="44"/>
  </w:num>
  <w:num w:numId="35">
    <w:abstractNumId w:val="12"/>
  </w:num>
  <w:num w:numId="36">
    <w:abstractNumId w:val="14"/>
  </w:num>
  <w:num w:numId="37">
    <w:abstractNumId w:val="16"/>
  </w:num>
  <w:num w:numId="38">
    <w:abstractNumId w:val="31"/>
  </w:num>
  <w:num w:numId="39">
    <w:abstractNumId w:val="27"/>
  </w:num>
  <w:num w:numId="40">
    <w:abstractNumId w:val="43"/>
  </w:num>
  <w:num w:numId="41">
    <w:abstractNumId w:val="2"/>
  </w:num>
  <w:num w:numId="42">
    <w:abstractNumId w:val="24"/>
  </w:num>
  <w:num w:numId="43">
    <w:abstractNumId w:val="22"/>
  </w:num>
  <w:num w:numId="44">
    <w:abstractNumId w:val="41"/>
  </w:num>
  <w:num w:numId="45">
    <w:abstractNumId w:val="39"/>
  </w:num>
  <w:num w:numId="46">
    <w:abstractNumId w:val="48"/>
  </w:num>
  <w:num w:numId="47">
    <w:abstractNumId w:val="46"/>
  </w:num>
  <w:num w:numId="48">
    <w:abstractNumId w:val="3"/>
  </w:num>
  <w:num w:numId="49">
    <w:abstractNumId w:val="13"/>
  </w:num>
  <w:num w:numId="50">
    <w:abstractNumId w:val="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7TB43jRLdj3XDux783pLmb6geOQ7UJxdlwkLOHEa4DLmgdDuNy7N161DEKv/fo5NLWe9J36WNG1rzvItIynu/Q==" w:salt="IxiToWweFtJz5C1p3iFyIA=="/>
  <w:defaultTabStop w:val="709"/>
  <w:autoHyphenation/>
  <w:hyphenationZone w:val="567"/>
  <w:characterSpacingControl w:val="doNotCompress"/>
  <w:hdrShapeDefaults>
    <o:shapedefaults v:ext="edit" spidmax="2867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6CFA"/>
    <w:rsid w:val="0001774B"/>
    <w:rsid w:val="00020D0F"/>
    <w:rsid w:val="000215EB"/>
    <w:rsid w:val="00021E83"/>
    <w:rsid w:val="00023713"/>
    <w:rsid w:val="00023C4D"/>
    <w:rsid w:val="00025E71"/>
    <w:rsid w:val="00026035"/>
    <w:rsid w:val="00026269"/>
    <w:rsid w:val="00026E7A"/>
    <w:rsid w:val="00027154"/>
    <w:rsid w:val="00027ECF"/>
    <w:rsid w:val="000303BE"/>
    <w:rsid w:val="000321C9"/>
    <w:rsid w:val="000344D6"/>
    <w:rsid w:val="00034960"/>
    <w:rsid w:val="000361BE"/>
    <w:rsid w:val="00036FAE"/>
    <w:rsid w:val="00041746"/>
    <w:rsid w:val="00041858"/>
    <w:rsid w:val="0004389E"/>
    <w:rsid w:val="000439D8"/>
    <w:rsid w:val="000463A6"/>
    <w:rsid w:val="00046CC9"/>
    <w:rsid w:val="00046E91"/>
    <w:rsid w:val="000502FE"/>
    <w:rsid w:val="0005126D"/>
    <w:rsid w:val="00051992"/>
    <w:rsid w:val="00051DFE"/>
    <w:rsid w:val="00051E9A"/>
    <w:rsid w:val="000521A7"/>
    <w:rsid w:val="00052278"/>
    <w:rsid w:val="00052F47"/>
    <w:rsid w:val="0005399B"/>
    <w:rsid w:val="00054DE6"/>
    <w:rsid w:val="00055171"/>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C20"/>
    <w:rsid w:val="000C2F88"/>
    <w:rsid w:val="000C55C8"/>
    <w:rsid w:val="000C57C4"/>
    <w:rsid w:val="000C5FD3"/>
    <w:rsid w:val="000C701D"/>
    <w:rsid w:val="000C752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4811"/>
    <w:rsid w:val="000F55B7"/>
    <w:rsid w:val="000F604F"/>
    <w:rsid w:val="000F7399"/>
    <w:rsid w:val="001027F1"/>
    <w:rsid w:val="00104F2E"/>
    <w:rsid w:val="0010671B"/>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26E09"/>
    <w:rsid w:val="00130453"/>
    <w:rsid w:val="00130F41"/>
    <w:rsid w:val="00130FAF"/>
    <w:rsid w:val="00135F2B"/>
    <w:rsid w:val="001372DD"/>
    <w:rsid w:val="001405BA"/>
    <w:rsid w:val="0014073D"/>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37"/>
    <w:rsid w:val="0016087A"/>
    <w:rsid w:val="00160A5C"/>
    <w:rsid w:val="001613EC"/>
    <w:rsid w:val="0016358A"/>
    <w:rsid w:val="00163820"/>
    <w:rsid w:val="001638D4"/>
    <w:rsid w:val="00164664"/>
    <w:rsid w:val="00164F15"/>
    <w:rsid w:val="001651A4"/>
    <w:rsid w:val="0016552B"/>
    <w:rsid w:val="00166B04"/>
    <w:rsid w:val="001670A6"/>
    <w:rsid w:val="001701FA"/>
    <w:rsid w:val="001707B9"/>
    <w:rsid w:val="00170CA2"/>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1D5"/>
    <w:rsid w:val="00186829"/>
    <w:rsid w:val="001868CA"/>
    <w:rsid w:val="00187304"/>
    <w:rsid w:val="001875BE"/>
    <w:rsid w:val="0019017A"/>
    <w:rsid w:val="00190B8C"/>
    <w:rsid w:val="00190FF8"/>
    <w:rsid w:val="0019311A"/>
    <w:rsid w:val="0019508A"/>
    <w:rsid w:val="00195BFF"/>
    <w:rsid w:val="001960D8"/>
    <w:rsid w:val="00197794"/>
    <w:rsid w:val="001A0870"/>
    <w:rsid w:val="001A1642"/>
    <w:rsid w:val="001A371B"/>
    <w:rsid w:val="001A4766"/>
    <w:rsid w:val="001A4BBA"/>
    <w:rsid w:val="001A5E5C"/>
    <w:rsid w:val="001A6A0D"/>
    <w:rsid w:val="001A6C51"/>
    <w:rsid w:val="001A6FAA"/>
    <w:rsid w:val="001A7A43"/>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40F"/>
    <w:rsid w:val="001C270F"/>
    <w:rsid w:val="001C4679"/>
    <w:rsid w:val="001C5770"/>
    <w:rsid w:val="001C6195"/>
    <w:rsid w:val="001D000A"/>
    <w:rsid w:val="001D0883"/>
    <w:rsid w:val="001D1107"/>
    <w:rsid w:val="001D12A2"/>
    <w:rsid w:val="001D2205"/>
    <w:rsid w:val="001D3A1F"/>
    <w:rsid w:val="001D3FB6"/>
    <w:rsid w:val="001D4550"/>
    <w:rsid w:val="001D5360"/>
    <w:rsid w:val="001D5498"/>
    <w:rsid w:val="001D5BAF"/>
    <w:rsid w:val="001D5D7E"/>
    <w:rsid w:val="001D6401"/>
    <w:rsid w:val="001D66C9"/>
    <w:rsid w:val="001D722A"/>
    <w:rsid w:val="001E04FC"/>
    <w:rsid w:val="001E2589"/>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667"/>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588"/>
    <w:rsid w:val="00245FB4"/>
    <w:rsid w:val="00250898"/>
    <w:rsid w:val="00251EA9"/>
    <w:rsid w:val="00252843"/>
    <w:rsid w:val="002543F8"/>
    <w:rsid w:val="00254A5F"/>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3F1"/>
    <w:rsid w:val="002A35EF"/>
    <w:rsid w:val="002A3DE0"/>
    <w:rsid w:val="002A40EA"/>
    <w:rsid w:val="002A46E8"/>
    <w:rsid w:val="002A491C"/>
    <w:rsid w:val="002A73F1"/>
    <w:rsid w:val="002B1FEF"/>
    <w:rsid w:val="002B2DF8"/>
    <w:rsid w:val="002B354F"/>
    <w:rsid w:val="002B3614"/>
    <w:rsid w:val="002B45D1"/>
    <w:rsid w:val="002B4ED8"/>
    <w:rsid w:val="002B4FAA"/>
    <w:rsid w:val="002B52C2"/>
    <w:rsid w:val="002B7656"/>
    <w:rsid w:val="002C054E"/>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2F4376"/>
    <w:rsid w:val="00300624"/>
    <w:rsid w:val="00300F56"/>
    <w:rsid w:val="00301006"/>
    <w:rsid w:val="00303565"/>
    <w:rsid w:val="00304A71"/>
    <w:rsid w:val="003066C8"/>
    <w:rsid w:val="0030739D"/>
    <w:rsid w:val="00307AFB"/>
    <w:rsid w:val="00311184"/>
    <w:rsid w:val="00312675"/>
    <w:rsid w:val="00314013"/>
    <w:rsid w:val="00314945"/>
    <w:rsid w:val="00314ADE"/>
    <w:rsid w:val="00315389"/>
    <w:rsid w:val="00315746"/>
    <w:rsid w:val="00315895"/>
    <w:rsid w:val="00315E96"/>
    <w:rsid w:val="00317FC8"/>
    <w:rsid w:val="00320B9B"/>
    <w:rsid w:val="00320EE5"/>
    <w:rsid w:val="0032134B"/>
    <w:rsid w:val="003223D7"/>
    <w:rsid w:val="00323D9F"/>
    <w:rsid w:val="00324011"/>
    <w:rsid w:val="00324FDB"/>
    <w:rsid w:val="00325F48"/>
    <w:rsid w:val="003273FE"/>
    <w:rsid w:val="003318DB"/>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339D"/>
    <w:rsid w:val="0036538D"/>
    <w:rsid w:val="00365D12"/>
    <w:rsid w:val="00367576"/>
    <w:rsid w:val="0037018D"/>
    <w:rsid w:val="00372299"/>
    <w:rsid w:val="00372A8D"/>
    <w:rsid w:val="00372F02"/>
    <w:rsid w:val="003734EF"/>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5FED"/>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5720"/>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2862"/>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5C0"/>
    <w:rsid w:val="00496821"/>
    <w:rsid w:val="00497750"/>
    <w:rsid w:val="00497B44"/>
    <w:rsid w:val="004A00E5"/>
    <w:rsid w:val="004A01A7"/>
    <w:rsid w:val="004A03FB"/>
    <w:rsid w:val="004A0D09"/>
    <w:rsid w:val="004A116E"/>
    <w:rsid w:val="004A357F"/>
    <w:rsid w:val="004A3DAD"/>
    <w:rsid w:val="004A4AC0"/>
    <w:rsid w:val="004A69DC"/>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3BB"/>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3DD0"/>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299"/>
    <w:rsid w:val="00511AAB"/>
    <w:rsid w:val="00514D10"/>
    <w:rsid w:val="00516783"/>
    <w:rsid w:val="005176F4"/>
    <w:rsid w:val="00517EF8"/>
    <w:rsid w:val="00520083"/>
    <w:rsid w:val="0052029E"/>
    <w:rsid w:val="0052076A"/>
    <w:rsid w:val="00520A2C"/>
    <w:rsid w:val="00520E25"/>
    <w:rsid w:val="0052183D"/>
    <w:rsid w:val="00522160"/>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3A61"/>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1F56"/>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39E"/>
    <w:rsid w:val="006247E0"/>
    <w:rsid w:val="00625F82"/>
    <w:rsid w:val="00627999"/>
    <w:rsid w:val="00630CD7"/>
    <w:rsid w:val="00630FF7"/>
    <w:rsid w:val="00633433"/>
    <w:rsid w:val="006341B5"/>
    <w:rsid w:val="006346C9"/>
    <w:rsid w:val="00634727"/>
    <w:rsid w:val="00634B64"/>
    <w:rsid w:val="0063578C"/>
    <w:rsid w:val="00636069"/>
    <w:rsid w:val="0063642C"/>
    <w:rsid w:val="006366BB"/>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590E"/>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AEA"/>
    <w:rsid w:val="00691B7C"/>
    <w:rsid w:val="006920C8"/>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0B0"/>
    <w:rsid w:val="006E4F20"/>
    <w:rsid w:val="006E4FAE"/>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13AC"/>
    <w:rsid w:val="0073248E"/>
    <w:rsid w:val="00733EE9"/>
    <w:rsid w:val="00735B8E"/>
    <w:rsid w:val="00736432"/>
    <w:rsid w:val="0073673C"/>
    <w:rsid w:val="00736935"/>
    <w:rsid w:val="00743DE7"/>
    <w:rsid w:val="0074509E"/>
    <w:rsid w:val="00745B9F"/>
    <w:rsid w:val="0074726F"/>
    <w:rsid w:val="0075015C"/>
    <w:rsid w:val="00752D4F"/>
    <w:rsid w:val="00752DC8"/>
    <w:rsid w:val="00753A09"/>
    <w:rsid w:val="0075409F"/>
    <w:rsid w:val="00754A9B"/>
    <w:rsid w:val="00754AC4"/>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2147"/>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1315"/>
    <w:rsid w:val="007D21D5"/>
    <w:rsid w:val="007D27BD"/>
    <w:rsid w:val="007D3E8D"/>
    <w:rsid w:val="007D5519"/>
    <w:rsid w:val="007D5915"/>
    <w:rsid w:val="007D5B4F"/>
    <w:rsid w:val="007D5C30"/>
    <w:rsid w:val="007E0660"/>
    <w:rsid w:val="007E1411"/>
    <w:rsid w:val="007E1882"/>
    <w:rsid w:val="007E1BB4"/>
    <w:rsid w:val="007E3514"/>
    <w:rsid w:val="007E4AAA"/>
    <w:rsid w:val="007E4BD2"/>
    <w:rsid w:val="007E4C29"/>
    <w:rsid w:val="007E58A7"/>
    <w:rsid w:val="007E5E44"/>
    <w:rsid w:val="007F0DDA"/>
    <w:rsid w:val="007F170C"/>
    <w:rsid w:val="007F1939"/>
    <w:rsid w:val="007F365C"/>
    <w:rsid w:val="007F4A2A"/>
    <w:rsid w:val="007F4F40"/>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84B"/>
    <w:rsid w:val="00850B68"/>
    <w:rsid w:val="00850E82"/>
    <w:rsid w:val="0085122D"/>
    <w:rsid w:val="008519E8"/>
    <w:rsid w:val="008525FF"/>
    <w:rsid w:val="00852C03"/>
    <w:rsid w:val="0085590C"/>
    <w:rsid w:val="008575EB"/>
    <w:rsid w:val="0086003A"/>
    <w:rsid w:val="00862DDD"/>
    <w:rsid w:val="0086326D"/>
    <w:rsid w:val="00863B88"/>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AEA"/>
    <w:rsid w:val="008B4C79"/>
    <w:rsid w:val="008B5D2D"/>
    <w:rsid w:val="008B6361"/>
    <w:rsid w:val="008C0320"/>
    <w:rsid w:val="008C2A81"/>
    <w:rsid w:val="008C3863"/>
    <w:rsid w:val="008C4BDC"/>
    <w:rsid w:val="008C50FF"/>
    <w:rsid w:val="008C5435"/>
    <w:rsid w:val="008C6BD1"/>
    <w:rsid w:val="008D2DB5"/>
    <w:rsid w:val="008D3F10"/>
    <w:rsid w:val="008D611D"/>
    <w:rsid w:val="008E0394"/>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13D"/>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297F"/>
    <w:rsid w:val="0092345A"/>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6B5"/>
    <w:rsid w:val="00947A5F"/>
    <w:rsid w:val="00947D84"/>
    <w:rsid w:val="009503E5"/>
    <w:rsid w:val="00950F71"/>
    <w:rsid w:val="00952F2C"/>
    <w:rsid w:val="009532E3"/>
    <w:rsid w:val="00953615"/>
    <w:rsid w:val="00954A15"/>
    <w:rsid w:val="00954BAF"/>
    <w:rsid w:val="00955D25"/>
    <w:rsid w:val="00955F48"/>
    <w:rsid w:val="009560B3"/>
    <w:rsid w:val="0095745E"/>
    <w:rsid w:val="00957CE0"/>
    <w:rsid w:val="0096002E"/>
    <w:rsid w:val="0096039E"/>
    <w:rsid w:val="00962736"/>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2959"/>
    <w:rsid w:val="00983A3C"/>
    <w:rsid w:val="00983EFA"/>
    <w:rsid w:val="00984C15"/>
    <w:rsid w:val="00987829"/>
    <w:rsid w:val="00991276"/>
    <w:rsid w:val="009923E7"/>
    <w:rsid w:val="00992697"/>
    <w:rsid w:val="00992A37"/>
    <w:rsid w:val="00992D4E"/>
    <w:rsid w:val="00993D1B"/>
    <w:rsid w:val="00994621"/>
    <w:rsid w:val="009947FF"/>
    <w:rsid w:val="0099544B"/>
    <w:rsid w:val="00996770"/>
    <w:rsid w:val="009A053D"/>
    <w:rsid w:val="009A07A6"/>
    <w:rsid w:val="009A0D56"/>
    <w:rsid w:val="009A1DC3"/>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1E32"/>
    <w:rsid w:val="009E2FDB"/>
    <w:rsid w:val="009E3594"/>
    <w:rsid w:val="009E6B77"/>
    <w:rsid w:val="009E7724"/>
    <w:rsid w:val="009E7D1F"/>
    <w:rsid w:val="009F01D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0E0B"/>
    <w:rsid w:val="00A113FD"/>
    <w:rsid w:val="00A11DDE"/>
    <w:rsid w:val="00A127A7"/>
    <w:rsid w:val="00A129F4"/>
    <w:rsid w:val="00A12C87"/>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3E8"/>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543"/>
    <w:rsid w:val="00A8728B"/>
    <w:rsid w:val="00A903D3"/>
    <w:rsid w:val="00A91682"/>
    <w:rsid w:val="00A91E16"/>
    <w:rsid w:val="00A92E4A"/>
    <w:rsid w:val="00A93F79"/>
    <w:rsid w:val="00A94FDD"/>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51E5"/>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B3A"/>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0F6"/>
    <w:rsid w:val="00B6439A"/>
    <w:rsid w:val="00B6443B"/>
    <w:rsid w:val="00B6517B"/>
    <w:rsid w:val="00B65E71"/>
    <w:rsid w:val="00B66C26"/>
    <w:rsid w:val="00B705C4"/>
    <w:rsid w:val="00B71FB3"/>
    <w:rsid w:val="00B72CB3"/>
    <w:rsid w:val="00B73492"/>
    <w:rsid w:val="00B7512A"/>
    <w:rsid w:val="00B76548"/>
    <w:rsid w:val="00B76A6C"/>
    <w:rsid w:val="00B76BED"/>
    <w:rsid w:val="00B806E6"/>
    <w:rsid w:val="00B82DC1"/>
    <w:rsid w:val="00B835D5"/>
    <w:rsid w:val="00B84028"/>
    <w:rsid w:val="00B84307"/>
    <w:rsid w:val="00B8430D"/>
    <w:rsid w:val="00B85661"/>
    <w:rsid w:val="00B85C8A"/>
    <w:rsid w:val="00B86FBD"/>
    <w:rsid w:val="00B91B86"/>
    <w:rsid w:val="00B92659"/>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6D91"/>
    <w:rsid w:val="00BB7A20"/>
    <w:rsid w:val="00BC15B1"/>
    <w:rsid w:val="00BC16E9"/>
    <w:rsid w:val="00BC3C06"/>
    <w:rsid w:val="00BC4E8B"/>
    <w:rsid w:val="00BC5622"/>
    <w:rsid w:val="00BC6060"/>
    <w:rsid w:val="00BC6596"/>
    <w:rsid w:val="00BC7897"/>
    <w:rsid w:val="00BD0F35"/>
    <w:rsid w:val="00BD3C97"/>
    <w:rsid w:val="00BD45A4"/>
    <w:rsid w:val="00BD4A5F"/>
    <w:rsid w:val="00BD58D5"/>
    <w:rsid w:val="00BD59AA"/>
    <w:rsid w:val="00BD65E6"/>
    <w:rsid w:val="00BD6AF7"/>
    <w:rsid w:val="00BE19EF"/>
    <w:rsid w:val="00BE425B"/>
    <w:rsid w:val="00BE51BB"/>
    <w:rsid w:val="00BE7595"/>
    <w:rsid w:val="00BE77D3"/>
    <w:rsid w:val="00BE7C87"/>
    <w:rsid w:val="00BF0138"/>
    <w:rsid w:val="00BF09F6"/>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439"/>
    <w:rsid w:val="00C109F6"/>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3D1B"/>
    <w:rsid w:val="00C85387"/>
    <w:rsid w:val="00C85E52"/>
    <w:rsid w:val="00C86471"/>
    <w:rsid w:val="00C8677B"/>
    <w:rsid w:val="00C86E1C"/>
    <w:rsid w:val="00C86F96"/>
    <w:rsid w:val="00C909C6"/>
    <w:rsid w:val="00C923B7"/>
    <w:rsid w:val="00C9380A"/>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3499"/>
    <w:rsid w:val="00CD4EB0"/>
    <w:rsid w:val="00CD512D"/>
    <w:rsid w:val="00CD5831"/>
    <w:rsid w:val="00CD6F6E"/>
    <w:rsid w:val="00CE08D1"/>
    <w:rsid w:val="00CE157F"/>
    <w:rsid w:val="00CE1966"/>
    <w:rsid w:val="00CE1ED4"/>
    <w:rsid w:val="00CE2216"/>
    <w:rsid w:val="00CE3014"/>
    <w:rsid w:val="00CE30E5"/>
    <w:rsid w:val="00CE6FC6"/>
    <w:rsid w:val="00CF1134"/>
    <w:rsid w:val="00CF2056"/>
    <w:rsid w:val="00CF207D"/>
    <w:rsid w:val="00CF4471"/>
    <w:rsid w:val="00CF4A3E"/>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594A"/>
    <w:rsid w:val="00D56321"/>
    <w:rsid w:val="00D56AC0"/>
    <w:rsid w:val="00D6081B"/>
    <w:rsid w:val="00D61A37"/>
    <w:rsid w:val="00D6240A"/>
    <w:rsid w:val="00D62485"/>
    <w:rsid w:val="00D63093"/>
    <w:rsid w:val="00D63599"/>
    <w:rsid w:val="00D63EBD"/>
    <w:rsid w:val="00D64B69"/>
    <w:rsid w:val="00D67101"/>
    <w:rsid w:val="00D7106D"/>
    <w:rsid w:val="00D71B45"/>
    <w:rsid w:val="00D71F8A"/>
    <w:rsid w:val="00D75603"/>
    <w:rsid w:val="00D75FEE"/>
    <w:rsid w:val="00D76933"/>
    <w:rsid w:val="00D76D88"/>
    <w:rsid w:val="00D77CC9"/>
    <w:rsid w:val="00D8396F"/>
    <w:rsid w:val="00D83D4B"/>
    <w:rsid w:val="00D871C6"/>
    <w:rsid w:val="00D91010"/>
    <w:rsid w:val="00D9120E"/>
    <w:rsid w:val="00D94EB7"/>
    <w:rsid w:val="00DA0FA7"/>
    <w:rsid w:val="00DA12B0"/>
    <w:rsid w:val="00DA2BA0"/>
    <w:rsid w:val="00DA39AD"/>
    <w:rsid w:val="00DA5B13"/>
    <w:rsid w:val="00DA6917"/>
    <w:rsid w:val="00DA6926"/>
    <w:rsid w:val="00DB0965"/>
    <w:rsid w:val="00DB0E47"/>
    <w:rsid w:val="00DB2BDD"/>
    <w:rsid w:val="00DB318F"/>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96A"/>
    <w:rsid w:val="00DF7EA7"/>
    <w:rsid w:val="00E04548"/>
    <w:rsid w:val="00E0484E"/>
    <w:rsid w:val="00E063F8"/>
    <w:rsid w:val="00E079AF"/>
    <w:rsid w:val="00E114D6"/>
    <w:rsid w:val="00E1166E"/>
    <w:rsid w:val="00E11DBD"/>
    <w:rsid w:val="00E13211"/>
    <w:rsid w:val="00E1387B"/>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08EF"/>
    <w:rsid w:val="00E80997"/>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326"/>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3A0"/>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4F69"/>
    <w:rsid w:val="00EF5FB9"/>
    <w:rsid w:val="00EF61C1"/>
    <w:rsid w:val="00EF6E68"/>
    <w:rsid w:val="00EF76DB"/>
    <w:rsid w:val="00F005FD"/>
    <w:rsid w:val="00F024E2"/>
    <w:rsid w:val="00F02C04"/>
    <w:rsid w:val="00F03AF1"/>
    <w:rsid w:val="00F04BCD"/>
    <w:rsid w:val="00F05A8C"/>
    <w:rsid w:val="00F06211"/>
    <w:rsid w:val="00F10A54"/>
    <w:rsid w:val="00F123D0"/>
    <w:rsid w:val="00F12436"/>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5792E"/>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EBD"/>
    <w:rsid w:val="00FC4F6E"/>
    <w:rsid w:val="00FC506C"/>
    <w:rsid w:val="00FC578C"/>
    <w:rsid w:val="00FC5A37"/>
    <w:rsid w:val="00FC5B72"/>
    <w:rsid w:val="00FC5E89"/>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F0769"/>
    <w:rPr>
      <w:rFonts w:ascii="Arial" w:hAnsi="Arial"/>
      <w:szCs w:val="24"/>
      <w:lang w:eastAsia="de-DE"/>
    </w:rPr>
  </w:style>
  <w:style w:type="paragraph" w:styleId="Kop1">
    <w:name w:val="heading 1"/>
    <w:basedOn w:val="Standaard"/>
    <w:next w:val="Standaard"/>
    <w:link w:val="Kop1Char"/>
    <w:qFormat/>
    <w:rsid w:val="009E7724"/>
    <w:pPr>
      <w:keepNext/>
      <w:numPr>
        <w:numId w:val="5"/>
      </w:numPr>
      <w:spacing w:before="240" w:after="60"/>
      <w:outlineLvl w:val="0"/>
    </w:pPr>
    <w:rPr>
      <w:rFonts w:cs="Arial"/>
      <w:b/>
      <w:bCs/>
      <w:kern w:val="32"/>
      <w:sz w:val="24"/>
      <w:szCs w:val="32"/>
    </w:rPr>
  </w:style>
  <w:style w:type="paragraph" w:styleId="Kop2">
    <w:name w:val="heading 2"/>
    <w:basedOn w:val="Standaard"/>
    <w:next w:val="Standaard"/>
    <w:link w:val="Kop2Char"/>
    <w:qFormat/>
    <w:rsid w:val="00886A60"/>
    <w:pPr>
      <w:keepNext/>
      <w:keepLines/>
      <w:spacing w:before="200" w:after="120"/>
      <w:outlineLvl w:val="1"/>
    </w:pPr>
    <w:rPr>
      <w:b/>
      <w:bCs/>
      <w:szCs w:val="26"/>
    </w:rPr>
  </w:style>
  <w:style w:type="paragraph" w:styleId="Kop3">
    <w:name w:val="heading 3"/>
    <w:basedOn w:val="Standaard"/>
    <w:next w:val="Standaard"/>
    <w:link w:val="Kop3Char"/>
    <w:qFormat/>
    <w:rsid w:val="003865E5"/>
    <w:pPr>
      <w:keepNext/>
      <w:keepLines/>
      <w:spacing w:before="200"/>
      <w:outlineLvl w:val="2"/>
    </w:pPr>
    <w:rPr>
      <w:rFonts w:ascii="Cambria" w:hAnsi="Cambria"/>
      <w:b/>
      <w:bCs/>
      <w:color w:val="4F81BD"/>
    </w:rPr>
  </w:style>
  <w:style w:type="paragraph" w:styleId="Kop4">
    <w:name w:val="heading 4"/>
    <w:basedOn w:val="Standaard"/>
    <w:next w:val="Standaard"/>
    <w:link w:val="Kop4Ch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Kop5">
    <w:name w:val="heading 5"/>
    <w:aliases w:val="Questions"/>
    <w:basedOn w:val="Standaard"/>
    <w:next w:val="Standaard"/>
    <w:link w:val="Kop5Char"/>
    <w:qFormat/>
    <w:rsid w:val="00E9344E"/>
    <w:pPr>
      <w:keepNext/>
      <w:keepLines/>
      <w:numPr>
        <w:numId w:val="13"/>
      </w:numPr>
      <w:spacing w:before="200"/>
      <w:jc w:val="both"/>
      <w:outlineLvl w:val="4"/>
    </w:pPr>
    <w:rPr>
      <w:b/>
    </w:rPr>
  </w:style>
  <w:style w:type="paragraph" w:styleId="Kop6">
    <w:name w:val="heading 6"/>
    <w:basedOn w:val="Standaard"/>
    <w:next w:val="Standaard"/>
    <w:link w:val="Kop6Char"/>
    <w:qFormat/>
    <w:rsid w:val="003609B6"/>
    <w:pPr>
      <w:numPr>
        <w:ilvl w:val="5"/>
        <w:numId w:val="4"/>
      </w:numPr>
      <w:spacing w:before="240" w:after="60"/>
      <w:outlineLvl w:val="5"/>
    </w:pPr>
    <w:rPr>
      <w:rFonts w:ascii="Times New Roman" w:hAnsi="Times New Roman"/>
      <w:b/>
      <w:bCs/>
      <w:szCs w:val="22"/>
    </w:rPr>
  </w:style>
  <w:style w:type="paragraph" w:styleId="Kop7">
    <w:name w:val="heading 7"/>
    <w:basedOn w:val="Standaard"/>
    <w:next w:val="Standaard"/>
    <w:link w:val="Kop7Char"/>
    <w:unhideWhenUsed/>
    <w:qFormat/>
    <w:rsid w:val="002D6E1A"/>
    <w:pPr>
      <w:spacing w:before="240" w:after="60"/>
      <w:ind w:left="1296" w:hanging="1296"/>
      <w:outlineLvl w:val="6"/>
    </w:pPr>
    <w:rPr>
      <w:rFonts w:ascii="Times New Roman" w:hAnsi="Times New Roman"/>
    </w:rPr>
  </w:style>
  <w:style w:type="paragraph" w:styleId="Kop8">
    <w:name w:val="heading 8"/>
    <w:basedOn w:val="Standaard"/>
    <w:next w:val="Standaard"/>
    <w:link w:val="Kop8Char"/>
    <w:qFormat/>
    <w:rsid w:val="003609B6"/>
    <w:pPr>
      <w:numPr>
        <w:ilvl w:val="7"/>
        <w:numId w:val="4"/>
      </w:numPr>
      <w:spacing w:before="240" w:after="60"/>
      <w:outlineLvl w:val="7"/>
    </w:pPr>
    <w:rPr>
      <w:rFonts w:ascii="Times New Roman" w:hAnsi="Times New Roman"/>
      <w:i/>
      <w:iCs/>
    </w:rPr>
  </w:style>
  <w:style w:type="paragraph" w:styleId="Kop9">
    <w:name w:val="heading 9"/>
    <w:basedOn w:val="Standaard"/>
    <w:next w:val="Standaard"/>
    <w:link w:val="Kop9Char"/>
    <w:qFormat/>
    <w:rsid w:val="00A06867"/>
    <w:pPr>
      <w:tabs>
        <w:tab w:val="num" w:pos="1584"/>
      </w:tabs>
      <w:spacing w:before="240" w:after="60"/>
      <w:ind w:left="1584" w:hanging="1584"/>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5B64CB"/>
    <w:pPr>
      <w:tabs>
        <w:tab w:val="center" w:pos="4536"/>
        <w:tab w:val="right" w:pos="9072"/>
      </w:tabs>
    </w:pPr>
  </w:style>
  <w:style w:type="paragraph" w:styleId="Voettekst">
    <w:name w:val="footer"/>
    <w:basedOn w:val="Standaard"/>
    <w:link w:val="VoettekstChar"/>
    <w:uiPriority w:val="99"/>
    <w:rsid w:val="005B64CB"/>
    <w:pPr>
      <w:tabs>
        <w:tab w:val="center" w:pos="4536"/>
        <w:tab w:val="right" w:pos="9072"/>
      </w:tabs>
    </w:pPr>
  </w:style>
  <w:style w:type="table" w:styleId="Tabelraster">
    <w:name w:val="Table Grid"/>
    <w:basedOn w:val="Standaardtabel"/>
    <w:uiPriority w:val="39"/>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ard"/>
    <w:rsid w:val="003E3ACA"/>
    <w:pPr>
      <w:spacing w:line="200" w:lineRule="exact"/>
    </w:pPr>
    <w:rPr>
      <w:color w:val="2D4190"/>
      <w:sz w:val="16"/>
    </w:rPr>
  </w:style>
  <w:style w:type="paragraph" w:customStyle="1" w:styleId="05aTitle">
    <w:name w:val="05a_Title"/>
    <w:basedOn w:val="Standaard"/>
    <w:rsid w:val="00791EB4"/>
    <w:pPr>
      <w:spacing w:line="340" w:lineRule="exact"/>
    </w:pPr>
    <w:rPr>
      <w:b/>
      <w:color w:val="000000"/>
      <w:sz w:val="28"/>
    </w:rPr>
  </w:style>
  <w:style w:type="paragraph" w:customStyle="1" w:styleId="02Date">
    <w:name w:val="02_Date"/>
    <w:basedOn w:val="Standa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inanummer">
    <w:name w:val="page number"/>
    <w:basedOn w:val="Standaardalinea-lettertype"/>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Inhopg1">
    <w:name w:val="toc 1"/>
    <w:basedOn w:val="Standaard"/>
    <w:next w:val="Standa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Voetnoottekst">
    <w:name w:val="footnote text"/>
    <w:aliases w:val="Char3, Char3,Fußnotentextf,Fußnotentextr,stile 1,Footnote1,Footnote2,Footnote3,Footnote4,Footnote5,Footnote6,Footnote7,Footnote8,Footnote9,Footnote10,Footnote11,Footnote21,Footnote31,Footnote41,Footnote51,Footnote61,Footnote71,Fußnote, Cha"/>
    <w:basedOn w:val="Standaard"/>
    <w:link w:val="VoetnoottekstChar"/>
    <w:uiPriority w:val="99"/>
    <w:qFormat/>
    <w:rsid w:val="001725A5"/>
    <w:pPr>
      <w:spacing w:line="200" w:lineRule="exact"/>
    </w:pPr>
    <w:rPr>
      <w:sz w:val="16"/>
      <w:szCs w:val="20"/>
    </w:rPr>
  </w:style>
  <w:style w:type="character" w:styleId="Voetnootmarkering">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Inhopg2">
    <w:name w:val="toc 2"/>
    <w:basedOn w:val="Standaard"/>
    <w:next w:val="Standa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Verwijzingopmerking">
    <w:name w:val="annotation reference"/>
    <w:rsid w:val="004B1E61"/>
    <w:rPr>
      <w:sz w:val="16"/>
      <w:szCs w:val="16"/>
    </w:rPr>
  </w:style>
  <w:style w:type="paragraph" w:styleId="Tekstopmerking">
    <w:name w:val="annotation text"/>
    <w:basedOn w:val="Standaard"/>
    <w:link w:val="TekstopmerkingChar"/>
    <w:uiPriority w:val="99"/>
    <w:rsid w:val="004B1E61"/>
    <w:rPr>
      <w:szCs w:val="20"/>
    </w:rPr>
  </w:style>
  <w:style w:type="character" w:customStyle="1" w:styleId="TekstopmerkingChar">
    <w:name w:val="Tekst opmerking Char"/>
    <w:link w:val="Tekstopmerking"/>
    <w:uiPriority w:val="99"/>
    <w:rsid w:val="004B1E61"/>
    <w:rPr>
      <w:rFonts w:ascii="Georgia" w:hAnsi="Georgia"/>
      <w:lang w:eastAsia="de-DE"/>
    </w:rPr>
  </w:style>
  <w:style w:type="paragraph" w:styleId="Onderwerpvanopmerking">
    <w:name w:val="annotation subject"/>
    <w:basedOn w:val="Tekstopmerking"/>
    <w:next w:val="Tekstopmerking"/>
    <w:link w:val="OnderwerpvanopmerkingChar"/>
    <w:rsid w:val="004B1E61"/>
    <w:rPr>
      <w:b/>
      <w:bCs/>
    </w:rPr>
  </w:style>
  <w:style w:type="character" w:customStyle="1" w:styleId="OnderwerpvanopmerkingChar">
    <w:name w:val="Onderwerp van opmerking Char"/>
    <w:link w:val="Onderwerpvanopmerking"/>
    <w:rsid w:val="004B1E61"/>
    <w:rPr>
      <w:rFonts w:ascii="Georgia" w:hAnsi="Georgia"/>
      <w:b/>
      <w:bCs/>
      <w:lang w:eastAsia="de-DE"/>
    </w:rPr>
  </w:style>
  <w:style w:type="paragraph" w:styleId="Ballontekst">
    <w:name w:val="Balloon Text"/>
    <w:basedOn w:val="Standaard"/>
    <w:link w:val="BallontekstChar"/>
    <w:rsid w:val="004B1E61"/>
    <w:rPr>
      <w:rFonts w:ascii="Tahoma" w:hAnsi="Tahoma" w:cs="Tahoma"/>
      <w:sz w:val="16"/>
      <w:szCs w:val="16"/>
    </w:rPr>
  </w:style>
  <w:style w:type="character" w:customStyle="1" w:styleId="BallontekstChar">
    <w:name w:val="Ballontekst Char"/>
    <w:link w:val="Ballontekst"/>
    <w:rsid w:val="004B1E61"/>
    <w:rPr>
      <w:rFonts w:ascii="Tahoma" w:hAnsi="Tahoma" w:cs="Tahoma"/>
      <w:sz w:val="16"/>
      <w:szCs w:val="16"/>
      <w:lang w:eastAsia="de-DE"/>
    </w:rPr>
  </w:style>
  <w:style w:type="paragraph" w:styleId="Lijstalinea">
    <w:name w:val="List Paragraph"/>
    <w:aliases w:val="Paragraphe EI,Paragraphe de liste1,EC"/>
    <w:basedOn w:val="Standaard"/>
    <w:link w:val="LijstalineaChar"/>
    <w:uiPriority w:val="34"/>
    <w:qFormat/>
    <w:rsid w:val="002A0C82"/>
    <w:pPr>
      <w:ind w:left="720"/>
      <w:contextualSpacing/>
    </w:pPr>
  </w:style>
  <w:style w:type="paragraph" w:styleId="Kopvaninhoudsopgave">
    <w:name w:val="TOC Heading"/>
    <w:basedOn w:val="Kop1"/>
    <w:next w:val="Standa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VoetnoottekstChar">
    <w:name w:val="Voetnoottekst Char"/>
    <w:aliases w:val="Char3 Char, Char3 Char,Fußnotentextf Char,Fußnotentextr Char,stile 1 Char,Footnote1 Char,Footnote2 Char,Footnote3 Char,Footnote4 Char,Footnote5 Char,Footnote6 Char,Footnote7 Char,Footnote8 Char,Footnote9 Char,Footnote10 Char, Cha Char"/>
    <w:link w:val="Voetnootteks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ardalinea-lettertype"/>
    <w:rsid w:val="008E1B6A"/>
  </w:style>
  <w:style w:type="paragraph" w:customStyle="1" w:styleId="ManualNumPar1">
    <w:name w:val="Manual NumPar 1"/>
    <w:basedOn w:val="Standaard"/>
    <w:next w:val="Standa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Kop1Char">
    <w:name w:val="Kop 1 Char"/>
    <w:link w:val="Kop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Nadruk">
    <w:name w:val="Emphasis"/>
    <w:uiPriority w:val="20"/>
    <w:qFormat/>
    <w:rsid w:val="005F028E"/>
    <w:rPr>
      <w:i/>
      <w:iCs/>
    </w:rPr>
  </w:style>
  <w:style w:type="paragraph" w:styleId="Revisie">
    <w:name w:val="Revision"/>
    <w:link w:val="RevisieChar"/>
    <w:hidden/>
    <w:uiPriority w:val="99"/>
    <w:semiHidden/>
    <w:rsid w:val="008E6A37"/>
    <w:rPr>
      <w:rFonts w:ascii="Georgia" w:hAnsi="Georgia"/>
      <w:sz w:val="22"/>
      <w:szCs w:val="24"/>
      <w:lang w:eastAsia="de-DE"/>
    </w:rPr>
  </w:style>
  <w:style w:type="paragraph" w:styleId="Inhopg3">
    <w:name w:val="toc 3"/>
    <w:basedOn w:val="Standaard"/>
    <w:next w:val="Standa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ard"/>
    <w:next w:val="Standa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ard"/>
    <w:next w:val="Standaard"/>
    <w:uiPriority w:val="99"/>
    <w:rsid w:val="00F377CD"/>
    <w:pPr>
      <w:autoSpaceDE w:val="0"/>
      <w:autoSpaceDN w:val="0"/>
      <w:adjustRightInd w:val="0"/>
    </w:pPr>
    <w:rPr>
      <w:rFonts w:ascii="EUAlbertina" w:eastAsia="Calibri" w:hAnsi="EUAlbertina"/>
      <w:sz w:val="24"/>
      <w:lang w:val="fr-FR" w:eastAsia="en-US"/>
    </w:rPr>
  </w:style>
  <w:style w:type="paragraph" w:styleId="Inhopg4">
    <w:name w:val="toc 4"/>
    <w:basedOn w:val="Standaard"/>
    <w:next w:val="Standaard"/>
    <w:autoRedefine/>
    <w:uiPriority w:val="39"/>
    <w:unhideWhenUsed/>
    <w:rsid w:val="00F377CD"/>
    <w:pPr>
      <w:spacing w:after="100" w:line="276" w:lineRule="auto"/>
      <w:ind w:left="660"/>
    </w:pPr>
    <w:rPr>
      <w:rFonts w:ascii="Calibri" w:hAnsi="Calibri"/>
      <w:szCs w:val="22"/>
      <w:lang w:eastAsia="en-GB"/>
    </w:rPr>
  </w:style>
  <w:style w:type="paragraph" w:styleId="Inhopg5">
    <w:name w:val="toc 5"/>
    <w:basedOn w:val="Standaard"/>
    <w:next w:val="Standaard"/>
    <w:autoRedefine/>
    <w:uiPriority w:val="39"/>
    <w:unhideWhenUsed/>
    <w:rsid w:val="00F377CD"/>
    <w:pPr>
      <w:spacing w:after="100" w:line="276" w:lineRule="auto"/>
      <w:ind w:left="880"/>
    </w:pPr>
    <w:rPr>
      <w:rFonts w:ascii="Calibri" w:hAnsi="Calibri"/>
      <w:szCs w:val="22"/>
      <w:lang w:eastAsia="en-GB"/>
    </w:rPr>
  </w:style>
  <w:style w:type="paragraph" w:styleId="Inhopg6">
    <w:name w:val="toc 6"/>
    <w:basedOn w:val="Standaard"/>
    <w:next w:val="Standaard"/>
    <w:autoRedefine/>
    <w:uiPriority w:val="39"/>
    <w:unhideWhenUsed/>
    <w:rsid w:val="00F377CD"/>
    <w:pPr>
      <w:spacing w:after="100" w:line="276" w:lineRule="auto"/>
      <w:ind w:left="1100"/>
    </w:pPr>
    <w:rPr>
      <w:rFonts w:ascii="Calibri" w:hAnsi="Calibri"/>
      <w:szCs w:val="22"/>
      <w:lang w:eastAsia="en-GB"/>
    </w:rPr>
  </w:style>
  <w:style w:type="paragraph" w:styleId="Inhopg7">
    <w:name w:val="toc 7"/>
    <w:basedOn w:val="Standaard"/>
    <w:next w:val="Standaard"/>
    <w:autoRedefine/>
    <w:uiPriority w:val="39"/>
    <w:unhideWhenUsed/>
    <w:rsid w:val="00F377CD"/>
    <w:pPr>
      <w:spacing w:after="100" w:line="276" w:lineRule="auto"/>
      <w:ind w:left="1320"/>
    </w:pPr>
    <w:rPr>
      <w:rFonts w:ascii="Calibri" w:hAnsi="Calibri"/>
      <w:szCs w:val="22"/>
      <w:lang w:eastAsia="en-GB"/>
    </w:rPr>
  </w:style>
  <w:style w:type="paragraph" w:styleId="Inhopg8">
    <w:name w:val="toc 8"/>
    <w:basedOn w:val="Standaard"/>
    <w:next w:val="Standaard"/>
    <w:autoRedefine/>
    <w:uiPriority w:val="39"/>
    <w:unhideWhenUsed/>
    <w:rsid w:val="00F377CD"/>
    <w:pPr>
      <w:spacing w:after="100" w:line="276" w:lineRule="auto"/>
      <w:ind w:left="1540"/>
    </w:pPr>
    <w:rPr>
      <w:rFonts w:ascii="Calibri" w:hAnsi="Calibri"/>
      <w:szCs w:val="22"/>
      <w:lang w:eastAsia="en-GB"/>
    </w:rPr>
  </w:style>
  <w:style w:type="paragraph" w:styleId="Inhopg9">
    <w:name w:val="toc 9"/>
    <w:basedOn w:val="Standaard"/>
    <w:next w:val="Standa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ijschrift">
    <w:name w:val="caption"/>
    <w:basedOn w:val="Standaard"/>
    <w:next w:val="Standa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alweb">
    <w:name w:val="Normal (Web)"/>
    <w:basedOn w:val="Standa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structuur">
    <w:name w:val="Document Map"/>
    <w:basedOn w:val="Standaard"/>
    <w:link w:val="DocumentstructuurChar"/>
    <w:rsid w:val="00AA016B"/>
    <w:rPr>
      <w:rFonts w:ascii="Tahoma" w:hAnsi="Tahoma" w:cs="Tahoma"/>
      <w:sz w:val="16"/>
      <w:szCs w:val="16"/>
    </w:rPr>
  </w:style>
  <w:style w:type="character" w:customStyle="1" w:styleId="DocumentstructuurChar">
    <w:name w:val="Documentstructuur Char"/>
    <w:link w:val="Documentstructuur"/>
    <w:rsid w:val="00AA016B"/>
    <w:rPr>
      <w:rFonts w:ascii="Tahoma" w:hAnsi="Tahoma" w:cs="Tahoma"/>
      <w:sz w:val="16"/>
      <w:szCs w:val="16"/>
      <w:lang w:eastAsia="de-DE"/>
    </w:rPr>
  </w:style>
  <w:style w:type="paragraph" w:styleId="Tekstzonderopmaak">
    <w:name w:val="Plain Text"/>
    <w:basedOn w:val="Standaard"/>
    <w:link w:val="TekstzonderopmaakChar"/>
    <w:unhideWhenUsed/>
    <w:rsid w:val="00AA016B"/>
    <w:rPr>
      <w:rFonts w:ascii="Consolas" w:hAnsi="Consolas"/>
      <w:sz w:val="21"/>
      <w:szCs w:val="21"/>
      <w:lang w:val="de-DE"/>
    </w:rPr>
  </w:style>
  <w:style w:type="character" w:customStyle="1" w:styleId="TekstzonderopmaakChar">
    <w:name w:val="Tekst zonder opmaak Char"/>
    <w:link w:val="Tekstzonderopmaak"/>
    <w:rsid w:val="00AA016B"/>
    <w:rPr>
      <w:rFonts w:ascii="Consolas" w:hAnsi="Consolas"/>
      <w:sz w:val="21"/>
      <w:szCs w:val="21"/>
      <w:lang w:val="de-DE" w:eastAsia="de-DE"/>
    </w:rPr>
  </w:style>
  <w:style w:type="paragraph" w:styleId="Plattetekst">
    <w:name w:val="Body Text"/>
    <w:basedOn w:val="Standaard"/>
    <w:link w:val="PlattetekstChar"/>
    <w:unhideWhenUsed/>
    <w:rsid w:val="00AA016B"/>
    <w:pPr>
      <w:numPr>
        <w:numId w:val="8"/>
      </w:numPr>
      <w:spacing w:after="240"/>
      <w:jc w:val="both"/>
    </w:pPr>
    <w:rPr>
      <w:rFonts w:ascii="Times New Roman" w:hAnsi="Times New Roman"/>
      <w:sz w:val="24"/>
      <w:szCs w:val="20"/>
      <w:lang w:eastAsia="en-GB"/>
    </w:rPr>
  </w:style>
  <w:style w:type="character" w:customStyle="1" w:styleId="PlattetekstChar">
    <w:name w:val="Platte tekst Char"/>
    <w:link w:val="Plattetekst"/>
    <w:rsid w:val="00AA016B"/>
    <w:rPr>
      <w:sz w:val="24"/>
    </w:rPr>
  </w:style>
  <w:style w:type="paragraph" w:customStyle="1" w:styleId="ListParagraph1">
    <w:name w:val="List Paragraph1"/>
    <w:basedOn w:val="Standa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Zwaar">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Kop2Char">
    <w:name w:val="Kop 2 Char"/>
    <w:link w:val="Kop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Kop9Char">
    <w:name w:val="Kop 9 Char"/>
    <w:link w:val="Kop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Kop7Char">
    <w:name w:val="Kop 7 Char"/>
    <w:link w:val="Kop7"/>
    <w:rsid w:val="002D6E1A"/>
    <w:rPr>
      <w:sz w:val="22"/>
      <w:szCs w:val="24"/>
      <w:lang w:eastAsia="de-DE"/>
    </w:rPr>
  </w:style>
  <w:style w:type="character" w:customStyle="1" w:styleId="Kop6Char">
    <w:name w:val="Kop 6 Char"/>
    <w:link w:val="Kop6"/>
    <w:rsid w:val="002D6E1A"/>
    <w:rPr>
      <w:b/>
      <w:bCs/>
      <w:szCs w:val="22"/>
      <w:lang w:eastAsia="de-DE"/>
    </w:rPr>
  </w:style>
  <w:style w:type="character" w:customStyle="1" w:styleId="Kop8Char">
    <w:name w:val="Kop 8 Char"/>
    <w:link w:val="Kop8"/>
    <w:rsid w:val="002D6E1A"/>
    <w:rPr>
      <w:i/>
      <w:iCs/>
      <w:szCs w:val="24"/>
      <w:lang w:eastAsia="de-DE"/>
    </w:rPr>
  </w:style>
  <w:style w:type="numbering" w:customStyle="1" w:styleId="NoList1">
    <w:name w:val="No List1"/>
    <w:next w:val="Geenlijst"/>
    <w:uiPriority w:val="99"/>
    <w:semiHidden/>
    <w:unhideWhenUsed/>
    <w:rsid w:val="002D6E1A"/>
  </w:style>
  <w:style w:type="character" w:styleId="GevolgdeHyperlink">
    <w:name w:val="FollowedHyperlink"/>
    <w:unhideWhenUsed/>
    <w:rsid w:val="002D6E1A"/>
    <w:rPr>
      <w:color w:val="800080"/>
      <w:u w:val="single"/>
    </w:rPr>
  </w:style>
  <w:style w:type="character" w:customStyle="1" w:styleId="KoptekstChar">
    <w:name w:val="Koptekst Char"/>
    <w:link w:val="Koptekst"/>
    <w:uiPriority w:val="99"/>
    <w:rsid w:val="002D6E1A"/>
    <w:rPr>
      <w:rFonts w:ascii="Georgia" w:hAnsi="Georgia"/>
      <w:sz w:val="22"/>
      <w:szCs w:val="24"/>
      <w:lang w:eastAsia="de-DE"/>
    </w:rPr>
  </w:style>
  <w:style w:type="character" w:customStyle="1" w:styleId="VoettekstChar">
    <w:name w:val="Voettekst Char"/>
    <w:link w:val="Voettekst"/>
    <w:uiPriority w:val="99"/>
    <w:rsid w:val="002D6E1A"/>
    <w:rPr>
      <w:rFonts w:ascii="Georgia" w:hAnsi="Georgia"/>
      <w:sz w:val="22"/>
      <w:szCs w:val="24"/>
      <w:lang w:eastAsia="de-DE"/>
    </w:rPr>
  </w:style>
  <w:style w:type="paragraph" w:styleId="Eindnoottekst">
    <w:name w:val="endnote text"/>
    <w:basedOn w:val="Standaard"/>
    <w:link w:val="EindnoottekstChar"/>
    <w:unhideWhenUsed/>
    <w:rsid w:val="002D6E1A"/>
    <w:rPr>
      <w:szCs w:val="20"/>
    </w:rPr>
  </w:style>
  <w:style w:type="character" w:customStyle="1" w:styleId="EindnoottekstChar">
    <w:name w:val="Eindnoottekst Char"/>
    <w:link w:val="Eindnoottekst"/>
    <w:rsid w:val="002D6E1A"/>
    <w:rPr>
      <w:rFonts w:ascii="Georgia" w:hAnsi="Georgia"/>
      <w:lang w:eastAsia="de-DE"/>
    </w:rPr>
  </w:style>
  <w:style w:type="paragraph" w:styleId="Lijstnummering">
    <w:name w:val="List Number"/>
    <w:basedOn w:val="Standa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jstalineaChar">
    <w:name w:val="Lijstalinea Char"/>
    <w:aliases w:val="Paragraphe EI Char,Paragraphe de liste1 Char,EC Char"/>
    <w:link w:val="Lijstalinea"/>
    <w:uiPriority w:val="34"/>
    <w:locked/>
    <w:rsid w:val="002D6E1A"/>
    <w:rPr>
      <w:rFonts w:ascii="Georgia" w:hAnsi="Georgia"/>
      <w:sz w:val="22"/>
      <w:szCs w:val="24"/>
      <w:lang w:eastAsia="de-DE"/>
    </w:rPr>
  </w:style>
  <w:style w:type="paragraph" w:customStyle="1" w:styleId="04anumbering0">
    <w:name w:val="04anumbering"/>
    <w:basedOn w:val="Standa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jstalinea"/>
    <w:link w:val="DPChar"/>
    <w:qFormat/>
    <w:rsid w:val="002D6E1A"/>
    <w:pPr>
      <w:ind w:left="708"/>
      <w:contextualSpacing w:val="0"/>
      <w:jc w:val="both"/>
    </w:pPr>
    <w:rPr>
      <w:b/>
      <w:szCs w:val="20"/>
      <w:u w:val="single"/>
    </w:rPr>
  </w:style>
  <w:style w:type="paragraph" w:customStyle="1" w:styleId="Bullet">
    <w:name w:val="Bullet"/>
    <w:basedOn w:val="Standaard"/>
    <w:rsid w:val="002D6E1A"/>
    <w:pPr>
      <w:numPr>
        <w:numId w:val="11"/>
      </w:numPr>
      <w:tabs>
        <w:tab w:val="left" w:pos="708"/>
      </w:tabs>
      <w:spacing w:before="120" w:after="120" w:line="276" w:lineRule="auto"/>
      <w:jc w:val="both"/>
    </w:pPr>
    <w:rPr>
      <w:szCs w:val="20"/>
      <w:lang w:eastAsia="en-GB"/>
    </w:rPr>
  </w:style>
  <w:style w:type="character" w:styleId="Eindnootmarkering">
    <w:name w:val="endnote reference"/>
    <w:unhideWhenUsed/>
    <w:rsid w:val="002D6E1A"/>
    <w:rPr>
      <w:vertAlign w:val="superscript"/>
    </w:rPr>
  </w:style>
  <w:style w:type="character" w:styleId="Tekstvantijdelijkeaanduiding">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Standaardtabe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Geenlij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Regelnummer">
    <w:name w:val="line number"/>
    <w:basedOn w:val="Standaardalinea-lettertype"/>
    <w:uiPriority w:val="99"/>
    <w:unhideWhenUsed/>
    <w:rsid w:val="00952F2C"/>
  </w:style>
  <w:style w:type="paragraph" w:customStyle="1" w:styleId="aStyle">
    <w:name w:val="a) Style"/>
    <w:basedOn w:val="Standa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ijschrift"/>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Kop5Char">
    <w:name w:val="Kop 5 Char"/>
    <w:aliases w:val="Questions Char7"/>
    <w:link w:val="Kop5"/>
    <w:rsid w:val="00E9344E"/>
    <w:rPr>
      <w:rFonts w:ascii="Arial" w:hAnsi="Arial"/>
      <w:b/>
      <w:szCs w:val="24"/>
      <w:lang w:eastAsia="de-DE"/>
    </w:rPr>
  </w:style>
  <w:style w:type="character" w:customStyle="1" w:styleId="Kop3Char">
    <w:name w:val="Kop 3 Char"/>
    <w:link w:val="Kop3"/>
    <w:rsid w:val="003865E5"/>
    <w:rPr>
      <w:rFonts w:ascii="Cambria" w:eastAsia="Times New Roman" w:hAnsi="Cambria" w:cs="Times New Roman"/>
      <w:b/>
      <w:bCs/>
      <w:color w:val="4F81BD"/>
      <w:sz w:val="22"/>
      <w:szCs w:val="24"/>
      <w:lang w:eastAsia="de-DE"/>
    </w:rPr>
  </w:style>
  <w:style w:type="character" w:customStyle="1" w:styleId="Kop4Char">
    <w:name w:val="Kop 4 Char"/>
    <w:link w:val="Kop4"/>
    <w:rsid w:val="00CB7286"/>
    <w:rPr>
      <w:b/>
      <w:bCs/>
      <w:sz w:val="28"/>
      <w:szCs w:val="28"/>
      <w:lang w:eastAsia="de-DE"/>
    </w:rPr>
  </w:style>
  <w:style w:type="table" w:styleId="Lichtelijst-accent3">
    <w:name w:val="Light List Accent 3"/>
    <w:basedOn w:val="Standaardtabe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Standaardtabe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Kop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Kop1"/>
    <w:next w:val="Standa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ard"/>
    <w:next w:val="Standa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ard"/>
    <w:rsid w:val="000D2D0B"/>
    <w:rPr>
      <w:szCs w:val="20"/>
    </w:rPr>
  </w:style>
  <w:style w:type="paragraph" w:customStyle="1" w:styleId="Sbuchead">
    <w:name w:val="Sbuchead"/>
    <w:basedOn w:val="Standa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ard"/>
    <w:next w:val="Fait"/>
    <w:rsid w:val="000D2D0B"/>
    <w:pPr>
      <w:spacing w:before="480" w:after="120"/>
      <w:jc w:val="both"/>
    </w:pPr>
    <w:rPr>
      <w:rFonts w:ascii="Times New Roman" w:hAnsi="Times New Roman"/>
      <w:sz w:val="24"/>
      <w:lang w:eastAsia="en-US"/>
    </w:rPr>
  </w:style>
  <w:style w:type="paragraph" w:customStyle="1" w:styleId="Fait">
    <w:name w:val="Fait à"/>
    <w:basedOn w:val="Standa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ard"/>
    <w:next w:val="Standa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ard"/>
    <w:next w:val="Standa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ard"/>
    <w:rsid w:val="000D2D0B"/>
    <w:pPr>
      <w:spacing w:before="120" w:after="120"/>
      <w:ind w:left="850"/>
      <w:jc w:val="both"/>
    </w:pPr>
    <w:rPr>
      <w:rFonts w:ascii="Times New Roman" w:hAnsi="Times New Roman"/>
      <w:sz w:val="24"/>
      <w:lang w:eastAsia="en-US"/>
    </w:rPr>
  </w:style>
  <w:style w:type="paragraph" w:customStyle="1" w:styleId="Text2">
    <w:name w:val="Text 2"/>
    <w:basedOn w:val="Standaard"/>
    <w:rsid w:val="000D2D0B"/>
    <w:pPr>
      <w:spacing w:before="120" w:after="120"/>
      <w:ind w:left="1417"/>
      <w:jc w:val="both"/>
    </w:pPr>
    <w:rPr>
      <w:rFonts w:ascii="Times New Roman" w:hAnsi="Times New Roman"/>
      <w:sz w:val="24"/>
      <w:lang w:eastAsia="en-US"/>
    </w:rPr>
  </w:style>
  <w:style w:type="paragraph" w:customStyle="1" w:styleId="Text3">
    <w:name w:val="Text 3"/>
    <w:basedOn w:val="Standaard"/>
    <w:rsid w:val="000D2D0B"/>
    <w:pPr>
      <w:spacing w:before="120" w:after="120"/>
      <w:ind w:left="1984"/>
      <w:jc w:val="both"/>
    </w:pPr>
    <w:rPr>
      <w:rFonts w:ascii="Times New Roman" w:hAnsi="Times New Roman"/>
      <w:sz w:val="24"/>
      <w:lang w:eastAsia="en-US"/>
    </w:rPr>
  </w:style>
  <w:style w:type="paragraph" w:customStyle="1" w:styleId="Text4">
    <w:name w:val="Text 4"/>
    <w:basedOn w:val="Standa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ard"/>
    <w:rsid w:val="000D2D0B"/>
    <w:pPr>
      <w:spacing w:before="120" w:after="120"/>
      <w:jc w:val="center"/>
    </w:pPr>
    <w:rPr>
      <w:rFonts w:ascii="Times New Roman" w:hAnsi="Times New Roman"/>
      <w:sz w:val="24"/>
      <w:lang w:eastAsia="en-US"/>
    </w:rPr>
  </w:style>
  <w:style w:type="paragraph" w:customStyle="1" w:styleId="NormalLeft">
    <w:name w:val="Normal Left"/>
    <w:basedOn w:val="Standaard"/>
    <w:rsid w:val="000D2D0B"/>
    <w:pPr>
      <w:spacing w:before="120" w:after="120"/>
    </w:pPr>
    <w:rPr>
      <w:rFonts w:ascii="Times New Roman" w:hAnsi="Times New Roman"/>
      <w:sz w:val="24"/>
      <w:lang w:eastAsia="en-US"/>
    </w:rPr>
  </w:style>
  <w:style w:type="paragraph" w:customStyle="1" w:styleId="NormalRight">
    <w:name w:val="Normal Right"/>
    <w:basedOn w:val="Standaard"/>
    <w:rsid w:val="000D2D0B"/>
    <w:pPr>
      <w:spacing w:before="120" w:after="120"/>
      <w:jc w:val="right"/>
    </w:pPr>
    <w:rPr>
      <w:rFonts w:ascii="Times New Roman" w:hAnsi="Times New Roman"/>
      <w:sz w:val="24"/>
      <w:lang w:eastAsia="en-US"/>
    </w:rPr>
  </w:style>
  <w:style w:type="paragraph" w:customStyle="1" w:styleId="QuotedText">
    <w:name w:val="Quoted Text"/>
    <w:basedOn w:val="Standaard"/>
    <w:rsid w:val="000D2D0B"/>
    <w:pPr>
      <w:spacing w:before="120" w:after="120"/>
      <w:ind w:left="1417"/>
      <w:jc w:val="both"/>
    </w:pPr>
    <w:rPr>
      <w:rFonts w:ascii="Times New Roman" w:hAnsi="Times New Roman"/>
      <w:sz w:val="24"/>
      <w:lang w:eastAsia="en-US"/>
    </w:rPr>
  </w:style>
  <w:style w:type="paragraph" w:customStyle="1" w:styleId="Point0">
    <w:name w:val="Point 0"/>
    <w:basedOn w:val="Standa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ard"/>
    <w:next w:val="Standa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ard"/>
    <w:next w:val="Kop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ard"/>
    <w:next w:val="Standa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ard"/>
    <w:next w:val="Standa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ard"/>
    <w:next w:val="Standa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ard"/>
    <w:next w:val="Standa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ard"/>
    <w:next w:val="Standa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ard"/>
    <w:next w:val="Standa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ard"/>
    <w:next w:val="Standaard"/>
    <w:rsid w:val="000D2D0B"/>
    <w:pPr>
      <w:spacing w:after="240"/>
    </w:pPr>
    <w:rPr>
      <w:rFonts w:ascii="Times New Roman" w:hAnsi="Times New Roman"/>
      <w:sz w:val="24"/>
      <w:lang w:eastAsia="en-US"/>
    </w:rPr>
  </w:style>
  <w:style w:type="paragraph" w:customStyle="1" w:styleId="Datedadoption">
    <w:name w:val="Date d'adoption"/>
    <w:basedOn w:val="Standa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ard"/>
    <w:next w:val="Standa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ard"/>
    <w:next w:val="Standaard"/>
    <w:rsid w:val="000D2D0B"/>
    <w:pPr>
      <w:keepNext/>
      <w:spacing w:before="600" w:after="120"/>
      <w:jc w:val="both"/>
    </w:pPr>
    <w:rPr>
      <w:rFonts w:ascii="Times New Roman" w:hAnsi="Times New Roman"/>
      <w:sz w:val="24"/>
      <w:lang w:eastAsia="en-US"/>
    </w:rPr>
  </w:style>
  <w:style w:type="paragraph" w:customStyle="1" w:styleId="Langue">
    <w:name w:val="Langue"/>
    <w:basedOn w:val="Standa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ard"/>
    <w:next w:val="Emission"/>
    <w:rsid w:val="000D2D0B"/>
    <w:rPr>
      <w:rFonts w:cs="Arial"/>
      <w:sz w:val="24"/>
      <w:lang w:eastAsia="en-US"/>
    </w:rPr>
  </w:style>
  <w:style w:type="paragraph" w:customStyle="1" w:styleId="Rfrenceinstitutionnelle">
    <w:name w:val="Référence institutionnelle"/>
    <w:basedOn w:val="Standa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ard"/>
    <w:next w:val="Statut"/>
    <w:rsid w:val="000D2D0B"/>
    <w:pPr>
      <w:ind w:left="5103"/>
    </w:pPr>
    <w:rPr>
      <w:rFonts w:ascii="Times New Roman" w:hAnsi="Times New Roman"/>
      <w:sz w:val="24"/>
      <w:lang w:eastAsia="en-US"/>
    </w:rPr>
  </w:style>
  <w:style w:type="paragraph" w:customStyle="1" w:styleId="Rfrenceinterne">
    <w:name w:val="Référence interne"/>
    <w:basedOn w:val="Standa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ard"/>
    <w:rsid w:val="000D2D0B"/>
    <w:pPr>
      <w:jc w:val="center"/>
    </w:pPr>
    <w:rPr>
      <w:rFonts w:ascii="Times New Roman" w:hAnsi="Times New Roman"/>
      <w:b/>
      <w:sz w:val="24"/>
      <w:lang w:eastAsia="en-US"/>
    </w:rPr>
  </w:style>
  <w:style w:type="paragraph" w:customStyle="1" w:styleId="Statut">
    <w:name w:val="Statut"/>
    <w:basedOn w:val="Standa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ard"/>
    <w:next w:val="Standa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ard"/>
    <w:next w:val="Standa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ard"/>
    <w:next w:val="Standaard"/>
    <w:rsid w:val="000D2D0B"/>
    <w:pPr>
      <w:spacing w:before="120" w:after="120"/>
      <w:jc w:val="both"/>
    </w:pPr>
    <w:rPr>
      <w:rFonts w:ascii="Times New Roman" w:hAnsi="Times New Roman"/>
      <w:sz w:val="24"/>
      <w:lang w:eastAsia="en-US"/>
    </w:rPr>
  </w:style>
  <w:style w:type="paragraph" w:customStyle="1" w:styleId="Supertitre">
    <w:name w:val="Supertitre"/>
    <w:basedOn w:val="Standaard"/>
    <w:next w:val="Standa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ard"/>
    <w:next w:val="Standaard"/>
    <w:rsid w:val="000D2D0B"/>
    <w:pPr>
      <w:spacing w:before="360"/>
      <w:jc w:val="center"/>
    </w:pPr>
    <w:rPr>
      <w:rFonts w:ascii="Times New Roman" w:hAnsi="Times New Roman"/>
      <w:sz w:val="24"/>
      <w:lang w:eastAsia="en-US"/>
    </w:rPr>
  </w:style>
  <w:style w:type="paragraph" w:customStyle="1" w:styleId="Rfrencecroise">
    <w:name w:val="Référence croisée"/>
    <w:basedOn w:val="Standaard"/>
    <w:rsid w:val="000D2D0B"/>
    <w:pPr>
      <w:jc w:val="center"/>
    </w:pPr>
    <w:rPr>
      <w:rFonts w:ascii="Times New Roman" w:hAnsi="Times New Roman"/>
      <w:sz w:val="24"/>
      <w:lang w:eastAsia="en-US"/>
    </w:rPr>
  </w:style>
  <w:style w:type="paragraph" w:customStyle="1" w:styleId="Fichefinanciretitre">
    <w:name w:val="Fiche financière titre"/>
    <w:basedOn w:val="Standaard"/>
    <w:next w:val="Standa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ard"/>
    <w:rsid w:val="000D2D0B"/>
    <w:pPr>
      <w:spacing w:after="240"/>
    </w:pPr>
  </w:style>
  <w:style w:type="paragraph" w:customStyle="1" w:styleId="Accompagnant">
    <w:name w:val="Accompagnant"/>
    <w:basedOn w:val="Standa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ard"/>
    <w:next w:val="Standaard"/>
    <w:rsid w:val="000D2D0B"/>
    <w:pPr>
      <w:spacing w:before="360"/>
      <w:jc w:val="center"/>
    </w:pPr>
    <w:rPr>
      <w:rFonts w:ascii="Times New Roman" w:hAnsi="Times New Roman"/>
      <w:sz w:val="24"/>
      <w:lang w:eastAsia="en-US"/>
    </w:rPr>
  </w:style>
  <w:style w:type="paragraph" w:styleId="Lijstnummering2">
    <w:name w:val="List Number 2"/>
    <w:basedOn w:val="Standaard"/>
    <w:rsid w:val="000D2D0B"/>
    <w:pPr>
      <w:tabs>
        <w:tab w:val="num" w:pos="643"/>
      </w:tabs>
      <w:spacing w:before="120" w:after="120"/>
      <w:ind w:left="643" w:hanging="360"/>
      <w:jc w:val="both"/>
    </w:pPr>
    <w:rPr>
      <w:rFonts w:ascii="Times New Roman" w:hAnsi="Times New Roman"/>
      <w:sz w:val="24"/>
      <w:lang w:eastAsia="en-US"/>
    </w:rPr>
  </w:style>
  <w:style w:type="paragraph" w:styleId="Lijstnummering3">
    <w:name w:val="List Number 3"/>
    <w:basedOn w:val="Standaard"/>
    <w:rsid w:val="000D2D0B"/>
    <w:pPr>
      <w:tabs>
        <w:tab w:val="num" w:pos="926"/>
      </w:tabs>
      <w:spacing w:before="120" w:after="120"/>
      <w:ind w:left="926" w:hanging="360"/>
      <w:jc w:val="both"/>
    </w:pPr>
    <w:rPr>
      <w:rFonts w:ascii="Times New Roman" w:hAnsi="Times New Roman"/>
      <w:sz w:val="24"/>
      <w:lang w:eastAsia="en-US"/>
    </w:rPr>
  </w:style>
  <w:style w:type="paragraph" w:styleId="Lijstnummering4">
    <w:name w:val="List Number 4"/>
    <w:basedOn w:val="Standa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jstopsomteken">
    <w:name w:val="List Bullet"/>
    <w:basedOn w:val="Standa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jstopsomteken2">
    <w:name w:val="List Bullet 2"/>
    <w:basedOn w:val="Standa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jstopsomteken3">
    <w:name w:val="List Bullet 3"/>
    <w:basedOn w:val="Standa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jstopsomteken4">
    <w:name w:val="List Bullet 4"/>
    <w:basedOn w:val="Standa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Lijstmetafbeeldingen">
    <w:name w:val="table of figures"/>
    <w:basedOn w:val="Standaard"/>
    <w:next w:val="Standa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ard"/>
    <w:rsid w:val="000D2D0B"/>
    <w:pPr>
      <w:ind w:left="720"/>
      <w:contextualSpacing/>
    </w:pPr>
    <w:rPr>
      <w:rFonts w:ascii="Cambria" w:hAnsi="Cambria"/>
      <w:sz w:val="24"/>
      <w:lang w:val="en-US" w:eastAsia="en-US"/>
    </w:rPr>
  </w:style>
  <w:style w:type="paragraph" w:customStyle="1" w:styleId="Listeavsnitt1">
    <w:name w:val="Listeavsnitt1"/>
    <w:basedOn w:val="Standa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Kop1"/>
    <w:next w:val="Standa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ard"/>
    <w:next w:val="Standaard"/>
    <w:link w:val="Titel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Char">
    <w:name w:val="Titel Char"/>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ard"/>
    <w:rsid w:val="000D2D0B"/>
    <w:pPr>
      <w:spacing w:before="320" w:line="260" w:lineRule="exact"/>
      <w:jc w:val="both"/>
    </w:pPr>
    <w:rPr>
      <w:rFonts w:ascii="Myriad Pro Light" w:hAnsi="Myriad Pro Light"/>
      <w:b/>
      <w:sz w:val="21"/>
      <w:szCs w:val="20"/>
      <w:lang w:val="es-ES" w:eastAsia="es-ES"/>
    </w:rPr>
  </w:style>
  <w:style w:type="character" w:customStyle="1" w:styleId="RevisieChar">
    <w:name w:val="Revisie Char"/>
    <w:link w:val="Revisie"/>
    <w:uiPriority w:val="99"/>
    <w:semiHidden/>
    <w:locked/>
    <w:rsid w:val="000D2D0B"/>
    <w:rPr>
      <w:rFonts w:ascii="Georgia" w:hAnsi="Georgia"/>
      <w:sz w:val="22"/>
      <w:szCs w:val="24"/>
      <w:lang w:eastAsia="de-DE"/>
    </w:rPr>
  </w:style>
  <w:style w:type="table" w:customStyle="1" w:styleId="TableGrid2">
    <w:name w:val="Table Grid2"/>
    <w:basedOn w:val="Standaardtabel"/>
    <w:next w:val="Tabel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ielebenadrukking">
    <w:name w:val="Subtle Emphasis"/>
    <w:aliases w:val="Question,Text,Diskret betoning,Emphase pâle"/>
    <w:uiPriority w:val="19"/>
    <w:qFormat/>
    <w:rsid w:val="003A6E9A"/>
    <w:rPr>
      <w:b/>
      <w:i w:val="0"/>
      <w:iCs/>
      <w:sz w:val="20"/>
    </w:rPr>
  </w:style>
  <w:style w:type="paragraph" w:customStyle="1" w:styleId="NEW-Paragraph-Level1">
    <w:name w:val="NEW-Paragraph-Level1"/>
    <w:basedOn w:val="Standa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Standaardalinea-lettertype"/>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evebenadrukking">
    <w:name w:val="Intense Emphasis"/>
    <w:basedOn w:val="Standaardalinea-lettertype"/>
    <w:uiPriority w:val="21"/>
    <w:qFormat/>
    <w:rsid w:val="00D34282"/>
    <w:rPr>
      <w:b/>
      <w:bCs/>
      <w:i/>
      <w:iCs/>
    </w:rPr>
  </w:style>
  <w:style w:type="character" w:customStyle="1" w:styleId="CPTitle1Char">
    <w:name w:val="CP_Title1 Char"/>
    <w:basedOn w:val="Standaardalinea-lettertype"/>
    <w:link w:val="CPTitle1"/>
    <w:locked/>
    <w:rsid w:val="00D34282"/>
    <w:rPr>
      <w:rFonts w:asciiTheme="majorHAnsi" w:eastAsiaTheme="majorEastAsia" w:hAnsiTheme="majorHAnsi" w:cstheme="majorHAnsi"/>
      <w:b/>
      <w:sz w:val="32"/>
      <w:szCs w:val="32"/>
    </w:rPr>
  </w:style>
  <w:style w:type="paragraph" w:customStyle="1" w:styleId="CPTitle1">
    <w:name w:val="CP_Title1"/>
    <w:basedOn w:val="Kop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Kop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Standaardalinea-lettertype"/>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ard"/>
    <w:next w:val="Standaard"/>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Standaardalinea-lettertype"/>
    <w:link w:val="Questionstyle"/>
    <w:rsid w:val="008701E5"/>
    <w:rPr>
      <w:rFonts w:asciiTheme="minorHAnsi" w:eastAsiaTheme="minorEastAsia" w:hAnsiTheme="minorHAnsi" w:cstheme="minorBidi"/>
      <w:b/>
      <w:sz w:val="22"/>
      <w:lang w:eastAsia="en-US"/>
    </w:rPr>
  </w:style>
  <w:style w:type="paragraph" w:styleId="Ondertitel">
    <w:name w:val="Subtitle"/>
    <w:basedOn w:val="Standaard"/>
    <w:next w:val="Standaard"/>
    <w:link w:val="Ondertitel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OndertitelChar">
    <w:name w:val="Ondertitel Char"/>
    <w:basedOn w:val="Standaardalinea-lettertype"/>
    <w:link w:val="Ondertitel"/>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jstalinea"/>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Standaardalinea-lettertype"/>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Standaardalinea-lettertype"/>
    <w:link w:val="myNormal0"/>
    <w:locked/>
    <w:rsid w:val="00AF38AF"/>
    <w:rPr>
      <w:rFonts w:ascii="Georgia" w:hAnsi="Georgia"/>
      <w:lang w:eastAsia="de-DE"/>
    </w:rPr>
  </w:style>
  <w:style w:type="paragraph" w:customStyle="1" w:styleId="myNormal0">
    <w:name w:val="myNormal"/>
    <w:basedOn w:val="Standaard"/>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jstalinea"/>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Standaard"/>
    <w:link w:val="Voetnootmarkering"/>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esma.europa.eu/press-news/consultation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iopa.europa.eu/Pages/Links/Legal-notice.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www.eb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F0D386B154ABA4E928593ECAE60CBEA" ma:contentTypeVersion="9" ma:contentTypeDescription="Een nieuw document maken." ma:contentTypeScope="" ma:versionID="96fbb703e826db3c8d71d6421db71817">
  <xsd:schema xmlns:xsd="http://www.w3.org/2001/XMLSchema" xmlns:xs="http://www.w3.org/2001/XMLSchema" xmlns:p="http://schemas.microsoft.com/office/2006/metadata/properties" xmlns:ns2="b51a9419-396c-4acd-8dcd-842c7b9d70ff" xmlns:ns3="5ef70cb9-fd48-4514-b096-b96817a27431" targetNamespace="http://schemas.microsoft.com/office/2006/metadata/properties" ma:root="true" ma:fieldsID="fb80c033f8245810e8a9d2aeee66cbc5" ns2:_="" ns3:_="">
    <xsd:import namespace="b51a9419-396c-4acd-8dcd-842c7b9d70ff"/>
    <xsd:import namespace="5ef70cb9-fd48-4514-b096-b96817a274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a9419-396c-4acd-8dcd-842c7b9d70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70cb9-fd48-4514-b096-b96817a27431"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9D61AA-2E21-45D8-9235-11FFFB3A4DA6}">
  <ds:schemaRefs>
    <ds:schemaRef ds:uri="http://schemas.openxmlformats.org/officeDocument/2006/bibliography"/>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A1823ED9-4C25-4A0F-AA35-0F2F3F3B90A3}">
  <ds:schemaRefs>
    <ds:schemaRef ds:uri="http://purl.org/dc/terms/"/>
    <ds:schemaRef ds:uri="http://purl.org/dc/elements/1.1/"/>
    <ds:schemaRef ds:uri="http://schemas.microsoft.com/office/2006/metadata/properties"/>
    <ds:schemaRef ds:uri="http://schemas.microsoft.com/office/infopath/2007/PartnerControls"/>
    <ds:schemaRef ds:uri="http://purl.org/dc/dcmitype/"/>
    <ds:schemaRef ds:uri="b51a9419-396c-4acd-8dcd-842c7b9d70ff"/>
    <ds:schemaRef ds:uri="http://schemas.microsoft.com/office/2006/documentManagement/types"/>
    <ds:schemaRef ds:uri="http://schemas.openxmlformats.org/package/2006/metadata/core-properties"/>
    <ds:schemaRef ds:uri="5ef70cb9-fd48-4514-b096-b96817a27431"/>
    <ds:schemaRef ds:uri="http://www.w3.org/XML/1998/namespace"/>
  </ds:schemaRefs>
</ds:datastoreItem>
</file>

<file path=customXml/itemProps4.xml><?xml version="1.0" encoding="utf-8"?>
<ds:datastoreItem xmlns:ds="http://schemas.openxmlformats.org/officeDocument/2006/customXml" ds:itemID="{69FE360A-C9D7-4915-BD03-1799B10CD357}">
  <ds:schemaRefs>
    <ds:schemaRef ds:uri="http://schemas.openxmlformats.org/officeDocument/2006/bibliography"/>
  </ds:schemaRefs>
</ds:datastoreItem>
</file>

<file path=customXml/itemProps5.xml><?xml version="1.0" encoding="utf-8"?>
<ds:datastoreItem xmlns:ds="http://schemas.openxmlformats.org/officeDocument/2006/customXml" ds:itemID="{145F987C-C16E-4670-9BD6-07D25384B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a9419-396c-4acd-8dcd-842c7b9d70ff"/>
    <ds:schemaRef ds:uri="5ef70cb9-fd48-4514-b096-b96817a27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9762</Words>
  <Characters>53595</Characters>
  <Application>Microsoft Office Word</Application>
  <DocSecurity>8</DocSecurity>
  <Lines>446</Lines>
  <Paragraphs>126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63231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Randy Pattiselanno</cp:lastModifiedBy>
  <cp:revision>112</cp:revision>
  <cp:lastPrinted>2015-02-18T11:01:00Z</cp:lastPrinted>
  <dcterms:created xsi:type="dcterms:W3CDTF">2020-08-31T12:21:00Z</dcterms:created>
  <dcterms:modified xsi:type="dcterms:W3CDTF">2020-09-01T13:03:00Z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0x0101007F0D386B154ABA4E928593ECAE60CBEA</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f21af772-d49b-4d24-ad34-f05251f1682f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y fmtid="{D5CDD505-2E9C-101B-9397-08002B2CF9AE}" pid="18" name="Order">
    <vt:r8>2097600</vt:r8>
  </property>
</Properties>
</file>