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bookmarkStart w:id="0" w:name="_GoBack"/>
            <w:bookmarkEnd w:id="0"/>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w:t>
      </w:r>
      <w:bookmarkStart w:id="2" w:name="_Hlk49416740"/>
      <w:r>
        <w:rPr>
          <w:rStyle w:val="SubtleEmphasis"/>
          <w:b w:val="0"/>
          <w:bCs/>
          <w:sz w:val="22"/>
        </w:rPr>
        <w:t xml:space="preserve">sustainability-related </w:t>
      </w:r>
      <w:r w:rsidR="00BE7C87">
        <w:rPr>
          <w:rStyle w:val="SubtleEmphasis"/>
          <w:b w:val="0"/>
          <w:bCs/>
          <w:sz w:val="22"/>
        </w:rPr>
        <w:t>disclosures</w:t>
      </w:r>
      <w:r>
        <w:rPr>
          <w:rStyle w:val="SubtleEmphasis"/>
          <w:b w:val="0"/>
          <w:bCs/>
          <w:sz w:val="22"/>
        </w:rPr>
        <w:t xml:space="preserve"> in the financial sector </w:t>
      </w:r>
      <w:bookmarkEnd w:id="2"/>
      <w:r>
        <w:rPr>
          <w:rStyle w:val="SubtleEmphasis"/>
          <w:b w:val="0"/>
          <w:bCs/>
          <w:sz w:val="22"/>
        </w:rPr>
        <w:t xml:space="preserve">(hereinafter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1"/>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47109F03" w:rsidR="00B327E9" w:rsidRPr="00AB6D88" w:rsidRDefault="0088344E" w:rsidP="00F136AD">
                <w:pPr>
                  <w:rPr>
                    <w:rStyle w:val="PlaceholderText"/>
                    <w:rFonts w:cs="Arial"/>
                  </w:rPr>
                </w:pPr>
                <w:r>
                  <w:rPr>
                    <w:rStyle w:val="PlaceholderText"/>
                    <w:rFonts w:cs="Arial"/>
                  </w:rPr>
                  <w:t>C</w:t>
                </w:r>
                <w:r>
                  <w:rPr>
                    <w:rStyle w:val="PlaceholderText"/>
                  </w:rPr>
                  <w:t>FA Institute</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E870548" w:rsidR="00B327E9" w:rsidRPr="00AB6D88" w:rsidRDefault="001C527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A52F0">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6DFF25C" w:rsidR="00B327E9" w:rsidRPr="00AB6D88" w:rsidRDefault="008A52F0"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2528A80" w:rsidR="00B327E9" w:rsidRPr="00AB6D88" w:rsidRDefault="008A52F0" w:rsidP="00F136A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147B4EF9" w:rsidR="00B327E9" w:rsidRPr="00517E7A" w:rsidRDefault="008A52F0" w:rsidP="0036215C">
      <w:pPr>
        <w:jc w:val="both"/>
        <w:rPr>
          <w:sz w:val="22"/>
        </w:rPr>
      </w:pPr>
      <w:permStart w:id="411981036" w:edGrp="everyone"/>
      <w:r w:rsidRPr="00517E7A">
        <w:rPr>
          <w:sz w:val="22"/>
        </w:rPr>
        <w:t>CFA Institute welcomes the opportunity to provide comments to the ESAs draft RTS on ESG disclosure</w:t>
      </w:r>
      <w:r w:rsidR="005F4677" w:rsidRPr="00517E7A">
        <w:rPr>
          <w:sz w:val="22"/>
        </w:rPr>
        <w:t>s</w:t>
      </w:r>
      <w:r w:rsidRPr="00517E7A">
        <w:rPr>
          <w:sz w:val="22"/>
        </w:rPr>
        <w:t xml:space="preserve"> under the Regulation on sustainability-related disclosures in the financial sector (S</w:t>
      </w:r>
      <w:r w:rsidR="00B6292F" w:rsidRPr="00517E7A">
        <w:rPr>
          <w:sz w:val="22"/>
        </w:rPr>
        <w:t>FDR</w:t>
      </w:r>
      <w:r w:rsidRPr="00517E7A">
        <w:rPr>
          <w:sz w:val="22"/>
        </w:rPr>
        <w:t xml:space="preserve">). </w:t>
      </w:r>
    </w:p>
    <w:p w14:paraId="18BCD16E" w14:textId="77777777" w:rsidR="00BC606B" w:rsidRPr="00517E7A" w:rsidRDefault="00BC606B" w:rsidP="0036215C">
      <w:pPr>
        <w:jc w:val="both"/>
        <w:rPr>
          <w:sz w:val="22"/>
        </w:rPr>
      </w:pPr>
    </w:p>
    <w:p w14:paraId="16FDC3A9" w14:textId="73B8DF16" w:rsidR="008A52F0" w:rsidRPr="00517E7A" w:rsidRDefault="008A52F0" w:rsidP="0036215C">
      <w:pPr>
        <w:jc w:val="both"/>
        <w:rPr>
          <w:sz w:val="22"/>
        </w:rPr>
      </w:pPr>
      <w:r w:rsidRPr="00517E7A">
        <w:rPr>
          <w:sz w:val="22"/>
        </w:rPr>
        <w:t>CFA Institute is the global association of investment professionals that sets the standards for professional excellence. We are a champion for ethical behaviour in investment markets and a respected source of knowledge in the global financial community. Our mission is to lead the investment profession globally by promoting the highest standards of ethics, education, and professional excellence for the ultimate</w:t>
      </w:r>
    </w:p>
    <w:p w14:paraId="7C5C0298" w14:textId="50B940E2" w:rsidR="008A52F0" w:rsidRPr="00517E7A" w:rsidRDefault="008A52F0" w:rsidP="0036215C">
      <w:pPr>
        <w:jc w:val="both"/>
        <w:rPr>
          <w:sz w:val="22"/>
        </w:rPr>
      </w:pPr>
      <w:r w:rsidRPr="00517E7A">
        <w:rPr>
          <w:sz w:val="22"/>
        </w:rPr>
        <w:t xml:space="preserve">benefit of society. There are more than 178,000 CFA </w:t>
      </w:r>
      <w:proofErr w:type="spellStart"/>
      <w:r w:rsidRPr="00517E7A">
        <w:rPr>
          <w:sz w:val="22"/>
        </w:rPr>
        <w:t>charterholders</w:t>
      </w:r>
      <w:proofErr w:type="spellEnd"/>
      <w:r w:rsidRPr="00517E7A">
        <w:rPr>
          <w:sz w:val="22"/>
        </w:rPr>
        <w:t xml:space="preserve"> worldwide in 162 markets. CFA Institute has nine offices worldwide and there are 159 local member societies.</w:t>
      </w:r>
    </w:p>
    <w:p w14:paraId="6DFB05BA" w14:textId="77777777" w:rsidR="00BC606B" w:rsidRPr="00517E7A" w:rsidRDefault="00BC606B" w:rsidP="0036215C">
      <w:pPr>
        <w:jc w:val="both"/>
        <w:rPr>
          <w:sz w:val="22"/>
        </w:rPr>
      </w:pPr>
    </w:p>
    <w:p w14:paraId="2ABC6117" w14:textId="2E29C048" w:rsidR="00730493" w:rsidRPr="00517E7A" w:rsidRDefault="005F4677" w:rsidP="0036215C">
      <w:pPr>
        <w:jc w:val="both"/>
        <w:rPr>
          <w:sz w:val="22"/>
        </w:rPr>
      </w:pPr>
      <w:r w:rsidRPr="00517E7A">
        <w:rPr>
          <w:sz w:val="22"/>
        </w:rPr>
        <w:t>The p</w:t>
      </w:r>
      <w:r w:rsidR="008A52F0" w:rsidRPr="00517E7A">
        <w:rPr>
          <w:sz w:val="22"/>
        </w:rPr>
        <w:t xml:space="preserve">romotion of increased investor protection is </w:t>
      </w:r>
      <w:r w:rsidRPr="00517E7A">
        <w:rPr>
          <w:sz w:val="22"/>
        </w:rPr>
        <w:t>one of our key objectives and is at the core of our efforts.</w:t>
      </w:r>
      <w:r w:rsidR="00A4538A" w:rsidRPr="00517E7A">
        <w:rPr>
          <w:sz w:val="22"/>
        </w:rPr>
        <w:t xml:space="preserve"> Today, many investors demand for greater transparency on the ESG characteristics of a financial product or its contribution to the achievement of a sustainable objective.</w:t>
      </w:r>
      <w:r w:rsidRPr="00517E7A">
        <w:rPr>
          <w:sz w:val="22"/>
        </w:rPr>
        <w:t xml:space="preserve"> Hence, disclosure of ESG information is considered as a key business value for most organisations.</w:t>
      </w:r>
      <w:r w:rsidR="00B11B89" w:rsidRPr="00517E7A">
        <w:rPr>
          <w:sz w:val="22"/>
        </w:rPr>
        <w:t xml:space="preserve"> However, in our engagements with financial professionals and investors around the world, we found that the current ESG disclosure</w:t>
      </w:r>
      <w:r w:rsidRPr="00517E7A">
        <w:rPr>
          <w:sz w:val="22"/>
        </w:rPr>
        <w:t xml:space="preserve"> practices</w:t>
      </w:r>
      <w:r w:rsidR="00B11B89" w:rsidRPr="00517E7A">
        <w:rPr>
          <w:sz w:val="22"/>
        </w:rPr>
        <w:t xml:space="preserve"> are not standardi</w:t>
      </w:r>
      <w:r w:rsidR="00C65B9B" w:rsidRPr="00517E7A">
        <w:rPr>
          <w:sz w:val="22"/>
        </w:rPr>
        <w:t>s</w:t>
      </w:r>
      <w:r w:rsidR="00B11B89" w:rsidRPr="00517E7A">
        <w:rPr>
          <w:sz w:val="22"/>
        </w:rPr>
        <w:t>ed enough. This limits the quality, comparability and consistency of such data.</w:t>
      </w:r>
      <w:r w:rsidR="00BC606B" w:rsidRPr="00517E7A">
        <w:rPr>
          <w:sz w:val="22"/>
        </w:rPr>
        <w:t xml:space="preserve"> </w:t>
      </w:r>
      <w:proofErr w:type="gramStart"/>
      <w:r w:rsidR="00BC606B" w:rsidRPr="00517E7A">
        <w:rPr>
          <w:sz w:val="22"/>
        </w:rPr>
        <w:t>In order to</w:t>
      </w:r>
      <w:proofErr w:type="gramEnd"/>
      <w:r w:rsidR="00BC606B" w:rsidRPr="00517E7A">
        <w:rPr>
          <w:sz w:val="22"/>
        </w:rPr>
        <w:t xml:space="preserve"> develop greater sustainability practices in the financial sector, we believe that a global standard is necessary to make sure that ESG data is comparable and audited. CFA Institute has been working on the development of a voluntary ESG disclosure standard</w:t>
      </w:r>
      <w:r w:rsidR="00A4538A" w:rsidRPr="00517E7A">
        <w:rPr>
          <w:sz w:val="22"/>
        </w:rPr>
        <w:t xml:space="preserve"> </w:t>
      </w:r>
      <w:r w:rsidR="00BC606B" w:rsidRPr="00517E7A">
        <w:rPr>
          <w:sz w:val="22"/>
        </w:rPr>
        <w:t>for investment products</w:t>
      </w:r>
      <w:r w:rsidR="00A93B16" w:rsidRPr="00517E7A">
        <w:rPr>
          <w:sz w:val="22"/>
        </w:rPr>
        <w:t>, and w</w:t>
      </w:r>
      <w:r w:rsidR="00BC606B" w:rsidRPr="00517E7A">
        <w:rPr>
          <w:sz w:val="22"/>
        </w:rPr>
        <w:t>e have recently launched a public consultation seeking feedback on the proposed scop</w:t>
      </w:r>
      <w:r w:rsidR="00730493" w:rsidRPr="00517E7A">
        <w:rPr>
          <w:sz w:val="22"/>
        </w:rPr>
        <w:t>e</w:t>
      </w:r>
      <w:r w:rsidR="00BC606B" w:rsidRPr="00517E7A">
        <w:rPr>
          <w:sz w:val="22"/>
        </w:rPr>
        <w:t>, structure, and design</w:t>
      </w:r>
      <w:r w:rsidR="00730493" w:rsidRPr="00517E7A">
        <w:rPr>
          <w:sz w:val="22"/>
        </w:rPr>
        <w:t xml:space="preserve"> of this ESG standard. Further details of our work on the matter and the consultation, which closes on 19 October 2020, can be found at </w:t>
      </w:r>
      <w:hyperlink r:id="rId23" w:history="1">
        <w:r w:rsidR="00730493" w:rsidRPr="00517E7A">
          <w:rPr>
            <w:rStyle w:val="Hyperlink"/>
            <w:sz w:val="22"/>
          </w:rPr>
          <w:t>https://www.cfainstitute.org/en/ethics-standards/codes/esg-standards</w:t>
        </w:r>
      </w:hyperlink>
      <w:r w:rsidR="00730493" w:rsidRPr="00517E7A">
        <w:rPr>
          <w:sz w:val="22"/>
        </w:rPr>
        <w:t xml:space="preserve"> . CFA Institute would be pleased if the ESAs can provide their comments that may have by responding to our public consultation.</w:t>
      </w:r>
      <w:r w:rsidR="00921234">
        <w:rPr>
          <w:sz w:val="22"/>
        </w:rPr>
        <w:t xml:space="preserve"> We also stand ready to further discuss this initiative with the ESAs.</w:t>
      </w:r>
    </w:p>
    <w:p w14:paraId="1CE79B40" w14:textId="77777777" w:rsidR="00076D83" w:rsidRPr="00517E7A" w:rsidRDefault="00076D83" w:rsidP="0036215C">
      <w:pPr>
        <w:jc w:val="both"/>
        <w:rPr>
          <w:sz w:val="22"/>
        </w:rPr>
      </w:pPr>
    </w:p>
    <w:p w14:paraId="0ACEF22A" w14:textId="142759F8" w:rsidR="008A52F0" w:rsidRPr="00517E7A" w:rsidRDefault="00F959B5" w:rsidP="0036215C">
      <w:pPr>
        <w:jc w:val="both"/>
        <w:rPr>
          <w:sz w:val="22"/>
        </w:rPr>
      </w:pPr>
      <w:r w:rsidRPr="00517E7A">
        <w:rPr>
          <w:sz w:val="22"/>
        </w:rPr>
        <w:t xml:space="preserve">We </w:t>
      </w:r>
      <w:r w:rsidR="00D025F6" w:rsidRPr="00517E7A">
        <w:rPr>
          <w:sz w:val="22"/>
        </w:rPr>
        <w:t>appreciate</w:t>
      </w:r>
      <w:r w:rsidRPr="00517E7A">
        <w:rPr>
          <w:sz w:val="22"/>
        </w:rPr>
        <w:t xml:space="preserve"> the approach that the ESAs have taken</w:t>
      </w:r>
      <w:r w:rsidR="00DB6027" w:rsidRPr="00517E7A">
        <w:rPr>
          <w:sz w:val="22"/>
        </w:rPr>
        <w:t xml:space="preserve"> </w:t>
      </w:r>
      <w:r w:rsidR="00271BC9" w:rsidRPr="00517E7A">
        <w:rPr>
          <w:sz w:val="22"/>
        </w:rPr>
        <w:t>with the preparation of</w:t>
      </w:r>
      <w:r w:rsidR="00FA6714" w:rsidRPr="00517E7A">
        <w:rPr>
          <w:sz w:val="22"/>
        </w:rPr>
        <w:t xml:space="preserve"> the template illustrated in Chapter II and Annex I</w:t>
      </w:r>
      <w:r w:rsidR="00271BC9" w:rsidRPr="00517E7A">
        <w:rPr>
          <w:sz w:val="22"/>
        </w:rPr>
        <w:t>. The template p</w:t>
      </w:r>
      <w:r w:rsidR="00FA6714" w:rsidRPr="00517E7A">
        <w:rPr>
          <w:sz w:val="22"/>
        </w:rPr>
        <w:t>rovides a fair description of the factors that lead to adverse impact of the investment decisions made by financial market participants</w:t>
      </w:r>
      <w:r w:rsidR="00730493" w:rsidRPr="00517E7A">
        <w:rPr>
          <w:sz w:val="22"/>
        </w:rPr>
        <w:t xml:space="preserve"> </w:t>
      </w:r>
      <w:r w:rsidR="00FA6714" w:rsidRPr="00517E7A">
        <w:rPr>
          <w:sz w:val="22"/>
        </w:rPr>
        <w:t xml:space="preserve">on sustainability factors. </w:t>
      </w:r>
      <w:r w:rsidR="00334C03" w:rsidRPr="00517E7A">
        <w:rPr>
          <w:sz w:val="22"/>
        </w:rPr>
        <w:t>The indicators that the ESAs</w:t>
      </w:r>
      <w:r w:rsidR="00076D83" w:rsidRPr="00517E7A">
        <w:rPr>
          <w:sz w:val="22"/>
        </w:rPr>
        <w:t xml:space="preserve"> included in the </w:t>
      </w:r>
      <w:r w:rsidR="00271BC9" w:rsidRPr="00517E7A">
        <w:rPr>
          <w:sz w:val="22"/>
        </w:rPr>
        <w:t>table</w:t>
      </w:r>
      <w:r w:rsidR="00076D83" w:rsidRPr="00517E7A">
        <w:rPr>
          <w:sz w:val="22"/>
        </w:rPr>
        <w:t xml:space="preserve"> are appropriate at the current time. However, as disclosures and investor needs evolve over time, these indicators should be reassessed and reviewed periodically </w:t>
      </w:r>
      <w:proofErr w:type="gramStart"/>
      <w:r w:rsidR="00076D83" w:rsidRPr="00517E7A">
        <w:rPr>
          <w:sz w:val="22"/>
        </w:rPr>
        <w:t>in order to</w:t>
      </w:r>
      <w:proofErr w:type="gramEnd"/>
      <w:r w:rsidR="00076D83" w:rsidRPr="00517E7A">
        <w:rPr>
          <w:sz w:val="22"/>
        </w:rPr>
        <w:t xml:space="preserve"> understand whether they are still </w:t>
      </w:r>
      <w:r w:rsidR="00A93B16" w:rsidRPr="00517E7A">
        <w:rPr>
          <w:sz w:val="22"/>
        </w:rPr>
        <w:t>adequate</w:t>
      </w:r>
      <w:r w:rsidR="00076D83" w:rsidRPr="00517E7A">
        <w:rPr>
          <w:sz w:val="22"/>
        </w:rPr>
        <w:t xml:space="preserve"> and</w:t>
      </w:r>
      <w:r w:rsidR="00A93B16" w:rsidRPr="00517E7A">
        <w:rPr>
          <w:sz w:val="22"/>
        </w:rPr>
        <w:t xml:space="preserve"> if they</w:t>
      </w:r>
      <w:r w:rsidR="00076D83" w:rsidRPr="00517E7A">
        <w:rPr>
          <w:sz w:val="22"/>
        </w:rPr>
        <w:t xml:space="preserve"> meet investor demand.</w:t>
      </w:r>
    </w:p>
    <w:p w14:paraId="68387879" w14:textId="77777777" w:rsidR="00271BC9" w:rsidRPr="00517E7A" w:rsidRDefault="00271BC9" w:rsidP="0036215C">
      <w:pPr>
        <w:jc w:val="both"/>
        <w:rPr>
          <w:sz w:val="22"/>
        </w:rPr>
      </w:pPr>
    </w:p>
    <w:p w14:paraId="61EA7AC6" w14:textId="3201D071" w:rsidR="00754796" w:rsidRPr="00517E7A" w:rsidRDefault="005E47D4" w:rsidP="0036215C">
      <w:pPr>
        <w:jc w:val="both"/>
        <w:rPr>
          <w:sz w:val="22"/>
        </w:rPr>
      </w:pPr>
      <w:r w:rsidRPr="00517E7A">
        <w:rPr>
          <w:sz w:val="22"/>
        </w:rPr>
        <w:t xml:space="preserve">Finally, we </w:t>
      </w:r>
      <w:r w:rsidR="00271BC9" w:rsidRPr="00517E7A">
        <w:rPr>
          <w:sz w:val="22"/>
        </w:rPr>
        <w:t>would like to highlight</w:t>
      </w:r>
      <w:r w:rsidRPr="00517E7A">
        <w:rPr>
          <w:sz w:val="22"/>
        </w:rPr>
        <w:t xml:space="preserve"> </w:t>
      </w:r>
      <w:r w:rsidR="00271BC9" w:rsidRPr="00517E7A">
        <w:rPr>
          <w:sz w:val="22"/>
        </w:rPr>
        <w:t>the lack of</w:t>
      </w:r>
      <w:r w:rsidR="00AB1FB0" w:rsidRPr="00517E7A">
        <w:rPr>
          <w:sz w:val="22"/>
        </w:rPr>
        <w:t xml:space="preserve"> clarity in some</w:t>
      </w:r>
      <w:r w:rsidR="00275AE6">
        <w:rPr>
          <w:sz w:val="22"/>
        </w:rPr>
        <w:t xml:space="preserve"> of the</w:t>
      </w:r>
      <w:r w:rsidR="00AB1FB0" w:rsidRPr="00517E7A">
        <w:rPr>
          <w:sz w:val="22"/>
        </w:rPr>
        <w:t xml:space="preserve"> </w:t>
      </w:r>
      <w:r w:rsidR="00754796" w:rsidRPr="00517E7A">
        <w:rPr>
          <w:sz w:val="22"/>
        </w:rPr>
        <w:t>requirements</w:t>
      </w:r>
      <w:r w:rsidR="00AB1FB0" w:rsidRPr="00517E7A">
        <w:rPr>
          <w:sz w:val="22"/>
        </w:rPr>
        <w:t xml:space="preserve"> provided under the S</w:t>
      </w:r>
      <w:r w:rsidR="00B6292F" w:rsidRPr="00517E7A">
        <w:rPr>
          <w:sz w:val="22"/>
        </w:rPr>
        <w:t>FDR</w:t>
      </w:r>
      <w:r w:rsidR="00A93B16" w:rsidRPr="00517E7A">
        <w:rPr>
          <w:sz w:val="22"/>
        </w:rPr>
        <w:t>,</w:t>
      </w:r>
      <w:r w:rsidR="00AB1FB0" w:rsidRPr="00517E7A">
        <w:rPr>
          <w:sz w:val="22"/>
        </w:rPr>
        <w:t xml:space="preserve"> and </w:t>
      </w:r>
      <w:r w:rsidR="00A93B16" w:rsidRPr="00517E7A">
        <w:rPr>
          <w:sz w:val="22"/>
        </w:rPr>
        <w:t xml:space="preserve">the </w:t>
      </w:r>
      <w:r w:rsidR="00754796" w:rsidRPr="00517E7A">
        <w:rPr>
          <w:sz w:val="22"/>
        </w:rPr>
        <w:t>poor</w:t>
      </w:r>
      <w:r w:rsidR="00271BC9" w:rsidRPr="00517E7A">
        <w:rPr>
          <w:sz w:val="22"/>
        </w:rPr>
        <w:t xml:space="preserve"> consistency between some definitions under the S</w:t>
      </w:r>
      <w:r w:rsidR="00B6292F" w:rsidRPr="00517E7A">
        <w:rPr>
          <w:sz w:val="22"/>
        </w:rPr>
        <w:t>FDR</w:t>
      </w:r>
      <w:r w:rsidR="00271BC9" w:rsidRPr="00517E7A">
        <w:rPr>
          <w:sz w:val="22"/>
        </w:rPr>
        <w:t xml:space="preserve"> and the EU Taxonomy. </w:t>
      </w:r>
      <w:r w:rsidR="00754796" w:rsidRPr="00517E7A">
        <w:rPr>
          <w:sz w:val="22"/>
        </w:rPr>
        <w:t>We believe that the two regulations should have more aligned definitions and objectives as the current requirements may lead to some confusion on what is a product with environmental and social characteristics. In addition, the ESAs</w:t>
      </w:r>
      <w:r w:rsidR="00A93B16" w:rsidRPr="00517E7A">
        <w:rPr>
          <w:sz w:val="22"/>
        </w:rPr>
        <w:t xml:space="preserve"> could include more references to</w:t>
      </w:r>
      <w:r w:rsidR="00754796" w:rsidRPr="00517E7A">
        <w:rPr>
          <w:sz w:val="22"/>
        </w:rPr>
        <w:t xml:space="preserve"> the Taxonomy requirements in the measures proposed in the template in Annex I. The inclusion of a specific indicator measuring the proportion of alignment that a financial product has with the EU Taxonomy could help investors facilitate the comparison between </w:t>
      </w:r>
      <w:proofErr w:type="gramStart"/>
      <w:r w:rsidR="00754796" w:rsidRPr="00517E7A">
        <w:rPr>
          <w:sz w:val="22"/>
        </w:rPr>
        <w:t>products</w:t>
      </w:r>
      <w:r w:rsidR="003C07E0" w:rsidRPr="00517E7A">
        <w:rPr>
          <w:sz w:val="22"/>
        </w:rPr>
        <w:t>, and</w:t>
      </w:r>
      <w:proofErr w:type="gramEnd"/>
      <w:r w:rsidR="003C07E0" w:rsidRPr="00517E7A">
        <w:rPr>
          <w:sz w:val="22"/>
        </w:rPr>
        <w:t xml:space="preserve"> provide more clarity on </w:t>
      </w:r>
      <w:r w:rsidR="005F4677" w:rsidRPr="00517E7A">
        <w:rPr>
          <w:sz w:val="22"/>
        </w:rPr>
        <w:t xml:space="preserve">whether a product has characteristics that are consistent with the EU environmental objectives.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228626E7" w:rsidR="003E573C" w:rsidRPr="00517E7A" w:rsidRDefault="00384C7D" w:rsidP="0036215C">
      <w:pPr>
        <w:jc w:val="both"/>
        <w:rPr>
          <w:rFonts w:cs="Arial"/>
          <w:sz w:val="22"/>
          <w:lang w:val="en-US"/>
        </w:rPr>
      </w:pPr>
      <w:permStart w:id="1221819945" w:edGrp="everyone"/>
      <w:r w:rsidRPr="00517E7A">
        <w:rPr>
          <w:rFonts w:cs="Arial"/>
          <w:sz w:val="22"/>
          <w:lang w:val="en-US"/>
        </w:rPr>
        <w:t>Yes, we agree</w:t>
      </w:r>
      <w:r w:rsidR="00AA25ED" w:rsidRPr="00517E7A">
        <w:rPr>
          <w:rFonts w:cs="Arial"/>
          <w:sz w:val="22"/>
          <w:lang w:val="en-US"/>
        </w:rPr>
        <w:t xml:space="preserve"> with this approach. However, we </w:t>
      </w:r>
      <w:r w:rsidR="00F146EA" w:rsidRPr="00517E7A">
        <w:rPr>
          <w:rFonts w:cs="Arial"/>
          <w:sz w:val="22"/>
          <w:lang w:val="en-US"/>
        </w:rPr>
        <w:t xml:space="preserve">believe that the EU </w:t>
      </w:r>
      <w:r w:rsidR="00A93B16" w:rsidRPr="00517E7A">
        <w:rPr>
          <w:rFonts w:cs="Arial"/>
          <w:sz w:val="22"/>
          <w:lang w:val="en-US"/>
        </w:rPr>
        <w:t xml:space="preserve">also </w:t>
      </w:r>
      <w:r w:rsidR="00F146EA" w:rsidRPr="00517E7A">
        <w:rPr>
          <w:rFonts w:cs="Arial"/>
          <w:sz w:val="22"/>
          <w:lang w:val="en-US"/>
        </w:rPr>
        <w:t>should have further discussion</w:t>
      </w:r>
      <w:r w:rsidR="00A93B16" w:rsidRPr="00517E7A">
        <w:rPr>
          <w:rFonts w:cs="Arial"/>
          <w:sz w:val="22"/>
          <w:lang w:val="en-US"/>
        </w:rPr>
        <w:t>s</w:t>
      </w:r>
      <w:r w:rsidR="00F146EA" w:rsidRPr="00517E7A">
        <w:rPr>
          <w:rFonts w:cs="Arial"/>
          <w:sz w:val="22"/>
          <w:lang w:val="en-US"/>
        </w:rPr>
        <w:t xml:space="preserve"> on</w:t>
      </w:r>
      <w:r w:rsidR="00F146EA" w:rsidRPr="00517E7A">
        <w:rPr>
          <w:sz w:val="22"/>
        </w:rPr>
        <w:t xml:space="preserve"> </w:t>
      </w:r>
      <w:r w:rsidR="00F146EA" w:rsidRPr="00517E7A">
        <w:rPr>
          <w:rFonts w:cs="Arial"/>
          <w:sz w:val="22"/>
          <w:lang w:val="en-US"/>
        </w:rPr>
        <w:t>what percentage of the data in question has been audited and how can be assured. The data that firms will be using to calculate the numbers in this table are often not disclosed or disclosed and not audited. There should be some discussion about the reliability, timeliness and comparability of the underlying data</w:t>
      </w:r>
      <w:r w:rsidR="00A93B16" w:rsidRPr="00517E7A">
        <w:rPr>
          <w:rFonts w:cs="Arial"/>
          <w:sz w:val="22"/>
          <w:lang w:val="en-US"/>
        </w:rPr>
        <w:t xml:space="preserve"> as well. </w:t>
      </w:r>
      <w:r w:rsidR="00F146EA" w:rsidRPr="00517E7A">
        <w:rPr>
          <w:rFonts w:cs="Arial"/>
          <w:sz w:val="22"/>
          <w:lang w:val="en-US"/>
        </w:rPr>
        <w:t xml:space="preserve">Our societies agree on </w:t>
      </w:r>
      <w:r w:rsidR="006276DA" w:rsidRPr="00517E7A">
        <w:rPr>
          <w:rFonts w:cs="Arial"/>
          <w:sz w:val="22"/>
          <w:lang w:val="en-US"/>
        </w:rPr>
        <w:t xml:space="preserve">the methodology that has been proposed. </w:t>
      </w:r>
      <w:r w:rsidR="00A93B16" w:rsidRPr="00517E7A">
        <w:rPr>
          <w:rFonts w:cs="Arial"/>
          <w:sz w:val="22"/>
          <w:lang w:val="en-US"/>
        </w:rPr>
        <w:t>Some m</w:t>
      </w:r>
      <w:r w:rsidR="00E20046" w:rsidRPr="00517E7A">
        <w:rPr>
          <w:rFonts w:cs="Arial"/>
          <w:sz w:val="22"/>
          <w:lang w:val="en-US"/>
        </w:rPr>
        <w:t>embers from CFA Society Italy believe that since</w:t>
      </w:r>
      <w:r w:rsidR="00F146EA" w:rsidRPr="00517E7A">
        <w:rPr>
          <w:rFonts w:cs="Arial"/>
          <w:sz w:val="22"/>
          <w:lang w:val="en-US"/>
        </w:rPr>
        <w:t xml:space="preserve"> </w:t>
      </w:r>
      <w:r w:rsidR="00AF1E95" w:rsidRPr="00517E7A">
        <w:rPr>
          <w:rFonts w:cs="Arial"/>
          <w:sz w:val="22"/>
          <w:lang w:val="en-US"/>
        </w:rPr>
        <w:t>companies are not required yet to provide the necessary data to comply with the indicators, it would be reasonable to ask investors to publish the coverage percentage of assets to allow a fair comparison.</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5CC86726" w:rsidR="003E573C" w:rsidRPr="00620951" w:rsidRDefault="005C08FA" w:rsidP="0036215C">
      <w:pPr>
        <w:jc w:val="both"/>
        <w:rPr>
          <w:rFonts w:cs="Arial"/>
          <w:sz w:val="22"/>
          <w:lang w:val="en-US"/>
        </w:rPr>
      </w:pPr>
      <w:permStart w:id="729947415" w:edGrp="everyone"/>
      <w:r w:rsidRPr="00620951">
        <w:rPr>
          <w:rFonts w:cs="Arial"/>
          <w:sz w:val="22"/>
          <w:lang w:val="en-US"/>
        </w:rPr>
        <w:t xml:space="preserve">Yes, </w:t>
      </w:r>
      <w:r w:rsidR="00A93B16" w:rsidRPr="00620951">
        <w:rPr>
          <w:rFonts w:cs="Arial"/>
          <w:sz w:val="22"/>
          <w:lang w:val="en-US"/>
        </w:rPr>
        <w:t xml:space="preserve">the approach has a sufficient </w:t>
      </w:r>
      <w:r w:rsidRPr="00620951">
        <w:rPr>
          <w:rFonts w:cs="Arial"/>
          <w:sz w:val="22"/>
          <w:lang w:val="en-US"/>
        </w:rPr>
        <w:t>consideration of the size, nature and scale of financial market participants and the type of products</w:t>
      </w:r>
      <w:r w:rsidR="00A93B16" w:rsidRPr="00620951">
        <w:rPr>
          <w:rFonts w:cs="Arial"/>
          <w:sz w:val="22"/>
          <w:lang w:val="en-US"/>
        </w:rPr>
        <w:t>. W</w:t>
      </w:r>
      <w:r w:rsidRPr="00620951">
        <w:rPr>
          <w:rFonts w:cs="Arial"/>
          <w:sz w:val="22"/>
          <w:lang w:val="en-US"/>
        </w:rPr>
        <w:t xml:space="preserve">e believe that this approach is a good start as these efforts of disclosure are some of the first of their kind. We do not </w:t>
      </w:r>
      <w:proofErr w:type="gramStart"/>
      <w:r w:rsidRPr="00620951">
        <w:rPr>
          <w:rFonts w:cs="Arial"/>
          <w:sz w:val="22"/>
          <w:lang w:val="en-US"/>
        </w:rPr>
        <w:t>expect  data</w:t>
      </w:r>
      <w:proofErr w:type="gramEnd"/>
      <w:r w:rsidRPr="00620951">
        <w:rPr>
          <w:rFonts w:cs="Arial"/>
          <w:sz w:val="22"/>
          <w:lang w:val="en-US"/>
        </w:rPr>
        <w:t xml:space="preserve"> transparency and the quality of the underlying data to be perfect at this stage. However, we </w:t>
      </w:r>
      <w:r w:rsidR="00566816" w:rsidRPr="00620951">
        <w:rPr>
          <w:rFonts w:cs="Arial"/>
          <w:sz w:val="22"/>
          <w:lang w:val="en-US"/>
        </w:rPr>
        <w:t>think that</w:t>
      </w:r>
      <w:r w:rsidRPr="00620951">
        <w:rPr>
          <w:rFonts w:cs="Arial"/>
          <w:sz w:val="22"/>
          <w:lang w:val="en-US"/>
        </w:rPr>
        <w:t xml:space="preserve"> more financial firms </w:t>
      </w:r>
      <w:r w:rsidR="00566816" w:rsidRPr="00620951">
        <w:rPr>
          <w:rFonts w:cs="Arial"/>
          <w:sz w:val="22"/>
          <w:lang w:val="en-US"/>
        </w:rPr>
        <w:t>could</w:t>
      </w:r>
      <w:r w:rsidRPr="00620951">
        <w:rPr>
          <w:rFonts w:cs="Arial"/>
          <w:sz w:val="22"/>
          <w:lang w:val="en-US"/>
        </w:rPr>
        <w:t xml:space="preserve"> be covered in the future as disclosure improves and financial firms learn best how to disclose this information.</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1DAA3C73" w:rsidR="003E573C" w:rsidRDefault="005C08FA" w:rsidP="0036215C">
      <w:pPr>
        <w:jc w:val="both"/>
        <w:rPr>
          <w:rFonts w:cs="Arial"/>
        </w:rPr>
      </w:pPr>
      <w:permStart w:id="677205538" w:edGrp="everyone"/>
      <w:r w:rsidRPr="00620951">
        <w:rPr>
          <w:rFonts w:cs="Arial"/>
          <w:sz w:val="22"/>
        </w:rPr>
        <w:t xml:space="preserve">Standards that are already gaining acceptance by the financial community such as TCFD and SASB could form a good baseline for issuer disclosure that could feed into the disclosures expected from financial firms. </w:t>
      </w:r>
      <w:proofErr w:type="gramStart"/>
      <w:r w:rsidR="00D50C73" w:rsidRPr="00620951">
        <w:rPr>
          <w:rFonts w:cs="Arial"/>
          <w:sz w:val="22"/>
        </w:rPr>
        <w:t>With regard to</w:t>
      </w:r>
      <w:proofErr w:type="gramEnd"/>
      <w:r w:rsidR="00D50C73" w:rsidRPr="00620951">
        <w:rPr>
          <w:rFonts w:cs="Arial"/>
          <w:sz w:val="22"/>
        </w:rPr>
        <w:t xml:space="preserve"> the Regulation, </w:t>
      </w:r>
      <w:r w:rsidR="00A14049">
        <w:rPr>
          <w:rFonts w:cs="Arial"/>
          <w:sz w:val="22"/>
        </w:rPr>
        <w:t xml:space="preserve">some </w:t>
      </w:r>
      <w:r w:rsidR="00D50C73" w:rsidRPr="00620951">
        <w:rPr>
          <w:rFonts w:cs="Arial"/>
          <w:sz w:val="22"/>
        </w:rPr>
        <w:t>m</w:t>
      </w:r>
      <w:r w:rsidRPr="00620951">
        <w:rPr>
          <w:rFonts w:cs="Arial"/>
          <w:sz w:val="22"/>
        </w:rPr>
        <w:t>embers from CFA Society Italy also argue that it</w:t>
      </w:r>
      <w:r w:rsidRPr="00620951">
        <w:rPr>
          <w:sz w:val="22"/>
        </w:rPr>
        <w:t xml:space="preserve"> </w:t>
      </w:r>
      <w:r w:rsidRPr="00620951">
        <w:rPr>
          <w:rFonts w:cs="Arial"/>
          <w:sz w:val="22"/>
        </w:rPr>
        <w:t xml:space="preserve">would be reasonable to include the requirement of publishing the assets in scope.  </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E3416B8" w14:textId="19C76260" w:rsidR="008D5024" w:rsidRPr="00620951" w:rsidRDefault="00CA190B" w:rsidP="0036215C">
      <w:pPr>
        <w:jc w:val="both"/>
        <w:rPr>
          <w:rFonts w:cs="Arial"/>
          <w:sz w:val="22"/>
          <w:lang w:val="en-US"/>
        </w:rPr>
      </w:pPr>
      <w:permStart w:id="1220688604" w:edGrp="everyone"/>
      <w:r w:rsidRPr="00620951">
        <w:rPr>
          <w:rFonts w:cs="Arial"/>
          <w:sz w:val="22"/>
          <w:lang w:val="en-US"/>
        </w:rPr>
        <w:t>We believe that the reporting template is adequate for the present moment.</w:t>
      </w:r>
      <w:r w:rsidRPr="00620951">
        <w:rPr>
          <w:sz w:val="22"/>
        </w:rPr>
        <w:t xml:space="preserve"> </w:t>
      </w:r>
      <w:r w:rsidRPr="00620951">
        <w:rPr>
          <w:rFonts w:cs="Arial"/>
          <w:sz w:val="22"/>
          <w:lang w:val="en-US"/>
        </w:rPr>
        <w:t>We expect</w:t>
      </w:r>
      <w:r w:rsidR="004A66C0" w:rsidRPr="00620951">
        <w:rPr>
          <w:rFonts w:cs="Arial"/>
          <w:sz w:val="22"/>
          <w:lang w:val="en-US"/>
        </w:rPr>
        <w:t xml:space="preserve"> that</w:t>
      </w:r>
      <w:r w:rsidRPr="00620951">
        <w:rPr>
          <w:rFonts w:cs="Arial"/>
          <w:sz w:val="22"/>
          <w:lang w:val="en-US"/>
        </w:rPr>
        <w:t xml:space="preserve"> these disclosures will evolve in future years to best capture the information most useful/material to financial firms and their clients.</w:t>
      </w:r>
    </w:p>
    <w:p w14:paraId="784D9858" w14:textId="7A4036D1" w:rsidR="003E573C" w:rsidRPr="00CA190B" w:rsidRDefault="002A2778" w:rsidP="0036215C">
      <w:pPr>
        <w:jc w:val="both"/>
        <w:rPr>
          <w:rFonts w:cs="Arial"/>
          <w:lang w:val="en-US"/>
        </w:rPr>
      </w:pPr>
      <w:r>
        <w:rPr>
          <w:rFonts w:cs="Arial"/>
          <w:sz w:val="22"/>
          <w:lang w:val="en-US"/>
        </w:rPr>
        <w:t>Some m</w:t>
      </w:r>
      <w:r w:rsidR="00CA190B" w:rsidRPr="00620951">
        <w:rPr>
          <w:rFonts w:cs="Arial"/>
          <w:sz w:val="22"/>
          <w:lang w:val="en-US"/>
        </w:rPr>
        <w:t>embers from CFA Society Italy suggest that a forward-looking indicator</w:t>
      </w:r>
      <w:r w:rsidR="00CA190B" w:rsidRPr="00620951">
        <w:rPr>
          <w:sz w:val="22"/>
        </w:rPr>
        <w:t xml:space="preserve"> </w:t>
      </w:r>
      <w:r w:rsidR="00CA190B" w:rsidRPr="00620951">
        <w:rPr>
          <w:rFonts w:cs="Arial"/>
          <w:sz w:val="22"/>
          <w:lang w:val="en-US"/>
        </w:rPr>
        <w:t>like “share of investments that have set a Science based Target” could be meaningful and applicable. The temperature</w:t>
      </w:r>
      <w:r w:rsidR="008D5024" w:rsidRPr="00620951">
        <w:rPr>
          <w:sz w:val="22"/>
        </w:rPr>
        <w:t xml:space="preserve"> s</w:t>
      </w:r>
      <w:r w:rsidR="008D5024" w:rsidRPr="00620951">
        <w:rPr>
          <w:rFonts w:cs="Arial"/>
          <w:sz w:val="22"/>
          <w:lang w:val="en-US"/>
        </w:rPr>
        <w:t>coring methodology developed by the Science Based Initiative could, for example, represent a more meaningful forward-looking metric</w:t>
      </w:r>
      <w:r w:rsidR="00620951">
        <w:rPr>
          <w:rFonts w:cs="Arial"/>
          <w:sz w:val="22"/>
          <w:lang w:val="en-US"/>
        </w:rPr>
        <w:t>.</w:t>
      </w:r>
      <w:r w:rsidR="00CA190B" w:rsidRPr="00620951">
        <w:rPr>
          <w:rFonts w:cs="Arial"/>
          <w:sz w:val="22"/>
          <w:lang w:val="en-US"/>
        </w:rPr>
        <w:t xml:space="preserve"> </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433DCCBD" w:rsidR="003E573C" w:rsidRPr="00620951" w:rsidRDefault="008D5024" w:rsidP="0036215C">
      <w:pPr>
        <w:jc w:val="both"/>
        <w:rPr>
          <w:rFonts w:cs="Arial"/>
          <w:sz w:val="22"/>
          <w:lang w:val="en-US"/>
        </w:rPr>
      </w:pPr>
      <w:permStart w:id="209390932" w:edGrp="everyone"/>
      <w:r w:rsidRPr="00620951">
        <w:rPr>
          <w:rFonts w:cs="Arial"/>
          <w:sz w:val="22"/>
          <w:lang w:val="en-US"/>
        </w:rPr>
        <w:t xml:space="preserve">In the same vein as our response to Q4, the indicators presented in the proposed approach would work well and are sufficient at the present time. Nevertheless, </w:t>
      </w:r>
      <w:r w:rsidR="002A2778">
        <w:rPr>
          <w:rFonts w:cs="Arial"/>
          <w:sz w:val="22"/>
          <w:lang w:val="en-US"/>
        </w:rPr>
        <w:t>metrics</w:t>
      </w:r>
      <w:r w:rsidRPr="00620951">
        <w:rPr>
          <w:rFonts w:cs="Arial"/>
          <w:sz w:val="22"/>
          <w:lang w:val="en-US"/>
        </w:rPr>
        <w:t xml:space="preserve"> should evolve over time so that</w:t>
      </w:r>
      <w:r w:rsidR="005B3F1D" w:rsidRPr="00620951">
        <w:rPr>
          <w:rFonts w:cs="Arial"/>
          <w:sz w:val="22"/>
          <w:lang w:val="en-US"/>
        </w:rPr>
        <w:t xml:space="preserve"> </w:t>
      </w:r>
      <w:r w:rsidR="002A2778">
        <w:rPr>
          <w:rFonts w:cs="Arial"/>
          <w:sz w:val="22"/>
          <w:lang w:val="en-US"/>
        </w:rPr>
        <w:t>they</w:t>
      </w:r>
      <w:r w:rsidR="005B3F1D" w:rsidRPr="00620951">
        <w:rPr>
          <w:rFonts w:cs="Arial"/>
          <w:sz w:val="22"/>
          <w:lang w:val="en-US"/>
        </w:rPr>
        <w:t xml:space="preserve"> can best reflect the changing landscape. We also suggest that negative emissions (carbon capture and sequestration) could be in the future added as</w:t>
      </w:r>
      <w:r w:rsidR="005B3F1D" w:rsidRPr="00620951">
        <w:rPr>
          <w:sz w:val="22"/>
        </w:rPr>
        <w:t xml:space="preserve"> </w:t>
      </w:r>
      <w:r w:rsidR="005B3F1D" w:rsidRPr="00620951">
        <w:rPr>
          <w:rFonts w:cs="Arial"/>
          <w:sz w:val="22"/>
          <w:lang w:val="en-US"/>
        </w:rPr>
        <w:t>to encourage firms to invest in negative emissions technology. However, to avoid double counting, some safeguards would have to be put in place.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44BC9D5C" w:rsidR="003E573C" w:rsidRPr="00620951" w:rsidRDefault="000C2F59" w:rsidP="0036215C">
      <w:pPr>
        <w:jc w:val="both"/>
        <w:rPr>
          <w:rFonts w:cs="Arial"/>
          <w:sz w:val="22"/>
          <w:lang w:val="en-US"/>
        </w:rPr>
      </w:pPr>
      <w:permStart w:id="418122716" w:edGrp="everyone"/>
      <w:r w:rsidRPr="00620951">
        <w:rPr>
          <w:rFonts w:cs="Arial"/>
          <w:sz w:val="22"/>
          <w:lang w:val="en-US"/>
        </w:rPr>
        <w:t xml:space="preserve">Yes, we </w:t>
      </w:r>
      <w:r w:rsidR="00104FC4" w:rsidRPr="00620951">
        <w:rPr>
          <w:rFonts w:cs="Arial"/>
          <w:sz w:val="22"/>
          <w:lang w:val="en-US"/>
        </w:rPr>
        <w:t>argue that these measures could be useful and informational to investors in the EU. The calculation of these indicators could be based on the carbon emissions that would be provided in the principal adverse impacts statement. Therefore,</w:t>
      </w:r>
      <w:r w:rsidR="00412D6E" w:rsidRPr="00620951">
        <w:rPr>
          <w:rFonts w:cs="Arial"/>
          <w:sz w:val="22"/>
          <w:lang w:val="en-US"/>
        </w:rPr>
        <w:t xml:space="preserve"> financial market participants and advisers would not see the disclosure of these additional indicators as particularly burdensome.</w:t>
      </w:r>
      <w:r w:rsidR="008C7A03" w:rsidRPr="00620951">
        <w:rPr>
          <w:rFonts w:cs="Arial"/>
          <w:sz w:val="22"/>
          <w:lang w:val="en-US"/>
        </w:rPr>
        <w:t xml:space="preserve"> </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1966C95" w14:textId="721DAD1E" w:rsidR="004A66C0" w:rsidRPr="00620951" w:rsidRDefault="007162F8" w:rsidP="0036215C">
      <w:pPr>
        <w:jc w:val="both"/>
        <w:rPr>
          <w:rFonts w:cs="Arial"/>
          <w:sz w:val="22"/>
        </w:rPr>
      </w:pPr>
      <w:permStart w:id="569465455" w:edGrp="everyone"/>
      <w:r w:rsidRPr="00620951">
        <w:rPr>
          <w:rFonts w:cs="Arial"/>
          <w:sz w:val="22"/>
        </w:rPr>
        <w:t xml:space="preserve">Yes, </w:t>
      </w:r>
      <w:r w:rsidR="00B34225" w:rsidRPr="00620951">
        <w:rPr>
          <w:rFonts w:cs="Arial"/>
          <w:sz w:val="22"/>
        </w:rPr>
        <w:t xml:space="preserve">we believe that </w:t>
      </w:r>
      <w:r w:rsidRPr="00620951">
        <w:rPr>
          <w:rFonts w:cs="Arial"/>
          <w:sz w:val="22"/>
        </w:rPr>
        <w:t xml:space="preserve">these </w:t>
      </w:r>
      <w:r w:rsidR="00B34225" w:rsidRPr="00620951">
        <w:rPr>
          <w:rFonts w:cs="Arial"/>
          <w:sz w:val="22"/>
        </w:rPr>
        <w:t>measures would be useful to investors.</w:t>
      </w:r>
      <w:r w:rsidR="004A66C0" w:rsidRPr="00620951">
        <w:rPr>
          <w:rFonts w:cs="Arial"/>
          <w:sz w:val="22"/>
        </w:rPr>
        <w:t xml:space="preserve"> However, some</w:t>
      </w:r>
      <w:r w:rsidR="002549D3" w:rsidRPr="00620951">
        <w:rPr>
          <w:rFonts w:cs="Arial"/>
          <w:sz w:val="22"/>
        </w:rPr>
        <w:t xml:space="preserve"> </w:t>
      </w:r>
      <w:r w:rsidR="004A66C0" w:rsidRPr="00620951">
        <w:rPr>
          <w:rFonts w:cs="Arial"/>
          <w:sz w:val="22"/>
        </w:rPr>
        <w:t>m</w:t>
      </w:r>
      <w:r w:rsidR="00F251EA" w:rsidRPr="00620951">
        <w:rPr>
          <w:rFonts w:cs="Arial"/>
          <w:sz w:val="22"/>
        </w:rPr>
        <w:t>embers from CFA Society Italy stressed that the first indicator would be more meaningful than the second one as</w:t>
      </w:r>
      <w:r w:rsidR="002A2778">
        <w:rPr>
          <w:rFonts w:cs="Arial"/>
          <w:sz w:val="22"/>
        </w:rPr>
        <w:t xml:space="preserve"> </w:t>
      </w:r>
      <w:r w:rsidR="00F251EA" w:rsidRPr="00620951">
        <w:rPr>
          <w:rFonts w:cs="Arial"/>
          <w:sz w:val="22"/>
        </w:rPr>
        <w:t>investments strateg</w:t>
      </w:r>
      <w:r w:rsidR="002A2778">
        <w:rPr>
          <w:rFonts w:cs="Arial"/>
          <w:sz w:val="22"/>
        </w:rPr>
        <w:t>ies</w:t>
      </w:r>
      <w:r w:rsidR="00F251EA" w:rsidRPr="00620951">
        <w:rPr>
          <w:rFonts w:cs="Arial"/>
          <w:sz w:val="22"/>
        </w:rPr>
        <w:t xml:space="preserve"> could significantly affect the measure of the share of all companies in the investments with that issue.</w:t>
      </w:r>
    </w:p>
    <w:p w14:paraId="74EF7BA7" w14:textId="5D88C91C" w:rsidR="003E573C" w:rsidRPr="00620951" w:rsidRDefault="004A66C0" w:rsidP="0036215C">
      <w:pPr>
        <w:jc w:val="both"/>
        <w:rPr>
          <w:rFonts w:cs="Arial"/>
          <w:sz w:val="22"/>
        </w:rPr>
      </w:pPr>
      <w:r w:rsidRPr="00620951">
        <w:rPr>
          <w:rFonts w:cs="Arial"/>
          <w:sz w:val="22"/>
        </w:rPr>
        <w:t>We hope</w:t>
      </w:r>
      <w:r w:rsidR="002549D3" w:rsidRPr="00620951">
        <w:rPr>
          <w:rFonts w:cs="Arial"/>
          <w:sz w:val="22"/>
        </w:rPr>
        <w:t xml:space="preserve"> </w:t>
      </w:r>
      <w:r w:rsidRPr="00620951">
        <w:rPr>
          <w:rFonts w:cs="Arial"/>
          <w:sz w:val="22"/>
        </w:rPr>
        <w:t>that the</w:t>
      </w:r>
      <w:r w:rsidR="00C07256" w:rsidRPr="00620951">
        <w:rPr>
          <w:rFonts w:cs="Arial"/>
          <w:sz w:val="22"/>
        </w:rPr>
        <w:t xml:space="preserve"> ESAs find</w:t>
      </w:r>
      <w:r w:rsidRPr="00620951">
        <w:rPr>
          <w:rFonts w:cs="Arial"/>
          <w:sz w:val="22"/>
        </w:rPr>
        <w:t xml:space="preserve"> in the future</w:t>
      </w:r>
      <w:r w:rsidR="00C07256" w:rsidRPr="00620951">
        <w:rPr>
          <w:rFonts w:cs="Arial"/>
          <w:sz w:val="22"/>
        </w:rPr>
        <w:t xml:space="preserve"> a </w:t>
      </w:r>
      <w:r w:rsidRPr="00620951">
        <w:rPr>
          <w:rFonts w:cs="Arial"/>
          <w:sz w:val="22"/>
        </w:rPr>
        <w:t>balance</w:t>
      </w:r>
      <w:r w:rsidR="00C07256" w:rsidRPr="00620951">
        <w:rPr>
          <w:rFonts w:cs="Arial"/>
          <w:sz w:val="22"/>
        </w:rPr>
        <w:t xml:space="preserve"> between disclosure that are essential, and those that are desirable but too burdensome for firms to track and less useful to clients. The longer the list of disclosures required, the less likely clients will read them.  </w:t>
      </w:r>
    </w:p>
    <w:p w14:paraId="0E325690" w14:textId="1C2BD09E" w:rsidR="00C07256" w:rsidRPr="00620951" w:rsidRDefault="00F251EA" w:rsidP="0036215C">
      <w:pPr>
        <w:jc w:val="both"/>
        <w:rPr>
          <w:rFonts w:cs="Arial"/>
          <w:sz w:val="22"/>
        </w:rPr>
      </w:pPr>
      <w:r w:rsidRPr="00620951">
        <w:rPr>
          <w:rFonts w:cs="Arial"/>
          <w:sz w:val="22"/>
        </w:rPr>
        <w:t>After the current system of disclosure is in place for several years, the ESAs should</w:t>
      </w:r>
      <w:r w:rsidRPr="00620951">
        <w:rPr>
          <w:sz w:val="22"/>
        </w:rPr>
        <w:t xml:space="preserve"> </w:t>
      </w:r>
      <w:r w:rsidRPr="00620951">
        <w:rPr>
          <w:rFonts w:cs="Arial"/>
          <w:sz w:val="22"/>
        </w:rPr>
        <w:t>determine in coordination with firms affected and their clients, which disclosures should be moved from mandatory to voluntary and vice versa.</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E1FB5C6" w:rsidR="003E573C" w:rsidRPr="004E2E19" w:rsidRDefault="004E2E19" w:rsidP="0036215C">
      <w:pPr>
        <w:jc w:val="both"/>
        <w:rPr>
          <w:rFonts w:cs="Arial"/>
          <w:lang w:val="en-US"/>
        </w:rPr>
      </w:pPr>
      <w:permStart w:id="1713528049" w:edGrp="everyone"/>
      <w:r w:rsidRPr="00620951">
        <w:rPr>
          <w:rFonts w:cs="Arial"/>
          <w:sz w:val="22"/>
          <w:lang w:val="en-US"/>
        </w:rPr>
        <w:t>In general, more advance</w:t>
      </w:r>
      <w:r w:rsidR="004A66C0" w:rsidRPr="00620951">
        <w:rPr>
          <w:rFonts w:cs="Arial"/>
          <w:sz w:val="22"/>
          <w:lang w:val="en-US"/>
        </w:rPr>
        <w:t>d</w:t>
      </w:r>
      <w:r w:rsidRPr="00620951">
        <w:rPr>
          <w:rFonts w:cs="Arial"/>
          <w:sz w:val="22"/>
          <w:lang w:val="en-US"/>
        </w:rPr>
        <w:t xml:space="preserve"> indicators or metrics would be helpful to market participants to capture activities that contribute to the reduction of GHG emissions. However, CFA Institute considers that the current indicators are sufficient at the moment. As underlined in our response to Q7, the ESAs should periodically identify which measures are essential and those that are not.</w:t>
      </w:r>
      <w:r w:rsidR="00E8082F" w:rsidRPr="00620951">
        <w:rPr>
          <w:rFonts w:cs="Arial"/>
          <w:sz w:val="22"/>
          <w:lang w:val="en-US"/>
        </w:rPr>
        <w:t xml:space="preserve"> We believe that this exercise should be</w:t>
      </w:r>
      <w:r w:rsidR="00E8082F" w:rsidRPr="00620951">
        <w:rPr>
          <w:sz w:val="22"/>
        </w:rPr>
        <w:t xml:space="preserve"> </w:t>
      </w:r>
      <w:r w:rsidR="00E8082F" w:rsidRPr="00620951">
        <w:rPr>
          <w:rFonts w:cs="Arial"/>
          <w:sz w:val="22"/>
          <w:lang w:val="en-US"/>
        </w:rPr>
        <w:t>reviewed at least annuall</w:t>
      </w:r>
      <w:r w:rsidR="002A2778">
        <w:rPr>
          <w:rFonts w:cs="Arial"/>
          <w:sz w:val="22"/>
          <w:lang w:val="en-US"/>
        </w:rPr>
        <w:t>y</w:t>
      </w:r>
      <w:r w:rsidR="00E8082F" w:rsidRPr="00620951">
        <w:rPr>
          <w:rFonts w:cs="Arial"/>
          <w:sz w:val="22"/>
          <w:lang w:val="en-US"/>
        </w:rPr>
        <w:t xml:space="preserve"> as some metrics that are not available now, or are not seen as being essential now, will become available or be seen as essential in the future.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61745D1" w:rsidR="003E573C" w:rsidRPr="00620951" w:rsidRDefault="00322502" w:rsidP="0036215C">
      <w:pPr>
        <w:jc w:val="both"/>
        <w:rPr>
          <w:rFonts w:cs="Arial"/>
          <w:sz w:val="22"/>
          <w:lang w:val="en-US"/>
        </w:rPr>
      </w:pPr>
      <w:permStart w:id="221670941" w:edGrp="everyone"/>
      <w:r w:rsidRPr="00620951">
        <w:rPr>
          <w:rFonts w:cs="Arial"/>
          <w:sz w:val="22"/>
        </w:rPr>
        <w:t xml:space="preserve">Yes, we agree. </w:t>
      </w:r>
      <w:r w:rsidRPr="00620951">
        <w:rPr>
          <w:rFonts w:cs="Arial"/>
          <w:sz w:val="22"/>
          <w:lang w:val="en-US"/>
        </w:rPr>
        <w:t>Metrics capturing social and employee matters, respect for human rights, anti-corruption and anti-bribery matters are increasingly gaining importance in the investment management sector. Investors are demanding</w:t>
      </w:r>
      <w:r w:rsidR="004A66C0" w:rsidRPr="00620951">
        <w:rPr>
          <w:rFonts w:cs="Arial"/>
          <w:sz w:val="22"/>
          <w:lang w:val="en-US"/>
        </w:rPr>
        <w:t xml:space="preserve"> more</w:t>
      </w:r>
      <w:r w:rsidRPr="00620951">
        <w:rPr>
          <w:rFonts w:cs="Arial"/>
          <w:sz w:val="22"/>
          <w:lang w:val="en-US"/>
        </w:rPr>
        <w:t xml:space="preserve"> </w:t>
      </w:r>
      <w:r w:rsidR="00C65B9B" w:rsidRPr="00620951">
        <w:rPr>
          <w:rFonts w:cs="Arial"/>
          <w:sz w:val="22"/>
          <w:lang w:val="en-US"/>
        </w:rPr>
        <w:t>of</w:t>
      </w:r>
      <w:r w:rsidRPr="00620951">
        <w:rPr>
          <w:rFonts w:cs="Arial"/>
          <w:sz w:val="22"/>
          <w:lang w:val="en-US"/>
        </w:rPr>
        <w:t xml:space="preserve"> these indicators. The ESAs should work with investors to determine which metrics are most demanded by </w:t>
      </w:r>
      <w:proofErr w:type="gramStart"/>
      <w:r w:rsidRPr="00620951">
        <w:rPr>
          <w:rFonts w:cs="Arial"/>
          <w:sz w:val="22"/>
          <w:lang w:val="en-US"/>
        </w:rPr>
        <w:t>investors, and</w:t>
      </w:r>
      <w:proofErr w:type="gramEnd"/>
      <w:r w:rsidRPr="00620951">
        <w:rPr>
          <w:rFonts w:cs="Arial"/>
          <w:sz w:val="22"/>
          <w:lang w:val="en-US"/>
        </w:rPr>
        <w:t xml:space="preserve"> focus on making such disclosures part of the standard. Members of our European societies agree on the inclusion of the above indicators together with environmental metrics. In particular,</w:t>
      </w:r>
      <w:r w:rsidR="00C65B9B" w:rsidRPr="00620951">
        <w:rPr>
          <w:rFonts w:cs="Arial"/>
          <w:sz w:val="22"/>
          <w:lang w:val="en-US"/>
        </w:rPr>
        <w:t xml:space="preserve"> some</w:t>
      </w:r>
      <w:r w:rsidRPr="00620951">
        <w:rPr>
          <w:rFonts w:cs="Arial"/>
          <w:sz w:val="22"/>
          <w:lang w:val="en-US"/>
        </w:rPr>
        <w:t xml:space="preserve"> members from CFA Society France highlighted that it would be crucial to keep social and environmental </w:t>
      </w:r>
      <w:r w:rsidR="0063581A" w:rsidRPr="00620951">
        <w:rPr>
          <w:rFonts w:cs="Arial"/>
          <w:sz w:val="22"/>
          <w:lang w:val="en-US"/>
        </w:rPr>
        <w:t>indicators together to make sure that no arbitrage take</w:t>
      </w:r>
      <w:r w:rsidR="00C65B9B" w:rsidRPr="00620951">
        <w:rPr>
          <w:rFonts w:cs="Arial"/>
          <w:sz w:val="22"/>
          <w:lang w:val="en-US"/>
        </w:rPr>
        <w:t>s</w:t>
      </w:r>
      <w:r w:rsidR="0063581A" w:rsidRPr="00620951">
        <w:rPr>
          <w:rFonts w:cs="Arial"/>
          <w:sz w:val="22"/>
          <w:lang w:val="en-US"/>
        </w:rPr>
        <w:t xml:space="preserve"> place unwillingly of one against the other.</w:t>
      </w:r>
      <w:r w:rsidR="0063581A" w:rsidRPr="00620951">
        <w:rPr>
          <w:sz w:val="22"/>
        </w:rPr>
        <w:t xml:space="preserve"> </w:t>
      </w:r>
      <w:r w:rsidR="0063581A" w:rsidRPr="00620951">
        <w:rPr>
          <w:rFonts w:cs="Arial"/>
          <w:sz w:val="22"/>
          <w:lang w:val="en-US"/>
        </w:rPr>
        <w:t>Since environment is likely to be a major cause of future social disruption, this can be viewed as a long-term social indicator.</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3"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3"/>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6E0F6C02" w:rsidR="003E573C" w:rsidRPr="00DD6446" w:rsidRDefault="00DD6446" w:rsidP="0036215C">
      <w:pPr>
        <w:jc w:val="both"/>
        <w:rPr>
          <w:i/>
        </w:rPr>
      </w:pPr>
      <w:permStart w:id="610013876" w:edGrp="everyone"/>
      <w:r w:rsidRPr="00620951">
        <w:rPr>
          <w:rFonts w:cs="Arial"/>
          <w:sz w:val="22"/>
          <w:lang w:val="en-US"/>
        </w:rPr>
        <w:t>The introduction of this requirement may be problematic currently, as what is defined as having an adverse impact changes over time. If we wish to look back ten years from the time of this</w:t>
      </w:r>
      <w:r w:rsidR="00C65B9B" w:rsidRPr="00620951">
        <w:rPr>
          <w:rFonts w:cs="Arial"/>
          <w:sz w:val="22"/>
          <w:lang w:val="en-US"/>
        </w:rPr>
        <w:t xml:space="preserve"> </w:t>
      </w:r>
      <w:r w:rsidRPr="00620951">
        <w:rPr>
          <w:rFonts w:cs="Arial"/>
          <w:sz w:val="22"/>
          <w:lang w:val="en-US"/>
        </w:rPr>
        <w:t xml:space="preserve">writing (which would be 2010) then we would be placing today’s views of what is an adverse impact on the past, where there may not have been such a concern or even definition of adverse impact. We believe that in order to make such a historical comparison, there must be a sound and agreed upon definition of what is an adverse impact, which is possible to track this going forward. </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F9280B2" w:rsidR="003E573C" w:rsidRPr="00620951" w:rsidRDefault="003621AB" w:rsidP="0036215C">
      <w:pPr>
        <w:jc w:val="both"/>
        <w:rPr>
          <w:rFonts w:cs="Arial"/>
          <w:sz w:val="22"/>
        </w:rPr>
      </w:pPr>
      <w:permStart w:id="790175202" w:edGrp="everyone"/>
      <w:r w:rsidRPr="00620951">
        <w:rPr>
          <w:rFonts w:cs="Arial"/>
          <w:sz w:val="22"/>
        </w:rPr>
        <w:t xml:space="preserve">The very nature of this disclosure lends itself to window dressing, as firms are being asked to report on an area that may be unflattering to them. They are being asked to report on how much they invest in things that may be detrimental to society. Firms will therefore do their best to make such reporting </w:t>
      </w:r>
      <w:r w:rsidR="00BF3DA6">
        <w:rPr>
          <w:rFonts w:cs="Arial"/>
          <w:sz w:val="22"/>
        </w:rPr>
        <w:t>look</w:t>
      </w:r>
      <w:r w:rsidRPr="00620951">
        <w:rPr>
          <w:rFonts w:cs="Arial"/>
          <w:sz w:val="22"/>
        </w:rPr>
        <w:t xml:space="preserve"> as good as it can. Given that, it would be preferable for the ESAs to harmoni</w:t>
      </w:r>
      <w:r w:rsidR="00C65B9B" w:rsidRPr="00620951">
        <w:rPr>
          <w:rFonts w:cs="Arial"/>
          <w:sz w:val="22"/>
        </w:rPr>
        <w:t>s</w:t>
      </w:r>
      <w:r w:rsidRPr="00620951">
        <w:rPr>
          <w:rFonts w:cs="Arial"/>
          <w:sz w:val="22"/>
        </w:rPr>
        <w:t>e the methodology of such reporting as much as possible. The ESAs have done an admirable job in doing so in this first iteration of the standard. However, such disclosures may have to be revisited and altered in the future if they do not lead to what they are intended (such as greenwashing/window dressing).</w:t>
      </w:r>
    </w:p>
    <w:p w14:paraId="789468D4" w14:textId="0D01343B" w:rsidR="003621AB" w:rsidRPr="00620951" w:rsidRDefault="00C65B9B" w:rsidP="0036215C">
      <w:pPr>
        <w:jc w:val="both"/>
        <w:rPr>
          <w:rFonts w:cs="Arial"/>
          <w:sz w:val="22"/>
        </w:rPr>
      </w:pPr>
      <w:r w:rsidRPr="00620951">
        <w:rPr>
          <w:rFonts w:cs="Arial"/>
          <w:sz w:val="22"/>
        </w:rPr>
        <w:t>Some m</w:t>
      </w:r>
      <w:r w:rsidR="003621AB" w:rsidRPr="00620951">
        <w:rPr>
          <w:rFonts w:cs="Arial"/>
          <w:sz w:val="22"/>
        </w:rPr>
        <w:t>embers from CFA Society Italy would prefer having</w:t>
      </w:r>
      <w:r w:rsidR="003621AB" w:rsidRPr="00620951">
        <w:rPr>
          <w:sz w:val="22"/>
        </w:rPr>
        <w:t xml:space="preserve"> </w:t>
      </w:r>
      <w:r w:rsidR="003621AB" w:rsidRPr="00620951">
        <w:rPr>
          <w:rFonts w:cs="Arial"/>
          <w:sz w:val="22"/>
        </w:rPr>
        <w:t xml:space="preserve">indicators based on median value of holdings in each company throughout the year. </w:t>
      </w:r>
      <w:r w:rsidR="000F55CD" w:rsidRPr="00620951">
        <w:rPr>
          <w:rFonts w:cs="Arial"/>
          <w:sz w:val="22"/>
        </w:rPr>
        <w:t xml:space="preserve">This approach would </w:t>
      </w:r>
      <w:r w:rsidR="00EE4D63" w:rsidRPr="00620951">
        <w:rPr>
          <w:rFonts w:cs="Arial"/>
          <w:sz w:val="22"/>
        </w:rPr>
        <w:t>allow for simple computation as once the median is computed it is a single portfolio calculation.</w:t>
      </w:r>
    </w:p>
    <w:p w14:paraId="0F974B0A" w14:textId="346E2222" w:rsidR="00EE4D63" w:rsidRDefault="00C65B9B" w:rsidP="0036215C">
      <w:pPr>
        <w:jc w:val="both"/>
        <w:rPr>
          <w:rFonts w:cs="Arial"/>
        </w:rPr>
      </w:pPr>
      <w:r w:rsidRPr="00620951">
        <w:rPr>
          <w:rFonts w:cs="Arial"/>
          <w:sz w:val="22"/>
        </w:rPr>
        <w:t>Some m</w:t>
      </w:r>
      <w:r w:rsidR="00EE4D63" w:rsidRPr="00620951">
        <w:rPr>
          <w:rFonts w:cs="Arial"/>
          <w:sz w:val="22"/>
        </w:rPr>
        <w:t>embers from CFA Society France remarked that the best way to limit window dressing is to have all calculations time weighted and annuali</w:t>
      </w:r>
      <w:r w:rsidRPr="00620951">
        <w:rPr>
          <w:rFonts w:cs="Arial"/>
          <w:sz w:val="22"/>
        </w:rPr>
        <w:t>s</w:t>
      </w:r>
      <w:r w:rsidR="00EE4D63" w:rsidRPr="00620951">
        <w:rPr>
          <w:rFonts w:cs="Arial"/>
          <w:sz w:val="22"/>
        </w:rPr>
        <w:t xml:space="preserve">ed. This method would make sure that the investment sold the day before reporting date will still be </w:t>
      </w:r>
      <w:proofErr w:type="gramStart"/>
      <w:r w:rsidR="00EE4D63" w:rsidRPr="00620951">
        <w:rPr>
          <w:rFonts w:cs="Arial"/>
          <w:sz w:val="22"/>
        </w:rPr>
        <w:t>taken into account</w:t>
      </w:r>
      <w:proofErr w:type="gramEnd"/>
      <w:r w:rsidR="00EE4D63" w:rsidRPr="00620951">
        <w:rPr>
          <w:rFonts w:cs="Arial"/>
          <w:sz w:val="22"/>
        </w:rPr>
        <w:t xml:space="preserve"> for the period in which it was held. To facilitate comparability, calculations can be done between two reporting periods and annuali</w:t>
      </w:r>
      <w:r w:rsidRPr="00620951">
        <w:rPr>
          <w:rFonts w:cs="Arial"/>
          <w:sz w:val="22"/>
        </w:rPr>
        <w:t>s</w:t>
      </w:r>
      <w:r w:rsidR="00EE4D63" w:rsidRPr="00620951">
        <w:rPr>
          <w:rFonts w:cs="Arial"/>
          <w:sz w:val="22"/>
        </w:rPr>
        <w:t>ed. Controls for risk measures that managers need to comply with any time can also be set similarly.</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4A2C4EAD" w:rsidR="003E573C" w:rsidRPr="00620951" w:rsidRDefault="00C335A1" w:rsidP="0036215C">
      <w:pPr>
        <w:jc w:val="both"/>
        <w:rPr>
          <w:rFonts w:cs="Arial"/>
          <w:sz w:val="22"/>
        </w:rPr>
      </w:pPr>
      <w:permStart w:id="800330460" w:edGrp="everyone"/>
      <w:r w:rsidRPr="00620951">
        <w:rPr>
          <w:rFonts w:cs="Arial"/>
          <w:sz w:val="22"/>
        </w:rPr>
        <w:t>Yes, we agree with the approach</w:t>
      </w:r>
      <w:r w:rsidR="00C24141" w:rsidRPr="00620951">
        <w:rPr>
          <w:sz w:val="22"/>
        </w:rPr>
        <w:t xml:space="preserve">. </w:t>
      </w:r>
      <w:r w:rsidR="00C24141" w:rsidRPr="00620951">
        <w:rPr>
          <w:rFonts w:cs="Arial"/>
          <w:sz w:val="22"/>
        </w:rPr>
        <w:t>Under this system, both prospective clients and current clients will be informed concerning the data that they wish to have to make investing decisions. We believe that a yearly update for the information in the periodic template would make sense. Firms could, of course, provide more than mandatory disclosures if they wish.</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5318829D" w:rsidR="003E573C" w:rsidRPr="00620951" w:rsidRDefault="00F33DB6" w:rsidP="0036215C">
      <w:pPr>
        <w:jc w:val="both"/>
        <w:rPr>
          <w:rFonts w:cs="Arial"/>
          <w:sz w:val="22"/>
        </w:rPr>
      </w:pPr>
      <w:permStart w:id="1179406826" w:edGrp="everyone"/>
      <w:r w:rsidRPr="00620951">
        <w:rPr>
          <w:rFonts w:cs="Arial"/>
          <w:sz w:val="22"/>
        </w:rPr>
        <w:t>We understand that the ESAs have delayed the drafting of these templates until there is greater certainty regarding what should be disclosed. It would wise that ESAs envisage launching a separate process to develop these templates after the end of this consultation period. We encourage the ESAs to involve investor groups in this effort to best understand the information that they most desire to make informed investment decisions.</w:t>
      </w:r>
    </w:p>
    <w:p w14:paraId="6E57A91C" w14:textId="21B556A9" w:rsidR="00F33DB6" w:rsidRPr="00620951" w:rsidRDefault="00C65B9B" w:rsidP="0036215C">
      <w:pPr>
        <w:jc w:val="both"/>
        <w:rPr>
          <w:rFonts w:cs="Arial"/>
          <w:sz w:val="22"/>
        </w:rPr>
      </w:pPr>
      <w:r w:rsidRPr="00620951">
        <w:rPr>
          <w:rFonts w:cs="Arial"/>
          <w:sz w:val="22"/>
        </w:rPr>
        <w:t>Some m</w:t>
      </w:r>
      <w:r w:rsidR="00F33DB6" w:rsidRPr="00620951">
        <w:rPr>
          <w:rFonts w:cs="Arial"/>
          <w:sz w:val="22"/>
        </w:rPr>
        <w:t>embers from CFA Society Italy stressed that these templates should have</w:t>
      </w:r>
      <w:r w:rsidR="005F55A2" w:rsidRPr="00620951">
        <w:rPr>
          <w:rFonts w:cs="Arial"/>
          <w:sz w:val="22"/>
        </w:rPr>
        <w:t xml:space="preserve"> some</w:t>
      </w:r>
      <w:r w:rsidR="00F33DB6" w:rsidRPr="00620951">
        <w:rPr>
          <w:rFonts w:cs="Arial"/>
          <w:sz w:val="22"/>
        </w:rPr>
        <w:t xml:space="preserve"> reference to the EU taxonomy </w:t>
      </w:r>
      <w:proofErr w:type="gramStart"/>
      <w:r w:rsidR="00F33DB6" w:rsidRPr="00620951">
        <w:rPr>
          <w:rFonts w:cs="Arial"/>
          <w:sz w:val="22"/>
        </w:rPr>
        <w:t>in order to</w:t>
      </w:r>
      <w:proofErr w:type="gramEnd"/>
      <w:r w:rsidR="00F33DB6" w:rsidRPr="00620951">
        <w:rPr>
          <w:rFonts w:cs="Arial"/>
          <w:sz w:val="22"/>
        </w:rPr>
        <w:t xml:space="preserve"> have convergence in the terminology that has been used. </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140CE159" w:rsidR="003E573C" w:rsidRPr="00620951" w:rsidRDefault="00CB1DF2" w:rsidP="003E573C">
      <w:pPr>
        <w:rPr>
          <w:rFonts w:cs="Arial"/>
          <w:sz w:val="22"/>
        </w:rPr>
      </w:pPr>
      <w:permStart w:id="1646396141" w:edGrp="everyone"/>
      <w:r w:rsidRPr="00620951">
        <w:rPr>
          <w:rFonts w:cs="Arial"/>
          <w:sz w:val="22"/>
        </w:rPr>
        <w:t>Please see our response to Q13.</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4256828E" w:rsidR="003E573C" w:rsidRDefault="00621197" w:rsidP="0036215C">
      <w:pPr>
        <w:jc w:val="both"/>
        <w:rPr>
          <w:rFonts w:cs="Arial"/>
        </w:rPr>
      </w:pPr>
      <w:permStart w:id="1271138379" w:edGrp="everyone"/>
      <w:r w:rsidRPr="00620951">
        <w:rPr>
          <w:rFonts w:cs="Arial"/>
          <w:sz w:val="22"/>
        </w:rPr>
        <w:t xml:space="preserve">Yes, we believe that the balance of information is adequate. We encourage the ESAs to consider this process ongoing and to keep open communications with investors </w:t>
      </w:r>
      <w:proofErr w:type="gramStart"/>
      <w:r w:rsidRPr="00620951">
        <w:rPr>
          <w:rFonts w:cs="Arial"/>
          <w:sz w:val="22"/>
        </w:rPr>
        <w:t>in order to</w:t>
      </w:r>
      <w:proofErr w:type="gramEnd"/>
      <w:r w:rsidRPr="00620951">
        <w:rPr>
          <w:rFonts w:cs="Arial"/>
          <w:sz w:val="22"/>
        </w:rPr>
        <w:t xml:space="preserve"> update the balance between these disclosures in case any changes are needed or desired by investors</w:t>
      </w:r>
      <w:r w:rsidRPr="00621197">
        <w:rPr>
          <w:rFonts w:cs="Arial"/>
        </w:rPr>
        <w:t>.</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1EE79CC0" w:rsidR="003E573C" w:rsidRPr="004C7D31" w:rsidRDefault="00621197" w:rsidP="0036215C">
      <w:pPr>
        <w:jc w:val="both"/>
        <w:rPr>
          <w:rFonts w:cs="Arial"/>
          <w:sz w:val="22"/>
        </w:rPr>
      </w:pPr>
      <w:permStart w:id="739535953" w:edGrp="everyone"/>
      <w:r w:rsidRPr="004C7D31">
        <w:rPr>
          <w:rFonts w:cs="Arial"/>
          <w:sz w:val="22"/>
        </w:rPr>
        <w:t>We believe</w:t>
      </w:r>
      <w:r w:rsidR="00BC1989" w:rsidRPr="004C7D31">
        <w:rPr>
          <w:rFonts w:cs="Arial"/>
          <w:sz w:val="22"/>
        </w:rPr>
        <w:t xml:space="preserve"> that</w:t>
      </w:r>
      <w:r w:rsidRPr="004C7D31">
        <w:rPr>
          <w:rFonts w:cs="Arial"/>
          <w:sz w:val="22"/>
        </w:rPr>
        <w:t xml:space="preserve"> the language differentiating between Article 8 and Article 9 products could be explained in a clearer manner. The use of plain language to explain the differences and even a table/chart to explain them could make these differences clearer.</w:t>
      </w:r>
    </w:p>
    <w:p w14:paraId="51A19FFA" w14:textId="57AF8C4B" w:rsidR="00621197" w:rsidRPr="004C7D31" w:rsidRDefault="00621197" w:rsidP="0036215C">
      <w:pPr>
        <w:jc w:val="both"/>
        <w:rPr>
          <w:rFonts w:cs="Arial"/>
          <w:sz w:val="22"/>
        </w:rPr>
      </w:pPr>
      <w:r w:rsidRPr="004C7D31">
        <w:rPr>
          <w:rFonts w:cs="Arial"/>
          <w:sz w:val="22"/>
        </w:rPr>
        <w:t>Article 9 is clear in that it refers to “a financial product that has sustainable investment as its objective.”  However, there are still points that are confusing.  First, Article 9 makes it seem that a financial product can only have one objective, when in practice, a financial product can have many.  Another point of confusion is the definition of a sustainable investment in Article 2 (17).  There are many ways an investment could contribute to an environmental or social objective, and the definition gives some helpful examples of measures. However, we believe that leaving the definition as broad as it currently is would allow financial market participants to argue that virtually any economic activity is a sustainable investment.  Tying this definition to the economic activities in the taxonomy would provide much needed clarity.</w:t>
      </w:r>
    </w:p>
    <w:p w14:paraId="04A60EAA" w14:textId="12BBCA47" w:rsidR="00153531" w:rsidRPr="004C7D31" w:rsidRDefault="00153531" w:rsidP="0036215C">
      <w:pPr>
        <w:jc w:val="both"/>
        <w:rPr>
          <w:rFonts w:cs="Arial"/>
          <w:sz w:val="22"/>
        </w:rPr>
      </w:pPr>
      <w:r w:rsidRPr="004C7D31">
        <w:rPr>
          <w:rFonts w:cs="Arial"/>
          <w:sz w:val="22"/>
        </w:rPr>
        <w:t>Article 8 is not clear because there is no definition of “environmental or social characteristics,” either in Article 8 or in Article 2.  It seems to be a catch-all term, but that is not helpful to financial market participants</w:t>
      </w:r>
      <w:r w:rsidR="00AF666E" w:rsidRPr="004C7D31">
        <w:rPr>
          <w:rFonts w:cs="Arial"/>
          <w:sz w:val="22"/>
        </w:rPr>
        <w:t xml:space="preserve">, </w:t>
      </w:r>
      <w:r w:rsidRPr="004C7D31">
        <w:rPr>
          <w:rFonts w:cs="Arial"/>
          <w:sz w:val="22"/>
        </w:rPr>
        <w:t xml:space="preserve">who </w:t>
      </w:r>
      <w:r w:rsidR="00AF666E" w:rsidRPr="004C7D31">
        <w:rPr>
          <w:rFonts w:cs="Arial"/>
          <w:sz w:val="22"/>
        </w:rPr>
        <w:t>are required to</w:t>
      </w:r>
      <w:r w:rsidRPr="004C7D31">
        <w:rPr>
          <w:rFonts w:cs="Arial"/>
          <w:sz w:val="22"/>
        </w:rPr>
        <w:t xml:space="preserve"> comply with the regulation.  There needs to be more clarity as to what qualifies as environmental or social characteristics.   </w:t>
      </w:r>
    </w:p>
    <w:p w14:paraId="726B9FFF" w14:textId="11989494" w:rsidR="00621197" w:rsidRPr="004C7D31" w:rsidRDefault="00AF666E" w:rsidP="0036215C">
      <w:pPr>
        <w:jc w:val="both"/>
        <w:rPr>
          <w:rFonts w:cs="Arial"/>
          <w:sz w:val="22"/>
        </w:rPr>
      </w:pPr>
      <w:r w:rsidRPr="004C7D31">
        <w:rPr>
          <w:rFonts w:cs="Arial"/>
          <w:sz w:val="22"/>
        </w:rPr>
        <w:t>Some m</w:t>
      </w:r>
      <w:r w:rsidR="00621197" w:rsidRPr="004C7D31">
        <w:rPr>
          <w:rFonts w:cs="Arial"/>
          <w:sz w:val="22"/>
        </w:rPr>
        <w:t xml:space="preserve">embers from CFA Society Italy </w:t>
      </w:r>
      <w:r w:rsidR="00153531" w:rsidRPr="004C7D31">
        <w:rPr>
          <w:rFonts w:cs="Arial"/>
          <w:sz w:val="22"/>
        </w:rPr>
        <w:t>added that the provision of examples with ESG characteristics and sustainable investment objectives could be helpful in avoiding confusion.</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2598B36A" w:rsidR="003E573C" w:rsidRPr="004C7D31" w:rsidRDefault="005F3774" w:rsidP="0036215C">
      <w:pPr>
        <w:jc w:val="both"/>
        <w:rPr>
          <w:rFonts w:cs="Arial"/>
          <w:sz w:val="22"/>
        </w:rPr>
      </w:pPr>
      <w:permStart w:id="225396737" w:edGrp="everyone"/>
      <w:r w:rsidRPr="004C7D31">
        <w:rPr>
          <w:rFonts w:cs="Arial"/>
          <w:sz w:val="22"/>
        </w:rPr>
        <w:t xml:space="preserve">The graphical and narrative descriptions of investment proportions do a good job of capturing indirect investments. However, </w:t>
      </w:r>
      <w:proofErr w:type="gramStart"/>
      <w:r w:rsidRPr="004C7D31">
        <w:rPr>
          <w:rFonts w:cs="Arial"/>
          <w:sz w:val="22"/>
        </w:rPr>
        <w:t>in order for</w:t>
      </w:r>
      <w:proofErr w:type="gramEnd"/>
      <w:r w:rsidRPr="004C7D31">
        <w:rPr>
          <w:rFonts w:cs="Arial"/>
          <w:sz w:val="22"/>
        </w:rPr>
        <w:t xml:space="preserve"> this information to be useful, a firm needs to inform the reader of the policies and procedures that lead them to categori</w:t>
      </w:r>
      <w:r w:rsidR="00AF666E" w:rsidRPr="004C7D31">
        <w:rPr>
          <w:rFonts w:cs="Arial"/>
          <w:sz w:val="22"/>
        </w:rPr>
        <w:t>s</w:t>
      </w:r>
      <w:r w:rsidRPr="004C7D31">
        <w:rPr>
          <w:rFonts w:cs="Arial"/>
          <w:sz w:val="22"/>
        </w:rPr>
        <w:t>ing an investment as sustainable investments and, where relevant, the subdivision of those sustainable investments between environmental or social objectives. Moreover, we believe that in order to do an accurate graphical breakdown</w:t>
      </w:r>
      <w:r w:rsidRPr="004C7D31">
        <w:rPr>
          <w:sz w:val="22"/>
        </w:rPr>
        <w:t xml:space="preserve"> </w:t>
      </w:r>
      <w:r w:rsidRPr="004C7D31">
        <w:rPr>
          <w:rFonts w:cs="Arial"/>
          <w:sz w:val="22"/>
        </w:rPr>
        <w:t>of “sustainable” vs “</w:t>
      </w:r>
      <w:proofErr w:type="gramStart"/>
      <w:r w:rsidRPr="004C7D31">
        <w:rPr>
          <w:rFonts w:cs="Arial"/>
          <w:sz w:val="22"/>
        </w:rPr>
        <w:t>non sustainable</w:t>
      </w:r>
      <w:proofErr w:type="gramEnd"/>
      <w:r w:rsidRPr="004C7D31">
        <w:rPr>
          <w:rFonts w:cs="Arial"/>
          <w:sz w:val="22"/>
        </w:rPr>
        <w:t>” investments, market participants should calculate the weighted average over the reporting period.</w:t>
      </w:r>
      <w:r w:rsidR="00E734CB" w:rsidRPr="004C7D31">
        <w:rPr>
          <w:sz w:val="22"/>
        </w:rPr>
        <w:t xml:space="preserve"> </w:t>
      </w:r>
      <w:r w:rsidR="00E734CB" w:rsidRPr="004C7D31">
        <w:rPr>
          <w:rFonts w:cs="Arial"/>
          <w:sz w:val="22"/>
        </w:rPr>
        <w:t>The breakdown of environmental vs social characteristics does not seem to provide much value as investors demand more granularity.</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1F92B309" w:rsidR="003E573C" w:rsidRPr="004C7D31" w:rsidRDefault="00E734CB" w:rsidP="00041473">
      <w:pPr>
        <w:jc w:val="both"/>
        <w:rPr>
          <w:rFonts w:cs="Arial"/>
          <w:sz w:val="22"/>
        </w:rPr>
      </w:pPr>
      <w:permStart w:id="1687822303" w:edGrp="everyone"/>
      <w:r w:rsidRPr="004C7D31">
        <w:rPr>
          <w:rFonts w:cs="Arial"/>
          <w:sz w:val="22"/>
        </w:rPr>
        <w:t>We think</w:t>
      </w:r>
      <w:r w:rsidR="00AF666E" w:rsidRPr="004C7D31">
        <w:rPr>
          <w:rFonts w:cs="Arial"/>
          <w:sz w:val="22"/>
        </w:rPr>
        <w:t xml:space="preserve"> that</w:t>
      </w:r>
      <w:r w:rsidRPr="004C7D31">
        <w:rPr>
          <w:rFonts w:cs="Arial"/>
          <w:sz w:val="22"/>
        </w:rPr>
        <w:t xml:space="preserve"> such graphical representations can be problematic and cause confusion. We would like to see simplified information that would enhance understanding (but </w:t>
      </w:r>
      <w:r w:rsidR="00317EC0" w:rsidRPr="004C7D31">
        <w:rPr>
          <w:rFonts w:cs="Arial"/>
          <w:sz w:val="22"/>
        </w:rPr>
        <w:t xml:space="preserve">this should </w:t>
      </w:r>
      <w:r w:rsidRPr="004C7D31">
        <w:rPr>
          <w:rFonts w:cs="Arial"/>
          <w:sz w:val="22"/>
        </w:rPr>
        <w:t xml:space="preserve">not </w:t>
      </w:r>
      <w:r w:rsidR="00317EC0" w:rsidRPr="004C7D31">
        <w:rPr>
          <w:rFonts w:cs="Arial"/>
          <w:sz w:val="22"/>
        </w:rPr>
        <w:t xml:space="preserve">be </w:t>
      </w:r>
      <w:r w:rsidRPr="004C7D31">
        <w:rPr>
          <w:rFonts w:cs="Arial"/>
          <w:sz w:val="22"/>
        </w:rPr>
        <w:t xml:space="preserve">too oversimplified as </w:t>
      </w:r>
      <w:r w:rsidR="00317EC0" w:rsidRPr="004C7D31">
        <w:rPr>
          <w:rFonts w:cs="Arial"/>
          <w:sz w:val="22"/>
        </w:rPr>
        <w:t>it</w:t>
      </w:r>
      <w:r w:rsidRPr="004C7D31">
        <w:rPr>
          <w:rFonts w:cs="Arial"/>
          <w:sz w:val="22"/>
        </w:rPr>
        <w:t xml:space="preserve"> may mislead investors). Currently, firms use screening in different ways and for different outcomes, while some do very little to no screening at all, but still have robust ESG integration processes. </w:t>
      </w:r>
      <w:r w:rsidR="005D4287" w:rsidRPr="004C7D31">
        <w:rPr>
          <w:rFonts w:cs="Arial"/>
          <w:sz w:val="22"/>
        </w:rPr>
        <w:t xml:space="preserve">Because firms do not use screens in the same way, a graphic representation would not give a meaningful comparison. Graphical representations should be used when the things being measured are well defined </w:t>
      </w:r>
      <w:proofErr w:type="gramStart"/>
      <w:r w:rsidR="005D4287" w:rsidRPr="004C7D31">
        <w:rPr>
          <w:rFonts w:cs="Arial"/>
          <w:sz w:val="22"/>
        </w:rPr>
        <w:t>and in an item</w:t>
      </w:r>
      <w:proofErr w:type="gramEnd"/>
      <w:r w:rsidR="005D4287" w:rsidRPr="004C7D31">
        <w:rPr>
          <w:rFonts w:cs="Arial"/>
          <w:sz w:val="22"/>
        </w:rPr>
        <w:t xml:space="preserve">-set that is easily comparable. That is not often the case with methods of screening at investment firms. We believe firms should disclose the processes </w:t>
      </w:r>
      <w:r w:rsidR="00317EC0" w:rsidRPr="004C7D31">
        <w:rPr>
          <w:rFonts w:cs="Arial"/>
          <w:sz w:val="22"/>
        </w:rPr>
        <w:t xml:space="preserve">that </w:t>
      </w:r>
      <w:r w:rsidR="005D4287" w:rsidRPr="004C7D31">
        <w:rPr>
          <w:rFonts w:cs="Arial"/>
          <w:sz w:val="22"/>
        </w:rPr>
        <w:t>they have for integrating ESG into the investment process, but the graphic proposed may not be the best way to convey this information.</w:t>
      </w:r>
    </w:p>
    <w:p w14:paraId="7E61176D" w14:textId="78CFE56E" w:rsidR="005D4287" w:rsidRPr="004C7D31" w:rsidRDefault="00317EC0" w:rsidP="00041473">
      <w:pPr>
        <w:jc w:val="both"/>
        <w:rPr>
          <w:rFonts w:cs="Arial"/>
          <w:sz w:val="22"/>
        </w:rPr>
      </w:pPr>
      <w:r w:rsidRPr="004C7D31">
        <w:rPr>
          <w:rFonts w:cs="Arial"/>
          <w:sz w:val="22"/>
        </w:rPr>
        <w:t>Some m</w:t>
      </w:r>
      <w:r w:rsidR="005D4287" w:rsidRPr="004C7D31">
        <w:rPr>
          <w:rFonts w:cs="Arial"/>
          <w:sz w:val="22"/>
        </w:rPr>
        <w:t>ember from CFA Society Italy underlined that it would be reasonable to indicate the percentage of alignment that a product has with the EU taxonomy, rather than illustrating the proportion of ESG characteristics that a product has. Indicating how much a financial product is aligned with the taxonomy would help make a fair comparison between products.</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5C589BA" w14:textId="747E4B33" w:rsidR="00CC3DB5" w:rsidRPr="004C7D31" w:rsidRDefault="00CC3DB5" w:rsidP="00041473">
      <w:pPr>
        <w:jc w:val="both"/>
        <w:rPr>
          <w:rFonts w:cs="Arial"/>
          <w:sz w:val="22"/>
        </w:rPr>
      </w:pPr>
      <w:permStart w:id="669663577" w:edGrp="everyone"/>
      <w:r w:rsidRPr="004C7D31">
        <w:rPr>
          <w:rFonts w:cs="Arial"/>
          <w:sz w:val="22"/>
        </w:rPr>
        <w:t xml:space="preserve">We believe that this information is already disclosed in the data on scope 1,2 and 3 emissions. If so, the ESAs need to determine if additional disclosures about this information </w:t>
      </w:r>
      <w:r w:rsidR="00F27CFA" w:rsidRPr="004C7D31">
        <w:rPr>
          <w:rFonts w:cs="Arial"/>
          <w:sz w:val="22"/>
        </w:rPr>
        <w:t>are</w:t>
      </w:r>
      <w:r w:rsidRPr="004C7D31">
        <w:rPr>
          <w:rFonts w:cs="Arial"/>
          <w:sz w:val="22"/>
        </w:rPr>
        <w:t xml:space="preserve"> useful to investors. It would be informative to disclose both things (scope 1,2 and 3 emissions and exposure to solid fossil-fuel sectors) as having both pieces of information will give clients and prospective clients a fuller picture of a firm’s investment process and policies. </w:t>
      </w:r>
    </w:p>
    <w:p w14:paraId="1C1420B0" w14:textId="46BE4773" w:rsidR="003E573C" w:rsidRPr="004C7D31" w:rsidRDefault="00F27CFA" w:rsidP="00041473">
      <w:pPr>
        <w:jc w:val="both"/>
        <w:rPr>
          <w:rFonts w:cs="Arial"/>
          <w:sz w:val="22"/>
        </w:rPr>
      </w:pPr>
      <w:r w:rsidRPr="004C7D31">
        <w:rPr>
          <w:rFonts w:cs="Arial"/>
          <w:sz w:val="22"/>
        </w:rPr>
        <w:t>Some m</w:t>
      </w:r>
      <w:r w:rsidR="00CC3DB5" w:rsidRPr="004C7D31">
        <w:rPr>
          <w:rFonts w:cs="Arial"/>
          <w:sz w:val="22"/>
        </w:rPr>
        <w:t>embers from CFA Society Italy suggest that controversial weapons and tobacco could be other sectors to be covered</w:t>
      </w:r>
      <w:r w:rsidRPr="004C7D31">
        <w:rPr>
          <w:rFonts w:cs="Arial"/>
          <w:sz w:val="22"/>
        </w:rPr>
        <w:t>, while some of our French m</w:t>
      </w:r>
      <w:r w:rsidR="00CC3DB5" w:rsidRPr="004C7D31">
        <w:rPr>
          <w:rFonts w:cs="Arial"/>
          <w:sz w:val="22"/>
        </w:rPr>
        <w:t xml:space="preserve">embers would prefer to see more consideration of the life cycle and the use of fossil energy. However, as technologies evolve and things can </w:t>
      </w:r>
      <w:proofErr w:type="gramStart"/>
      <w:r w:rsidR="00CC3DB5" w:rsidRPr="004C7D31">
        <w:rPr>
          <w:rFonts w:cs="Arial"/>
          <w:sz w:val="22"/>
        </w:rPr>
        <w:t>change ,the</w:t>
      </w:r>
      <w:proofErr w:type="gramEnd"/>
      <w:r w:rsidR="00CC3DB5" w:rsidRPr="004C7D31">
        <w:rPr>
          <w:rFonts w:cs="Arial"/>
          <w:sz w:val="22"/>
        </w:rPr>
        <w:t xml:space="preserve"> concept of a measure of non-renewable greenhouse gas emissions (in CO2 equivalent), such as. </w:t>
      </w:r>
      <w:proofErr w:type="gramStart"/>
      <w:r w:rsidR="00CC3DB5" w:rsidRPr="004C7D31">
        <w:rPr>
          <w:rFonts w:cs="Arial"/>
          <w:sz w:val="22"/>
        </w:rPr>
        <w:t>fossil fuels,</w:t>
      </w:r>
      <w:proofErr w:type="gramEnd"/>
      <w:r w:rsidR="00CC3DB5" w:rsidRPr="004C7D31">
        <w:rPr>
          <w:rFonts w:cs="Arial"/>
          <w:sz w:val="22"/>
        </w:rPr>
        <w:t xml:space="preserve"> would be more practical for market participants. </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03B1756A" w:rsidR="003E573C" w:rsidRPr="004C7D31" w:rsidRDefault="00CC3DB5" w:rsidP="00041473">
      <w:pPr>
        <w:jc w:val="both"/>
        <w:rPr>
          <w:rFonts w:cs="Arial"/>
          <w:sz w:val="22"/>
        </w:rPr>
      </w:pPr>
      <w:permStart w:id="806708611" w:edGrp="everyone"/>
      <w:r w:rsidRPr="004C7D31">
        <w:rPr>
          <w:rFonts w:cs="Arial"/>
          <w:sz w:val="22"/>
        </w:rPr>
        <w:t xml:space="preserve">Yes, we </w:t>
      </w:r>
      <w:r w:rsidR="00183F22" w:rsidRPr="004C7D31">
        <w:rPr>
          <w:rFonts w:cs="Arial"/>
          <w:sz w:val="22"/>
        </w:rPr>
        <w:t xml:space="preserve">think that the proposed disclosure rules do take </w:t>
      </w:r>
      <w:proofErr w:type="gramStart"/>
      <w:r w:rsidR="00183F22" w:rsidRPr="004C7D31">
        <w:rPr>
          <w:rFonts w:cs="Arial"/>
          <w:sz w:val="22"/>
        </w:rPr>
        <w:t>sufficient</w:t>
      </w:r>
      <w:proofErr w:type="gramEnd"/>
      <w:r w:rsidR="00183F22" w:rsidRPr="004C7D31">
        <w:rPr>
          <w:rFonts w:cs="Arial"/>
          <w:sz w:val="22"/>
        </w:rPr>
        <w:t xml:space="preserve"> account of the difference between products, such as multi-option products or portfolio management products. However, it is unclear if products composed of other products have been </w:t>
      </w:r>
      <w:proofErr w:type="gramStart"/>
      <w:r w:rsidR="00183F22" w:rsidRPr="004C7D31">
        <w:rPr>
          <w:rFonts w:cs="Arial"/>
          <w:sz w:val="22"/>
        </w:rPr>
        <w:t>taken into account</w:t>
      </w:r>
      <w:proofErr w:type="gramEnd"/>
      <w:r w:rsidR="00183F22" w:rsidRPr="004C7D31">
        <w:rPr>
          <w:rFonts w:cs="Arial"/>
          <w:sz w:val="22"/>
        </w:rPr>
        <w:t xml:space="preserve"> – e.g. a fund-of-funds products.  A product that is made of multiple underlying products may have difficulty aggregating the adverse indicators from the underlying products for a reporting period.  If the reporting period is the same for all financial market participants, then the product that invests in underlying products will not have access to the data that it needs to create its report.  If the reporting cycles are not aligned, the product will have a similar problem.</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258A0F" w:rsidR="003E573C" w:rsidRDefault="00BF557A" w:rsidP="00C763CD">
      <w:pPr>
        <w:jc w:val="both"/>
        <w:rPr>
          <w:rFonts w:cs="Arial"/>
        </w:rPr>
      </w:pPr>
      <w:permStart w:id="2245015" w:edGrp="everyone"/>
      <w:r w:rsidRPr="004C7D31">
        <w:rPr>
          <w:rFonts w:cs="Arial"/>
          <w:sz w:val="22"/>
        </w:rPr>
        <w:t xml:space="preserve">Since </w:t>
      </w:r>
      <w:r w:rsidR="005E47D4" w:rsidRPr="004C7D31">
        <w:rPr>
          <w:rFonts w:cs="Arial"/>
          <w:sz w:val="22"/>
        </w:rPr>
        <w:t>i</w:t>
      </w:r>
      <w:r w:rsidR="00C41441" w:rsidRPr="004C7D31">
        <w:rPr>
          <w:rFonts w:cs="Arial"/>
          <w:sz w:val="22"/>
        </w:rPr>
        <w:t>nvestors expect sound corporate governance from every company, the requirements in the RTS for good governance practices for Article 8 products also should capture these elements</w:t>
      </w:r>
      <w:r w:rsidR="00C41441" w:rsidRPr="00C41441">
        <w:rPr>
          <w:rFonts w:cs="Arial"/>
        </w:rPr>
        <w:t>.</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5D119184" w:rsidR="003E573C" w:rsidRDefault="00BF557A" w:rsidP="00C763CD">
      <w:pPr>
        <w:jc w:val="both"/>
        <w:rPr>
          <w:rFonts w:cs="Arial"/>
        </w:rPr>
      </w:pPr>
      <w:permStart w:id="1182486711" w:edGrp="everyone"/>
      <w:r w:rsidRPr="004C7D31">
        <w:rPr>
          <w:rFonts w:cs="Arial"/>
          <w:sz w:val="22"/>
        </w:rPr>
        <w:t>We believe that the preliminary proposals on “do not significantly harm” are sound. We agree with the ESAs, that the Commission should consider studying the feasibility of clarifying the relation between the concepts of “do not significantly harm” and principal adverse impact in the future</w:t>
      </w:r>
      <w:r w:rsidRPr="00BF557A">
        <w:rPr>
          <w:rFonts w:cs="Arial"/>
        </w:rPr>
        <w:t>.</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65BF4585" w14:textId="6CB5CB69" w:rsidR="00BF557A" w:rsidRPr="004C7D31" w:rsidRDefault="00BF557A" w:rsidP="00C763CD">
      <w:pPr>
        <w:jc w:val="both"/>
        <w:rPr>
          <w:rFonts w:cs="Arial"/>
          <w:sz w:val="22"/>
        </w:rPr>
      </w:pPr>
      <w:permStart w:id="1634935588" w:edGrp="everyone"/>
      <w:r w:rsidRPr="004C7D31">
        <w:rPr>
          <w:rFonts w:cs="Arial"/>
          <w:sz w:val="22"/>
        </w:rPr>
        <w:t>No, the Commission should not define these strategies because different firms will define similar strategies differently. What is important is that firms disclose the process and policies behind how they define such strategies. Also, other organi</w:t>
      </w:r>
      <w:r w:rsidR="00F27CFA" w:rsidRPr="004C7D31">
        <w:rPr>
          <w:rFonts w:cs="Arial"/>
          <w:sz w:val="22"/>
        </w:rPr>
        <w:t>s</w:t>
      </w:r>
      <w:r w:rsidRPr="004C7D31">
        <w:rPr>
          <w:rFonts w:cs="Arial"/>
          <w:sz w:val="22"/>
        </w:rPr>
        <w:t xml:space="preserve">ations, including CFA Institute, have already </w:t>
      </w:r>
      <w:r w:rsidR="00BC606B" w:rsidRPr="004C7D31">
        <w:rPr>
          <w:rFonts w:cs="Arial"/>
          <w:sz w:val="22"/>
        </w:rPr>
        <w:t>conducted</w:t>
      </w:r>
      <w:r w:rsidRPr="004C7D31">
        <w:rPr>
          <w:rFonts w:cs="Arial"/>
          <w:sz w:val="22"/>
        </w:rPr>
        <w:t xml:space="preserve"> work on defining such strategies. It therefore makes little sense for the ESAs to try to reinvent the wheel. </w:t>
      </w:r>
    </w:p>
    <w:p w14:paraId="513C29AF" w14:textId="572B8294" w:rsidR="003E573C" w:rsidRDefault="00BF557A" w:rsidP="00C763CD">
      <w:pPr>
        <w:jc w:val="both"/>
        <w:rPr>
          <w:rFonts w:cs="Arial"/>
        </w:rPr>
      </w:pPr>
      <w:r w:rsidRPr="004C7D31">
        <w:rPr>
          <w:rFonts w:cs="Arial"/>
          <w:sz w:val="22"/>
        </w:rPr>
        <w:t xml:space="preserve">Please see our recently published “Consultation Paper on the development of the CFA Institute ESG Disclosure Standards for Investment Products,” which can be found at </w:t>
      </w:r>
      <w:hyperlink r:id="rId24" w:history="1">
        <w:r w:rsidRPr="004C7D31">
          <w:rPr>
            <w:rStyle w:val="Hyperlink"/>
            <w:rFonts w:cs="Arial"/>
            <w:sz w:val="22"/>
          </w:rPr>
          <w:t>https://www.cfainstitute.org/en/ethics-standards/codes/esg-standards</w:t>
        </w:r>
      </w:hyperlink>
      <w:r w:rsidRPr="004C7D31">
        <w:rPr>
          <w:rFonts w:cs="Arial"/>
          <w:sz w:val="22"/>
        </w:rPr>
        <w:t xml:space="preserve"> . CFA Institute would be pleased to discuss this effort with the ESAs.</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23F4AB08" w:rsidR="003E573C" w:rsidRPr="004C7D31" w:rsidRDefault="00BF557A" w:rsidP="00C763CD">
      <w:pPr>
        <w:jc w:val="both"/>
        <w:rPr>
          <w:rFonts w:cs="Arial"/>
          <w:sz w:val="22"/>
          <w:lang w:val="en-US"/>
        </w:rPr>
      </w:pPr>
      <w:permStart w:id="872961277" w:edGrp="everyone"/>
      <w:r w:rsidRPr="004C7D31">
        <w:rPr>
          <w:rFonts w:cs="Arial"/>
          <w:sz w:val="22"/>
          <w:lang w:val="en-US"/>
        </w:rPr>
        <w:t>Yes, the proposed approach on the disclosure of financial products top investments in periodic disclosures seems reasonable.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bookmarkStart w:id="4" w:name="_Hlk49157089"/>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bookmarkEnd w:id="4"/>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378253EF" w14:textId="1DDF87FB" w:rsidR="00E90812" w:rsidRPr="004C7D31" w:rsidRDefault="00E90812" w:rsidP="00C763CD">
      <w:pPr>
        <w:jc w:val="both"/>
        <w:rPr>
          <w:rFonts w:cs="Arial"/>
          <w:sz w:val="22"/>
        </w:rPr>
      </w:pPr>
      <w:permStart w:id="374105505" w:edGrp="everyone"/>
      <w:r w:rsidRPr="004C7D31">
        <w:rPr>
          <w:rFonts w:cs="Arial"/>
          <w:sz w:val="22"/>
        </w:rPr>
        <w:t>a)</w:t>
      </w:r>
      <w:r w:rsidRPr="004C7D31">
        <w:rPr>
          <w:sz w:val="22"/>
        </w:rPr>
        <w:t xml:space="preserve"> </w:t>
      </w:r>
      <w:r w:rsidRPr="004C7D31">
        <w:rPr>
          <w:rFonts w:cs="Arial"/>
          <w:sz w:val="22"/>
        </w:rPr>
        <w:t>Pre-contractual – We believe</w:t>
      </w:r>
      <w:r w:rsidR="002749D7">
        <w:rPr>
          <w:rFonts w:cs="Arial"/>
          <w:sz w:val="22"/>
        </w:rPr>
        <w:t xml:space="preserve"> that</w:t>
      </w:r>
      <w:r w:rsidRPr="004C7D31">
        <w:rPr>
          <w:rFonts w:cs="Arial"/>
          <w:sz w:val="22"/>
        </w:rPr>
        <w:t xml:space="preserve"> this is information that prospective clients will want to know when evaluating and investment product. Including it in</w:t>
      </w:r>
      <w:r w:rsidR="00F27CFA" w:rsidRPr="004C7D31">
        <w:rPr>
          <w:rFonts w:cs="Arial"/>
          <w:sz w:val="22"/>
        </w:rPr>
        <w:t xml:space="preserve"> the</w:t>
      </w:r>
      <w:r w:rsidRPr="004C7D31">
        <w:rPr>
          <w:rFonts w:cs="Arial"/>
          <w:sz w:val="22"/>
        </w:rPr>
        <w:t xml:space="preserve"> disclosures on a website in addition to pre-contractual materials would be a plus.</w:t>
      </w:r>
    </w:p>
    <w:p w14:paraId="1FE0EFED" w14:textId="2D82C060" w:rsidR="0055537C" w:rsidRPr="004C7D31" w:rsidRDefault="00E90812" w:rsidP="00C763CD">
      <w:pPr>
        <w:jc w:val="both"/>
        <w:rPr>
          <w:rFonts w:cs="Arial"/>
          <w:sz w:val="22"/>
        </w:rPr>
      </w:pPr>
      <w:proofErr w:type="gramStart"/>
      <w:r w:rsidRPr="004C7D31">
        <w:rPr>
          <w:rFonts w:cs="Arial"/>
          <w:sz w:val="22"/>
        </w:rPr>
        <w:t>b)</w:t>
      </w:r>
      <w:r w:rsidR="0055537C" w:rsidRPr="004C7D31">
        <w:rPr>
          <w:rFonts w:cs="Arial"/>
          <w:sz w:val="22"/>
        </w:rPr>
        <w:t>Pre</w:t>
      </w:r>
      <w:proofErr w:type="gramEnd"/>
      <w:r w:rsidR="0055537C" w:rsidRPr="004C7D31">
        <w:rPr>
          <w:rFonts w:cs="Arial"/>
          <w:sz w:val="22"/>
        </w:rPr>
        <w:t>-contractual - Similarly to a), prospective clients are looking for this information in the pre-contractual disclosures that firms provide when offering financial products. The inclusion of a short description of the policy to assess good governance practice</w:t>
      </w:r>
      <w:r w:rsidR="00F27CFA" w:rsidRPr="004C7D31">
        <w:rPr>
          <w:rFonts w:cs="Arial"/>
          <w:sz w:val="22"/>
        </w:rPr>
        <w:t xml:space="preserve"> that </w:t>
      </w:r>
      <w:r w:rsidR="0055537C" w:rsidRPr="004C7D31">
        <w:rPr>
          <w:rFonts w:cs="Arial"/>
          <w:sz w:val="22"/>
        </w:rPr>
        <w:t>can also be provided in the website disclosures of the investee company would be helpful as well, but it is essential that such disclosure is included in the pre-contractual documents.</w:t>
      </w:r>
    </w:p>
    <w:p w14:paraId="5EF034CE" w14:textId="77777777" w:rsidR="0055537C" w:rsidRPr="004C7D31" w:rsidRDefault="0055537C" w:rsidP="00C763CD">
      <w:pPr>
        <w:jc w:val="both"/>
        <w:rPr>
          <w:rFonts w:cs="Arial"/>
          <w:sz w:val="22"/>
        </w:rPr>
      </w:pPr>
      <w:r w:rsidRPr="004C7D31">
        <w:rPr>
          <w:rFonts w:cs="Arial"/>
          <w:sz w:val="22"/>
        </w:rPr>
        <w:t>c) Pre-contractual – Similarly to a) and b), such description should be disclosed firstly in the pre-contractual documents.</w:t>
      </w:r>
    </w:p>
    <w:p w14:paraId="791A0604" w14:textId="29A9B200" w:rsidR="003E573C" w:rsidRPr="004C7D31" w:rsidRDefault="0055537C" w:rsidP="00C763CD">
      <w:pPr>
        <w:jc w:val="both"/>
        <w:rPr>
          <w:rFonts w:cs="Arial"/>
          <w:sz w:val="22"/>
        </w:rPr>
      </w:pPr>
      <w:r w:rsidRPr="004C7D31">
        <w:rPr>
          <w:rFonts w:cs="Arial"/>
          <w:sz w:val="22"/>
        </w:rPr>
        <w:t xml:space="preserve">d) Pre-contractual – </w:t>
      </w:r>
      <w:r w:rsidR="005C6D70" w:rsidRPr="004C7D31">
        <w:rPr>
          <w:rFonts w:cs="Arial"/>
          <w:sz w:val="22"/>
        </w:rPr>
        <w:t>For the same reasons as above.</w:t>
      </w:r>
      <w:r w:rsidR="00E90812" w:rsidRPr="004C7D31">
        <w:rPr>
          <w:rFonts w:cs="Arial"/>
          <w:sz w:val="22"/>
        </w:rPr>
        <w:t xml:space="preserve"> </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60FA2ACB" w:rsidR="003E573C" w:rsidRDefault="005C6D70" w:rsidP="00C763CD">
      <w:pPr>
        <w:jc w:val="both"/>
        <w:rPr>
          <w:rFonts w:cs="Arial"/>
        </w:rPr>
      </w:pPr>
      <w:permStart w:id="624894902" w:edGrp="everyone"/>
      <w:r w:rsidRPr="004C7D31">
        <w:rPr>
          <w:rFonts w:cs="Arial"/>
          <w:sz w:val="22"/>
        </w:rPr>
        <w:t>The inclusion of a separate section informing on how the use of derivatives meets the environmental or social characteristics or the sustainable investment objectives promoted by the financial product would be the best way to clearly disclose this information to investors.</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14A03F3" w:rsidR="003E573C" w:rsidRPr="004C7D31" w:rsidRDefault="005C6D70" w:rsidP="00C763CD">
      <w:pPr>
        <w:jc w:val="both"/>
        <w:rPr>
          <w:rFonts w:cs="Arial"/>
          <w:sz w:val="22"/>
        </w:rPr>
      </w:pPr>
      <w:permStart w:id="1007688109" w:edGrp="everyone"/>
      <w:r w:rsidRPr="004C7D31">
        <w:rPr>
          <w:rFonts w:cs="Arial"/>
          <w:sz w:val="22"/>
        </w:rPr>
        <w:t>No, we do not have specific views on the preliminary impact assessments. We suggest that the ESAs conduct a specific consultation on the matter.</w:t>
      </w:r>
      <w:r w:rsidR="003248E1" w:rsidRPr="004C7D31">
        <w:rPr>
          <w:rFonts w:cs="Arial"/>
          <w:sz w:val="22"/>
        </w:rPr>
        <w:t xml:space="preserve"> </w:t>
      </w:r>
    </w:p>
    <w:p w14:paraId="3F866CBA" w14:textId="090C13E4" w:rsidR="003248E1" w:rsidRPr="004C7D31" w:rsidRDefault="00C272FA" w:rsidP="00C763CD">
      <w:pPr>
        <w:jc w:val="both"/>
        <w:rPr>
          <w:rFonts w:cs="Arial"/>
          <w:sz w:val="22"/>
        </w:rPr>
      </w:pPr>
      <w:r w:rsidRPr="004C7D31">
        <w:rPr>
          <w:rFonts w:cs="Arial"/>
          <w:sz w:val="22"/>
        </w:rPr>
        <w:t>Some m</w:t>
      </w:r>
      <w:r w:rsidR="003248E1" w:rsidRPr="004C7D31">
        <w:rPr>
          <w:rFonts w:cs="Arial"/>
          <w:sz w:val="22"/>
        </w:rPr>
        <w:t>embers from CFA Society Italy highlighted</w:t>
      </w:r>
      <w:r w:rsidRPr="004C7D31">
        <w:rPr>
          <w:rFonts w:cs="Arial"/>
          <w:sz w:val="22"/>
        </w:rPr>
        <w:t xml:space="preserve"> that</w:t>
      </w:r>
      <w:r w:rsidR="003248E1" w:rsidRPr="004C7D31">
        <w:rPr>
          <w:rFonts w:cs="Arial"/>
          <w:sz w:val="22"/>
        </w:rPr>
        <w:t xml:space="preserve"> </w:t>
      </w:r>
      <w:proofErr w:type="gramStart"/>
      <w:r w:rsidR="003248E1" w:rsidRPr="004C7D31">
        <w:rPr>
          <w:rFonts w:cs="Arial"/>
          <w:sz w:val="22"/>
        </w:rPr>
        <w:t xml:space="preserve">the </w:t>
      </w:r>
      <w:r w:rsidRPr="004C7D31">
        <w:rPr>
          <w:rFonts w:cs="Arial"/>
          <w:sz w:val="22"/>
        </w:rPr>
        <w:t>majority</w:t>
      </w:r>
      <w:r w:rsidR="003248E1" w:rsidRPr="004C7D31">
        <w:rPr>
          <w:rFonts w:cs="Arial"/>
          <w:sz w:val="22"/>
        </w:rPr>
        <w:t xml:space="preserve"> of</w:t>
      </w:r>
      <w:proofErr w:type="gramEnd"/>
      <w:r w:rsidR="003248E1" w:rsidRPr="004C7D31">
        <w:rPr>
          <w:rFonts w:cs="Arial"/>
          <w:sz w:val="22"/>
        </w:rPr>
        <w:t xml:space="preserve"> the required data are gathered via external data providers as firms do not have </w:t>
      </w:r>
      <w:r w:rsidRPr="004C7D31">
        <w:rPr>
          <w:rFonts w:cs="Arial"/>
          <w:sz w:val="22"/>
        </w:rPr>
        <w:t>much</w:t>
      </w:r>
      <w:r w:rsidR="003248E1" w:rsidRPr="004C7D31">
        <w:rPr>
          <w:rFonts w:cs="Arial"/>
          <w:sz w:val="22"/>
        </w:rPr>
        <w:t xml:space="preserve"> information. Hence, firms are expected to incur significant implementation costs </w:t>
      </w:r>
      <w:proofErr w:type="gramStart"/>
      <w:r w:rsidR="003248E1" w:rsidRPr="004C7D31">
        <w:rPr>
          <w:rFonts w:cs="Arial"/>
          <w:sz w:val="22"/>
        </w:rPr>
        <w:t>for the production of</w:t>
      </w:r>
      <w:proofErr w:type="gramEnd"/>
      <w:r w:rsidR="003248E1" w:rsidRPr="004C7D31">
        <w:rPr>
          <w:rFonts w:cs="Arial"/>
          <w:sz w:val="22"/>
        </w:rPr>
        <w:t xml:space="preserve"> preliminary impact assessments.</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5"/>
      <w:headerReference w:type="first" r:id="rId26"/>
      <w:footerReference w:type="first" r:id="rId2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DBDB" w14:textId="77777777" w:rsidR="001C5276" w:rsidRDefault="001C5276">
      <w:r>
        <w:separator/>
      </w:r>
    </w:p>
    <w:p w14:paraId="764A0FD6" w14:textId="77777777" w:rsidR="001C5276" w:rsidRDefault="001C5276"/>
  </w:endnote>
  <w:endnote w:type="continuationSeparator" w:id="0">
    <w:p w14:paraId="6718C336" w14:textId="77777777" w:rsidR="001C5276" w:rsidRDefault="001C5276">
      <w:r>
        <w:continuationSeparator/>
      </w:r>
    </w:p>
    <w:p w14:paraId="3C05DC2A" w14:textId="77777777" w:rsidR="001C5276" w:rsidRDefault="001C5276"/>
  </w:endnote>
  <w:endnote w:type="continuationNotice" w:id="1">
    <w:p w14:paraId="5DFF1AFB" w14:textId="77777777" w:rsidR="001C5276" w:rsidRDefault="001C5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67C6" w14:textId="77777777" w:rsidR="001C5276" w:rsidRDefault="001C5276">
      <w:r>
        <w:separator/>
      </w:r>
    </w:p>
    <w:p w14:paraId="2F870048" w14:textId="77777777" w:rsidR="001C5276" w:rsidRDefault="001C5276"/>
  </w:footnote>
  <w:footnote w:type="continuationSeparator" w:id="0">
    <w:p w14:paraId="6D73A7EA" w14:textId="77777777" w:rsidR="001C5276" w:rsidRDefault="001C5276">
      <w:r>
        <w:continuationSeparator/>
      </w:r>
    </w:p>
    <w:p w14:paraId="08FDB16D" w14:textId="77777777" w:rsidR="001C5276" w:rsidRDefault="001C5276"/>
  </w:footnote>
  <w:footnote w:type="continuationNotice" w:id="1">
    <w:p w14:paraId="2BB280E4" w14:textId="77777777" w:rsidR="001C5276" w:rsidRDefault="001C5276"/>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83C2294"/>
    <w:lvl w:ilvl="0">
      <w:start w:val="1"/>
      <w:numFmt w:val="decimal"/>
      <w:lvlText w:val="%1."/>
      <w:lvlJc w:val="left"/>
      <w:pPr>
        <w:ind w:left="436" w:hanging="284"/>
      </w:pPr>
      <w:rPr>
        <w:b w:val="0"/>
        <w:bCs w:val="0"/>
        <w:color w:val="auto"/>
        <w:sz w:val="22"/>
        <w:szCs w:val="22"/>
      </w:rPr>
    </w:lvl>
    <w:lvl w:ilvl="1">
      <w:start w:val="1"/>
      <w:numFmt w:val="lowerLetter"/>
      <w:lvlText w:val="%2."/>
      <w:lvlJc w:val="left"/>
      <w:pPr>
        <w:ind w:left="796" w:hanging="360"/>
      </w:pPr>
      <w:rPr>
        <w:rFonts w:ascii="Arial" w:hAnsi="Arial" w:cs="Arial"/>
        <w:b w:val="0"/>
        <w:bCs w:val="0"/>
        <w:spacing w:val="-1"/>
        <w:sz w:val="22"/>
        <w:szCs w:val="22"/>
      </w:rPr>
    </w:lvl>
    <w:lvl w:ilvl="2">
      <w:numFmt w:val="bullet"/>
      <w:lvlText w:val=""/>
      <w:lvlJc w:val="left"/>
      <w:pPr>
        <w:ind w:left="1156" w:hanging="360"/>
      </w:pPr>
      <w:rPr>
        <w:rFonts w:ascii="Symbol" w:hAnsi="Symbol"/>
        <w:b w:val="0"/>
        <w:sz w:val="22"/>
      </w:rPr>
    </w:lvl>
    <w:lvl w:ilvl="3">
      <w:numFmt w:val="bullet"/>
      <w:lvlText w:val="•"/>
      <w:lvlJc w:val="left"/>
      <w:pPr>
        <w:ind w:left="2242" w:hanging="360"/>
      </w:pPr>
    </w:lvl>
    <w:lvl w:ilvl="4">
      <w:numFmt w:val="bullet"/>
      <w:lvlText w:val="•"/>
      <w:lvlJc w:val="left"/>
      <w:pPr>
        <w:ind w:left="3329" w:hanging="360"/>
      </w:pPr>
    </w:lvl>
    <w:lvl w:ilvl="5">
      <w:numFmt w:val="bullet"/>
      <w:lvlText w:val="•"/>
      <w:lvlJc w:val="left"/>
      <w:pPr>
        <w:ind w:left="4416" w:hanging="360"/>
      </w:pPr>
    </w:lvl>
    <w:lvl w:ilvl="6">
      <w:numFmt w:val="bullet"/>
      <w:lvlText w:val="•"/>
      <w:lvlJc w:val="left"/>
      <w:pPr>
        <w:ind w:left="5502" w:hanging="360"/>
      </w:pPr>
    </w:lvl>
    <w:lvl w:ilvl="7">
      <w:numFmt w:val="bullet"/>
      <w:lvlText w:val="•"/>
      <w:lvlJc w:val="left"/>
      <w:pPr>
        <w:ind w:left="6589" w:hanging="360"/>
      </w:pPr>
    </w:lvl>
    <w:lvl w:ilvl="8">
      <w:numFmt w:val="bullet"/>
      <w:lvlText w:val="•"/>
      <w:lvlJc w:val="left"/>
      <w:pPr>
        <w:ind w:left="7675" w:hanging="36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4AAD"/>
    <w:multiLevelType w:val="hybridMultilevel"/>
    <w:tmpl w:val="4C76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B823C0"/>
    <w:multiLevelType w:val="hybridMultilevel"/>
    <w:tmpl w:val="DA06D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6890A73"/>
    <w:multiLevelType w:val="hybridMultilevel"/>
    <w:tmpl w:val="2108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30"/>
  </w:num>
  <w:num w:numId="5">
    <w:abstractNumId w:val="33"/>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9"/>
  </w:num>
  <w:num w:numId="14">
    <w:abstractNumId w:val="27"/>
  </w:num>
  <w:num w:numId="15">
    <w:abstractNumId w:val="10"/>
  </w:num>
  <w:num w:numId="16">
    <w:abstractNumId w:val="2"/>
  </w:num>
  <w:num w:numId="17">
    <w:abstractNumId w:val="17"/>
  </w:num>
  <w:num w:numId="18">
    <w:abstractNumId w:val="18"/>
  </w:num>
  <w:num w:numId="19">
    <w:abstractNumId w:val="20"/>
  </w:num>
  <w:num w:numId="20">
    <w:abstractNumId w:val="34"/>
  </w:num>
  <w:num w:numId="21">
    <w:abstractNumId w:val="46"/>
  </w:num>
  <w:num w:numId="22">
    <w:abstractNumId w:val="32"/>
  </w:num>
  <w:num w:numId="23">
    <w:abstractNumId w:val="9"/>
  </w:num>
  <w:num w:numId="24">
    <w:abstractNumId w:val="38"/>
  </w:num>
  <w:num w:numId="25">
    <w:abstractNumId w:val="37"/>
  </w:num>
  <w:num w:numId="26">
    <w:abstractNumId w:val="23"/>
  </w:num>
  <w:num w:numId="27">
    <w:abstractNumId w:val="42"/>
  </w:num>
  <w:num w:numId="28">
    <w:abstractNumId w:val="48"/>
  </w:num>
  <w:num w:numId="29">
    <w:abstractNumId w:val="6"/>
  </w:num>
  <w:num w:numId="30">
    <w:abstractNumId w:val="3"/>
  </w:num>
  <w:num w:numId="31">
    <w:abstractNumId w:val="26"/>
  </w:num>
  <w:num w:numId="32">
    <w:abstractNumId w:val="24"/>
  </w:num>
  <w:num w:numId="33">
    <w:abstractNumId w:val="45"/>
  </w:num>
  <w:num w:numId="34">
    <w:abstractNumId w:val="44"/>
  </w:num>
  <w:num w:numId="35">
    <w:abstractNumId w:val="1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8"/>
  </w:num>
  <w:num w:numId="39">
    <w:abstractNumId w:val="15"/>
  </w:num>
  <w:num w:numId="40">
    <w:abstractNumId w:val="12"/>
  </w:num>
  <w:num w:numId="41">
    <w:abstractNumId w:val="21"/>
  </w:num>
  <w:num w:numId="42">
    <w:abstractNumId w:val="41"/>
  </w:num>
  <w:num w:numId="43">
    <w:abstractNumId w:val="31"/>
  </w:num>
  <w:num w:numId="44">
    <w:abstractNumId w:val="31"/>
    <w:lvlOverride w:ilvl="0">
      <w:startOverride w:val="1"/>
    </w:lvlOverride>
  </w:num>
  <w:num w:numId="45">
    <w:abstractNumId w:val="29"/>
  </w:num>
  <w:num w:numId="46">
    <w:abstractNumId w:val="8"/>
  </w:num>
  <w:num w:numId="47">
    <w:abstractNumId w:val="35"/>
  </w:num>
  <w:num w:numId="48">
    <w:abstractNumId w:val="0"/>
  </w:num>
  <w:num w:numId="49">
    <w:abstractNumId w:val="25"/>
  </w:num>
  <w:num w:numId="50">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savePreviewPicture/>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473"/>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6D83"/>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59"/>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55CD"/>
    <w:rsid w:val="000F604F"/>
    <w:rsid w:val="000F7399"/>
    <w:rsid w:val="001027F1"/>
    <w:rsid w:val="00104F2E"/>
    <w:rsid w:val="00104FC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3531"/>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3F22"/>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7FD"/>
    <w:rsid w:val="001B4E4B"/>
    <w:rsid w:val="001B50AC"/>
    <w:rsid w:val="001B55FB"/>
    <w:rsid w:val="001B5E05"/>
    <w:rsid w:val="001B6D68"/>
    <w:rsid w:val="001B6F2E"/>
    <w:rsid w:val="001C0344"/>
    <w:rsid w:val="001C0F2A"/>
    <w:rsid w:val="001C16BA"/>
    <w:rsid w:val="001C1A59"/>
    <w:rsid w:val="001C240F"/>
    <w:rsid w:val="001C270F"/>
    <w:rsid w:val="001C4679"/>
    <w:rsid w:val="001C5276"/>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9D3"/>
    <w:rsid w:val="002551A4"/>
    <w:rsid w:val="002559F3"/>
    <w:rsid w:val="00256DFE"/>
    <w:rsid w:val="00261D56"/>
    <w:rsid w:val="00261FD3"/>
    <w:rsid w:val="00264077"/>
    <w:rsid w:val="00266B9A"/>
    <w:rsid w:val="00270E54"/>
    <w:rsid w:val="00271BC9"/>
    <w:rsid w:val="00273681"/>
    <w:rsid w:val="002749D7"/>
    <w:rsid w:val="002754B5"/>
    <w:rsid w:val="00275AE6"/>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2778"/>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0A0"/>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EC0"/>
    <w:rsid w:val="00317FC8"/>
    <w:rsid w:val="00320B9B"/>
    <w:rsid w:val="003223D7"/>
    <w:rsid w:val="00322502"/>
    <w:rsid w:val="00323D9F"/>
    <w:rsid w:val="00324011"/>
    <w:rsid w:val="003248E1"/>
    <w:rsid w:val="00324FDB"/>
    <w:rsid w:val="00325F48"/>
    <w:rsid w:val="003273FE"/>
    <w:rsid w:val="0033194F"/>
    <w:rsid w:val="00332304"/>
    <w:rsid w:val="00332406"/>
    <w:rsid w:val="00332D8D"/>
    <w:rsid w:val="00334C03"/>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215C"/>
    <w:rsid w:val="003621AB"/>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7E0"/>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2D6E"/>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2B88"/>
    <w:rsid w:val="0046332A"/>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A66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C7D31"/>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19"/>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7A"/>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37C"/>
    <w:rsid w:val="00555849"/>
    <w:rsid w:val="005559A8"/>
    <w:rsid w:val="00557048"/>
    <w:rsid w:val="00557FB5"/>
    <w:rsid w:val="00561AED"/>
    <w:rsid w:val="005648A8"/>
    <w:rsid w:val="00564DE3"/>
    <w:rsid w:val="00564E44"/>
    <w:rsid w:val="00566394"/>
    <w:rsid w:val="00566816"/>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F1D"/>
    <w:rsid w:val="005B4079"/>
    <w:rsid w:val="005B428E"/>
    <w:rsid w:val="005B5B3C"/>
    <w:rsid w:val="005B64CB"/>
    <w:rsid w:val="005B65C0"/>
    <w:rsid w:val="005B6AAA"/>
    <w:rsid w:val="005B7554"/>
    <w:rsid w:val="005B7C78"/>
    <w:rsid w:val="005C08FA"/>
    <w:rsid w:val="005C0FB2"/>
    <w:rsid w:val="005C1169"/>
    <w:rsid w:val="005C16E2"/>
    <w:rsid w:val="005C24EF"/>
    <w:rsid w:val="005C2796"/>
    <w:rsid w:val="005C3C6C"/>
    <w:rsid w:val="005C3F4C"/>
    <w:rsid w:val="005C43AA"/>
    <w:rsid w:val="005C48C8"/>
    <w:rsid w:val="005C4E0E"/>
    <w:rsid w:val="005C6485"/>
    <w:rsid w:val="005C663C"/>
    <w:rsid w:val="005C6D70"/>
    <w:rsid w:val="005D0594"/>
    <w:rsid w:val="005D1023"/>
    <w:rsid w:val="005D148F"/>
    <w:rsid w:val="005D2AD2"/>
    <w:rsid w:val="005D4287"/>
    <w:rsid w:val="005D4A86"/>
    <w:rsid w:val="005D5EB1"/>
    <w:rsid w:val="005D6A29"/>
    <w:rsid w:val="005E0481"/>
    <w:rsid w:val="005E10BF"/>
    <w:rsid w:val="005E1834"/>
    <w:rsid w:val="005E47D4"/>
    <w:rsid w:val="005E49E5"/>
    <w:rsid w:val="005E5481"/>
    <w:rsid w:val="005E55E4"/>
    <w:rsid w:val="005E6C5F"/>
    <w:rsid w:val="005E7636"/>
    <w:rsid w:val="005F028E"/>
    <w:rsid w:val="005F04B4"/>
    <w:rsid w:val="005F11A4"/>
    <w:rsid w:val="005F19F8"/>
    <w:rsid w:val="005F3774"/>
    <w:rsid w:val="005F3A40"/>
    <w:rsid w:val="005F3FB1"/>
    <w:rsid w:val="005F4677"/>
    <w:rsid w:val="005F55A2"/>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951"/>
    <w:rsid w:val="00620D7C"/>
    <w:rsid w:val="00621089"/>
    <w:rsid w:val="00621197"/>
    <w:rsid w:val="00621E1F"/>
    <w:rsid w:val="006228B2"/>
    <w:rsid w:val="006228E1"/>
    <w:rsid w:val="00622E32"/>
    <w:rsid w:val="00623688"/>
    <w:rsid w:val="006247E0"/>
    <w:rsid w:val="00625F82"/>
    <w:rsid w:val="006276DA"/>
    <w:rsid w:val="00627999"/>
    <w:rsid w:val="00630CD7"/>
    <w:rsid w:val="00630FF7"/>
    <w:rsid w:val="00633433"/>
    <w:rsid w:val="006341B5"/>
    <w:rsid w:val="006346C9"/>
    <w:rsid w:val="00634727"/>
    <w:rsid w:val="00634B64"/>
    <w:rsid w:val="00634D81"/>
    <w:rsid w:val="0063578C"/>
    <w:rsid w:val="0063581A"/>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2F8"/>
    <w:rsid w:val="00716774"/>
    <w:rsid w:val="007209DD"/>
    <w:rsid w:val="00722E49"/>
    <w:rsid w:val="007239BA"/>
    <w:rsid w:val="00723A08"/>
    <w:rsid w:val="00723B5C"/>
    <w:rsid w:val="00724391"/>
    <w:rsid w:val="00724C18"/>
    <w:rsid w:val="00726630"/>
    <w:rsid w:val="00727F73"/>
    <w:rsid w:val="0073049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796"/>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2E28"/>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344E"/>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52F0"/>
    <w:rsid w:val="008A6A12"/>
    <w:rsid w:val="008A6F6D"/>
    <w:rsid w:val="008B0DC6"/>
    <w:rsid w:val="008B2B9E"/>
    <w:rsid w:val="008B31F5"/>
    <w:rsid w:val="008B4C79"/>
    <w:rsid w:val="008B5D2D"/>
    <w:rsid w:val="008B6361"/>
    <w:rsid w:val="008C0320"/>
    <w:rsid w:val="008C2A81"/>
    <w:rsid w:val="008C3863"/>
    <w:rsid w:val="008C4BDC"/>
    <w:rsid w:val="008C50FF"/>
    <w:rsid w:val="008C5435"/>
    <w:rsid w:val="008C6BD1"/>
    <w:rsid w:val="008C7A03"/>
    <w:rsid w:val="008D2DB5"/>
    <w:rsid w:val="008D3F10"/>
    <w:rsid w:val="008D502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234"/>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2C95"/>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9B0"/>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4049"/>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2FA2"/>
    <w:rsid w:val="00A33CCC"/>
    <w:rsid w:val="00A33ECB"/>
    <w:rsid w:val="00A34DE0"/>
    <w:rsid w:val="00A35728"/>
    <w:rsid w:val="00A36EE3"/>
    <w:rsid w:val="00A37435"/>
    <w:rsid w:val="00A40DA9"/>
    <w:rsid w:val="00A4173D"/>
    <w:rsid w:val="00A41A95"/>
    <w:rsid w:val="00A4248B"/>
    <w:rsid w:val="00A4376E"/>
    <w:rsid w:val="00A4538A"/>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B4F"/>
    <w:rsid w:val="00A74F9F"/>
    <w:rsid w:val="00A750B3"/>
    <w:rsid w:val="00A75559"/>
    <w:rsid w:val="00A7623D"/>
    <w:rsid w:val="00A76B0B"/>
    <w:rsid w:val="00A8224E"/>
    <w:rsid w:val="00A824A7"/>
    <w:rsid w:val="00A83644"/>
    <w:rsid w:val="00A83C07"/>
    <w:rsid w:val="00A83F40"/>
    <w:rsid w:val="00A84945"/>
    <w:rsid w:val="00A85226"/>
    <w:rsid w:val="00A85543"/>
    <w:rsid w:val="00A8728B"/>
    <w:rsid w:val="00A903D3"/>
    <w:rsid w:val="00A91682"/>
    <w:rsid w:val="00A91E16"/>
    <w:rsid w:val="00A92E4A"/>
    <w:rsid w:val="00A93B16"/>
    <w:rsid w:val="00A958CA"/>
    <w:rsid w:val="00A966B6"/>
    <w:rsid w:val="00A96B46"/>
    <w:rsid w:val="00A96C55"/>
    <w:rsid w:val="00AA003B"/>
    <w:rsid w:val="00AA016B"/>
    <w:rsid w:val="00AA15DD"/>
    <w:rsid w:val="00AA1C09"/>
    <w:rsid w:val="00AA25ED"/>
    <w:rsid w:val="00AA2F67"/>
    <w:rsid w:val="00AA3569"/>
    <w:rsid w:val="00AA5F4C"/>
    <w:rsid w:val="00AA615C"/>
    <w:rsid w:val="00AA6711"/>
    <w:rsid w:val="00AB1FB0"/>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E95"/>
    <w:rsid w:val="00AF38AF"/>
    <w:rsid w:val="00AF3C29"/>
    <w:rsid w:val="00AF4401"/>
    <w:rsid w:val="00AF4463"/>
    <w:rsid w:val="00AF53CB"/>
    <w:rsid w:val="00AF65C5"/>
    <w:rsid w:val="00AF666E"/>
    <w:rsid w:val="00B03CE2"/>
    <w:rsid w:val="00B059A9"/>
    <w:rsid w:val="00B063CF"/>
    <w:rsid w:val="00B06544"/>
    <w:rsid w:val="00B105F2"/>
    <w:rsid w:val="00B10991"/>
    <w:rsid w:val="00B11B89"/>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225"/>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292F"/>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1989"/>
    <w:rsid w:val="00BC3C06"/>
    <w:rsid w:val="00BC4E8B"/>
    <w:rsid w:val="00BC5622"/>
    <w:rsid w:val="00BC6060"/>
    <w:rsid w:val="00BC606B"/>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3DA6"/>
    <w:rsid w:val="00BF557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07256"/>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4141"/>
    <w:rsid w:val="00C264C7"/>
    <w:rsid w:val="00C271C4"/>
    <w:rsid w:val="00C272FA"/>
    <w:rsid w:val="00C274F3"/>
    <w:rsid w:val="00C30A54"/>
    <w:rsid w:val="00C316F7"/>
    <w:rsid w:val="00C31DF0"/>
    <w:rsid w:val="00C32578"/>
    <w:rsid w:val="00C335A1"/>
    <w:rsid w:val="00C33916"/>
    <w:rsid w:val="00C33BCF"/>
    <w:rsid w:val="00C34D1D"/>
    <w:rsid w:val="00C353A0"/>
    <w:rsid w:val="00C368D7"/>
    <w:rsid w:val="00C36FD1"/>
    <w:rsid w:val="00C371A5"/>
    <w:rsid w:val="00C400B0"/>
    <w:rsid w:val="00C40F4E"/>
    <w:rsid w:val="00C413FC"/>
    <w:rsid w:val="00C41441"/>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5B9B"/>
    <w:rsid w:val="00C6669E"/>
    <w:rsid w:val="00C672B0"/>
    <w:rsid w:val="00C729C7"/>
    <w:rsid w:val="00C761FA"/>
    <w:rsid w:val="00C763CD"/>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190B"/>
    <w:rsid w:val="00CA2897"/>
    <w:rsid w:val="00CA44F3"/>
    <w:rsid w:val="00CA51BA"/>
    <w:rsid w:val="00CA582C"/>
    <w:rsid w:val="00CA6077"/>
    <w:rsid w:val="00CA715B"/>
    <w:rsid w:val="00CA74B0"/>
    <w:rsid w:val="00CA7988"/>
    <w:rsid w:val="00CA7BA2"/>
    <w:rsid w:val="00CB0B78"/>
    <w:rsid w:val="00CB12A5"/>
    <w:rsid w:val="00CB17FA"/>
    <w:rsid w:val="00CB1DF2"/>
    <w:rsid w:val="00CB23D8"/>
    <w:rsid w:val="00CB2ED9"/>
    <w:rsid w:val="00CB36A5"/>
    <w:rsid w:val="00CB56B4"/>
    <w:rsid w:val="00CB7286"/>
    <w:rsid w:val="00CB7947"/>
    <w:rsid w:val="00CC1783"/>
    <w:rsid w:val="00CC1883"/>
    <w:rsid w:val="00CC38E9"/>
    <w:rsid w:val="00CC3B46"/>
    <w:rsid w:val="00CC3D8B"/>
    <w:rsid w:val="00CC3DB5"/>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264"/>
    <w:rsid w:val="00CE6FC6"/>
    <w:rsid w:val="00CF1134"/>
    <w:rsid w:val="00CF2056"/>
    <w:rsid w:val="00CF4471"/>
    <w:rsid w:val="00CF51C0"/>
    <w:rsid w:val="00CF5B2A"/>
    <w:rsid w:val="00CF5F57"/>
    <w:rsid w:val="00CF64A7"/>
    <w:rsid w:val="00CF6730"/>
    <w:rsid w:val="00CF70E5"/>
    <w:rsid w:val="00CF7CEC"/>
    <w:rsid w:val="00D00B0F"/>
    <w:rsid w:val="00D01BF4"/>
    <w:rsid w:val="00D025F6"/>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0C73"/>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027"/>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6446"/>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004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4CB"/>
    <w:rsid w:val="00E73D44"/>
    <w:rsid w:val="00E7494A"/>
    <w:rsid w:val="00E74BE2"/>
    <w:rsid w:val="00E74C66"/>
    <w:rsid w:val="00E74FA2"/>
    <w:rsid w:val="00E75933"/>
    <w:rsid w:val="00E77A1B"/>
    <w:rsid w:val="00E8082F"/>
    <w:rsid w:val="00E808BE"/>
    <w:rsid w:val="00E81E36"/>
    <w:rsid w:val="00E81E40"/>
    <w:rsid w:val="00E82ECE"/>
    <w:rsid w:val="00E83DCB"/>
    <w:rsid w:val="00E8713B"/>
    <w:rsid w:val="00E90812"/>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4D63"/>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6EA"/>
    <w:rsid w:val="00F14D98"/>
    <w:rsid w:val="00F17E5A"/>
    <w:rsid w:val="00F2081B"/>
    <w:rsid w:val="00F20A43"/>
    <w:rsid w:val="00F20C51"/>
    <w:rsid w:val="00F21049"/>
    <w:rsid w:val="00F218AE"/>
    <w:rsid w:val="00F22232"/>
    <w:rsid w:val="00F2228E"/>
    <w:rsid w:val="00F22D3C"/>
    <w:rsid w:val="00F23D66"/>
    <w:rsid w:val="00F24E6F"/>
    <w:rsid w:val="00F251EA"/>
    <w:rsid w:val="00F26069"/>
    <w:rsid w:val="00F26B7E"/>
    <w:rsid w:val="00F27CFA"/>
    <w:rsid w:val="00F27D7D"/>
    <w:rsid w:val="00F3002B"/>
    <w:rsid w:val="00F30BC9"/>
    <w:rsid w:val="00F31E57"/>
    <w:rsid w:val="00F32462"/>
    <w:rsid w:val="00F32FF7"/>
    <w:rsid w:val="00F33DB6"/>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9B5"/>
    <w:rsid w:val="00F95F15"/>
    <w:rsid w:val="00F975CA"/>
    <w:rsid w:val="00FA0B60"/>
    <w:rsid w:val="00FA2528"/>
    <w:rsid w:val="00FA5535"/>
    <w:rsid w:val="00FA625B"/>
    <w:rsid w:val="00FA6714"/>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UnresolvedMention">
    <w:name w:val="Unresolved Mention"/>
    <w:basedOn w:val="DefaultParagraphFont"/>
    <w:uiPriority w:val="99"/>
    <w:semiHidden/>
    <w:unhideWhenUsed/>
    <w:rsid w:val="00BF5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fainstitute.org/en/ethics-standards/codes/esg-standard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fainstitute.org/en/ethics-standards/codes/esg-standards"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78371BC7-97C2-477C-8207-3FD27433E320}">
  <ds:schemaRefs>
    <ds:schemaRef ds:uri="http://schemas.openxmlformats.org/officeDocument/2006/bibliography"/>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E77D85B1-892E-4A99-882E-145A46A0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4916</Words>
  <Characters>28025</Characters>
  <Application>Microsoft Office Word</Application>
  <DocSecurity>8</DocSecurity>
  <Lines>233</Lines>
  <Paragraphs>65</Paragraphs>
  <ScaleCrop>false</ScaleCrop>
  <HeadingPairs>
    <vt:vector size="12" baseType="variant">
      <vt:variant>
        <vt:lpstr>Title</vt:lpstr>
      </vt:variant>
      <vt:variant>
        <vt:i4>1</vt:i4>
      </vt:variant>
      <vt:variant>
        <vt:lpstr>Headings</vt:lpstr>
      </vt:variant>
      <vt:variant>
        <vt:i4>2</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7" baseType="lpstr">
      <vt:lpstr>Reply form for the TR portability CP under EMIR</vt:lpstr>
      <vt:lpstr>General information about respondent</vt:lpstr>
      <vt:lpstr>Introduction</vt:lpstr>
      <vt:lpstr>20110000</vt:lpstr>
      <vt:lpstr>20110000</vt:lpstr>
      <vt:lpstr>20110000</vt:lpstr>
      <vt:lpstr>20110000</vt:lpstr>
    </vt:vector>
  </TitlesOfParts>
  <Company>ESMA</Company>
  <LinksUpToDate>false</LinksUpToDate>
  <CharactersWithSpaces>32876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Roberto Silvestri</cp:lastModifiedBy>
  <cp:revision>2</cp:revision>
  <cp:lastPrinted>2015-02-18T11:01:00Z</cp:lastPrinted>
  <dcterms:created xsi:type="dcterms:W3CDTF">2020-09-01T16:56:00Z</dcterms:created>
  <dcterms:modified xsi:type="dcterms:W3CDTF">2020-09-01T16:56:00Z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