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Wyrnieniedelikatne"/>
          <w:b w:val="0"/>
          <w:bCs/>
          <w:sz w:val="22"/>
        </w:rPr>
      </w:pPr>
      <w:r w:rsidRPr="00754AC4">
        <w:rPr>
          <w:rStyle w:val="Wyrnieniedelikatne"/>
          <w:b w:val="0"/>
          <w:bCs/>
          <w:sz w:val="22"/>
        </w:rPr>
        <w:t>The European Supervisory Authorities (ESAs) invite comments on all matters in this consultation paper</w:t>
      </w:r>
      <w:r>
        <w:rPr>
          <w:rStyle w:val="Wyrnieniedelikatne"/>
          <w:b w:val="0"/>
          <w:bCs/>
          <w:sz w:val="22"/>
        </w:rPr>
        <w:t xml:space="preserve"> on ESG disclosures under Regulation (EU) 2019/2088</w:t>
      </w:r>
      <w:r w:rsidRPr="00754AC4">
        <w:rPr>
          <w:rStyle w:val="Wyrnieniedelikatne"/>
          <w:b w:val="0"/>
          <w:bCs/>
          <w:sz w:val="22"/>
        </w:rPr>
        <w:t xml:space="preserve"> </w:t>
      </w:r>
      <w:r>
        <w:rPr>
          <w:rStyle w:val="Wyrnieniedelikatne"/>
          <w:b w:val="0"/>
          <w:bCs/>
          <w:sz w:val="22"/>
        </w:rPr>
        <w:t xml:space="preserve">on sustainability-related </w:t>
      </w:r>
      <w:r w:rsidR="00BE7C87">
        <w:rPr>
          <w:rStyle w:val="Wyrnieniedelikatne"/>
          <w:b w:val="0"/>
          <w:bCs/>
          <w:sz w:val="22"/>
        </w:rPr>
        <w:t>disclosures</w:t>
      </w:r>
      <w:r>
        <w:rPr>
          <w:rStyle w:val="Wyrnieniedelikatne"/>
          <w:b w:val="0"/>
          <w:bCs/>
          <w:sz w:val="22"/>
        </w:rPr>
        <w:t xml:space="preserve"> in the financial sector (hereinafter “SFDR”) </w:t>
      </w:r>
      <w:r w:rsidRPr="00754AC4">
        <w:rPr>
          <w:rStyle w:val="Wyrnieniedelikatn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Wyrnieniedelikatne"/>
          <w:b w:val="0"/>
          <w:bCs/>
          <w:sz w:val="22"/>
        </w:rPr>
      </w:pPr>
      <w:r w:rsidRPr="00754AC4">
        <w:rPr>
          <w:rStyle w:val="Wyrnieniedelikatne"/>
          <w:b w:val="0"/>
          <w:bCs/>
          <w:sz w:val="22"/>
        </w:rPr>
        <w:t>Comments are most helpful if they:</w:t>
      </w:r>
    </w:p>
    <w:p w14:paraId="443F1C2C" w14:textId="77777777" w:rsidR="00754AC4" w:rsidRPr="00754AC4" w:rsidRDefault="00754AC4" w:rsidP="00754AC4">
      <w:pPr>
        <w:pStyle w:val="Akapitzlist"/>
        <w:numPr>
          <w:ilvl w:val="0"/>
          <w:numId w:val="42"/>
        </w:numPr>
        <w:spacing w:after="240"/>
        <w:jc w:val="both"/>
        <w:rPr>
          <w:rStyle w:val="Wyrnieniedelikatne"/>
          <w:b w:val="0"/>
          <w:bCs/>
          <w:sz w:val="22"/>
        </w:rPr>
      </w:pPr>
      <w:r w:rsidRPr="00754AC4">
        <w:rPr>
          <w:rStyle w:val="Wyrnieniedelikatne"/>
          <w:b w:val="0"/>
          <w:bCs/>
          <w:sz w:val="22"/>
        </w:rPr>
        <w:t>contain a clear rationale; and</w:t>
      </w:r>
    </w:p>
    <w:p w14:paraId="44288AF1" w14:textId="77777777" w:rsidR="00754AC4" w:rsidRPr="00754AC4" w:rsidRDefault="00754AC4" w:rsidP="00754AC4">
      <w:pPr>
        <w:pStyle w:val="Akapitzlist"/>
        <w:numPr>
          <w:ilvl w:val="0"/>
          <w:numId w:val="42"/>
        </w:numPr>
        <w:spacing w:after="240"/>
        <w:jc w:val="both"/>
        <w:rPr>
          <w:rStyle w:val="Wyrnieniedelikatne"/>
          <w:b w:val="0"/>
          <w:bCs/>
          <w:sz w:val="22"/>
        </w:rPr>
      </w:pPr>
      <w:r w:rsidRPr="00754AC4">
        <w:rPr>
          <w:rStyle w:val="Wyrnieniedelikatne"/>
          <w:b w:val="0"/>
          <w:bCs/>
          <w:sz w:val="22"/>
        </w:rPr>
        <w:t>describe any alternatives the ESAs should consider.</w:t>
      </w:r>
    </w:p>
    <w:p w14:paraId="122FDDB2" w14:textId="5647B0AF" w:rsidR="00C86E1C" w:rsidRDefault="00C86E1C" w:rsidP="00754AC4">
      <w:pPr>
        <w:spacing w:after="240"/>
        <w:jc w:val="both"/>
        <w:rPr>
          <w:rStyle w:val="Wyrnieniedelikatne"/>
          <w:b w:val="0"/>
          <w:bCs/>
          <w:sz w:val="22"/>
        </w:rPr>
      </w:pPr>
      <w:r>
        <w:rPr>
          <w:rStyle w:val="Wyrnieniedelikatn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Wyrnieniedelikatne"/>
          <w:b w:val="0"/>
          <w:sz w:val="22"/>
        </w:rPr>
      </w:pPr>
    </w:p>
    <w:p w14:paraId="6A3CB03F" w14:textId="77777777" w:rsidR="009A3017" w:rsidRPr="00E40A5C" w:rsidRDefault="009A3017" w:rsidP="009A3017">
      <w:pPr>
        <w:spacing w:after="120"/>
        <w:jc w:val="both"/>
        <w:rPr>
          <w:rStyle w:val="Wyrnieniedelikatne"/>
          <w:sz w:val="22"/>
        </w:rPr>
      </w:pPr>
      <w:r w:rsidRPr="00E40A5C">
        <w:rPr>
          <w:rStyle w:val="Wyrnieniedelikatne"/>
          <w:sz w:val="22"/>
        </w:rPr>
        <w:t>Instructions</w:t>
      </w:r>
    </w:p>
    <w:p w14:paraId="6A3CB040" w14:textId="77777777" w:rsidR="009A3017" w:rsidRPr="00E40A5C" w:rsidRDefault="009A3017" w:rsidP="009A3017">
      <w:pPr>
        <w:spacing w:after="240"/>
        <w:jc w:val="both"/>
        <w:rPr>
          <w:rStyle w:val="Wyrnieniedelikatne"/>
          <w:b w:val="0"/>
          <w:sz w:val="22"/>
        </w:rPr>
      </w:pPr>
      <w:r w:rsidRPr="00E40A5C">
        <w:rPr>
          <w:rStyle w:val="Wyrnieniedelikatn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 xml:space="preserve">Insert your responses to the questions in the Consultation Paper in </w:t>
      </w:r>
      <w:r w:rsidR="00963D60">
        <w:rPr>
          <w:rStyle w:val="Wyrnieniedelikatne"/>
          <w:b w:val="0"/>
          <w:sz w:val="22"/>
        </w:rPr>
        <w:t>the present</w:t>
      </w:r>
      <w:r w:rsidR="00963D60" w:rsidRPr="00E40A5C">
        <w:rPr>
          <w:rStyle w:val="Wyrnieniedelikatne"/>
          <w:b w:val="0"/>
          <w:sz w:val="22"/>
        </w:rPr>
        <w:t xml:space="preserve"> </w:t>
      </w:r>
      <w:r w:rsidR="00315895">
        <w:rPr>
          <w:rStyle w:val="Wyrnieniedelikatne"/>
          <w:b w:val="0"/>
          <w:sz w:val="22"/>
        </w:rPr>
        <w:t xml:space="preserve">response </w:t>
      </w:r>
      <w:r w:rsidRPr="00E40A5C">
        <w:rPr>
          <w:rStyle w:val="Wyrnieniedelikatne"/>
          <w:b w:val="0"/>
          <w:sz w:val="22"/>
        </w:rPr>
        <w:t>form</w:t>
      </w:r>
      <w:r w:rsidR="00963D60">
        <w:rPr>
          <w:rStyle w:val="Wyrnieniedelikatne"/>
          <w:b w:val="0"/>
          <w:sz w:val="22"/>
        </w:rPr>
        <w:t>.</w:t>
      </w:r>
      <w:r w:rsidRPr="00E40A5C">
        <w:rPr>
          <w:rStyle w:val="Wyrnieniedelikatne"/>
          <w:b w:val="0"/>
          <w:sz w:val="22"/>
        </w:rPr>
        <w:t xml:space="preserve"> </w:t>
      </w:r>
    </w:p>
    <w:p w14:paraId="6A3CB042" w14:textId="7681A708"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Please do not remove tags of the type &lt;ESA_QUESTION_</w:t>
      </w:r>
      <w:r w:rsidR="00C86E1C">
        <w:rPr>
          <w:rStyle w:val="Wyrnieniedelikatne"/>
          <w:b w:val="0"/>
          <w:sz w:val="22"/>
        </w:rPr>
        <w:t>ESG</w:t>
      </w:r>
      <w:r w:rsidRPr="00E40A5C">
        <w:rPr>
          <w:rStyle w:val="Wyrnieniedelikatne"/>
          <w:b w:val="0"/>
          <w:sz w:val="22"/>
        </w:rPr>
        <w:t>_1&gt;. Your response to each question has to be framed by the two tags corresponding to the question.</w:t>
      </w:r>
    </w:p>
    <w:p w14:paraId="6A3CB043" w14:textId="77777777"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Akapitzlist"/>
        <w:numPr>
          <w:ilvl w:val="0"/>
          <w:numId w:val="37"/>
        </w:numPr>
        <w:spacing w:after="240" w:line="276" w:lineRule="auto"/>
        <w:ind w:left="567" w:hanging="567"/>
        <w:contextualSpacing w:val="0"/>
        <w:jc w:val="both"/>
        <w:rPr>
          <w:rStyle w:val="Wyrnieniedelikatne"/>
          <w:b w:val="0"/>
          <w:sz w:val="22"/>
        </w:rPr>
      </w:pPr>
      <w:r w:rsidRPr="00E40A5C">
        <w:rPr>
          <w:rStyle w:val="Wyrnieniedelikatne"/>
          <w:b w:val="0"/>
          <w:sz w:val="22"/>
        </w:rPr>
        <w:t>When you have drafted your response, name your response form according to the following convention: ESA_</w:t>
      </w:r>
      <w:r w:rsidR="00C86E1C">
        <w:rPr>
          <w:rStyle w:val="Wyrnieniedelikatne"/>
          <w:b w:val="0"/>
          <w:sz w:val="22"/>
        </w:rPr>
        <w:t>ESG</w:t>
      </w:r>
      <w:r w:rsidRPr="00E40A5C">
        <w:rPr>
          <w:rStyle w:val="Wyrnieniedelikatne"/>
          <w:b w:val="0"/>
          <w:sz w:val="22"/>
        </w:rPr>
        <w:t>_nameofrespondent_RESPONSEFORM. For example, for a respondent named ABCD, the response form would be entitled ESA_</w:t>
      </w:r>
      <w:r w:rsidR="00C86E1C">
        <w:rPr>
          <w:rStyle w:val="Wyrnieniedelikatne"/>
          <w:b w:val="0"/>
          <w:sz w:val="22"/>
        </w:rPr>
        <w:t>ESG</w:t>
      </w:r>
      <w:r w:rsidRPr="00E40A5C">
        <w:rPr>
          <w:rStyle w:val="Wyrnieniedelikatne"/>
          <w:b w:val="0"/>
          <w:sz w:val="22"/>
        </w:rPr>
        <w:t>_ABCD_RESPONSEFORM.</w:t>
      </w:r>
    </w:p>
    <w:p w14:paraId="180C2205" w14:textId="19B88CA2" w:rsidR="00197794" w:rsidRPr="00197794" w:rsidRDefault="00197794" w:rsidP="00197794">
      <w:pPr>
        <w:pStyle w:val="Akapitzlist"/>
        <w:numPr>
          <w:ilvl w:val="0"/>
          <w:numId w:val="37"/>
        </w:numPr>
        <w:spacing w:after="240" w:line="276" w:lineRule="auto"/>
        <w:ind w:left="567" w:hanging="567"/>
        <w:contextualSpacing w:val="0"/>
        <w:jc w:val="both"/>
        <w:rPr>
          <w:rStyle w:val="Wyrnieniedelikatne"/>
          <w:b w:val="0"/>
          <w:sz w:val="22"/>
        </w:rPr>
      </w:pPr>
      <w:r w:rsidRPr="00197794">
        <w:rPr>
          <w:rStyle w:val="Wyrnieniedelikatne"/>
          <w:b w:val="0"/>
          <w:sz w:val="22"/>
        </w:rPr>
        <w:t>The consultation paper is available on the websites of the three ESAs</w:t>
      </w:r>
      <w:r w:rsidR="00764042">
        <w:rPr>
          <w:rStyle w:val="Wyrnieniedelikatne"/>
          <w:b w:val="0"/>
          <w:sz w:val="22"/>
        </w:rPr>
        <w:t xml:space="preserve"> and the Joint Committee</w:t>
      </w:r>
      <w:r w:rsidRPr="00197794">
        <w:rPr>
          <w:rStyle w:val="Wyrnieniedelikatne"/>
          <w:b w:val="0"/>
          <w:sz w:val="22"/>
        </w:rPr>
        <w:t xml:space="preserve">. Comments on this consultation paper can be sent using the response form, via the </w:t>
      </w:r>
      <w:hyperlink r:id="rId16" w:history="1">
        <w:r w:rsidRPr="00197794">
          <w:rPr>
            <w:rStyle w:val="Hipercze"/>
            <w:rFonts w:cs="Arial"/>
            <w:sz w:val="22"/>
          </w:rPr>
          <w:t>ESMA website</w:t>
        </w:r>
      </w:hyperlink>
      <w:r w:rsidRPr="00197794">
        <w:rPr>
          <w:rStyle w:val="Wyrnieniedelikatne"/>
          <w:b w:val="0"/>
          <w:sz w:val="24"/>
        </w:rPr>
        <w:t xml:space="preserve"> </w:t>
      </w:r>
      <w:r w:rsidRPr="00197794">
        <w:rPr>
          <w:rStyle w:val="Wyrnieniedelikatne"/>
          <w:b w:val="0"/>
          <w:sz w:val="22"/>
        </w:rPr>
        <w:t xml:space="preserve">under the heading ‘Your input - Consultations’ </w:t>
      </w:r>
      <w:r w:rsidRPr="001C240F">
        <w:rPr>
          <w:rStyle w:val="Wyrnieniedelikatne"/>
          <w:b w:val="0"/>
          <w:sz w:val="22"/>
        </w:rPr>
        <w:t xml:space="preserve">by </w:t>
      </w:r>
      <w:r w:rsidR="00D5594A" w:rsidRPr="001C240F">
        <w:rPr>
          <w:rStyle w:val="Wyrnieniedelikatne"/>
          <w:sz w:val="22"/>
        </w:rPr>
        <w:t>1 September</w:t>
      </w:r>
      <w:r w:rsidRPr="001C240F">
        <w:rPr>
          <w:rStyle w:val="Wyrnieniedelikatne"/>
          <w:sz w:val="22"/>
        </w:rPr>
        <w:t xml:space="preserve"> 2020</w:t>
      </w:r>
      <w:r w:rsidRPr="00197794">
        <w:rPr>
          <w:rStyle w:val="Wyrnieniedelikatne"/>
          <w:b w:val="0"/>
          <w:sz w:val="22"/>
        </w:rPr>
        <w:t>.</w:t>
      </w:r>
    </w:p>
    <w:p w14:paraId="2481E1E6" w14:textId="67CDDA3F" w:rsidR="00197794" w:rsidRDefault="00197794" w:rsidP="00197794">
      <w:pPr>
        <w:pStyle w:val="Akapitzlist"/>
        <w:numPr>
          <w:ilvl w:val="0"/>
          <w:numId w:val="37"/>
        </w:numPr>
        <w:spacing w:after="240" w:line="276" w:lineRule="auto"/>
        <w:ind w:left="567" w:hanging="567"/>
        <w:contextualSpacing w:val="0"/>
        <w:jc w:val="both"/>
        <w:rPr>
          <w:rStyle w:val="Wyrnieniedelikatne"/>
          <w:b w:val="0"/>
          <w:sz w:val="22"/>
        </w:rPr>
      </w:pPr>
      <w:r w:rsidRPr="00197794">
        <w:rPr>
          <w:rStyle w:val="Wyrnieniedelikatn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Wyrnieniedelikatne"/>
          <w:b w:val="0"/>
          <w:sz w:val="22"/>
        </w:rPr>
      </w:pPr>
    </w:p>
    <w:p w14:paraId="5E94D042" w14:textId="77777777" w:rsidR="00D5594A" w:rsidRPr="00197794" w:rsidRDefault="00D5594A" w:rsidP="00197794">
      <w:pPr>
        <w:spacing w:after="240" w:line="276" w:lineRule="auto"/>
        <w:jc w:val="both"/>
        <w:rPr>
          <w:rStyle w:val="Wyrnieniedelikatne"/>
          <w:b w:val="0"/>
          <w:sz w:val="22"/>
        </w:rPr>
      </w:pPr>
    </w:p>
    <w:p w14:paraId="6A3CB046" w14:textId="77777777" w:rsidR="00210E59" w:rsidRPr="00210E59" w:rsidRDefault="00210E59" w:rsidP="00210E59">
      <w:pPr>
        <w:spacing w:after="120"/>
        <w:jc w:val="both"/>
        <w:rPr>
          <w:rStyle w:val="Wyrnieniedelikatne"/>
          <w:sz w:val="22"/>
        </w:rPr>
      </w:pPr>
      <w:r w:rsidRPr="00210E59">
        <w:rPr>
          <w:rStyle w:val="Wyrnieniedelikatn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Wyrnieniedelikatne"/>
          <w:sz w:val="22"/>
          <w:lang w:eastAsia="en-GB"/>
        </w:rPr>
      </w:pPr>
    </w:p>
    <w:p w14:paraId="3561D6A6" w14:textId="77777777" w:rsidR="00197794" w:rsidRDefault="00197794" w:rsidP="004E6AE4">
      <w:pPr>
        <w:rPr>
          <w:rStyle w:val="Wyrnieniedelikatne"/>
          <w:sz w:val="22"/>
          <w:lang w:eastAsia="en-GB"/>
        </w:rPr>
      </w:pPr>
    </w:p>
    <w:p w14:paraId="6A3CB048" w14:textId="1D432EA9" w:rsidR="009A3017" w:rsidRPr="00E40A5C" w:rsidRDefault="009A3017" w:rsidP="004E6AE4">
      <w:pPr>
        <w:rPr>
          <w:rStyle w:val="Wyrnieniedelikatne"/>
          <w:sz w:val="22"/>
          <w:lang w:eastAsia="en-GB"/>
        </w:rPr>
      </w:pPr>
      <w:r w:rsidRPr="00E40A5C">
        <w:rPr>
          <w:rStyle w:val="Wyrnieniedelikatn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Odwoanieprzypisudolnego"/>
          <w:rFonts w:cs="Arial"/>
          <w:sz w:val="22"/>
        </w:rPr>
        <w:footnoteReference w:id="2"/>
      </w:r>
      <w:r w:rsidRPr="00197794">
        <w:rPr>
          <w:rFonts w:cs="Arial"/>
          <w:sz w:val="22"/>
        </w:rPr>
        <w:t xml:space="preserve">. Further information on data protection can be found under the </w:t>
      </w:r>
      <w:hyperlink r:id="rId17" w:history="1">
        <w:r w:rsidRPr="00197794">
          <w:rPr>
            <w:rStyle w:val="Hipercze"/>
            <w:rFonts w:cs="Arial"/>
            <w:sz w:val="22"/>
          </w:rPr>
          <w:t>Legal notice</w:t>
        </w:r>
      </w:hyperlink>
      <w:r w:rsidRPr="00197794">
        <w:rPr>
          <w:rFonts w:cs="Arial"/>
          <w:sz w:val="22"/>
        </w:rPr>
        <w:t xml:space="preserve"> section of the EBA website and under the </w:t>
      </w:r>
      <w:hyperlink r:id="rId18" w:history="1">
        <w:r w:rsidRPr="00197794">
          <w:rPr>
            <w:rStyle w:val="Hipercze"/>
            <w:rFonts w:cs="Arial"/>
            <w:sz w:val="22"/>
          </w:rPr>
          <w:t>Legal notice</w:t>
        </w:r>
      </w:hyperlink>
      <w:r w:rsidRPr="00197794">
        <w:rPr>
          <w:rFonts w:cs="Arial"/>
          <w:sz w:val="22"/>
        </w:rPr>
        <w:t xml:space="preserve"> section of the EIOPA website and under the </w:t>
      </w:r>
      <w:hyperlink r:id="rId19" w:history="1">
        <w:r w:rsidRPr="00197794">
          <w:rPr>
            <w:rStyle w:val="Hipercz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Wyrnieniedelikatn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Nagwek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9915F0">
        <w:tc>
          <w:tcPr>
            <w:tcW w:w="3929" w:type="dxa"/>
            <w:shd w:val="clear" w:color="auto" w:fill="auto"/>
          </w:tcPr>
          <w:p w14:paraId="6A3CB050" w14:textId="77777777" w:rsidR="00B327E9" w:rsidRPr="00E40A5C" w:rsidRDefault="00B327E9" w:rsidP="009915F0">
            <w:pPr>
              <w:rPr>
                <w:rFonts w:cs="Arial"/>
                <w:sz w:val="22"/>
              </w:rPr>
            </w:pPr>
            <w:permStart w:id="233722365" w:edGrp="everyone" w:colFirst="1" w:colLast="1"/>
            <w:r w:rsidRPr="00E40A5C">
              <w:rPr>
                <w:rFonts w:cs="Arial"/>
                <w:sz w:val="22"/>
              </w:rPr>
              <w:t>Name of the company / organisation</w:t>
            </w:r>
          </w:p>
        </w:tc>
        <w:sdt>
          <w:sdtPr>
            <w:rPr>
              <w:rStyle w:val="Tekstzastpczy"/>
              <w:rFonts w:cs="Arial"/>
            </w:rPr>
            <w:id w:val="-1905066999"/>
            <w:text/>
          </w:sdtPr>
          <w:sdtEndPr>
            <w:rPr>
              <w:rStyle w:val="Tekstzastpczy"/>
            </w:rPr>
          </w:sdtEndPr>
          <w:sdtContent>
            <w:tc>
              <w:tcPr>
                <w:tcW w:w="5595" w:type="dxa"/>
                <w:shd w:val="clear" w:color="auto" w:fill="auto"/>
              </w:tcPr>
              <w:p w14:paraId="6A3CB051" w14:textId="658EB367" w:rsidR="00B327E9" w:rsidRPr="00AB6D88" w:rsidRDefault="00057970" w:rsidP="009915F0">
                <w:pPr>
                  <w:rPr>
                    <w:rStyle w:val="Tekstzastpczy"/>
                    <w:rFonts w:cs="Arial"/>
                  </w:rPr>
                </w:pPr>
                <w:r>
                  <w:rPr>
                    <w:rStyle w:val="Tekstzastpczy"/>
                    <w:rFonts w:cs="Arial"/>
                  </w:rPr>
                  <w:t>Business &amp; Science Poland (BSP)</w:t>
                </w:r>
              </w:p>
            </w:tc>
          </w:sdtContent>
        </w:sdt>
      </w:tr>
      <w:tr w:rsidR="00B327E9" w:rsidRPr="00AB6D88" w14:paraId="6A3CB055" w14:textId="77777777" w:rsidTr="009915F0">
        <w:tc>
          <w:tcPr>
            <w:tcW w:w="3929" w:type="dxa"/>
            <w:shd w:val="clear" w:color="auto" w:fill="auto"/>
          </w:tcPr>
          <w:p w14:paraId="6A3CB053" w14:textId="77777777" w:rsidR="00B327E9" w:rsidRPr="00E40A5C" w:rsidRDefault="00B327E9" w:rsidP="009915F0">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5A30047" w:rsidR="00B327E9" w:rsidRPr="00AB6D88" w:rsidRDefault="00D16591" w:rsidP="009915F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915F0">
                  <w:rPr>
                    <w:rFonts w:cs="Arial"/>
                  </w:rPr>
                  <w:t>Non-financial counterparty</w:t>
                </w:r>
              </w:sdtContent>
            </w:sdt>
          </w:p>
        </w:tc>
      </w:tr>
      <w:tr w:rsidR="00B327E9" w:rsidRPr="00AB6D88" w14:paraId="6A3CB058" w14:textId="77777777" w:rsidTr="009915F0">
        <w:tc>
          <w:tcPr>
            <w:tcW w:w="3929" w:type="dxa"/>
            <w:shd w:val="clear" w:color="auto" w:fill="auto"/>
          </w:tcPr>
          <w:p w14:paraId="6A3CB056" w14:textId="77777777" w:rsidR="00B327E9" w:rsidRPr="00E40A5C" w:rsidRDefault="00B327E9" w:rsidP="009915F0">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1EBE383" w:rsidR="00B327E9" w:rsidRPr="00AB6D88" w:rsidRDefault="009915F0" w:rsidP="009915F0">
                <w:pPr>
                  <w:rPr>
                    <w:rFonts w:cs="Arial"/>
                  </w:rPr>
                </w:pPr>
                <w:r>
                  <w:rPr>
                    <w:rFonts w:ascii="MS Gothic" w:eastAsia="MS Gothic" w:hAnsi="MS Gothic" w:cs="Arial" w:hint="eastAsia"/>
                  </w:rPr>
                  <w:t>☒</w:t>
                </w:r>
              </w:p>
            </w:tc>
          </w:sdtContent>
        </w:sdt>
      </w:tr>
      <w:tr w:rsidR="00B327E9" w:rsidRPr="00AB6D88" w14:paraId="6A3CB05B" w14:textId="77777777" w:rsidTr="009915F0">
        <w:tc>
          <w:tcPr>
            <w:tcW w:w="3929" w:type="dxa"/>
            <w:shd w:val="clear" w:color="auto" w:fill="auto"/>
          </w:tcPr>
          <w:p w14:paraId="6A3CB059" w14:textId="77777777" w:rsidR="00B327E9" w:rsidRPr="00E40A5C" w:rsidRDefault="00B327E9" w:rsidP="009915F0">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A005878" w:rsidR="00B327E9" w:rsidRPr="00AB6D88" w:rsidRDefault="009915F0" w:rsidP="009915F0">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Nagwek1"/>
        <w:numPr>
          <w:ilvl w:val="0"/>
          <w:numId w:val="0"/>
        </w:numPr>
        <w:ind w:left="431" w:hanging="431"/>
      </w:pPr>
      <w:r>
        <w:t>Introduction</w:t>
      </w:r>
    </w:p>
    <w:p w14:paraId="6A3CB05E" w14:textId="77777777" w:rsidR="00B327E9" w:rsidRPr="00E40A5C" w:rsidRDefault="00B327E9" w:rsidP="00B327E9">
      <w:pPr>
        <w:rPr>
          <w:rStyle w:val="Wyrnienieintensywne"/>
          <w:sz w:val="22"/>
        </w:rPr>
      </w:pPr>
      <w:r w:rsidRPr="00E40A5C">
        <w:rPr>
          <w:rStyle w:val="Wyrnienieintensywn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Wyrnieniedelikatne"/>
          <w:b w:val="0"/>
          <w:sz w:val="22"/>
        </w:rPr>
        <w:t>ESG</w:t>
      </w:r>
      <w:r w:rsidRPr="006F4535">
        <w:t>_1&gt;</w:t>
      </w:r>
    </w:p>
    <w:p w14:paraId="0EE2510C" w14:textId="6CE554DA" w:rsidR="002C3BDA" w:rsidRPr="00C90B35" w:rsidRDefault="002C3BDA" w:rsidP="00C90B35">
      <w:pPr>
        <w:jc w:val="both"/>
        <w:rPr>
          <w:rFonts w:cs="Arial"/>
          <w:sz w:val="18"/>
          <w:szCs w:val="22"/>
        </w:rPr>
      </w:pPr>
      <w:permStart w:id="411981036" w:edGrp="everyone"/>
      <w:r w:rsidRPr="002C3BDA">
        <w:rPr>
          <w:rFonts w:cs="Arial"/>
        </w:rPr>
        <w:t xml:space="preserve">Business and Science Poland (BSP) connects the experience of leading Polish enterprises with the EU agenda. We represent the knowledge and interests of successful entities, which employ over 100 000 workers in Poland, EU and globally. We are committed to advancing the values of EU Common Market in sync with the needs to transform it responsibly and effectively. In particular, </w:t>
      </w:r>
      <w:r w:rsidRPr="002C3BDA">
        <w:rPr>
          <w:rFonts w:cs="Arial"/>
          <w:szCs w:val="20"/>
          <w:lang w:eastAsia="en-GB"/>
        </w:rPr>
        <w:t>BSP represents leading entities from the Polish energy-intensive industries, air transport companies, financial markets. We are also in the strategic partnership with the Polish research and innovation community and SMEs’ organisations. Due to the fact that BSP members operate in many regions of Poland and the Central and East Europe (CEE) region, we have the insight into the specific economic, social and historical context of the region which we believe is valuable for the Platform. All of the members are active on the issue of decarbonisation. We take active part in the European Commission consultations (e.g. EU Classification System for Green Investments and Renewed Sustainable Finance Strategy).</w:t>
      </w:r>
    </w:p>
    <w:permEnd w:id="411981036"/>
    <w:p w14:paraId="6A3CB062" w14:textId="67968787" w:rsidR="00B327E9" w:rsidRPr="00BF28DA" w:rsidRDefault="00B327E9" w:rsidP="00B327E9">
      <w:r w:rsidRPr="00BF28DA">
        <w:t>&lt;ESA_COMMENT_</w:t>
      </w:r>
      <w:r w:rsidR="00C86E1C">
        <w:rPr>
          <w:rStyle w:val="Wyrnieniedelikatne"/>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44930DB2" w14:textId="2E3F19CD" w:rsidR="00805191" w:rsidRDefault="00200838" w:rsidP="00D97226">
      <w:pPr>
        <w:jc w:val="both"/>
        <w:rPr>
          <w:rFonts w:cs="Arial"/>
          <w:lang w:val="en-US"/>
        </w:rPr>
      </w:pPr>
      <w:permStart w:id="729947415" w:edGrp="everyone"/>
      <w:r>
        <w:rPr>
          <w:rFonts w:cs="Arial"/>
          <w:lang w:val="en-US"/>
        </w:rPr>
        <w:t xml:space="preserve">As highlighted in our response to the Renewed Sustainable Finance Strategy </w:t>
      </w:r>
      <w:r w:rsidR="008D1BD4">
        <w:rPr>
          <w:rFonts w:cs="Arial"/>
          <w:lang w:val="en-US"/>
        </w:rPr>
        <w:t xml:space="preserve">input </w:t>
      </w:r>
      <w:r>
        <w:rPr>
          <w:rFonts w:cs="Arial"/>
          <w:lang w:val="en-US"/>
        </w:rPr>
        <w:t xml:space="preserve">on the </w:t>
      </w:r>
      <w:r w:rsidRPr="00200838">
        <w:rPr>
          <w:rFonts w:cs="Arial"/>
          <w:lang w:val="en-US"/>
        </w:rPr>
        <w:t>financial tools developed to increase</w:t>
      </w:r>
      <w:r>
        <w:rPr>
          <w:rFonts w:cs="Arial"/>
          <w:lang w:val="en-US"/>
        </w:rPr>
        <w:t xml:space="preserve"> </w:t>
      </w:r>
      <w:r w:rsidRPr="00200838">
        <w:rPr>
          <w:rFonts w:cs="Arial"/>
          <w:lang w:val="en-US"/>
        </w:rPr>
        <w:t>sustainable investment flows and manage</w:t>
      </w:r>
      <w:r>
        <w:rPr>
          <w:rFonts w:cs="Arial"/>
          <w:lang w:val="en-US"/>
        </w:rPr>
        <w:t>ment of</w:t>
      </w:r>
      <w:r w:rsidRPr="00200838">
        <w:rPr>
          <w:rFonts w:cs="Arial"/>
          <w:lang w:val="en-US"/>
        </w:rPr>
        <w:t xml:space="preserve"> climate and environmental risks</w:t>
      </w:r>
      <w:r>
        <w:rPr>
          <w:rFonts w:cs="Arial"/>
          <w:lang w:val="en-US"/>
        </w:rPr>
        <w:t xml:space="preserve">, even though </w:t>
      </w:r>
      <w:r w:rsidRPr="00200838">
        <w:rPr>
          <w:rFonts w:cs="Arial"/>
          <w:lang w:val="en-US"/>
        </w:rPr>
        <w:t>we have a common goal, the starting point of each</w:t>
      </w:r>
      <w:r>
        <w:rPr>
          <w:rFonts w:cs="Arial"/>
          <w:lang w:val="en-US"/>
        </w:rPr>
        <w:t xml:space="preserve"> </w:t>
      </w:r>
      <w:r w:rsidRPr="00200838">
        <w:rPr>
          <w:rFonts w:cs="Arial"/>
          <w:lang w:val="en-US"/>
        </w:rPr>
        <w:t>Member State is different and one-size-fits-all approach is not possible.</w:t>
      </w:r>
      <w:r w:rsidR="00356369">
        <w:rPr>
          <w:rFonts w:cs="Arial"/>
          <w:lang w:val="en-US"/>
        </w:rPr>
        <w:t xml:space="preserve"> </w:t>
      </w:r>
      <w:r w:rsidR="008D1BD4">
        <w:rPr>
          <w:rFonts w:cs="Arial"/>
          <w:lang w:val="en-US"/>
        </w:rPr>
        <w:t xml:space="preserve">This aspect applies to the </w:t>
      </w:r>
      <w:r w:rsidRPr="00200838">
        <w:rPr>
          <w:rFonts w:cs="Arial"/>
          <w:lang w:val="en-US"/>
        </w:rPr>
        <w:t xml:space="preserve">EU financial framework </w:t>
      </w:r>
      <w:r w:rsidR="008D1BD4">
        <w:rPr>
          <w:rFonts w:cs="Arial"/>
          <w:lang w:val="en-US"/>
        </w:rPr>
        <w:t xml:space="preserve">which </w:t>
      </w:r>
      <w:r w:rsidRPr="00200838">
        <w:rPr>
          <w:rFonts w:cs="Arial"/>
          <w:lang w:val="en-US"/>
        </w:rPr>
        <w:t>should provide for the fact</w:t>
      </w:r>
      <w:r w:rsidR="008D1BD4">
        <w:rPr>
          <w:rFonts w:cs="Arial"/>
          <w:lang w:val="en-US"/>
        </w:rPr>
        <w:t xml:space="preserve"> </w:t>
      </w:r>
      <w:r w:rsidRPr="00200838">
        <w:rPr>
          <w:rFonts w:cs="Arial"/>
          <w:lang w:val="en-US"/>
        </w:rPr>
        <w:t>that the re-arrangement of the existing installations in order to better match new specifications often leads to</w:t>
      </w:r>
      <w:r w:rsidR="008D1BD4">
        <w:rPr>
          <w:rFonts w:cs="Arial"/>
          <w:lang w:val="en-US"/>
        </w:rPr>
        <w:t xml:space="preserve"> </w:t>
      </w:r>
      <w:r w:rsidRPr="00200838">
        <w:rPr>
          <w:rFonts w:cs="Arial"/>
          <w:lang w:val="en-US"/>
        </w:rPr>
        <w:t>their depreciation while shareholders and other investors expect their returns on the initial investments.</w:t>
      </w:r>
      <w:r w:rsidR="008D1BD4">
        <w:rPr>
          <w:rFonts w:cs="Arial"/>
          <w:lang w:val="en-US"/>
        </w:rPr>
        <w:t xml:space="preserve"> However, also this approach translates into the </w:t>
      </w:r>
      <w:r w:rsidR="008D1BD4" w:rsidRPr="008D1BD4">
        <w:rPr>
          <w:rFonts w:cs="Arial"/>
          <w:bCs/>
          <w:iCs/>
        </w:rPr>
        <w:t>sustainability-related disclosures in the financial services sector</w:t>
      </w:r>
      <w:r w:rsidR="008D1BD4">
        <w:rPr>
          <w:rFonts w:cs="Arial"/>
          <w:bCs/>
          <w:iCs/>
        </w:rPr>
        <w:t>.</w:t>
      </w:r>
      <w:r w:rsidR="00DB22AD">
        <w:rPr>
          <w:rFonts w:cs="Arial"/>
          <w:bCs/>
          <w:iCs/>
        </w:rPr>
        <w:t xml:space="preserve"> </w:t>
      </w:r>
      <w:r w:rsidR="008D1BD4">
        <w:rPr>
          <w:rFonts w:cs="Arial"/>
          <w:lang w:val="en-US"/>
        </w:rPr>
        <w:t xml:space="preserve">The overarching </w:t>
      </w:r>
      <w:r w:rsidR="001255B4">
        <w:rPr>
          <w:rFonts w:cs="Arial"/>
          <w:lang w:val="en-US"/>
        </w:rPr>
        <w:t xml:space="preserve">idea of the </w:t>
      </w:r>
      <w:proofErr w:type="spellStart"/>
      <w:r w:rsidR="001255B4">
        <w:rPr>
          <w:rFonts w:cs="Arial"/>
          <w:lang w:val="en-US"/>
        </w:rPr>
        <w:t>harmonisation</w:t>
      </w:r>
      <w:proofErr w:type="spellEnd"/>
      <w:r w:rsidR="001255B4">
        <w:rPr>
          <w:rFonts w:cs="Arial"/>
          <w:lang w:val="en-US"/>
        </w:rPr>
        <w:t xml:space="preserve"> </w:t>
      </w:r>
      <w:r w:rsidR="008D1BD4">
        <w:rPr>
          <w:rFonts w:cs="Arial"/>
          <w:lang w:val="en-US"/>
        </w:rPr>
        <w:t>can be justified</w:t>
      </w:r>
      <w:r w:rsidR="001255B4">
        <w:rPr>
          <w:rFonts w:cs="Arial"/>
          <w:lang w:val="en-US"/>
        </w:rPr>
        <w:t>,</w:t>
      </w:r>
      <w:r w:rsidR="008D1BD4">
        <w:rPr>
          <w:rFonts w:cs="Arial"/>
          <w:lang w:val="en-US"/>
        </w:rPr>
        <w:t xml:space="preserve"> howe</w:t>
      </w:r>
      <w:r w:rsidR="001255B4">
        <w:rPr>
          <w:rFonts w:cs="Arial"/>
          <w:lang w:val="en-US"/>
        </w:rPr>
        <w:t>v</w:t>
      </w:r>
      <w:r w:rsidR="008D1BD4">
        <w:rPr>
          <w:rFonts w:cs="Arial"/>
          <w:lang w:val="en-US"/>
        </w:rPr>
        <w:t xml:space="preserve">er </w:t>
      </w:r>
      <w:r w:rsidR="001255B4">
        <w:rPr>
          <w:rFonts w:cs="Arial"/>
          <w:lang w:val="en-US"/>
        </w:rPr>
        <w:t>t</w:t>
      </w:r>
      <w:r w:rsidR="008D1BD4">
        <w:rPr>
          <w:rFonts w:cs="Arial"/>
          <w:lang w:val="en-US"/>
        </w:rPr>
        <w:t xml:space="preserve">he </w:t>
      </w:r>
      <w:r w:rsidR="001255B4">
        <w:rPr>
          <w:rFonts w:cs="Arial"/>
          <w:lang w:val="en-US"/>
        </w:rPr>
        <w:t xml:space="preserve">approach chosen with a very extensive compilation of the sustainability </w:t>
      </w:r>
      <w:r w:rsidR="009F0B1E">
        <w:rPr>
          <w:rFonts w:cs="Arial"/>
          <w:lang w:val="en-US"/>
        </w:rPr>
        <w:t>adverse impacts</w:t>
      </w:r>
      <w:r w:rsidR="00805191">
        <w:rPr>
          <w:rFonts w:cs="Arial"/>
          <w:lang w:val="en-US"/>
        </w:rPr>
        <w:t xml:space="preserve"> for non-financial risks</w:t>
      </w:r>
      <w:r w:rsidR="009F0B1E">
        <w:rPr>
          <w:rFonts w:cs="Arial"/>
          <w:lang w:val="en-US"/>
        </w:rPr>
        <w:t xml:space="preserve"> to be taken into account across much diversified sectors</w:t>
      </w:r>
      <w:r w:rsidR="00805191">
        <w:rPr>
          <w:rFonts w:cs="Arial"/>
          <w:lang w:val="en-US"/>
        </w:rPr>
        <w:t xml:space="preserve"> subject to a variety of frameworks</w:t>
      </w:r>
      <w:r w:rsidR="009F0B1E">
        <w:rPr>
          <w:rFonts w:cs="Arial"/>
          <w:lang w:val="en-US"/>
        </w:rPr>
        <w:t xml:space="preserve"> </w:t>
      </w:r>
      <w:r w:rsidR="001255B4">
        <w:rPr>
          <w:rFonts w:cs="Arial"/>
          <w:lang w:val="en-US"/>
        </w:rPr>
        <w:t xml:space="preserve">can </w:t>
      </w:r>
      <w:r w:rsidR="00805191">
        <w:rPr>
          <w:rFonts w:cs="Arial"/>
          <w:lang w:val="en-US"/>
        </w:rPr>
        <w:t>give grounds to doubt as to their effectiveness and purposefulness.</w:t>
      </w:r>
    </w:p>
    <w:permEnd w:id="729947415"/>
    <w:p w14:paraId="6415E03C" w14:textId="430226B0"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3BD812C7" w14:textId="14509E23" w:rsidR="00113265" w:rsidRPr="00356369" w:rsidRDefault="00C90B35" w:rsidP="00352B1F">
      <w:pPr>
        <w:jc w:val="both"/>
        <w:rPr>
          <w:rFonts w:cs="Arial"/>
        </w:rPr>
      </w:pPr>
      <w:permStart w:id="677205538" w:edGrp="everyone"/>
      <w:r w:rsidRPr="00356369">
        <w:rPr>
          <w:rFonts w:cs="Arial"/>
        </w:rPr>
        <w:t xml:space="preserve">BSP sees in burdened with </w:t>
      </w:r>
      <w:r w:rsidR="00192D53" w:rsidRPr="00356369">
        <w:rPr>
          <w:rFonts w:cs="Arial"/>
        </w:rPr>
        <w:t xml:space="preserve">the </w:t>
      </w:r>
      <w:r w:rsidRPr="00356369">
        <w:rPr>
          <w:rFonts w:cs="Arial"/>
        </w:rPr>
        <w:t>high investment in Research &amp; Development</w:t>
      </w:r>
      <w:r w:rsidR="00192D53" w:rsidRPr="00356369">
        <w:rPr>
          <w:rFonts w:cs="Arial"/>
        </w:rPr>
        <w:t xml:space="preserve"> (R&amp;D) low-carbon transition and </w:t>
      </w:r>
      <w:r w:rsidRPr="00356369">
        <w:rPr>
          <w:rFonts w:cs="Arial"/>
        </w:rPr>
        <w:t>in mitigating the incremental climate conditions affect</w:t>
      </w:r>
      <w:r w:rsidR="00064D40" w:rsidRPr="00356369">
        <w:rPr>
          <w:rFonts w:cs="Arial"/>
        </w:rPr>
        <w:t>ing</w:t>
      </w:r>
      <w:r w:rsidRPr="00356369">
        <w:rPr>
          <w:rFonts w:cs="Arial"/>
        </w:rPr>
        <w:t xml:space="preserve"> the daily operations, the approach which would enable certain </w:t>
      </w:r>
      <w:r w:rsidR="00D972C6" w:rsidRPr="00356369">
        <w:rPr>
          <w:rFonts w:cs="Arial"/>
        </w:rPr>
        <w:t xml:space="preserve">level of adjustment possibility. It seems that within the framework of sustainable finance strategy and its major legislative acts, there are many parallel and overlapping work paths oriented toward </w:t>
      </w:r>
      <w:r w:rsidR="00352B1F" w:rsidRPr="00356369">
        <w:rPr>
          <w:rFonts w:cs="Arial"/>
        </w:rPr>
        <w:t xml:space="preserve">the differentiation of </w:t>
      </w:r>
      <w:r w:rsidR="002C2C5A" w:rsidRPr="00356369">
        <w:rPr>
          <w:rFonts w:cs="Arial"/>
        </w:rPr>
        <w:t xml:space="preserve">disclosure </w:t>
      </w:r>
      <w:r w:rsidR="00352B1F" w:rsidRPr="00356369">
        <w:rPr>
          <w:rFonts w:cs="Arial"/>
        </w:rPr>
        <w:t xml:space="preserve">key </w:t>
      </w:r>
      <w:r w:rsidR="002C2C5A" w:rsidRPr="00356369">
        <w:rPr>
          <w:rFonts w:cs="Arial"/>
        </w:rPr>
        <w:t>indicators</w:t>
      </w:r>
      <w:r w:rsidR="00352B1F" w:rsidRPr="00356369">
        <w:rPr>
          <w:rFonts w:cs="Arial"/>
        </w:rPr>
        <w:t xml:space="preserve">. These sort of work streams are driven by the investors </w:t>
      </w:r>
      <w:r w:rsidR="00456D6D" w:rsidRPr="00356369">
        <w:rPr>
          <w:rFonts w:cs="Arial"/>
        </w:rPr>
        <w:t xml:space="preserve">combining </w:t>
      </w:r>
      <w:r w:rsidR="00064D40" w:rsidRPr="00356369">
        <w:rPr>
          <w:rFonts w:cs="Arial"/>
        </w:rPr>
        <w:t xml:space="preserve">various </w:t>
      </w:r>
      <w:r w:rsidR="00456D6D" w:rsidRPr="00356369">
        <w:rPr>
          <w:rFonts w:cs="Arial"/>
        </w:rPr>
        <w:t xml:space="preserve">reporting initiatives </w:t>
      </w:r>
      <w:r w:rsidR="00352B1F" w:rsidRPr="00356369">
        <w:rPr>
          <w:rFonts w:cs="Arial"/>
        </w:rPr>
        <w:t xml:space="preserve">and </w:t>
      </w:r>
      <w:r w:rsidR="00456D6D" w:rsidRPr="00356369">
        <w:rPr>
          <w:rFonts w:cs="Arial"/>
        </w:rPr>
        <w:t xml:space="preserve">are </w:t>
      </w:r>
      <w:r w:rsidR="00352B1F" w:rsidRPr="00356369">
        <w:rPr>
          <w:rFonts w:cs="Arial"/>
        </w:rPr>
        <w:t>extremely dynamic.</w:t>
      </w:r>
      <w:r w:rsidR="002C2C5A" w:rsidRPr="00356369">
        <w:rPr>
          <w:rFonts w:cs="Arial"/>
        </w:rPr>
        <w:t xml:space="preserve"> We believe that these practises should be accounted for as to prevent the multitude of sophisticated coinciding disclosure obligations with questionable added value.</w:t>
      </w:r>
      <w:r w:rsidR="0069189D" w:rsidRPr="00356369">
        <w:rPr>
          <w:rFonts w:cs="Arial"/>
        </w:rPr>
        <w:t xml:space="preserve"> </w:t>
      </w:r>
      <w:r w:rsidR="00113265" w:rsidRPr="00356369">
        <w:rPr>
          <w:rFonts w:cs="Arial"/>
        </w:rPr>
        <w:t>A</w:t>
      </w:r>
      <w:r w:rsidR="00AD77EC" w:rsidRPr="00356369">
        <w:rPr>
          <w:rFonts w:cs="Arial"/>
        </w:rPr>
        <w:t xml:space="preserve"> set of </w:t>
      </w:r>
      <w:r w:rsidR="00113265" w:rsidRPr="00356369">
        <w:rPr>
          <w:rFonts w:cs="Arial"/>
        </w:rPr>
        <w:t>e</w:t>
      </w:r>
      <w:r w:rsidR="00AD77EC" w:rsidRPr="00356369">
        <w:rPr>
          <w:rFonts w:cs="Arial"/>
        </w:rPr>
        <w:t xml:space="preserve">nvironmental, </w:t>
      </w:r>
      <w:r w:rsidR="00113265" w:rsidRPr="00356369">
        <w:rPr>
          <w:rFonts w:cs="Arial"/>
        </w:rPr>
        <w:t>s</w:t>
      </w:r>
      <w:r w:rsidR="00AD77EC" w:rsidRPr="00356369">
        <w:rPr>
          <w:rFonts w:cs="Arial"/>
        </w:rPr>
        <w:t xml:space="preserve">ocial and </w:t>
      </w:r>
      <w:r w:rsidR="00113265" w:rsidRPr="00356369">
        <w:rPr>
          <w:rFonts w:cs="Arial"/>
        </w:rPr>
        <w:t>g</w:t>
      </w:r>
      <w:r w:rsidR="00AD77EC" w:rsidRPr="00356369">
        <w:rPr>
          <w:rFonts w:cs="Arial"/>
        </w:rPr>
        <w:t>overnance (ESG) disclosure requirements</w:t>
      </w:r>
      <w:r w:rsidR="00113265" w:rsidRPr="00356369">
        <w:rPr>
          <w:rFonts w:cs="Arial"/>
        </w:rPr>
        <w:t xml:space="preserve"> </w:t>
      </w:r>
      <w:r w:rsidR="00AD77EC" w:rsidRPr="00356369">
        <w:rPr>
          <w:rFonts w:cs="Arial"/>
        </w:rPr>
        <w:t>need</w:t>
      </w:r>
      <w:r w:rsidR="007F56C5" w:rsidRPr="00356369">
        <w:rPr>
          <w:rFonts w:cs="Arial"/>
        </w:rPr>
        <w:t xml:space="preserve"> to be comprehensive enough to accommodate the ESG data that are provided by the companies. Further, the voluntary aspect of publishing the data remains crucial. Any disclosure should relate to the appropriate and material information so that it could lead to a sound sustainable decision and </w:t>
      </w:r>
      <w:r w:rsidR="00EA0569" w:rsidRPr="00356369">
        <w:rPr>
          <w:rFonts w:cs="Arial"/>
        </w:rPr>
        <w:t>analysis. It</w:t>
      </w:r>
      <w:r w:rsidR="00F86176" w:rsidRPr="00356369">
        <w:rPr>
          <w:rFonts w:cs="Arial"/>
        </w:rPr>
        <w:t xml:space="preserve"> should be noted at this point that </w:t>
      </w:r>
      <w:r w:rsidR="00EA0569" w:rsidRPr="00356369">
        <w:rPr>
          <w:rFonts w:cs="Arial"/>
        </w:rPr>
        <w:t xml:space="preserve">this type of information </w:t>
      </w:r>
      <w:r w:rsidR="00113265" w:rsidRPr="00356369">
        <w:rPr>
          <w:rFonts w:cs="Arial"/>
        </w:rPr>
        <w:t>is</w:t>
      </w:r>
      <w:r w:rsidR="00EA0569" w:rsidRPr="00356369">
        <w:rPr>
          <w:rFonts w:cs="Arial"/>
        </w:rPr>
        <w:t xml:space="preserve"> dependent on such parameters as the</w:t>
      </w:r>
      <w:r w:rsidR="001C273B" w:rsidRPr="00356369">
        <w:rPr>
          <w:rFonts w:cs="Arial"/>
        </w:rPr>
        <w:t xml:space="preserve"> operational base, size, financial reporting obligations, and many more. </w:t>
      </w:r>
      <w:r w:rsidR="00F24D9E" w:rsidRPr="00356369">
        <w:rPr>
          <w:rFonts w:cs="Arial"/>
        </w:rPr>
        <w:t>Thus, companies should be able to conclude the specific material issues to their own investor base in the field of sustainability and non-financial reporting so that the appropriate decisions are taken on the grounds of the appropriate information for particular assets portfolio.</w:t>
      </w:r>
    </w:p>
    <w:permEnd w:id="677205538"/>
    <w:p w14:paraId="54D6583E" w14:textId="087BA54B"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lastRenderedPageBreak/>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E048E63" w14:textId="7846A3F1" w:rsidR="00F80533" w:rsidRPr="00356369" w:rsidRDefault="00AF267F" w:rsidP="00D97226">
      <w:pPr>
        <w:jc w:val="both"/>
        <w:rPr>
          <w:rFonts w:cs="Arial"/>
          <w:bCs/>
        </w:rPr>
      </w:pPr>
      <w:permStart w:id="418122716" w:edGrp="everyone"/>
      <w:r w:rsidRPr="00356369">
        <w:rPr>
          <w:rFonts w:cs="Arial"/>
          <w:bCs/>
        </w:rPr>
        <w:t xml:space="preserve">Mindful of the need to act in order to reach ambitious goal of the increased </w:t>
      </w:r>
      <w:r w:rsidR="00F80533" w:rsidRPr="00356369">
        <w:rPr>
          <w:rFonts w:cs="Arial"/>
          <w:bCs/>
        </w:rPr>
        <w:t xml:space="preserve">emissions </w:t>
      </w:r>
      <w:r w:rsidRPr="00356369">
        <w:rPr>
          <w:rFonts w:cs="Arial"/>
          <w:bCs/>
        </w:rPr>
        <w:t xml:space="preserve">reduction, we need to </w:t>
      </w:r>
      <w:r w:rsidR="00FF2559" w:rsidRPr="00356369">
        <w:rPr>
          <w:rFonts w:cs="Arial"/>
          <w:bCs/>
        </w:rPr>
        <w:t xml:space="preserve">acknowledge that </w:t>
      </w:r>
      <w:r w:rsidR="00F80533" w:rsidRPr="00356369">
        <w:rPr>
          <w:rFonts w:cs="Arial"/>
          <w:bCs/>
        </w:rPr>
        <w:t>i</w:t>
      </w:r>
      <w:r w:rsidR="00D72CBE" w:rsidRPr="00356369">
        <w:rPr>
          <w:rFonts w:cs="Arial"/>
          <w:bCs/>
        </w:rPr>
        <w:t>n a web of global or simply international companies, the national and regional borders are no longer the only indicator of the limits of the company’s operations. Thus, any local, geographically-driven policies</w:t>
      </w:r>
      <w:r w:rsidR="00E95D74" w:rsidRPr="00356369">
        <w:rPr>
          <w:rFonts w:cs="Arial"/>
          <w:bCs/>
        </w:rPr>
        <w:t xml:space="preserve"> have potential of becoming a driver of an extra administrative and organisational obligation instead of a</w:t>
      </w:r>
      <w:r w:rsidR="00A30507" w:rsidRPr="00356369">
        <w:rPr>
          <w:rFonts w:cs="Arial"/>
          <w:bCs/>
        </w:rPr>
        <w:t xml:space="preserve"> reliable and coherent progress indicator. The inclusion of the measure of carbon emissions relative to the EU 2030 climate and energy framework target </w:t>
      </w:r>
      <w:r w:rsidR="001E661F" w:rsidRPr="00356369">
        <w:rPr>
          <w:rFonts w:cs="Arial"/>
          <w:bCs/>
        </w:rPr>
        <w:t xml:space="preserve">which as its name suggests is related to particular timeline and is subject to change </w:t>
      </w:r>
      <w:r w:rsidR="00A30507" w:rsidRPr="00356369">
        <w:rPr>
          <w:rFonts w:cs="Arial"/>
          <w:bCs/>
        </w:rPr>
        <w:t xml:space="preserve">may </w:t>
      </w:r>
      <w:r w:rsidR="001E661F" w:rsidRPr="00356369">
        <w:rPr>
          <w:rFonts w:cs="Arial"/>
          <w:bCs/>
        </w:rPr>
        <w:t xml:space="preserve">fail to </w:t>
      </w:r>
      <w:r w:rsidR="00A30507" w:rsidRPr="00356369">
        <w:rPr>
          <w:rFonts w:cs="Arial"/>
          <w:bCs/>
        </w:rPr>
        <w:t xml:space="preserve">be </w:t>
      </w:r>
      <w:r w:rsidR="001E661F" w:rsidRPr="00356369">
        <w:rPr>
          <w:rFonts w:cs="Arial"/>
          <w:bCs/>
        </w:rPr>
        <w:t xml:space="preserve">adequately </w:t>
      </w:r>
      <w:r w:rsidR="00A30507" w:rsidRPr="00356369">
        <w:rPr>
          <w:rFonts w:cs="Arial"/>
          <w:bCs/>
        </w:rPr>
        <w:t xml:space="preserve">reflected in the disclosure </w:t>
      </w:r>
      <w:r w:rsidR="001E661F" w:rsidRPr="00356369">
        <w:rPr>
          <w:rFonts w:cs="Arial"/>
          <w:bCs/>
        </w:rPr>
        <w:t>requirements and unintentionally</w:t>
      </w:r>
      <w:r w:rsidR="00A30507" w:rsidRPr="00356369">
        <w:rPr>
          <w:rFonts w:cs="Arial"/>
          <w:bCs/>
        </w:rPr>
        <w:t xml:space="preserve"> introduce an element of misunderstanding or outdated data.</w:t>
      </w:r>
      <w:r w:rsidR="00E24C0F" w:rsidRPr="00356369">
        <w:rPr>
          <w:rFonts w:cs="Arial"/>
          <w:bCs/>
        </w:rPr>
        <w:t xml:space="preserve"> Thus, we do not consider this addition to the proposed indicators on carbon emissions in Annex I to bring neither immediate nor long-term benefit</w:t>
      </w:r>
      <w:r w:rsidR="002A3483" w:rsidRPr="00356369">
        <w:rPr>
          <w:rFonts w:cs="Arial"/>
          <w:bCs/>
        </w:rPr>
        <w:t>s</w:t>
      </w:r>
      <w:r w:rsidR="00E24C0F" w:rsidRPr="00356369">
        <w:rPr>
          <w:rFonts w:cs="Arial"/>
          <w:bCs/>
        </w:rPr>
        <w:t xml:space="preserve">. We see </w:t>
      </w:r>
      <w:r w:rsidR="002A3483" w:rsidRPr="00356369">
        <w:rPr>
          <w:rFonts w:cs="Arial"/>
          <w:bCs/>
        </w:rPr>
        <w:t xml:space="preserve">however </w:t>
      </w:r>
      <w:r w:rsidR="00E24C0F" w:rsidRPr="00356369">
        <w:rPr>
          <w:rFonts w:cs="Arial"/>
          <w:bCs/>
        </w:rPr>
        <w:t xml:space="preserve">the window of possibility to include </w:t>
      </w:r>
      <w:r w:rsidR="002A3483" w:rsidRPr="00356369">
        <w:rPr>
          <w:rFonts w:cs="Arial"/>
          <w:bCs/>
        </w:rPr>
        <w:t>voluntary opportunity which would provide the information on a more general level such</w:t>
      </w:r>
      <w:r w:rsidR="00F80533" w:rsidRPr="00356369">
        <w:rPr>
          <w:rFonts w:cs="Arial"/>
          <w:bCs/>
        </w:rPr>
        <w:t xml:space="preserve"> as</w:t>
      </w:r>
      <w:r w:rsidR="002A3483" w:rsidRPr="00356369">
        <w:rPr>
          <w:rFonts w:cs="Arial"/>
          <w:bCs/>
        </w:rPr>
        <w:t xml:space="preserve"> undertakings curbing greenhouse gas emissions. </w:t>
      </w:r>
    </w:p>
    <w:p w14:paraId="509BC587" w14:textId="617A5CA6" w:rsidR="00356369" w:rsidRPr="00356369" w:rsidRDefault="00F80533" w:rsidP="003E573C">
      <w:pPr>
        <w:rPr>
          <w:rFonts w:cs="Arial"/>
        </w:rPr>
      </w:pPr>
      <w:r w:rsidRPr="00356369">
        <w:rPr>
          <w:rFonts w:cs="Arial"/>
          <w:bCs/>
        </w:rPr>
        <w:t>As per the EU 2030 climate and energy goals, BSP members are committed to contribute to this challenging task without exception,</w:t>
      </w:r>
      <w:r w:rsidR="00FF2559" w:rsidRPr="00356369">
        <w:rPr>
          <w:rFonts w:cs="Arial"/>
          <w:bCs/>
        </w:rPr>
        <w:t xml:space="preserve"> </w:t>
      </w:r>
      <w:r w:rsidR="007D513B">
        <w:rPr>
          <w:rFonts w:cs="Arial"/>
          <w:bCs/>
        </w:rPr>
        <w:t>and</w:t>
      </w:r>
      <w:r w:rsidR="00FF2559" w:rsidRPr="00356369">
        <w:rPr>
          <w:rFonts w:cs="Arial"/>
          <w:bCs/>
        </w:rPr>
        <w:t xml:space="preserve"> we </w:t>
      </w:r>
      <w:r w:rsidR="007D513B">
        <w:rPr>
          <w:rFonts w:cs="Arial"/>
          <w:bCs/>
        </w:rPr>
        <w:t>trust</w:t>
      </w:r>
      <w:r w:rsidR="00FF2559" w:rsidRPr="00356369">
        <w:rPr>
          <w:rFonts w:cs="Arial"/>
          <w:bCs/>
        </w:rPr>
        <w:t xml:space="preserve"> </w:t>
      </w:r>
      <w:r w:rsidR="007D513B">
        <w:rPr>
          <w:rFonts w:cs="Arial"/>
          <w:bCs/>
        </w:rPr>
        <w:t xml:space="preserve">in </w:t>
      </w:r>
      <w:r w:rsidR="00FF2559" w:rsidRPr="00356369">
        <w:rPr>
          <w:rFonts w:cs="Arial"/>
          <w:bCs/>
        </w:rPr>
        <w:t xml:space="preserve">the </w:t>
      </w:r>
      <w:r w:rsidRPr="00356369">
        <w:rPr>
          <w:rFonts w:cs="Arial"/>
          <w:bCs/>
        </w:rPr>
        <w:t xml:space="preserve">European Union </w:t>
      </w:r>
      <w:r w:rsidR="00FF2559" w:rsidRPr="00356369">
        <w:rPr>
          <w:rFonts w:cs="Arial"/>
          <w:bCs/>
        </w:rPr>
        <w:t xml:space="preserve">to </w:t>
      </w:r>
      <w:r w:rsidRPr="00356369">
        <w:rPr>
          <w:rFonts w:cs="Arial"/>
          <w:bCs/>
        </w:rPr>
        <w:t>provide the level-playing ground and appropriate conditions for such a transition to greener products and processes.</w:t>
      </w:r>
    </w:p>
    <w:permEnd w:id="418122716"/>
    <w:p w14:paraId="29E77975" w14:textId="5609CA1E"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Akapitzlist"/>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Akapitzlist"/>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DB9AF7D" w14:textId="5AE55E52" w:rsidR="003E573C" w:rsidRDefault="002970BA" w:rsidP="003E573C">
      <w:pPr>
        <w:rPr>
          <w:rFonts w:cs="Arial"/>
        </w:rPr>
      </w:pPr>
      <w:permStart w:id="1713528049" w:edGrp="everyone"/>
      <w:r>
        <w:rPr>
          <w:rFonts w:cs="Arial"/>
        </w:rPr>
        <w:t>Given the complexity of the value chains and a wide spectrum of industry sectors, including any generic advanced indicators or metrics may jeopardise the process and overall efforts of the sustainable finance.</w:t>
      </w:r>
      <w:r w:rsidR="001366DA">
        <w:rPr>
          <w:rFonts w:cs="Arial"/>
        </w:rPr>
        <w:t xml:space="preserve"> Currently, the European sustainable finance package including comprehensive taxonomy, non-financial reporting and sustainability disclosures which altogether create a very comprehensive metrics and indicators base. Potential considerations should take into account </w:t>
      </w:r>
      <w:r w:rsidR="00D01C7C">
        <w:rPr>
          <w:rFonts w:cs="Arial"/>
        </w:rPr>
        <w:t>technological neutrality, adjustment possibility as indicated above</w:t>
      </w:r>
      <w:r w:rsidR="00C90D32">
        <w:rPr>
          <w:rFonts w:cs="Arial"/>
        </w:rPr>
        <w:t xml:space="preserve">, opportunity for all market participants to deploy carbon abating technologies in the </w:t>
      </w:r>
      <w:r w:rsidR="00C90D32">
        <w:rPr>
          <w:rFonts w:cs="Arial"/>
        </w:rPr>
        <w:lastRenderedPageBreak/>
        <w:t xml:space="preserve">economically viable fashion. We do not see merit in applying the more advanced indicators and metrics without a comprehensive impact assessment beforehand. </w:t>
      </w:r>
      <w:r w:rsidR="00B93759">
        <w:rPr>
          <w:rFonts w:cs="Arial"/>
        </w:rPr>
        <w:t xml:space="preserve"> </w:t>
      </w:r>
      <w:permEnd w:id="1713528049"/>
      <w:r w:rsidR="003E573C">
        <w:rPr>
          <w:rFonts w:cs="Arial"/>
        </w:rPr>
        <w:t>&lt;ESA_QUESTION_</w:t>
      </w:r>
      <w:r w:rsidR="00C86E1C">
        <w:rPr>
          <w:rFonts w:cs="Arial"/>
        </w:rPr>
        <w:t>ESG</w:t>
      </w:r>
      <w:r w:rsidR="003E573C">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lastRenderedPageBreak/>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49A3608E" w:rsidR="003E573C" w:rsidRDefault="00E868D5" w:rsidP="00D97226">
      <w:pPr>
        <w:jc w:val="both"/>
        <w:rPr>
          <w:rFonts w:cs="Arial"/>
        </w:rPr>
      </w:pPr>
      <w:permStart w:id="669663577" w:edGrp="everyone"/>
      <w:r>
        <w:rPr>
          <w:rFonts w:cs="Arial"/>
        </w:rPr>
        <w:t xml:space="preserve">On the note of the sectoral approach, it should be indicated that nowadays it is not always possible to describe exhaustively a particular sector due to the fact that the line of business of companies often stretch across </w:t>
      </w:r>
      <w:r w:rsidR="003C33BE">
        <w:rPr>
          <w:rFonts w:cs="Arial"/>
        </w:rPr>
        <w:t xml:space="preserve">a variety of sectors which may result in the overlapping requirements and multiplications of the disclosure conditions. In other words, there are companies which are operating in one or more sectors, but there also exist companies which core business is contained within one sector, hence the </w:t>
      </w:r>
      <w:r w:rsidR="00B66E25">
        <w:rPr>
          <w:rFonts w:cs="Arial"/>
        </w:rPr>
        <w:t>rational</w:t>
      </w:r>
      <w:r w:rsidR="007A4518">
        <w:rPr>
          <w:rFonts w:cs="Arial"/>
        </w:rPr>
        <w:t>e</w:t>
      </w:r>
      <w:r w:rsidR="00B66E25">
        <w:rPr>
          <w:rFonts w:cs="Arial"/>
        </w:rPr>
        <w:t xml:space="preserve"> behind such a classification becomes questionable and may result in disproportionate picture of the market and its participants. We realise that </w:t>
      </w:r>
      <w:r w:rsidR="005774C2">
        <w:rPr>
          <w:rFonts w:cs="Arial"/>
        </w:rPr>
        <w:t xml:space="preserve">finding a silver bullet in this context is not so easy however </w:t>
      </w:r>
      <w:r w:rsidR="00865471">
        <w:rPr>
          <w:rFonts w:cs="Arial"/>
        </w:rPr>
        <w:t xml:space="preserve">as it is crucial that investors and end-investors comprehend the specificities and the needs </w:t>
      </w:r>
      <w:r w:rsidR="00356369">
        <w:rPr>
          <w:rFonts w:cs="Arial"/>
        </w:rPr>
        <w:t>of</w:t>
      </w:r>
      <w:r w:rsidR="00865471">
        <w:rPr>
          <w:rFonts w:cs="Arial"/>
        </w:rPr>
        <w:t xml:space="preserve"> particular sectors. It may require a joint collaboration of different market participants to arrive to the structured, synchronised metric system. One way to address this could be sector-specific reporting based on non-compulsory approach. This would enable every company and the sector to progressively learn from each other and enhance the quality of the presented data in a thorough and non-hasty manner. </w:t>
      </w:r>
      <w:r w:rsidR="009851D1">
        <w:rPr>
          <w:rFonts w:cs="Arial"/>
          <w:lang w:val="en-US"/>
        </w:rPr>
        <w:t>BSP members actively participate in the research and development</w:t>
      </w:r>
      <w:r w:rsidR="0089399F">
        <w:rPr>
          <w:rFonts w:cs="Arial"/>
          <w:lang w:val="en-US"/>
        </w:rPr>
        <w:t xml:space="preserve"> and innovation (R&amp;D&amp;I)</w:t>
      </w:r>
      <w:r w:rsidR="009851D1">
        <w:rPr>
          <w:rFonts w:cs="Arial"/>
          <w:lang w:val="en-US"/>
        </w:rPr>
        <w:t xml:space="preserve">, as well as introduction of the cutting-edge environmental and low-carbon technologies for the sustainable biofuels, </w:t>
      </w:r>
      <w:r w:rsidR="009851D1" w:rsidRPr="00281D2D">
        <w:rPr>
          <w:rFonts w:cs="Arial"/>
          <w:lang w:val="en-US"/>
        </w:rPr>
        <w:t>liquefied natural gas (LNG)</w:t>
      </w:r>
      <w:r w:rsidR="009851D1">
        <w:rPr>
          <w:rFonts w:cs="Arial"/>
          <w:lang w:val="en-US"/>
        </w:rPr>
        <w:t xml:space="preserve">, and more. </w:t>
      </w:r>
      <w:r w:rsidR="009851D1" w:rsidRPr="009851D1">
        <w:rPr>
          <w:rFonts w:cs="Arial"/>
        </w:rPr>
        <w:t xml:space="preserve">Irrespective of the </w:t>
      </w:r>
      <w:r w:rsidR="009851D1" w:rsidRPr="009851D1">
        <w:rPr>
          <w:rFonts w:cs="Arial"/>
        </w:rPr>
        <w:lastRenderedPageBreak/>
        <w:t xml:space="preserve">sector, the common denominator for the present multitude of challenges is the access to the dedicated funding </w:t>
      </w:r>
      <w:r w:rsidR="003A23F3">
        <w:rPr>
          <w:rFonts w:cs="Arial"/>
        </w:rPr>
        <w:t xml:space="preserve">and proper regulatory background </w:t>
      </w:r>
      <w:r w:rsidR="009851D1" w:rsidRPr="009851D1">
        <w:rPr>
          <w:rFonts w:cs="Arial"/>
        </w:rPr>
        <w:t>which would include the regional specifications, multiannual cycle of investments, as well as the availability of the emerging/break-through technologies.</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2EE838C9" w14:textId="2C606667" w:rsidR="00CA37CE" w:rsidRDefault="00CA37CE" w:rsidP="003E573C">
      <w:pPr>
        <w:rPr>
          <w:rFonts w:cs="Arial"/>
        </w:rPr>
      </w:pPr>
      <w:permStart w:id="2245015" w:edGrp="everyone"/>
      <w:r>
        <w:rPr>
          <w:rFonts w:cs="Arial"/>
        </w:rPr>
        <w:t xml:space="preserve">We fear that </w:t>
      </w:r>
      <w:r w:rsidR="00D44CE0">
        <w:rPr>
          <w:rFonts w:cs="Arial"/>
        </w:rPr>
        <w:t xml:space="preserve">the </w:t>
      </w:r>
      <w:r w:rsidR="00987774">
        <w:rPr>
          <w:rFonts w:cs="Arial"/>
        </w:rPr>
        <w:t xml:space="preserve">inclusion </w:t>
      </w:r>
      <w:r w:rsidR="00D44CE0">
        <w:rPr>
          <w:rFonts w:cs="Arial"/>
        </w:rPr>
        <w:t xml:space="preserve">of “good governance practices” </w:t>
      </w:r>
      <w:r w:rsidR="00987774">
        <w:rPr>
          <w:rFonts w:cs="Arial"/>
        </w:rPr>
        <w:t xml:space="preserve">in the RTS may lead to the element of confusion and may </w:t>
      </w:r>
      <w:r w:rsidR="00D44CE0">
        <w:rPr>
          <w:rFonts w:cs="Arial"/>
        </w:rPr>
        <w:t>cloud the governance message present in the NFRD, thus we find this idea expendable.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1D499EA0" w14:textId="471FA499" w:rsidR="0078649A" w:rsidRDefault="0078649A" w:rsidP="009028FC">
      <w:pPr>
        <w:jc w:val="both"/>
        <w:rPr>
          <w:rFonts w:cs="Arial"/>
        </w:rPr>
      </w:pPr>
      <w:permStart w:id="1182486711" w:edGrp="everyone"/>
      <w:r>
        <w:rPr>
          <w:rFonts w:cs="Arial"/>
        </w:rPr>
        <w:t xml:space="preserve">We find the prerequisite to define the </w:t>
      </w:r>
      <w:r w:rsidRPr="002A73F1">
        <w:t>“do not significantly harm” principle</w:t>
      </w:r>
      <w:r>
        <w:t xml:space="preserve"> absolutely inevitable for all market participants and in particular the industry to enable crucial investment and deployment of all technologies and solutions </w:t>
      </w:r>
      <w:r w:rsidR="00044B58">
        <w:t xml:space="preserve">contribute to curbing the greenhouse gas emissions. In light of the Taxonomy Regulation, the reporting for companies will need to take a new form for their processes and a development of the new system frameworks for that. This is related with significant alterations to their current status quo collection of data, processing, as well as assurance. </w:t>
      </w:r>
    </w:p>
    <w:p w14:paraId="0595D193" w14:textId="09454581" w:rsidR="003E573C" w:rsidRDefault="00B04A71" w:rsidP="009028FC">
      <w:pPr>
        <w:jc w:val="both"/>
        <w:rPr>
          <w:rFonts w:cs="Arial"/>
        </w:rPr>
      </w:pPr>
      <w:r>
        <w:rPr>
          <w:rFonts w:cs="Arial"/>
        </w:rPr>
        <w:t xml:space="preserve">Even though, it is not completely certain when the technical screening criteria with regard to disclosure will be available, we foresee very limited time between the publication of the delegated acts and their publication. It seems like there will be a certain overlap in the reporting obligations and the adaptations that companies will be faced with. Hence, we believe that European operators would benefit from a thought-through </w:t>
      </w:r>
      <w:r w:rsidR="00F27F52">
        <w:rPr>
          <w:rFonts w:cs="Arial"/>
        </w:rPr>
        <w:t xml:space="preserve">enforcement and transition time with particular focus on the disclosure requirements. There may be also a good planning of the of the level 2 final technical measures and the date of entering into force of the delegated acts. We would welcome technological neutrality to be ensured in the </w:t>
      </w:r>
      <w:r w:rsidR="00F27F52" w:rsidRPr="002A73F1">
        <w:t>“do not significantly harm” principle</w:t>
      </w:r>
      <w:r w:rsidR="00F27F52">
        <w:t>.</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lastRenderedPageBreak/>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3"/>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3"/>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3"/>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3"/>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BC194" w14:textId="77777777" w:rsidR="00D16591" w:rsidRDefault="00D16591">
      <w:r>
        <w:separator/>
      </w:r>
    </w:p>
    <w:p w14:paraId="7EAE3F33" w14:textId="77777777" w:rsidR="00D16591" w:rsidRDefault="00D16591"/>
  </w:endnote>
  <w:endnote w:type="continuationSeparator" w:id="0">
    <w:p w14:paraId="1FDF90D6" w14:textId="77777777" w:rsidR="00D16591" w:rsidRDefault="00D16591">
      <w:r>
        <w:continuationSeparator/>
      </w:r>
    </w:p>
    <w:p w14:paraId="5EC4228E" w14:textId="77777777" w:rsidR="00D16591" w:rsidRDefault="00D16591"/>
  </w:endnote>
  <w:endnote w:type="continuationNotice" w:id="1">
    <w:p w14:paraId="1B312E62" w14:textId="77777777" w:rsidR="00D16591" w:rsidRDefault="00D1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8649A" w:rsidRPr="00616B9B" w14:paraId="6A3CB0EF" w14:textId="77777777" w:rsidTr="00315E96">
      <w:trPr>
        <w:trHeight w:val="284"/>
      </w:trPr>
      <w:tc>
        <w:tcPr>
          <w:tcW w:w="8460" w:type="dxa"/>
        </w:tcPr>
        <w:p w14:paraId="6A3CB0ED" w14:textId="77777777" w:rsidR="0078649A" w:rsidRPr="00315E96" w:rsidRDefault="0078649A" w:rsidP="00315E96">
          <w:pPr>
            <w:pStyle w:val="00Footer"/>
            <w:rPr>
              <w:lang w:val="fr-FR"/>
            </w:rPr>
          </w:pPr>
        </w:p>
      </w:tc>
      <w:tc>
        <w:tcPr>
          <w:tcW w:w="952" w:type="dxa"/>
        </w:tcPr>
        <w:p w14:paraId="6A3CB0EE" w14:textId="6FB17F54" w:rsidR="0078649A" w:rsidRPr="00616B9B" w:rsidRDefault="0078649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5</w:t>
          </w:r>
          <w:r w:rsidRPr="00616B9B">
            <w:rPr>
              <w:rFonts w:cs="Arial"/>
              <w:noProof/>
              <w:sz w:val="22"/>
              <w:szCs w:val="22"/>
            </w:rPr>
            <w:fldChar w:fldCharType="end"/>
          </w:r>
        </w:p>
      </w:tc>
    </w:tr>
  </w:tbl>
  <w:p w14:paraId="6A3CB0F0" w14:textId="77777777" w:rsidR="0078649A" w:rsidRDefault="007864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78649A" w:rsidRDefault="0078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A9D0C" w14:textId="77777777" w:rsidR="00D16591" w:rsidRDefault="00D16591">
      <w:r>
        <w:separator/>
      </w:r>
    </w:p>
    <w:p w14:paraId="0A3796DA" w14:textId="77777777" w:rsidR="00D16591" w:rsidRDefault="00D16591"/>
  </w:footnote>
  <w:footnote w:type="continuationSeparator" w:id="0">
    <w:p w14:paraId="2E8E5474" w14:textId="77777777" w:rsidR="00D16591" w:rsidRDefault="00D16591">
      <w:r>
        <w:continuationSeparator/>
      </w:r>
    </w:p>
    <w:p w14:paraId="254AADB3" w14:textId="77777777" w:rsidR="00D16591" w:rsidRDefault="00D16591"/>
  </w:footnote>
  <w:footnote w:type="continuationNotice" w:id="1">
    <w:p w14:paraId="5569AAA0" w14:textId="77777777" w:rsidR="00D16591" w:rsidRDefault="00D16591"/>
  </w:footnote>
  <w:footnote w:id="2">
    <w:p w14:paraId="52F26208" w14:textId="77777777" w:rsidR="0078649A" w:rsidRDefault="0078649A" w:rsidP="00197794">
      <w:pPr>
        <w:pStyle w:val="Tekstprzypisudolnego"/>
      </w:pPr>
      <w:r>
        <w:rPr>
          <w:rStyle w:val="Odwoanieprzypisudolnego"/>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78649A" w:rsidRDefault="0078649A">
    <w:pPr>
      <w:pStyle w:val="Nagwek"/>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78649A" w:rsidRDefault="0078649A" w:rsidP="00013CCE">
    <w:pPr>
      <w:pStyle w:val="Nagwek"/>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78649A" w:rsidRDefault="007864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8649A" w:rsidRPr="002F4496" w14:paraId="6A3CB0F5" w14:textId="77777777" w:rsidTr="000C06C9">
      <w:trPr>
        <w:trHeight w:val="284"/>
      </w:trPr>
      <w:tc>
        <w:tcPr>
          <w:tcW w:w="8460" w:type="dxa"/>
        </w:tcPr>
        <w:p w14:paraId="6A3CB0F3" w14:textId="77777777" w:rsidR="0078649A" w:rsidRPr="000C3B6D" w:rsidRDefault="0078649A" w:rsidP="000C06C9">
          <w:pPr>
            <w:pStyle w:val="00Footer"/>
            <w:rPr>
              <w:lang w:val="fr-FR"/>
            </w:rPr>
          </w:pPr>
        </w:p>
      </w:tc>
      <w:tc>
        <w:tcPr>
          <w:tcW w:w="952" w:type="dxa"/>
        </w:tcPr>
        <w:p w14:paraId="6A3CB0F4" w14:textId="77777777" w:rsidR="0078649A" w:rsidRPr="00146B34" w:rsidRDefault="0078649A" w:rsidP="000C06C9">
          <w:pPr>
            <w:pStyle w:val="00aPagenumber"/>
            <w:rPr>
              <w:lang w:val="fr-FR"/>
            </w:rPr>
          </w:pPr>
        </w:p>
      </w:tc>
    </w:tr>
  </w:tbl>
  <w:p w14:paraId="6A3CB0F6" w14:textId="77777777" w:rsidR="0078649A" w:rsidRPr="00DB46C3" w:rsidRDefault="0078649A">
    <w:pPr>
      <w:rPr>
        <w:lang w:val="fr-FR"/>
      </w:rPr>
    </w:pPr>
  </w:p>
  <w:p w14:paraId="6A3CB0F7" w14:textId="77777777" w:rsidR="0078649A" w:rsidRPr="002F4496" w:rsidRDefault="0078649A">
    <w:pPr>
      <w:pStyle w:val="Nagwek"/>
      <w:rPr>
        <w:lang w:val="fr-FR"/>
      </w:rPr>
    </w:pPr>
  </w:p>
  <w:p w14:paraId="6A3CB0F8" w14:textId="77777777" w:rsidR="0078649A" w:rsidRPr="002F4496" w:rsidRDefault="0078649A" w:rsidP="000C06C9">
    <w:pPr>
      <w:pStyle w:val="Nagwek"/>
      <w:tabs>
        <w:tab w:val="clear" w:pos="4536"/>
        <w:tab w:val="clear" w:pos="9072"/>
        <w:tab w:val="left" w:pos="8227"/>
      </w:tabs>
      <w:rPr>
        <w:lang w:val="fr-FR"/>
      </w:rPr>
    </w:pPr>
  </w:p>
  <w:p w14:paraId="6A3CB0F9" w14:textId="77777777" w:rsidR="0078649A" w:rsidRPr="002F4496" w:rsidRDefault="0078649A" w:rsidP="000C06C9">
    <w:pPr>
      <w:pStyle w:val="Nagwek"/>
      <w:tabs>
        <w:tab w:val="clear" w:pos="4536"/>
        <w:tab w:val="clear" w:pos="9072"/>
        <w:tab w:val="left" w:pos="8227"/>
      </w:tabs>
      <w:rPr>
        <w:lang w:val="fr-FR"/>
      </w:rPr>
    </w:pPr>
  </w:p>
  <w:p w14:paraId="6A3CB0FA" w14:textId="77777777" w:rsidR="0078649A" w:rsidRPr="002F4496" w:rsidRDefault="0078649A">
    <w:pPr>
      <w:pStyle w:val="Nagwek"/>
      <w:rPr>
        <w:lang w:val="fr-FR"/>
      </w:rPr>
    </w:pPr>
  </w:p>
  <w:p w14:paraId="6A3CB0FB" w14:textId="77777777" w:rsidR="0078649A" w:rsidRPr="002F4496" w:rsidRDefault="0078649A">
    <w:pPr>
      <w:pStyle w:val="Nagwek"/>
      <w:rPr>
        <w:lang w:val="fr-FR"/>
      </w:rPr>
    </w:pPr>
  </w:p>
  <w:p w14:paraId="6A3CB0FC" w14:textId="77777777" w:rsidR="0078649A" w:rsidRPr="002F4496" w:rsidRDefault="0078649A">
    <w:pPr>
      <w:pStyle w:val="Nagwek"/>
      <w:rPr>
        <w:lang w:val="fr-FR"/>
      </w:rPr>
    </w:pPr>
  </w:p>
  <w:p w14:paraId="6A3CB0FD" w14:textId="77777777" w:rsidR="0078649A" w:rsidRPr="002F4496" w:rsidRDefault="0078649A">
    <w:pPr>
      <w:pStyle w:val="Nagwek"/>
      <w:rPr>
        <w:lang w:val="fr-FR"/>
      </w:rPr>
    </w:pPr>
  </w:p>
  <w:p w14:paraId="6A3CB0FE" w14:textId="77777777" w:rsidR="0078649A" w:rsidRPr="002F4496" w:rsidRDefault="0078649A">
    <w:pPr>
      <w:pStyle w:val="Nagwek"/>
      <w:rPr>
        <w:highlight w:val="yellow"/>
        <w:lang w:val="fr-FR"/>
      </w:rPr>
    </w:pPr>
  </w:p>
  <w:p w14:paraId="6A3CB0FF" w14:textId="05D5FF53" w:rsidR="0078649A" w:rsidRDefault="0078649A">
    <w:pPr>
      <w:pStyle w:val="Nagwek"/>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131A1"/>
    <w:multiLevelType w:val="multilevel"/>
    <w:tmpl w:val="65D61A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8F1451"/>
    <w:multiLevelType w:val="hybridMultilevel"/>
    <w:tmpl w:val="6592EBD4"/>
    <w:lvl w:ilvl="0" w:tplc="16229A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4E60709"/>
    <w:multiLevelType w:val="hybridMultilevel"/>
    <w:tmpl w:val="F8D0EF20"/>
    <w:lvl w:ilvl="0" w:tplc="F5E607D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C4349E8"/>
    <w:multiLevelType w:val="hybridMultilevel"/>
    <w:tmpl w:val="C2000024"/>
    <w:lvl w:ilvl="0" w:tplc="08A85E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7"/>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6"/>
  </w:num>
  <w:num w:numId="15">
    <w:abstractNumId w:val="10"/>
  </w:num>
  <w:num w:numId="16">
    <w:abstractNumId w:val="1"/>
  </w:num>
  <w:num w:numId="17">
    <w:abstractNumId w:val="17"/>
  </w:num>
  <w:num w:numId="18">
    <w:abstractNumId w:val="18"/>
  </w:num>
  <w:num w:numId="19">
    <w:abstractNumId w:val="20"/>
  </w:num>
  <w:num w:numId="20">
    <w:abstractNumId w:val="31"/>
  </w:num>
  <w:num w:numId="21">
    <w:abstractNumId w:val="42"/>
  </w:num>
  <w:num w:numId="22">
    <w:abstractNumId w:val="29"/>
  </w:num>
  <w:num w:numId="23">
    <w:abstractNumId w:val="9"/>
  </w:num>
  <w:num w:numId="24">
    <w:abstractNumId w:val="35"/>
  </w:num>
  <w:num w:numId="25">
    <w:abstractNumId w:val="34"/>
  </w:num>
  <w:num w:numId="26">
    <w:abstractNumId w:val="22"/>
  </w:num>
  <w:num w:numId="27">
    <w:abstractNumId w:val="38"/>
  </w:num>
  <w:num w:numId="28">
    <w:abstractNumId w:val="44"/>
  </w:num>
  <w:num w:numId="29">
    <w:abstractNumId w:val="7"/>
  </w:num>
  <w:num w:numId="30">
    <w:abstractNumId w:val="2"/>
  </w:num>
  <w:num w:numId="31">
    <w:abstractNumId w:val="25"/>
  </w:num>
  <w:num w:numId="32">
    <w:abstractNumId w:val="23"/>
  </w:num>
  <w:num w:numId="33">
    <w:abstractNumId w:val="41"/>
  </w:num>
  <w:num w:numId="34">
    <w:abstractNumId w:val="40"/>
  </w:num>
  <w:num w:numId="35">
    <w:abstractNumId w:val="11"/>
  </w:num>
  <w:num w:numId="36">
    <w:abstractNumId w:val="13"/>
  </w:num>
  <w:num w:numId="37">
    <w:abstractNumId w:val="15"/>
  </w:num>
  <w:num w:numId="38">
    <w:abstractNumId w:val="28"/>
  </w:num>
  <w:num w:numId="39">
    <w:abstractNumId w:val="24"/>
  </w:num>
  <w:num w:numId="40">
    <w:abstractNumId w:val="39"/>
  </w:num>
  <w:num w:numId="41">
    <w:abstractNumId w:val="6"/>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88"/>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4B58"/>
    <w:rsid w:val="000463A6"/>
    <w:rsid w:val="00046CC9"/>
    <w:rsid w:val="00046E91"/>
    <w:rsid w:val="000502FE"/>
    <w:rsid w:val="0005126D"/>
    <w:rsid w:val="00051992"/>
    <w:rsid w:val="00051DFE"/>
    <w:rsid w:val="00051E9A"/>
    <w:rsid w:val="000521A7"/>
    <w:rsid w:val="00052F47"/>
    <w:rsid w:val="0005399B"/>
    <w:rsid w:val="00054DE6"/>
    <w:rsid w:val="000550A9"/>
    <w:rsid w:val="000569D7"/>
    <w:rsid w:val="000576D7"/>
    <w:rsid w:val="00057970"/>
    <w:rsid w:val="00060F72"/>
    <w:rsid w:val="00062592"/>
    <w:rsid w:val="000636A1"/>
    <w:rsid w:val="000649D9"/>
    <w:rsid w:val="00064D40"/>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3EC9"/>
    <w:rsid w:val="00094C4C"/>
    <w:rsid w:val="00096762"/>
    <w:rsid w:val="000969C8"/>
    <w:rsid w:val="0009752D"/>
    <w:rsid w:val="00097AEE"/>
    <w:rsid w:val="000A014A"/>
    <w:rsid w:val="000A03B9"/>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59A"/>
    <w:rsid w:val="00110D7A"/>
    <w:rsid w:val="00111464"/>
    <w:rsid w:val="0011167D"/>
    <w:rsid w:val="00112892"/>
    <w:rsid w:val="00112E48"/>
    <w:rsid w:val="001130EA"/>
    <w:rsid w:val="00113265"/>
    <w:rsid w:val="00114259"/>
    <w:rsid w:val="001148DD"/>
    <w:rsid w:val="001168B2"/>
    <w:rsid w:val="00117C20"/>
    <w:rsid w:val="00120F0E"/>
    <w:rsid w:val="00121BED"/>
    <w:rsid w:val="00123D39"/>
    <w:rsid w:val="001244CD"/>
    <w:rsid w:val="001255B4"/>
    <w:rsid w:val="0012566F"/>
    <w:rsid w:val="001262B1"/>
    <w:rsid w:val="00130F41"/>
    <w:rsid w:val="00130FAF"/>
    <w:rsid w:val="00135F2B"/>
    <w:rsid w:val="001366DA"/>
    <w:rsid w:val="001372DD"/>
    <w:rsid w:val="001405BA"/>
    <w:rsid w:val="00141497"/>
    <w:rsid w:val="0014253A"/>
    <w:rsid w:val="001425C8"/>
    <w:rsid w:val="001431AE"/>
    <w:rsid w:val="00143B87"/>
    <w:rsid w:val="001459E3"/>
    <w:rsid w:val="00146A0B"/>
    <w:rsid w:val="0014761E"/>
    <w:rsid w:val="00151907"/>
    <w:rsid w:val="00152FD8"/>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2D53"/>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273B"/>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1F"/>
    <w:rsid w:val="001E66EC"/>
    <w:rsid w:val="001E68C5"/>
    <w:rsid w:val="001F0F63"/>
    <w:rsid w:val="001F3996"/>
    <w:rsid w:val="001F44A4"/>
    <w:rsid w:val="001F579D"/>
    <w:rsid w:val="001F65EF"/>
    <w:rsid w:val="001F697B"/>
    <w:rsid w:val="002005A6"/>
    <w:rsid w:val="00200838"/>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D2D"/>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70BA"/>
    <w:rsid w:val="002A0C82"/>
    <w:rsid w:val="002A0CD8"/>
    <w:rsid w:val="002A13EB"/>
    <w:rsid w:val="002A30E8"/>
    <w:rsid w:val="002A3483"/>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C5A"/>
    <w:rsid w:val="002C2EFE"/>
    <w:rsid w:val="002C3BDA"/>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1AD"/>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274"/>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2B1F"/>
    <w:rsid w:val="0035455E"/>
    <w:rsid w:val="00354A6F"/>
    <w:rsid w:val="00354B48"/>
    <w:rsid w:val="00355789"/>
    <w:rsid w:val="003557F4"/>
    <w:rsid w:val="00355EE4"/>
    <w:rsid w:val="00356369"/>
    <w:rsid w:val="00357C60"/>
    <w:rsid w:val="003609B6"/>
    <w:rsid w:val="00360D74"/>
    <w:rsid w:val="00361119"/>
    <w:rsid w:val="00362F62"/>
    <w:rsid w:val="0036538D"/>
    <w:rsid w:val="00365D12"/>
    <w:rsid w:val="0037018D"/>
    <w:rsid w:val="00372299"/>
    <w:rsid w:val="00372F02"/>
    <w:rsid w:val="00373729"/>
    <w:rsid w:val="00373C91"/>
    <w:rsid w:val="003748F0"/>
    <w:rsid w:val="003755C6"/>
    <w:rsid w:val="00375604"/>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23F3"/>
    <w:rsid w:val="003A3EC4"/>
    <w:rsid w:val="003A5DAC"/>
    <w:rsid w:val="003A6591"/>
    <w:rsid w:val="003A6E9A"/>
    <w:rsid w:val="003B08C8"/>
    <w:rsid w:val="003B2567"/>
    <w:rsid w:val="003B381A"/>
    <w:rsid w:val="003B4976"/>
    <w:rsid w:val="003B4B3F"/>
    <w:rsid w:val="003B6258"/>
    <w:rsid w:val="003B7A99"/>
    <w:rsid w:val="003C0343"/>
    <w:rsid w:val="003C0E87"/>
    <w:rsid w:val="003C1C32"/>
    <w:rsid w:val="003C2A5C"/>
    <w:rsid w:val="003C33BE"/>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3F7915"/>
    <w:rsid w:val="00400195"/>
    <w:rsid w:val="0040075B"/>
    <w:rsid w:val="0040254B"/>
    <w:rsid w:val="00403086"/>
    <w:rsid w:val="00403460"/>
    <w:rsid w:val="004040FF"/>
    <w:rsid w:val="00404284"/>
    <w:rsid w:val="004042C4"/>
    <w:rsid w:val="00406E90"/>
    <w:rsid w:val="00407232"/>
    <w:rsid w:val="00407F2E"/>
    <w:rsid w:val="00410240"/>
    <w:rsid w:val="00411A18"/>
    <w:rsid w:val="00412253"/>
    <w:rsid w:val="004142ED"/>
    <w:rsid w:val="004144C5"/>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D6D"/>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3A7"/>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5B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514B"/>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1F"/>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4C2"/>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57C8"/>
    <w:rsid w:val="00606240"/>
    <w:rsid w:val="0060674A"/>
    <w:rsid w:val="00607832"/>
    <w:rsid w:val="0060784B"/>
    <w:rsid w:val="00610254"/>
    <w:rsid w:val="006105FB"/>
    <w:rsid w:val="00610F94"/>
    <w:rsid w:val="00611293"/>
    <w:rsid w:val="0061135E"/>
    <w:rsid w:val="006113D6"/>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36E"/>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56719"/>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89D"/>
    <w:rsid w:val="00691B7C"/>
    <w:rsid w:val="006920C8"/>
    <w:rsid w:val="00694B73"/>
    <w:rsid w:val="00694DF2"/>
    <w:rsid w:val="00695F80"/>
    <w:rsid w:val="006966CD"/>
    <w:rsid w:val="00696735"/>
    <w:rsid w:val="006975D4"/>
    <w:rsid w:val="0069780E"/>
    <w:rsid w:val="00697D13"/>
    <w:rsid w:val="006A171A"/>
    <w:rsid w:val="006A24D5"/>
    <w:rsid w:val="006A2CA2"/>
    <w:rsid w:val="006A717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2D2"/>
    <w:rsid w:val="006D4F0C"/>
    <w:rsid w:val="006D5645"/>
    <w:rsid w:val="006E0A4F"/>
    <w:rsid w:val="006E0C8A"/>
    <w:rsid w:val="006E2A23"/>
    <w:rsid w:val="006E35E5"/>
    <w:rsid w:val="006E3C72"/>
    <w:rsid w:val="006E4F20"/>
    <w:rsid w:val="006E649A"/>
    <w:rsid w:val="006F08DC"/>
    <w:rsid w:val="006F1D42"/>
    <w:rsid w:val="006F21BA"/>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46E"/>
    <w:rsid w:val="00754A9B"/>
    <w:rsid w:val="00754AC4"/>
    <w:rsid w:val="0075525A"/>
    <w:rsid w:val="00755609"/>
    <w:rsid w:val="00755986"/>
    <w:rsid w:val="00755C86"/>
    <w:rsid w:val="00755E19"/>
    <w:rsid w:val="00756BFF"/>
    <w:rsid w:val="00756D77"/>
    <w:rsid w:val="00760041"/>
    <w:rsid w:val="007605C7"/>
    <w:rsid w:val="00760B08"/>
    <w:rsid w:val="00760E6E"/>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49A"/>
    <w:rsid w:val="0078666B"/>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18"/>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7E0"/>
    <w:rsid w:val="007C49C0"/>
    <w:rsid w:val="007C55C1"/>
    <w:rsid w:val="007C5738"/>
    <w:rsid w:val="007C5772"/>
    <w:rsid w:val="007C5AC3"/>
    <w:rsid w:val="007C7233"/>
    <w:rsid w:val="007D10EE"/>
    <w:rsid w:val="007D1193"/>
    <w:rsid w:val="007D21D5"/>
    <w:rsid w:val="007D3E8D"/>
    <w:rsid w:val="007D513B"/>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56C5"/>
    <w:rsid w:val="007F621C"/>
    <w:rsid w:val="007F7155"/>
    <w:rsid w:val="007F7B93"/>
    <w:rsid w:val="00800C28"/>
    <w:rsid w:val="0080245E"/>
    <w:rsid w:val="00803480"/>
    <w:rsid w:val="0080359C"/>
    <w:rsid w:val="008037AE"/>
    <w:rsid w:val="008043F4"/>
    <w:rsid w:val="00804BB4"/>
    <w:rsid w:val="00805191"/>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129"/>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47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399F"/>
    <w:rsid w:val="008941B9"/>
    <w:rsid w:val="0089442C"/>
    <w:rsid w:val="00895818"/>
    <w:rsid w:val="008A2585"/>
    <w:rsid w:val="008A2718"/>
    <w:rsid w:val="008A4CF6"/>
    <w:rsid w:val="008A4E42"/>
    <w:rsid w:val="008A51AA"/>
    <w:rsid w:val="008A6A12"/>
    <w:rsid w:val="008B0DC6"/>
    <w:rsid w:val="008B2B9E"/>
    <w:rsid w:val="008B31F5"/>
    <w:rsid w:val="008B4C79"/>
    <w:rsid w:val="008B4DEA"/>
    <w:rsid w:val="008B5D2D"/>
    <w:rsid w:val="008B6361"/>
    <w:rsid w:val="008C0320"/>
    <w:rsid w:val="008C2A81"/>
    <w:rsid w:val="008C3863"/>
    <w:rsid w:val="008C4BDC"/>
    <w:rsid w:val="008C50FF"/>
    <w:rsid w:val="008C5435"/>
    <w:rsid w:val="008C6BD1"/>
    <w:rsid w:val="008D1BD4"/>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7B0"/>
    <w:rsid w:val="008F65D5"/>
    <w:rsid w:val="008F6851"/>
    <w:rsid w:val="008F7BC4"/>
    <w:rsid w:val="00900E7A"/>
    <w:rsid w:val="009028FC"/>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A76"/>
    <w:rsid w:val="00945FD1"/>
    <w:rsid w:val="00946CCC"/>
    <w:rsid w:val="00947A5F"/>
    <w:rsid w:val="00947D4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51D1"/>
    <w:rsid w:val="00987774"/>
    <w:rsid w:val="00987829"/>
    <w:rsid w:val="00991276"/>
    <w:rsid w:val="009915F0"/>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337"/>
    <w:rsid w:val="009D0D55"/>
    <w:rsid w:val="009D1334"/>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0B1E"/>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2D3F"/>
    <w:rsid w:val="00A136F4"/>
    <w:rsid w:val="00A150F7"/>
    <w:rsid w:val="00A160D3"/>
    <w:rsid w:val="00A16DC9"/>
    <w:rsid w:val="00A20225"/>
    <w:rsid w:val="00A24269"/>
    <w:rsid w:val="00A243E4"/>
    <w:rsid w:val="00A25ED4"/>
    <w:rsid w:val="00A263DA"/>
    <w:rsid w:val="00A26C5C"/>
    <w:rsid w:val="00A30507"/>
    <w:rsid w:val="00A30BDE"/>
    <w:rsid w:val="00A3131C"/>
    <w:rsid w:val="00A31F14"/>
    <w:rsid w:val="00A324DC"/>
    <w:rsid w:val="00A32B5A"/>
    <w:rsid w:val="00A33CCC"/>
    <w:rsid w:val="00A33ECB"/>
    <w:rsid w:val="00A342D4"/>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7DC"/>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761"/>
    <w:rsid w:val="00AB6B5E"/>
    <w:rsid w:val="00AC047F"/>
    <w:rsid w:val="00AC3934"/>
    <w:rsid w:val="00AC50C8"/>
    <w:rsid w:val="00AC5581"/>
    <w:rsid w:val="00AC56AD"/>
    <w:rsid w:val="00AC61BD"/>
    <w:rsid w:val="00AC61BE"/>
    <w:rsid w:val="00AD0CB4"/>
    <w:rsid w:val="00AD11E9"/>
    <w:rsid w:val="00AD1D9B"/>
    <w:rsid w:val="00AD1FF2"/>
    <w:rsid w:val="00AD2A21"/>
    <w:rsid w:val="00AD2E60"/>
    <w:rsid w:val="00AD3B43"/>
    <w:rsid w:val="00AD4FF2"/>
    <w:rsid w:val="00AD506C"/>
    <w:rsid w:val="00AD6BE5"/>
    <w:rsid w:val="00AD7675"/>
    <w:rsid w:val="00AD77EC"/>
    <w:rsid w:val="00AD783E"/>
    <w:rsid w:val="00AE1393"/>
    <w:rsid w:val="00AE32B5"/>
    <w:rsid w:val="00AE3BC6"/>
    <w:rsid w:val="00AE3E2F"/>
    <w:rsid w:val="00AE4D4F"/>
    <w:rsid w:val="00AE627C"/>
    <w:rsid w:val="00AE62B0"/>
    <w:rsid w:val="00AE68A2"/>
    <w:rsid w:val="00AF0029"/>
    <w:rsid w:val="00AF0354"/>
    <w:rsid w:val="00AF1236"/>
    <w:rsid w:val="00AF267F"/>
    <w:rsid w:val="00AF38AF"/>
    <w:rsid w:val="00AF3C29"/>
    <w:rsid w:val="00AF4401"/>
    <w:rsid w:val="00AF4463"/>
    <w:rsid w:val="00AF53CB"/>
    <w:rsid w:val="00AF65C5"/>
    <w:rsid w:val="00B03CE2"/>
    <w:rsid w:val="00B04A71"/>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66E25"/>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759"/>
    <w:rsid w:val="00B93CDA"/>
    <w:rsid w:val="00B942E9"/>
    <w:rsid w:val="00B9433A"/>
    <w:rsid w:val="00B948EE"/>
    <w:rsid w:val="00B94BF3"/>
    <w:rsid w:val="00B94F90"/>
    <w:rsid w:val="00B95DC5"/>
    <w:rsid w:val="00B9651B"/>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0B35"/>
    <w:rsid w:val="00C90D32"/>
    <w:rsid w:val="00C923B7"/>
    <w:rsid w:val="00C94D4C"/>
    <w:rsid w:val="00CA012C"/>
    <w:rsid w:val="00CA0AA6"/>
    <w:rsid w:val="00CA2897"/>
    <w:rsid w:val="00CA37CE"/>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68BF"/>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1C7C"/>
    <w:rsid w:val="00D0272C"/>
    <w:rsid w:val="00D045CE"/>
    <w:rsid w:val="00D05082"/>
    <w:rsid w:val="00D06163"/>
    <w:rsid w:val="00D07AFD"/>
    <w:rsid w:val="00D11749"/>
    <w:rsid w:val="00D12A7D"/>
    <w:rsid w:val="00D13AB0"/>
    <w:rsid w:val="00D1519E"/>
    <w:rsid w:val="00D152B7"/>
    <w:rsid w:val="00D16591"/>
    <w:rsid w:val="00D16EDC"/>
    <w:rsid w:val="00D17FDE"/>
    <w:rsid w:val="00D201CB"/>
    <w:rsid w:val="00D22786"/>
    <w:rsid w:val="00D228B4"/>
    <w:rsid w:val="00D25AC4"/>
    <w:rsid w:val="00D305F6"/>
    <w:rsid w:val="00D30B25"/>
    <w:rsid w:val="00D3175A"/>
    <w:rsid w:val="00D31A00"/>
    <w:rsid w:val="00D323E4"/>
    <w:rsid w:val="00D32871"/>
    <w:rsid w:val="00D33881"/>
    <w:rsid w:val="00D341A5"/>
    <w:rsid w:val="00D34282"/>
    <w:rsid w:val="00D362FA"/>
    <w:rsid w:val="00D366B1"/>
    <w:rsid w:val="00D37AE0"/>
    <w:rsid w:val="00D416A8"/>
    <w:rsid w:val="00D4217D"/>
    <w:rsid w:val="00D4257C"/>
    <w:rsid w:val="00D425AC"/>
    <w:rsid w:val="00D42823"/>
    <w:rsid w:val="00D42D5E"/>
    <w:rsid w:val="00D43F14"/>
    <w:rsid w:val="00D44C18"/>
    <w:rsid w:val="00D44CE0"/>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2CBE"/>
    <w:rsid w:val="00D75603"/>
    <w:rsid w:val="00D75FEE"/>
    <w:rsid w:val="00D76933"/>
    <w:rsid w:val="00D76D88"/>
    <w:rsid w:val="00D77CC9"/>
    <w:rsid w:val="00D8396F"/>
    <w:rsid w:val="00D83D4B"/>
    <w:rsid w:val="00D871C6"/>
    <w:rsid w:val="00D91010"/>
    <w:rsid w:val="00D9120E"/>
    <w:rsid w:val="00D94EB7"/>
    <w:rsid w:val="00D97226"/>
    <w:rsid w:val="00D972C6"/>
    <w:rsid w:val="00DA0FA7"/>
    <w:rsid w:val="00DA12B0"/>
    <w:rsid w:val="00DA2BA0"/>
    <w:rsid w:val="00DA39AD"/>
    <w:rsid w:val="00DA5B13"/>
    <w:rsid w:val="00DA6917"/>
    <w:rsid w:val="00DA6926"/>
    <w:rsid w:val="00DB0965"/>
    <w:rsid w:val="00DB0E47"/>
    <w:rsid w:val="00DB22AD"/>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4DB7"/>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4C0F"/>
    <w:rsid w:val="00E2585D"/>
    <w:rsid w:val="00E25DBD"/>
    <w:rsid w:val="00E25FA2"/>
    <w:rsid w:val="00E2723D"/>
    <w:rsid w:val="00E27C77"/>
    <w:rsid w:val="00E3179E"/>
    <w:rsid w:val="00E32AC9"/>
    <w:rsid w:val="00E354DA"/>
    <w:rsid w:val="00E354F5"/>
    <w:rsid w:val="00E3552A"/>
    <w:rsid w:val="00E3687E"/>
    <w:rsid w:val="00E372DD"/>
    <w:rsid w:val="00E40974"/>
    <w:rsid w:val="00E40A5C"/>
    <w:rsid w:val="00E40AAB"/>
    <w:rsid w:val="00E41205"/>
    <w:rsid w:val="00E41F32"/>
    <w:rsid w:val="00E425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53A4"/>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68D5"/>
    <w:rsid w:val="00E8713B"/>
    <w:rsid w:val="00E90C61"/>
    <w:rsid w:val="00E90CA2"/>
    <w:rsid w:val="00E917A1"/>
    <w:rsid w:val="00E92A82"/>
    <w:rsid w:val="00E92AA8"/>
    <w:rsid w:val="00E9344E"/>
    <w:rsid w:val="00E93E39"/>
    <w:rsid w:val="00E94391"/>
    <w:rsid w:val="00E95D74"/>
    <w:rsid w:val="00E97411"/>
    <w:rsid w:val="00E97E2B"/>
    <w:rsid w:val="00EA0569"/>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82D"/>
    <w:rsid w:val="00EB3AA2"/>
    <w:rsid w:val="00EB4763"/>
    <w:rsid w:val="00EB5B17"/>
    <w:rsid w:val="00EB6CB7"/>
    <w:rsid w:val="00EC078B"/>
    <w:rsid w:val="00EC07A0"/>
    <w:rsid w:val="00EC08E4"/>
    <w:rsid w:val="00EC1154"/>
    <w:rsid w:val="00EC138E"/>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A03"/>
    <w:rsid w:val="00F24D9E"/>
    <w:rsid w:val="00F24E6F"/>
    <w:rsid w:val="00F26069"/>
    <w:rsid w:val="00F26B7E"/>
    <w:rsid w:val="00F27D7D"/>
    <w:rsid w:val="00F27F52"/>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533"/>
    <w:rsid w:val="00F80953"/>
    <w:rsid w:val="00F81312"/>
    <w:rsid w:val="00F819D1"/>
    <w:rsid w:val="00F81B90"/>
    <w:rsid w:val="00F81E6F"/>
    <w:rsid w:val="00F82FF3"/>
    <w:rsid w:val="00F8453C"/>
    <w:rsid w:val="00F84D4C"/>
    <w:rsid w:val="00F86176"/>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7D7"/>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05FD"/>
    <w:rsid w:val="00FE1330"/>
    <w:rsid w:val="00FE1CE5"/>
    <w:rsid w:val="00FE2832"/>
    <w:rsid w:val="00FE2D38"/>
    <w:rsid w:val="00FE3929"/>
    <w:rsid w:val="00FF097B"/>
    <w:rsid w:val="00FF0B6E"/>
    <w:rsid w:val="00FF1C1B"/>
    <w:rsid w:val="00FF2067"/>
    <w:rsid w:val="00FF2559"/>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uiPriority w:val="99"/>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uiPriority w:val="99"/>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uiPriority w:val="99"/>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8701E5"/>
    <w:rPr>
      <w:rFonts w:asciiTheme="minorHAnsi" w:eastAsiaTheme="minorEastAsia" w:hAnsiTheme="minorHAnsi" w:cstheme="minorBidi"/>
      <w:b/>
      <w:sz w:val="22"/>
      <w:lang w:eastAsia="en-US"/>
    </w:rPr>
  </w:style>
  <w:style w:type="paragraph" w:styleId="Podtytu">
    <w:name w:val="Subtitle"/>
    <w:basedOn w:val="Normalny"/>
    <w:next w:val="Normalny"/>
    <w:link w:val="PodtytuZnak"/>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PodtytuZnak">
    <w:name w:val="Podtytuł Znak"/>
    <w:basedOn w:val="Domylnaczcionkaakapitu"/>
    <w:link w:val="Podtytu"/>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Akapitzlist"/>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omylnaczcionkaakapitu"/>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omylnaczcionkaakapitu"/>
    <w:link w:val="myNormal0"/>
    <w:locked/>
    <w:rsid w:val="00AF38AF"/>
    <w:rPr>
      <w:rFonts w:ascii="Georgia" w:hAnsi="Georgia"/>
      <w:lang w:eastAsia="de-DE"/>
    </w:rPr>
  </w:style>
  <w:style w:type="paragraph" w:customStyle="1" w:styleId="myNormal0">
    <w:name w:val="myNormal"/>
    <w:basedOn w:val="Normalny"/>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Akapitzlist"/>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ny"/>
    <w:link w:val="Odwoanieprzypisudolnego"/>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6736536">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7E12D8E8-C9C5-4F1A-834A-74CE3B606BB0}">
  <ds:schemaRefs>
    <ds:schemaRef ds:uri="http://schemas.openxmlformats.org/officeDocument/2006/bibliography"/>
  </ds:schemaRefs>
</ds:datastoreItem>
</file>

<file path=customXml/itemProps5.xml><?xml version="1.0" encoding="utf-8"?>
<ds:datastoreItem xmlns:ds="http://schemas.openxmlformats.org/officeDocument/2006/customXml" ds:itemID="{25EE71F4-E265-4381-91CD-5310B88186A9}">
  <ds:schemaRefs>
    <ds:schemaRef ds:uri="http://schemas.openxmlformats.org/officeDocument/2006/bibliography"/>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3133</Words>
  <Characters>18800</Characters>
  <Application>Microsoft Office Word</Application>
  <DocSecurity>8</DocSecurity>
  <Lines>156</Lines>
  <Paragraphs>43</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21890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Anna Maria Kaczmarek</cp:lastModifiedBy>
  <cp:revision>3</cp:revision>
  <cp:lastPrinted>2015-02-18T11:01:00Z</cp:lastPrinted>
  <dcterms:created xsi:type="dcterms:W3CDTF">2020-09-01T21:48:00Z</dcterms:created>
  <dcterms:modified xsi:type="dcterms:W3CDTF">2020-09-01T21:50:00Z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