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6"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17" w:history="1">
        <w:r w:rsidRPr="00197794">
          <w:rPr>
            <w:rStyle w:val="Hyperlink"/>
            <w:rFonts w:cs="Arial"/>
            <w:sz w:val="22"/>
          </w:rPr>
          <w:t>Legal notice</w:t>
        </w:r>
      </w:hyperlink>
      <w:r w:rsidRPr="00197794">
        <w:rPr>
          <w:rFonts w:cs="Arial"/>
          <w:sz w:val="22"/>
        </w:rPr>
        <w:t xml:space="preserve"> section of the EBA website and under the </w:t>
      </w:r>
      <w:hyperlink r:id="rId18" w:history="1">
        <w:r w:rsidRPr="00197794">
          <w:rPr>
            <w:rStyle w:val="Hyperlink"/>
            <w:rFonts w:cs="Arial"/>
            <w:sz w:val="22"/>
          </w:rPr>
          <w:t>Legal notice</w:t>
        </w:r>
      </w:hyperlink>
      <w:r w:rsidRPr="00197794">
        <w:rPr>
          <w:rFonts w:cs="Arial"/>
          <w:sz w:val="22"/>
        </w:rPr>
        <w:t xml:space="preserve"> section of the EIOPA website and under the </w:t>
      </w:r>
      <w:hyperlink r:id="rId19"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92E22">
        <w:tc>
          <w:tcPr>
            <w:tcW w:w="3929" w:type="dxa"/>
            <w:shd w:val="clear" w:color="auto" w:fill="auto"/>
          </w:tcPr>
          <w:p w14:paraId="6A3CB050" w14:textId="77777777" w:rsidR="00B327E9" w:rsidRPr="00E40A5C" w:rsidRDefault="00B327E9" w:rsidP="00F92E22">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383151E3" w:rsidR="00B327E9" w:rsidRPr="00AB6D88" w:rsidRDefault="009600F9" w:rsidP="00F92E22">
                <w:pPr>
                  <w:rPr>
                    <w:rStyle w:val="PlaceholderText"/>
                    <w:rFonts w:cs="Arial"/>
                  </w:rPr>
                </w:pPr>
                <w:r>
                  <w:rPr>
                    <w:rStyle w:val="PlaceholderText"/>
                    <w:rFonts w:cs="Arial"/>
                  </w:rPr>
                  <w:t xml:space="preserve">Bloomberg L.P. </w:t>
                </w:r>
              </w:p>
            </w:tc>
          </w:sdtContent>
        </w:sdt>
      </w:tr>
      <w:tr w:rsidR="00B327E9" w:rsidRPr="00AB6D88" w14:paraId="6A3CB055" w14:textId="77777777" w:rsidTr="00F92E22">
        <w:tc>
          <w:tcPr>
            <w:tcW w:w="3929" w:type="dxa"/>
            <w:shd w:val="clear" w:color="auto" w:fill="auto"/>
          </w:tcPr>
          <w:p w14:paraId="6A3CB053" w14:textId="77777777" w:rsidR="00B327E9" w:rsidRPr="00E40A5C" w:rsidRDefault="00B327E9" w:rsidP="00F92E22">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1630EC6B" w:rsidR="00B327E9" w:rsidRPr="00AB6D88" w:rsidRDefault="00C563A0" w:rsidP="00F92E22">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F326C">
                  <w:rPr>
                    <w:rFonts w:cs="Arial"/>
                  </w:rPr>
                  <w:t>Other Financial service providers</w:t>
                </w:r>
              </w:sdtContent>
            </w:sdt>
          </w:p>
        </w:tc>
      </w:tr>
      <w:tr w:rsidR="00B327E9" w:rsidRPr="00AB6D88" w14:paraId="6A3CB058" w14:textId="77777777" w:rsidTr="00F92E22">
        <w:tc>
          <w:tcPr>
            <w:tcW w:w="3929" w:type="dxa"/>
            <w:shd w:val="clear" w:color="auto" w:fill="auto"/>
          </w:tcPr>
          <w:p w14:paraId="6A3CB056" w14:textId="77777777" w:rsidR="00B327E9" w:rsidRPr="00E40A5C" w:rsidRDefault="00B327E9" w:rsidP="00F92E22">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92E22">
                <w:pPr>
                  <w:rPr>
                    <w:rFonts w:cs="Arial"/>
                  </w:rPr>
                </w:pPr>
                <w:r>
                  <w:rPr>
                    <w:rFonts w:ascii="MS Gothic" w:eastAsia="MS Gothic" w:hAnsi="MS Gothic" w:cs="Arial" w:hint="eastAsia"/>
                  </w:rPr>
                  <w:t>☐</w:t>
                </w:r>
              </w:p>
            </w:tc>
          </w:sdtContent>
        </w:sdt>
      </w:tr>
      <w:tr w:rsidR="00B327E9" w:rsidRPr="00AB6D88" w14:paraId="6A3CB05B" w14:textId="77777777" w:rsidTr="00F92E22">
        <w:tc>
          <w:tcPr>
            <w:tcW w:w="3929" w:type="dxa"/>
            <w:shd w:val="clear" w:color="auto" w:fill="auto"/>
          </w:tcPr>
          <w:p w14:paraId="6A3CB059" w14:textId="77777777" w:rsidR="00B327E9" w:rsidRPr="00E40A5C" w:rsidRDefault="00B327E9" w:rsidP="00F92E22">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1015C0D" w:rsidR="00B327E9" w:rsidRPr="00AB6D88" w:rsidRDefault="004F326C" w:rsidP="00F92E22">
                <w:pPr>
                  <w:rPr>
                    <w:rFonts w:cs="Arial"/>
                  </w:rPr>
                </w:pPr>
                <w:r w:rsidRPr="000F25E0">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01FB0732" w14:textId="2EB05E20" w:rsidR="00B23F2A" w:rsidRDefault="00B23F2A" w:rsidP="00C563A0">
      <w:pPr>
        <w:jc w:val="both"/>
        <w:rPr>
          <w:rFonts w:cs="Arial"/>
          <w:color w:val="000000"/>
          <w:lang w:eastAsia="zh-CN"/>
        </w:rPr>
      </w:pPr>
      <w:permStart w:id="411981036" w:edGrp="everyone"/>
      <w:r>
        <w:rPr>
          <w:rFonts w:cs="Arial"/>
          <w:color w:val="000000"/>
        </w:rPr>
        <w:t xml:space="preserve">Bloomberg L.P. welcomes the opportunity to provide views to the </w:t>
      </w:r>
      <w:r w:rsidRPr="00E6407E">
        <w:rPr>
          <w:rFonts w:cs="Arial"/>
        </w:rPr>
        <w:t xml:space="preserve">European </w:t>
      </w:r>
      <w:r w:rsidR="00954704" w:rsidRPr="00E6407E">
        <w:rPr>
          <w:rFonts w:cs="Arial"/>
        </w:rPr>
        <w:t xml:space="preserve">Supervisory Authorities (ESAs) </w:t>
      </w:r>
      <w:r>
        <w:rPr>
          <w:rFonts w:cs="Arial"/>
          <w:color w:val="000000"/>
        </w:rPr>
        <w:t xml:space="preserve">on proposed guidelines for the Sustainable Finance Disclosure Regulation (SFDR). We see it as a key part of the EU's Sustainable Finance Action Plan, which we fully support. </w:t>
      </w:r>
    </w:p>
    <w:p w14:paraId="164FC3D6" w14:textId="77777777" w:rsidR="00B23F2A" w:rsidRDefault="00B23F2A" w:rsidP="00C563A0">
      <w:pPr>
        <w:jc w:val="both"/>
        <w:rPr>
          <w:rFonts w:cs="Arial"/>
          <w:color w:val="000000"/>
        </w:rPr>
      </w:pPr>
    </w:p>
    <w:p w14:paraId="0D18A4D7" w14:textId="77777777" w:rsidR="00B23F2A" w:rsidRDefault="00B23F2A" w:rsidP="00C563A0">
      <w:pPr>
        <w:jc w:val="both"/>
        <w:rPr>
          <w:rFonts w:cs="Arial"/>
          <w:color w:val="000000"/>
        </w:rPr>
      </w:pPr>
      <w:r>
        <w:rPr>
          <w:rFonts w:cs="Arial"/>
          <w:color w:val="000000"/>
        </w:rPr>
        <w:t xml:space="preserve">Bloomberg collects ‘company reported’ data from around 11,700 international companies representing over 84% of global market cap. Bloomberg L.P. covers more than 1,300 Environmental, Social and Governance data points alongside an additional 200 third party data sources, such as CDP questionnaires and other providers like MSCI, ISS, </w:t>
      </w:r>
      <w:proofErr w:type="spellStart"/>
      <w:r>
        <w:rPr>
          <w:rFonts w:cs="Arial"/>
          <w:color w:val="000000"/>
        </w:rPr>
        <w:t>Sustainalytics</w:t>
      </w:r>
      <w:proofErr w:type="spellEnd"/>
      <w:r>
        <w:rPr>
          <w:rFonts w:cs="Arial"/>
          <w:color w:val="000000"/>
        </w:rPr>
        <w:t xml:space="preserve"> and </w:t>
      </w:r>
      <w:proofErr w:type="spellStart"/>
      <w:r>
        <w:rPr>
          <w:rFonts w:cs="Arial"/>
          <w:color w:val="000000"/>
        </w:rPr>
        <w:t>RobeccoSAM</w:t>
      </w:r>
      <w:proofErr w:type="spellEnd"/>
      <w:r>
        <w:rPr>
          <w:rFonts w:cs="Arial"/>
          <w:color w:val="000000"/>
        </w:rPr>
        <w:t xml:space="preserve">. </w:t>
      </w:r>
    </w:p>
    <w:p w14:paraId="05788A26" w14:textId="77777777" w:rsidR="00B23F2A" w:rsidRDefault="00B23F2A" w:rsidP="00C563A0">
      <w:pPr>
        <w:jc w:val="both"/>
        <w:rPr>
          <w:rFonts w:cs="Arial"/>
          <w:color w:val="000000"/>
        </w:rPr>
      </w:pPr>
    </w:p>
    <w:p w14:paraId="7C589690" w14:textId="2231BF8B" w:rsidR="00B23F2A" w:rsidRDefault="00B23F2A" w:rsidP="00C563A0">
      <w:pPr>
        <w:jc w:val="both"/>
        <w:rPr>
          <w:rFonts w:cs="Arial"/>
          <w:color w:val="000000"/>
        </w:rPr>
      </w:pPr>
      <w:r>
        <w:rPr>
          <w:rFonts w:cs="Arial"/>
          <w:color w:val="000000"/>
        </w:rPr>
        <w:t>Bloomberg has mapped our data to the requirements laid out under Annex I of the consultation document and our recommendations are based on this work. Bloomberg L.P. will endeavour to collect further ‘company reported’ data required by financial market participants to fulfil the obligations under this regulation and we intend to fully support the execution of this regulation for Financial Market Participants.</w:t>
      </w:r>
    </w:p>
    <w:p w14:paraId="6D950C71" w14:textId="77777777" w:rsidR="00B23F2A" w:rsidRDefault="00B23F2A" w:rsidP="00C563A0">
      <w:pPr>
        <w:jc w:val="both"/>
        <w:rPr>
          <w:rFonts w:cs="Arial"/>
          <w:color w:val="000000"/>
        </w:rPr>
      </w:pPr>
    </w:p>
    <w:p w14:paraId="0A0B4E41" w14:textId="77777777" w:rsidR="00B23F2A" w:rsidRDefault="00B23F2A" w:rsidP="00C563A0">
      <w:pPr>
        <w:jc w:val="both"/>
        <w:rPr>
          <w:rFonts w:cs="Arial"/>
          <w:color w:val="000000"/>
        </w:rPr>
      </w:pPr>
      <w:r>
        <w:rPr>
          <w:rFonts w:cs="Arial"/>
          <w:color w:val="000000"/>
        </w:rPr>
        <w:t>Our comments are intended to highlight where there may be operational or data-led challenges with some of the proposals and recommendations. We also propose ways that data can be used to satisfy the objectives of the Sustainable Finance Disclosure Regulation.</w:t>
      </w:r>
    </w:p>
    <w:p w14:paraId="6EC5C92F" w14:textId="77777777" w:rsidR="00B23F2A" w:rsidRDefault="00B23F2A" w:rsidP="00C563A0">
      <w:pPr>
        <w:jc w:val="both"/>
        <w:rPr>
          <w:rFonts w:cs="Arial"/>
          <w:color w:val="000000"/>
        </w:rPr>
      </w:pPr>
    </w:p>
    <w:p w14:paraId="34C40B68" w14:textId="77777777" w:rsidR="00B23F2A" w:rsidRDefault="00B23F2A" w:rsidP="00C563A0">
      <w:pPr>
        <w:numPr>
          <w:ilvl w:val="0"/>
          <w:numId w:val="50"/>
        </w:numPr>
        <w:jc w:val="both"/>
        <w:rPr>
          <w:rFonts w:cs="Arial"/>
          <w:color w:val="000000"/>
        </w:rPr>
      </w:pPr>
      <w:r>
        <w:rPr>
          <w:rFonts w:cs="Arial"/>
          <w:color w:val="000000"/>
        </w:rPr>
        <w:t>Bloomberg is fully supportive of a set of ‘principle adverse indicators’ being used in annual reporting at an Entity or Manager level, in order to encourage greater disclosure of important environmental and social data attributes over time and encourage the right conversations between an investment firm and the corporates they invest in.</w:t>
      </w:r>
    </w:p>
    <w:p w14:paraId="5FF66E05" w14:textId="77777777" w:rsidR="00B23F2A" w:rsidRDefault="00B23F2A" w:rsidP="00C563A0">
      <w:pPr>
        <w:jc w:val="both"/>
        <w:rPr>
          <w:rFonts w:cs="Arial"/>
          <w:color w:val="000000"/>
        </w:rPr>
      </w:pPr>
    </w:p>
    <w:p w14:paraId="3314B58C" w14:textId="544C7398" w:rsidR="00954704" w:rsidRDefault="00B23F2A" w:rsidP="00C563A0">
      <w:pPr>
        <w:numPr>
          <w:ilvl w:val="0"/>
          <w:numId w:val="51"/>
        </w:numPr>
        <w:jc w:val="both"/>
        <w:rPr>
          <w:rFonts w:cs="Arial"/>
          <w:color w:val="000000"/>
        </w:rPr>
      </w:pPr>
      <w:r>
        <w:rPr>
          <w:rFonts w:cs="Arial"/>
          <w:color w:val="000000"/>
        </w:rPr>
        <w:t xml:space="preserve">But such indicators may not be applicable to all industries and sectors so we believe that the recommended data attributes suggested in Annex I should be updated to a smaller set of attributes with a common objective to encourage mindful investment behaviours and encourage corporate disclosure. </w:t>
      </w:r>
    </w:p>
    <w:p w14:paraId="4D79532F" w14:textId="77777777" w:rsidR="00954704" w:rsidRPr="00790B31" w:rsidRDefault="00954704" w:rsidP="00C563A0">
      <w:pPr>
        <w:ind w:left="720"/>
        <w:jc w:val="both"/>
        <w:rPr>
          <w:rFonts w:cs="Arial"/>
        </w:rPr>
      </w:pPr>
    </w:p>
    <w:p w14:paraId="1D218F42" w14:textId="524D3F6E" w:rsidR="00790B31" w:rsidRPr="00790B31" w:rsidRDefault="00790B31" w:rsidP="00C563A0">
      <w:pPr>
        <w:numPr>
          <w:ilvl w:val="0"/>
          <w:numId w:val="56"/>
        </w:numPr>
        <w:jc w:val="both"/>
        <w:rPr>
          <w:rFonts w:cs="Arial"/>
          <w:lang w:eastAsia="zh-CN"/>
        </w:rPr>
      </w:pPr>
      <w:r w:rsidRPr="00790B31">
        <w:rPr>
          <w:rFonts w:cs="Arial"/>
        </w:rPr>
        <w:t>Bloomberg also recommends clarifying the alignment between the disclosure requirements under the Taxonomy Regulation and under the SFDR: article 6 of the Taxonomy Regulation states that entities in scope under article 8.1 of SFDR are required to disclose the percentage of their funds aligned with the Taxonomy, or state that they don’t take sustainability into account in their investment process. Bloomberg thinks it is important to ensure alignment between the disclosure requirements from SFDR and the Taxonomy Regulation. Otherwise the compulsory EU disclosures will add further expenses in particular for small and medium sized asset managers, and may incentivise sub-standard or non-disclosure.</w:t>
      </w:r>
    </w:p>
    <w:p w14:paraId="59836BCB" w14:textId="77777777" w:rsidR="00661C5C" w:rsidRPr="00661C5C" w:rsidRDefault="00661C5C" w:rsidP="00C563A0">
      <w:pPr>
        <w:ind w:left="720"/>
        <w:jc w:val="both"/>
        <w:rPr>
          <w:rFonts w:cs="Arial"/>
          <w:color w:val="000000"/>
        </w:rPr>
      </w:pPr>
    </w:p>
    <w:p w14:paraId="43141B15" w14:textId="3C59CA37" w:rsidR="00B23F2A" w:rsidRPr="00661C5C" w:rsidRDefault="00B23F2A" w:rsidP="00C563A0">
      <w:pPr>
        <w:numPr>
          <w:ilvl w:val="0"/>
          <w:numId w:val="52"/>
        </w:numPr>
        <w:jc w:val="both"/>
        <w:rPr>
          <w:rFonts w:cs="Arial"/>
          <w:color w:val="000000"/>
        </w:rPr>
      </w:pPr>
      <w:r w:rsidRPr="00661C5C">
        <w:rPr>
          <w:rFonts w:cs="Arial"/>
          <w:color w:val="000000"/>
        </w:rPr>
        <w:t>Bloomberg recommend</w:t>
      </w:r>
      <w:r w:rsidR="00057467" w:rsidRPr="00661C5C">
        <w:rPr>
          <w:rFonts w:cs="Arial"/>
          <w:color w:val="000000"/>
        </w:rPr>
        <w:t>s</w:t>
      </w:r>
      <w:r w:rsidRPr="00661C5C">
        <w:rPr>
          <w:rFonts w:cs="Arial"/>
          <w:color w:val="000000"/>
        </w:rPr>
        <w:t xml:space="preserve"> a review of the treatment of non-reporting companies as there might be a disclosure bias. Some data points would treat non-reporting favourably, whilst others would treat it less favourably. The ideal reporting model should encourage disclosure, thus treating non-disclosure less favourably and making sure that the data tells a reliable and accurate story related to sustainable adverse impacts. </w:t>
      </w:r>
    </w:p>
    <w:p w14:paraId="755FDC8D" w14:textId="77777777" w:rsidR="00B23F2A" w:rsidRDefault="00B23F2A" w:rsidP="00C563A0">
      <w:pPr>
        <w:jc w:val="both"/>
        <w:rPr>
          <w:rFonts w:cs="Arial"/>
          <w:color w:val="000000"/>
        </w:rPr>
      </w:pPr>
    </w:p>
    <w:p w14:paraId="18BA04B1" w14:textId="77777777" w:rsidR="00B23F2A" w:rsidRDefault="00B23F2A" w:rsidP="00C563A0">
      <w:pPr>
        <w:jc w:val="both"/>
        <w:rPr>
          <w:rFonts w:cs="Arial"/>
          <w:color w:val="000000"/>
        </w:rPr>
      </w:pPr>
    </w:p>
    <w:p w14:paraId="20DDD139" w14:textId="77777777" w:rsidR="00C90F89" w:rsidRPr="00790B31" w:rsidRDefault="00C90F89" w:rsidP="00C563A0">
      <w:pPr>
        <w:pStyle w:val="ListParagraph"/>
        <w:numPr>
          <w:ilvl w:val="0"/>
          <w:numId w:val="54"/>
        </w:numPr>
        <w:jc w:val="both"/>
        <w:rPr>
          <w:rFonts w:cs="Arial"/>
          <w:lang w:eastAsia="zh-CN"/>
        </w:rPr>
      </w:pPr>
      <w:r w:rsidRPr="00790B31">
        <w:rPr>
          <w:rFonts w:cs="Arial"/>
        </w:rPr>
        <w:t>Bloomberg L.P. recommends that key data sets align with the TCFD framework, such as climate-related implications within governance, strategy, risk management, and metrics and targets. The TCFD’s 11 recommended disclosures provide a useful and already widely accepted framework for climate-related financial disclosures. Investee disclosure on climate risks and how they are monitoring and mitigating those risks would be a key component of demonstrating long termism in investment practices. The TCFD recommendations encompass many of the metrics on climate-related impacts outlined in Appendix I.</w:t>
      </w:r>
    </w:p>
    <w:p w14:paraId="78B04B06" w14:textId="77777777" w:rsidR="00C90F89" w:rsidRDefault="00C90F89" w:rsidP="00C563A0">
      <w:pPr>
        <w:jc w:val="both"/>
        <w:rPr>
          <w:rFonts w:cs="Arial"/>
          <w:color w:val="000000"/>
        </w:rPr>
      </w:pPr>
    </w:p>
    <w:p w14:paraId="589A8BE0" w14:textId="1D81AF2C" w:rsidR="00CC5D59" w:rsidRPr="00B23F2A" w:rsidRDefault="00B23F2A" w:rsidP="00C563A0">
      <w:pPr>
        <w:numPr>
          <w:ilvl w:val="0"/>
          <w:numId w:val="53"/>
        </w:numPr>
        <w:jc w:val="both"/>
        <w:rPr>
          <w:rFonts w:cs="Arial"/>
          <w:color w:val="000000"/>
        </w:rPr>
      </w:pPr>
      <w:r>
        <w:rPr>
          <w:rFonts w:cs="Arial"/>
          <w:color w:val="000000"/>
        </w:rPr>
        <w:t>Bloomberg would be supportive of harmonising the timeline around impact reporting. Data available for reporting is typically annual and reported with a lag to the existing financial reporting model. Bloomberg observes CSR and ESG reporting can occur 6 to 9 months after the company’s annual accounts, which means that the reference period should ideally be year n-1 relative to the reporting date. Bloomberg also believes that the current timeline proposed by ESMA needs further clarity for Financial Market Participants.</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1A8BA759" w14:textId="2DD7DDE6" w:rsidR="00F60963" w:rsidRDefault="009600F9" w:rsidP="00C563A0">
      <w:pPr>
        <w:jc w:val="both"/>
        <w:rPr>
          <w:rFonts w:cs="Arial"/>
        </w:rPr>
      </w:pPr>
      <w:permStart w:id="1221819945" w:edGrp="everyone"/>
      <w:r w:rsidRPr="00661C5C">
        <w:rPr>
          <w:rFonts w:cs="Arial"/>
        </w:rPr>
        <w:t xml:space="preserve">Bloomberg L.P. </w:t>
      </w:r>
      <w:r w:rsidR="00F60963" w:rsidRPr="00661C5C">
        <w:rPr>
          <w:rFonts w:cs="Arial"/>
        </w:rPr>
        <w:t xml:space="preserve"> </w:t>
      </w:r>
      <w:proofErr w:type="gramStart"/>
      <w:r w:rsidR="00F60963">
        <w:rPr>
          <w:rFonts w:cs="Arial"/>
        </w:rPr>
        <w:t>is</w:t>
      </w:r>
      <w:proofErr w:type="gramEnd"/>
      <w:r w:rsidR="00F60963">
        <w:rPr>
          <w:rFonts w:cs="Arial"/>
        </w:rPr>
        <w:t xml:space="preserve"> fully supportive of a set of ‘principle adverse indicators’ being used in annual reporting at an Entity or Manager level, as requested under Chapter II. We believe this will encourage greater disclosure of important environmental and social data attributes over time and encourage the right conversations between an investment firm and the corporates they invest in.</w:t>
      </w:r>
    </w:p>
    <w:p w14:paraId="1E11AEEF" w14:textId="77777777" w:rsidR="00F60963" w:rsidRDefault="00F60963" w:rsidP="00C563A0">
      <w:pPr>
        <w:jc w:val="both"/>
        <w:rPr>
          <w:rFonts w:cs="Arial"/>
        </w:rPr>
      </w:pPr>
    </w:p>
    <w:p w14:paraId="0B8EF3B5" w14:textId="5FFD3128" w:rsidR="00F60963" w:rsidRDefault="00F60963" w:rsidP="00C563A0">
      <w:pPr>
        <w:jc w:val="both"/>
        <w:rPr>
          <w:rFonts w:cs="Arial"/>
        </w:rPr>
      </w:pPr>
      <w:r>
        <w:rPr>
          <w:rFonts w:cs="Arial"/>
        </w:rPr>
        <w:t xml:space="preserve">We believe that the recommended data attributes suggested in Annex I </w:t>
      </w:r>
      <w:r w:rsidR="008266E9">
        <w:rPr>
          <w:rFonts w:cs="Arial"/>
        </w:rPr>
        <w:t>should be updated to a smaller set of attributes with a common objective to encourage mindful investment behaviours and</w:t>
      </w:r>
      <w:r w:rsidR="00414386">
        <w:rPr>
          <w:rFonts w:cs="Arial"/>
        </w:rPr>
        <w:t xml:space="preserve"> </w:t>
      </w:r>
      <w:r w:rsidR="008C36A3">
        <w:rPr>
          <w:rFonts w:cs="Arial"/>
        </w:rPr>
        <w:t>improve</w:t>
      </w:r>
      <w:r w:rsidR="008266E9">
        <w:rPr>
          <w:rFonts w:cs="Arial"/>
        </w:rPr>
        <w:t xml:space="preserve"> corporate disclosure. With this recommendation in mind, </w:t>
      </w:r>
      <w:r w:rsidR="009600F9">
        <w:rPr>
          <w:rFonts w:cs="Arial"/>
        </w:rPr>
        <w:t xml:space="preserve">Bloomberg L.P. </w:t>
      </w:r>
      <w:r w:rsidR="008266E9">
        <w:rPr>
          <w:rFonts w:cs="Arial"/>
        </w:rPr>
        <w:t xml:space="preserve">has observed the following data </w:t>
      </w:r>
      <w:r w:rsidR="000B6483">
        <w:rPr>
          <w:rFonts w:cs="Arial"/>
        </w:rPr>
        <w:t>discrepancies</w:t>
      </w:r>
      <w:r w:rsidR="002825A0">
        <w:rPr>
          <w:rFonts w:cs="Arial"/>
        </w:rPr>
        <w:t xml:space="preserve"> with the current recommendations.</w:t>
      </w:r>
      <w:r>
        <w:rPr>
          <w:rFonts w:cs="Arial"/>
        </w:rPr>
        <w:t xml:space="preserve"> </w:t>
      </w:r>
    </w:p>
    <w:p w14:paraId="46D16506" w14:textId="77777777" w:rsidR="008F0277" w:rsidRDefault="008F0277" w:rsidP="00C563A0">
      <w:pPr>
        <w:jc w:val="both"/>
        <w:rPr>
          <w:rFonts w:cs="Arial"/>
        </w:rPr>
      </w:pPr>
    </w:p>
    <w:p w14:paraId="515E3C80" w14:textId="31C9DBFA" w:rsidR="008544B3" w:rsidRDefault="009600F9" w:rsidP="00C563A0">
      <w:pPr>
        <w:jc w:val="both"/>
        <w:rPr>
          <w:rFonts w:cs="Arial"/>
        </w:rPr>
      </w:pPr>
      <w:r>
        <w:rPr>
          <w:rFonts w:cs="Arial"/>
        </w:rPr>
        <w:t xml:space="preserve">Bloomberg L.P. </w:t>
      </w:r>
      <w:r w:rsidR="008F0277">
        <w:rPr>
          <w:rFonts w:cs="Arial"/>
        </w:rPr>
        <w:t xml:space="preserve">would like to note that some data sets </w:t>
      </w:r>
      <w:r w:rsidR="00F23ED7">
        <w:rPr>
          <w:rFonts w:cs="Arial"/>
        </w:rPr>
        <w:t xml:space="preserve">required by SFDR </w:t>
      </w:r>
      <w:r w:rsidR="008F0277">
        <w:rPr>
          <w:rFonts w:cs="Arial"/>
        </w:rPr>
        <w:t>are subjective and thus difficult to collect at scale, without applying judgement</w:t>
      </w:r>
      <w:r w:rsidR="00FB485E">
        <w:rPr>
          <w:rFonts w:cs="Arial"/>
        </w:rPr>
        <w:t xml:space="preserve">. </w:t>
      </w:r>
      <w:r w:rsidR="00F23ED7">
        <w:rPr>
          <w:rFonts w:cs="Arial"/>
        </w:rPr>
        <w:t xml:space="preserve">Additionally, there is disclosure bias with certain policies and controversies. </w:t>
      </w:r>
      <w:r w:rsidR="00504A08">
        <w:rPr>
          <w:rFonts w:cs="Arial"/>
        </w:rPr>
        <w:t>For example:</w:t>
      </w:r>
      <w:r w:rsidR="008544B3">
        <w:rPr>
          <w:rFonts w:cs="Arial"/>
        </w:rPr>
        <w:t xml:space="preserve"> </w:t>
      </w:r>
    </w:p>
    <w:p w14:paraId="742F3829" w14:textId="13589A50" w:rsidR="00CC5D59" w:rsidRDefault="00CC5D59" w:rsidP="00C563A0">
      <w:pPr>
        <w:pStyle w:val="ListParagraph"/>
        <w:numPr>
          <w:ilvl w:val="0"/>
          <w:numId w:val="39"/>
        </w:numPr>
        <w:jc w:val="both"/>
        <w:rPr>
          <w:rFonts w:cs="Arial"/>
        </w:rPr>
      </w:pPr>
      <w:r>
        <w:rPr>
          <w:rFonts w:cs="Arial"/>
        </w:rPr>
        <w:t xml:space="preserve">Item 23: </w:t>
      </w:r>
      <w:r w:rsidRPr="00CC5D59">
        <w:rPr>
          <w:rFonts w:cs="Arial"/>
        </w:rPr>
        <w:t>Share of investments in entities without a human rights policy</w:t>
      </w:r>
      <w:r w:rsidR="008F0277">
        <w:rPr>
          <w:rFonts w:cs="Arial"/>
        </w:rPr>
        <w:t xml:space="preserve">. </w:t>
      </w:r>
      <w:r w:rsidR="009600F9">
        <w:rPr>
          <w:rFonts w:cs="Arial"/>
        </w:rPr>
        <w:t xml:space="preserve">Bloomberg L.P. </w:t>
      </w:r>
      <w:r w:rsidR="008F0277">
        <w:rPr>
          <w:rFonts w:cs="Arial"/>
        </w:rPr>
        <w:t>treats non-</w:t>
      </w:r>
      <w:r w:rsidR="00BE1AB4">
        <w:rPr>
          <w:rFonts w:cs="Arial"/>
        </w:rPr>
        <w:t>disclosers</w:t>
      </w:r>
      <w:r w:rsidR="008F0277">
        <w:rPr>
          <w:rFonts w:cs="Arial"/>
        </w:rPr>
        <w:t xml:space="preserve"> as non-compliant. So if you invested in 100 companies and only 5 disclose </w:t>
      </w:r>
      <w:r w:rsidR="00FB485E">
        <w:rPr>
          <w:rFonts w:cs="Arial"/>
        </w:rPr>
        <w:t xml:space="preserve">that </w:t>
      </w:r>
      <w:r w:rsidR="008F0277">
        <w:rPr>
          <w:rFonts w:cs="Arial"/>
        </w:rPr>
        <w:t>they have a human rights policy, then you would claim that 95% of your investments are without a disclosed human rights policy. This does not mean that 95% of your investments are in violation of human rights.</w:t>
      </w:r>
      <w:r w:rsidR="00F23ED7">
        <w:rPr>
          <w:rFonts w:cs="Arial"/>
        </w:rPr>
        <w:t xml:space="preserve"> This indicates a disclosure bias.</w:t>
      </w:r>
    </w:p>
    <w:p w14:paraId="1ED8B7D2" w14:textId="1DC71672" w:rsidR="00FB485E" w:rsidRDefault="008F0277" w:rsidP="00C563A0">
      <w:pPr>
        <w:pStyle w:val="ListParagraph"/>
        <w:numPr>
          <w:ilvl w:val="0"/>
          <w:numId w:val="39"/>
        </w:numPr>
        <w:jc w:val="both"/>
        <w:rPr>
          <w:rFonts w:cs="Arial"/>
        </w:rPr>
      </w:pPr>
      <w:r>
        <w:rPr>
          <w:rFonts w:cs="Arial"/>
        </w:rPr>
        <w:t xml:space="preserve">Item 24: Requests further clarity on </w:t>
      </w:r>
      <w:r w:rsidR="00FB485E">
        <w:rPr>
          <w:rFonts w:cs="Arial"/>
        </w:rPr>
        <w:t>the s</w:t>
      </w:r>
      <w:r w:rsidRPr="008F0277">
        <w:rPr>
          <w:rFonts w:cs="Arial"/>
        </w:rPr>
        <w:t>hare of investee companies without a due diligence process to identify, prevent, mitigate and address adverse human rights impacts</w:t>
      </w:r>
      <w:r>
        <w:rPr>
          <w:rFonts w:cs="Arial"/>
        </w:rPr>
        <w:t xml:space="preserve">. </w:t>
      </w:r>
      <w:r w:rsidR="009600F9">
        <w:rPr>
          <w:rFonts w:cs="Arial"/>
        </w:rPr>
        <w:t xml:space="preserve">Bloomberg L.P. </w:t>
      </w:r>
      <w:r>
        <w:rPr>
          <w:rFonts w:cs="Arial"/>
        </w:rPr>
        <w:t xml:space="preserve">would </w:t>
      </w:r>
      <w:r w:rsidR="00FB485E">
        <w:rPr>
          <w:rFonts w:cs="Arial"/>
        </w:rPr>
        <w:t>see this as</w:t>
      </w:r>
      <w:r w:rsidR="00F23ED7">
        <w:rPr>
          <w:rFonts w:cs="Arial"/>
        </w:rPr>
        <w:t xml:space="preserve"> included in</w:t>
      </w:r>
      <w:r w:rsidR="00FB485E">
        <w:rPr>
          <w:rFonts w:cs="Arial"/>
        </w:rPr>
        <w:t xml:space="preserve"> item 23, where we collect data that i</w:t>
      </w:r>
      <w:r w:rsidR="00FB485E" w:rsidRPr="00FB485E">
        <w:rPr>
          <w:rFonts w:cs="Arial"/>
        </w:rPr>
        <w:t xml:space="preserve">ndicates </w:t>
      </w:r>
      <w:r w:rsidR="00F23ED7">
        <w:rPr>
          <w:rFonts w:cs="Arial"/>
        </w:rPr>
        <w:t>that the corporate Human Rights Policy encompasses</w:t>
      </w:r>
      <w:r w:rsidR="00FB485E" w:rsidRPr="00FB485E">
        <w:rPr>
          <w:rFonts w:cs="Arial"/>
        </w:rPr>
        <w:t xml:space="preserve"> any initiatives to ensure the protection of the rights of all people it </w:t>
      </w:r>
      <w:r w:rsidR="00F23ED7">
        <w:rPr>
          <w:rFonts w:cs="Arial"/>
        </w:rPr>
        <w:t>engages</w:t>
      </w:r>
      <w:r w:rsidR="00FB485E" w:rsidRPr="00FB485E">
        <w:rPr>
          <w:rFonts w:cs="Arial"/>
        </w:rPr>
        <w:t xml:space="preserve"> with</w:t>
      </w:r>
      <w:r w:rsidR="00FB485E">
        <w:rPr>
          <w:rFonts w:cs="Arial"/>
        </w:rPr>
        <w:t>. There is an opportunity to supplement this with information such as</w:t>
      </w:r>
      <w:r>
        <w:rPr>
          <w:rFonts w:cs="Arial"/>
        </w:rPr>
        <w:t xml:space="preserve"> UNGC signatory </w:t>
      </w:r>
      <w:r w:rsidR="00FB485E">
        <w:rPr>
          <w:rFonts w:cs="Arial"/>
        </w:rPr>
        <w:t xml:space="preserve">lists </w:t>
      </w:r>
      <w:r>
        <w:rPr>
          <w:rFonts w:cs="Arial"/>
        </w:rPr>
        <w:t xml:space="preserve">or the Equator Principle </w:t>
      </w:r>
      <w:r w:rsidR="00FB485E">
        <w:rPr>
          <w:rFonts w:cs="Arial"/>
        </w:rPr>
        <w:t>s</w:t>
      </w:r>
      <w:r>
        <w:rPr>
          <w:rFonts w:cs="Arial"/>
        </w:rPr>
        <w:t xml:space="preserve">ignatory </w:t>
      </w:r>
      <w:r w:rsidR="00FB485E">
        <w:rPr>
          <w:rFonts w:cs="Arial"/>
        </w:rPr>
        <w:t xml:space="preserve">lists, but neither would fully satisfy the terms of item 24. </w:t>
      </w:r>
    </w:p>
    <w:p w14:paraId="6D03B855" w14:textId="4D368D8D" w:rsidR="008F0277" w:rsidRDefault="00FB485E" w:rsidP="00C563A0">
      <w:pPr>
        <w:pStyle w:val="ListParagraph"/>
        <w:numPr>
          <w:ilvl w:val="0"/>
          <w:numId w:val="39"/>
        </w:numPr>
        <w:jc w:val="both"/>
        <w:rPr>
          <w:rFonts w:cs="Arial"/>
        </w:rPr>
      </w:pPr>
      <w:r>
        <w:rPr>
          <w:rFonts w:cs="Arial"/>
        </w:rPr>
        <w:t>More meaningful data would be</w:t>
      </w:r>
      <w:r w:rsidR="008F0277">
        <w:rPr>
          <w:rFonts w:cs="Arial"/>
        </w:rPr>
        <w:t xml:space="preserve"> whether a company is in violation, </w:t>
      </w:r>
      <w:r w:rsidR="00D81A71">
        <w:rPr>
          <w:rFonts w:cs="Arial"/>
        </w:rPr>
        <w:t xml:space="preserve">such as that requested in </w:t>
      </w:r>
      <w:r w:rsidR="008F0277">
        <w:rPr>
          <w:rFonts w:cs="Arial"/>
        </w:rPr>
        <w:t>data point 28</w:t>
      </w:r>
      <w:r>
        <w:rPr>
          <w:rFonts w:cs="Arial"/>
        </w:rPr>
        <w:t>:</w:t>
      </w:r>
      <w:r w:rsidR="008F0277">
        <w:rPr>
          <w:rFonts w:cs="Arial"/>
        </w:rPr>
        <w:t xml:space="preserve"> </w:t>
      </w:r>
      <w:r w:rsidR="008F0277" w:rsidRPr="008F0277">
        <w:rPr>
          <w:rFonts w:cs="Arial"/>
        </w:rPr>
        <w:t>Number and nature of identified cases of severe human rights issues and incidents</w:t>
      </w:r>
      <w:r w:rsidR="008F0277">
        <w:rPr>
          <w:rFonts w:cs="Arial"/>
        </w:rPr>
        <w:t>.</w:t>
      </w:r>
      <w:r>
        <w:rPr>
          <w:rFonts w:cs="Arial"/>
        </w:rPr>
        <w:t xml:space="preserve"> However, treatment of non-reporters would be favourable. </w:t>
      </w:r>
      <w:r w:rsidR="00F23ED7">
        <w:rPr>
          <w:rFonts w:cs="Arial"/>
        </w:rPr>
        <w:t>Again, this indicates a disclosure bias.</w:t>
      </w:r>
    </w:p>
    <w:p w14:paraId="7194F2A1" w14:textId="4757F5D9" w:rsidR="00FB485E" w:rsidRDefault="00FB485E" w:rsidP="00C563A0">
      <w:pPr>
        <w:jc w:val="both"/>
        <w:rPr>
          <w:rFonts w:cs="Arial"/>
        </w:rPr>
      </w:pPr>
    </w:p>
    <w:p w14:paraId="151178F4" w14:textId="057CE5DC" w:rsidR="0079759A" w:rsidRDefault="009600F9" w:rsidP="00C563A0">
      <w:pPr>
        <w:jc w:val="both"/>
        <w:rPr>
          <w:rFonts w:cs="Arial"/>
        </w:rPr>
      </w:pPr>
      <w:r>
        <w:rPr>
          <w:rFonts w:cs="Arial"/>
        </w:rPr>
        <w:t xml:space="preserve">Bloomberg L.P. </w:t>
      </w:r>
      <w:r w:rsidR="00FB485E">
        <w:rPr>
          <w:rFonts w:cs="Arial"/>
        </w:rPr>
        <w:t xml:space="preserve">recommend a </w:t>
      </w:r>
      <w:r w:rsidR="00FB485E" w:rsidRPr="00F23ED7">
        <w:rPr>
          <w:rFonts w:cs="Arial"/>
          <w:b/>
          <w:bCs/>
        </w:rPr>
        <w:t xml:space="preserve">review of the treatment of </w:t>
      </w:r>
      <w:r w:rsidR="0079759A" w:rsidRPr="00F23ED7">
        <w:rPr>
          <w:rFonts w:cs="Arial"/>
          <w:b/>
          <w:bCs/>
        </w:rPr>
        <w:t>non-reporting</w:t>
      </w:r>
      <w:r w:rsidR="00FB485E" w:rsidRPr="00F23ED7">
        <w:rPr>
          <w:rFonts w:cs="Arial"/>
          <w:b/>
          <w:bCs/>
        </w:rPr>
        <w:t xml:space="preserve"> companies</w:t>
      </w:r>
      <w:r w:rsidR="0079759A">
        <w:rPr>
          <w:rFonts w:cs="Arial"/>
        </w:rPr>
        <w:t>. Some data points would treat non-reporting favourably, whilst others would treat it less favourably. The ideal reporting model should encourage disclosure, thus treating non-disclosure less favourably</w:t>
      </w:r>
      <w:r w:rsidR="002825A0">
        <w:rPr>
          <w:rFonts w:cs="Arial"/>
        </w:rPr>
        <w:t xml:space="preserve"> and making sure that the data tells a reliable and accurate story related to sustainable adverse impacts</w:t>
      </w:r>
      <w:r w:rsidR="0079759A">
        <w:rPr>
          <w:rFonts w:cs="Arial"/>
        </w:rPr>
        <w:t>.</w:t>
      </w:r>
      <w:r w:rsidR="00FB485E">
        <w:rPr>
          <w:rFonts w:cs="Arial"/>
        </w:rPr>
        <w:t xml:space="preserve"> For example</w:t>
      </w:r>
      <w:r w:rsidR="00D81A71">
        <w:rPr>
          <w:rFonts w:cs="Arial"/>
        </w:rPr>
        <w:t>:</w:t>
      </w:r>
    </w:p>
    <w:p w14:paraId="266BDD1E" w14:textId="4EB1764C" w:rsidR="00FB485E" w:rsidRDefault="0079759A" w:rsidP="00C563A0">
      <w:pPr>
        <w:pStyle w:val="ListParagraph"/>
        <w:numPr>
          <w:ilvl w:val="0"/>
          <w:numId w:val="40"/>
        </w:numPr>
        <w:jc w:val="both"/>
        <w:rPr>
          <w:rFonts w:cs="Arial"/>
        </w:rPr>
      </w:pPr>
      <w:r>
        <w:rPr>
          <w:rFonts w:cs="Arial"/>
        </w:rPr>
        <w:t xml:space="preserve">Item 5 under Social: </w:t>
      </w:r>
      <w:r w:rsidRPr="0079759A">
        <w:rPr>
          <w:rFonts w:cs="Arial"/>
        </w:rPr>
        <w:t>1. Number of incidents of discrimination reported in investee companies</w:t>
      </w:r>
      <w:r>
        <w:rPr>
          <w:rFonts w:cs="Arial"/>
        </w:rPr>
        <w:t>. C</w:t>
      </w:r>
      <w:r w:rsidR="00FB485E" w:rsidRPr="0079759A">
        <w:rPr>
          <w:rFonts w:cs="Arial"/>
        </w:rPr>
        <w:t xml:space="preserve">ompanies may not disclose incidents of discrimination, if they are protected by non-disclosure agreements. In the case of discrimination, a poorly performing company may not disclose this information, where as a well governed and transparent company would disclose this information. The data point alone, when aggregated across all investments within a reference period, </w:t>
      </w:r>
      <w:r>
        <w:rPr>
          <w:rFonts w:cs="Arial"/>
        </w:rPr>
        <w:t>c</w:t>
      </w:r>
      <w:r w:rsidR="00FB485E" w:rsidRPr="0079759A">
        <w:rPr>
          <w:rFonts w:cs="Arial"/>
        </w:rPr>
        <w:t>ould be misleading.</w:t>
      </w:r>
      <w:r w:rsidR="00F23ED7">
        <w:rPr>
          <w:rFonts w:cs="Arial"/>
        </w:rPr>
        <w:t xml:space="preserve"> Additionally, further clarification would be needed on which violations constitute an incident. Options available include; company reporting of incidents via the company’s internal reporting channels, claims made that have been verified by the company or claims that were addressed.</w:t>
      </w:r>
    </w:p>
    <w:p w14:paraId="11ED5F4A" w14:textId="718218CE" w:rsidR="0079759A" w:rsidRDefault="0079759A" w:rsidP="00C563A0">
      <w:pPr>
        <w:pStyle w:val="ListParagraph"/>
        <w:numPr>
          <w:ilvl w:val="0"/>
          <w:numId w:val="40"/>
        </w:numPr>
        <w:jc w:val="both"/>
        <w:rPr>
          <w:rFonts w:cs="Arial"/>
        </w:rPr>
      </w:pPr>
      <w:r>
        <w:rPr>
          <w:rFonts w:cs="Arial"/>
        </w:rPr>
        <w:t>Data points where non-</w:t>
      </w:r>
      <w:r w:rsidR="00BE1AB4">
        <w:rPr>
          <w:rFonts w:cs="Arial"/>
        </w:rPr>
        <w:t>disclosure</w:t>
      </w:r>
      <w:r>
        <w:rPr>
          <w:rFonts w:cs="Arial"/>
        </w:rPr>
        <w:t xml:space="preserve"> would be treated negatively: Item 9. Biodiversity and ecosystem preservation, item 11. Deforestation policy, item 17. ILO conventions, item 20. Board Gender Diversity, item 21. </w:t>
      </w:r>
      <w:r w:rsidR="00E80C47">
        <w:rPr>
          <w:rFonts w:cs="Arial"/>
        </w:rPr>
        <w:t>Whistle-blower</w:t>
      </w:r>
      <w:r>
        <w:rPr>
          <w:rFonts w:cs="Arial"/>
        </w:rPr>
        <w:t xml:space="preserve"> policy, item 22. Workplace accident prevention, item 23. Human rights policy, item </w:t>
      </w:r>
      <w:r w:rsidR="00B13E77">
        <w:rPr>
          <w:rFonts w:cs="Arial"/>
        </w:rPr>
        <w:t>25. Human trafficking policy, item 26. Child labour policy, item 27. Forced labour policy</w:t>
      </w:r>
      <w:r w:rsidR="00BE1AB4">
        <w:rPr>
          <w:rFonts w:cs="Arial"/>
        </w:rPr>
        <w:t>, item 30. Ant</w:t>
      </w:r>
      <w:r w:rsidR="00E80C47">
        <w:rPr>
          <w:rFonts w:cs="Arial"/>
        </w:rPr>
        <w:t>i</w:t>
      </w:r>
      <w:r w:rsidR="00BE1AB4">
        <w:rPr>
          <w:rFonts w:cs="Arial"/>
        </w:rPr>
        <w:t>-corruption policies</w:t>
      </w:r>
      <w:r w:rsidR="00FA2ED2">
        <w:rPr>
          <w:rFonts w:cs="Arial"/>
        </w:rPr>
        <w:t>.</w:t>
      </w:r>
    </w:p>
    <w:p w14:paraId="7B17883B" w14:textId="6440DF00" w:rsidR="00BE1AB4" w:rsidRPr="0079759A" w:rsidRDefault="00BE1AB4" w:rsidP="00C563A0">
      <w:pPr>
        <w:pStyle w:val="ListParagraph"/>
        <w:numPr>
          <w:ilvl w:val="0"/>
          <w:numId w:val="40"/>
        </w:numPr>
        <w:jc w:val="both"/>
        <w:rPr>
          <w:rFonts w:cs="Arial"/>
        </w:rPr>
      </w:pPr>
      <w:r>
        <w:rPr>
          <w:rFonts w:cs="Arial"/>
        </w:rPr>
        <w:t xml:space="preserve">Data points where non-disclosure would be treated positively: </w:t>
      </w:r>
      <w:r w:rsidR="00E80C47">
        <w:rPr>
          <w:rFonts w:cs="Arial"/>
        </w:rPr>
        <w:t xml:space="preserve">item 10. Where companies are operating in areas that affect conservation, item 12. Water emissions, item 13. Exposure to high water stress, item 14. Volume of untreated discharge waste water, item 15. Hazardous waste, item 16. </w:t>
      </w:r>
      <w:r w:rsidR="00E80C47">
        <w:rPr>
          <w:rFonts w:cs="Arial"/>
        </w:rPr>
        <w:lastRenderedPageBreak/>
        <w:t>Non-recycled waste, item</w:t>
      </w:r>
      <w:r w:rsidR="0015412F">
        <w:rPr>
          <w:rFonts w:cs="Arial"/>
        </w:rPr>
        <w:t xml:space="preserve"> </w:t>
      </w:r>
      <w:r w:rsidR="00E80C47">
        <w:rPr>
          <w:rFonts w:cs="Arial"/>
        </w:rPr>
        <w:t>28. Human rights incidents, item 29. Exposure to controversial weapons, item</w:t>
      </w:r>
      <w:r w:rsidR="0015412F">
        <w:rPr>
          <w:rFonts w:cs="Arial"/>
        </w:rPr>
        <w:t xml:space="preserve">s </w:t>
      </w:r>
      <w:r w:rsidR="00E80C47">
        <w:rPr>
          <w:rFonts w:cs="Arial"/>
        </w:rPr>
        <w:t>31 and 32 related to anti-bribery and corruption breaches.</w:t>
      </w:r>
    </w:p>
    <w:p w14:paraId="0F40177E" w14:textId="77777777" w:rsidR="00661C5C" w:rsidRDefault="00661C5C" w:rsidP="00C563A0">
      <w:pPr>
        <w:jc w:val="both"/>
        <w:rPr>
          <w:rFonts w:cs="Arial"/>
        </w:rPr>
      </w:pPr>
    </w:p>
    <w:p w14:paraId="7CBD3CA2" w14:textId="42F3E69E" w:rsidR="00E80C47" w:rsidRDefault="00E80C47" w:rsidP="00C563A0">
      <w:pPr>
        <w:jc w:val="both"/>
        <w:rPr>
          <w:rFonts w:cs="Arial"/>
        </w:rPr>
      </w:pPr>
      <w:r>
        <w:rPr>
          <w:rFonts w:cs="Arial"/>
        </w:rPr>
        <w:t xml:space="preserve">Regarding carbon </w:t>
      </w:r>
      <w:r w:rsidR="003E66EF">
        <w:rPr>
          <w:rFonts w:cs="Arial"/>
        </w:rPr>
        <w:t>foot printing</w:t>
      </w:r>
      <w:r>
        <w:rPr>
          <w:rFonts w:cs="Arial"/>
        </w:rPr>
        <w:t xml:space="preserve"> metrics, </w:t>
      </w:r>
      <w:r w:rsidR="009600F9">
        <w:rPr>
          <w:rFonts w:cs="Arial"/>
        </w:rPr>
        <w:t xml:space="preserve">Bloomberg L.P. </w:t>
      </w:r>
      <w:r w:rsidR="00C563A0">
        <w:rPr>
          <w:rFonts w:cs="Arial"/>
        </w:rPr>
        <w:t>has</w:t>
      </w:r>
      <w:r>
        <w:rPr>
          <w:rFonts w:cs="Arial"/>
        </w:rPr>
        <w:t xml:space="preserve"> a few observations:</w:t>
      </w:r>
    </w:p>
    <w:p w14:paraId="3918F4D9" w14:textId="5BB7B201" w:rsidR="00E80C47" w:rsidRDefault="00E80C47" w:rsidP="00C563A0">
      <w:pPr>
        <w:pStyle w:val="ListParagraph"/>
        <w:numPr>
          <w:ilvl w:val="0"/>
          <w:numId w:val="44"/>
        </w:numPr>
        <w:jc w:val="both"/>
        <w:rPr>
          <w:rFonts w:cs="Arial"/>
        </w:rPr>
      </w:pPr>
      <w:r>
        <w:rPr>
          <w:rFonts w:cs="Arial"/>
        </w:rPr>
        <w:t xml:space="preserve">The use of Enterprise Value as a denominator should be calculated in line with the updated benchmark reporting requirements and in line with the new EU labelled climate transition and </w:t>
      </w:r>
      <w:r w:rsidR="003E66EF">
        <w:rPr>
          <w:rFonts w:cs="Arial"/>
        </w:rPr>
        <w:t>P</w:t>
      </w:r>
      <w:r>
        <w:rPr>
          <w:rFonts w:cs="Arial"/>
        </w:rPr>
        <w:t>aris aligned benchmarks. Based on the current proposal, BMR includes cash but PAI excludes cash.</w:t>
      </w:r>
    </w:p>
    <w:p w14:paraId="318EF4AB" w14:textId="6A797550" w:rsidR="00192FEC" w:rsidRPr="004E6358" w:rsidRDefault="00192FEC" w:rsidP="00C563A0">
      <w:pPr>
        <w:pStyle w:val="ListParagraph"/>
        <w:numPr>
          <w:ilvl w:val="0"/>
          <w:numId w:val="44"/>
        </w:numPr>
        <w:jc w:val="both"/>
        <w:rPr>
          <w:rFonts w:cs="Arial"/>
        </w:rPr>
      </w:pPr>
      <w:r>
        <w:t xml:space="preserve">In practice, rare exceptions can occur in which firms report ‘cash equivalents’ but the financial market does not consider these truly as equivalent to cash and hence discounts their value, potentially leading to negative enterprise values. Thus </w:t>
      </w:r>
      <w:r w:rsidR="009600F9">
        <w:t xml:space="preserve">Bloomberg L.P. </w:t>
      </w:r>
      <w:r>
        <w:t>would recommend including cas</w:t>
      </w:r>
      <w:r w:rsidR="004E6358">
        <w:t xml:space="preserve">h </w:t>
      </w:r>
      <w:r w:rsidR="00057467" w:rsidRPr="005A558B">
        <w:t xml:space="preserve">and cash equivalents </w:t>
      </w:r>
      <w:r w:rsidR="004E6358">
        <w:t>in the Enterprise Value denominator.</w:t>
      </w:r>
    </w:p>
    <w:p w14:paraId="44C50890" w14:textId="12D5788B" w:rsidR="004E6358" w:rsidRPr="004E6358" w:rsidRDefault="004E6358" w:rsidP="00C563A0">
      <w:pPr>
        <w:pStyle w:val="ListParagraph"/>
        <w:numPr>
          <w:ilvl w:val="0"/>
          <w:numId w:val="44"/>
        </w:numPr>
        <w:jc w:val="both"/>
        <w:rPr>
          <w:rFonts w:cs="Arial"/>
        </w:rPr>
      </w:pPr>
      <w:r w:rsidRPr="004E6358">
        <w:rPr>
          <w:rFonts w:cs="Arial"/>
        </w:rPr>
        <w:t>An increasing average enterprise value of the investment held during the reference period can lead to an overall GHG intensity reduction where no actual GHG emissions</w:t>
      </w:r>
      <w:r>
        <w:rPr>
          <w:rFonts w:cs="Arial"/>
        </w:rPr>
        <w:t xml:space="preserve"> </w:t>
      </w:r>
      <w:r w:rsidRPr="004E6358">
        <w:rPr>
          <w:rFonts w:cs="Arial"/>
        </w:rPr>
        <w:t xml:space="preserve">reductions took place. Hence, </w:t>
      </w:r>
      <w:r>
        <w:rPr>
          <w:rFonts w:cs="Arial"/>
        </w:rPr>
        <w:t>we recommend</w:t>
      </w:r>
      <w:r w:rsidRPr="004E6358">
        <w:rPr>
          <w:rFonts w:cs="Arial"/>
        </w:rPr>
        <w:t xml:space="preserve"> adjust</w:t>
      </w:r>
      <w:r>
        <w:rPr>
          <w:rFonts w:cs="Arial"/>
        </w:rPr>
        <w:t>ing</w:t>
      </w:r>
      <w:r w:rsidRPr="004E6358">
        <w:rPr>
          <w:rFonts w:cs="Arial"/>
        </w:rPr>
        <w:t xml:space="preserve"> for inflation in enterprise values</w:t>
      </w:r>
      <w:r>
        <w:rPr>
          <w:rFonts w:cs="Arial"/>
        </w:rPr>
        <w:t xml:space="preserve"> for more accurate reporting.</w:t>
      </w:r>
    </w:p>
    <w:p w14:paraId="2261CFB9" w14:textId="093C98D7" w:rsidR="00E80C47" w:rsidRDefault="00F23ED7" w:rsidP="00C563A0">
      <w:pPr>
        <w:pStyle w:val="ListParagraph"/>
        <w:numPr>
          <w:ilvl w:val="0"/>
          <w:numId w:val="44"/>
        </w:numPr>
        <w:jc w:val="both"/>
        <w:rPr>
          <w:rFonts w:cs="Arial"/>
        </w:rPr>
      </w:pPr>
      <w:r>
        <w:rPr>
          <w:rFonts w:cs="Arial"/>
        </w:rPr>
        <w:t>Reporting</w:t>
      </w:r>
      <w:r w:rsidR="00E80C47">
        <w:rPr>
          <w:rFonts w:cs="Arial"/>
        </w:rPr>
        <w:t xml:space="preserve"> of Scope 3 emissions is </w:t>
      </w:r>
      <w:r>
        <w:rPr>
          <w:rFonts w:cs="Arial"/>
        </w:rPr>
        <w:t>inconsistent and incomplete therefore company reported data can be incomparable.</w:t>
      </w:r>
      <w:r w:rsidR="00E80C47">
        <w:rPr>
          <w:rFonts w:cs="Arial"/>
        </w:rPr>
        <w:t xml:space="preserve"> Financial Market Participants will therefore need to rely on Scope 3 estimates or proxies</w:t>
      </w:r>
      <w:r w:rsidR="002E486B">
        <w:rPr>
          <w:rFonts w:cs="Arial"/>
        </w:rPr>
        <w:t xml:space="preserve">. </w:t>
      </w:r>
      <w:r w:rsidR="002E486B">
        <w:t>Corporate Scope 3 emissions are significantly harder to estimate then Scope 1 or even Scope 2, whereby upstream Scope 3 emissions are even harder to estimate than downstream Scope 3 emissions</w:t>
      </w:r>
      <w:r>
        <w:t xml:space="preserve"> in certain sectors</w:t>
      </w:r>
      <w:r w:rsidR="00E80C47">
        <w:rPr>
          <w:rFonts w:cs="Arial"/>
        </w:rPr>
        <w:t xml:space="preserve">. Applying a similar opt-in model over 2-4 years as recommended by the TEG under the Benchmark reporting requirements would </w:t>
      </w:r>
      <w:r w:rsidR="00192FEC">
        <w:rPr>
          <w:rFonts w:cs="Arial"/>
        </w:rPr>
        <w:t>be advisable here.</w:t>
      </w:r>
    </w:p>
    <w:p w14:paraId="7924194A" w14:textId="2DD95EF7" w:rsidR="008544B3" w:rsidRPr="00661C5C" w:rsidRDefault="00927440" w:rsidP="00C563A0">
      <w:pPr>
        <w:pStyle w:val="ListParagraph"/>
        <w:numPr>
          <w:ilvl w:val="0"/>
          <w:numId w:val="44"/>
        </w:numPr>
        <w:jc w:val="both"/>
        <w:rPr>
          <w:rFonts w:cs="Arial"/>
          <w:i/>
          <w:iCs/>
        </w:rPr>
      </w:pPr>
      <w:r w:rsidRPr="00661C5C">
        <w:rPr>
          <w:rFonts w:cs="Arial"/>
        </w:rPr>
        <w:t>As mentioned in later question</w:t>
      </w:r>
      <w:r w:rsidR="00642B77" w:rsidRPr="00661C5C">
        <w:rPr>
          <w:rFonts w:cs="Arial"/>
        </w:rPr>
        <w:t>s</w:t>
      </w:r>
      <w:r w:rsidRPr="00661C5C">
        <w:rPr>
          <w:rFonts w:cs="Arial"/>
        </w:rPr>
        <w:t xml:space="preserve"> Bloomberg L.P. believes decarbonised trending is more indicative of good investment practice than carbon footprinting alone.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5F7A5F12" w14:textId="7810EC3B" w:rsidR="00F60963" w:rsidRDefault="009600F9" w:rsidP="00C563A0">
      <w:pPr>
        <w:jc w:val="both"/>
        <w:rPr>
          <w:rFonts w:cs="Arial"/>
        </w:rPr>
      </w:pPr>
      <w:permStart w:id="729947415" w:edGrp="everyone"/>
      <w:r>
        <w:rPr>
          <w:rFonts w:cs="Arial"/>
        </w:rPr>
        <w:t xml:space="preserve">Bloomberg L.P. </w:t>
      </w:r>
      <w:r w:rsidR="00F60963">
        <w:rPr>
          <w:rFonts w:cs="Arial"/>
        </w:rPr>
        <w:t xml:space="preserve">would like to note that the principle adverse indicators suggested in Annex I may not be applicable to all industries and sectors. We therefore recommend that either a common, smaller set of data points are mandatory with sector specific attributes added as required or that the treatment of ‘not applicable’ data sets is provided in the RTS. </w:t>
      </w:r>
    </w:p>
    <w:p w14:paraId="749E167E" w14:textId="77777777" w:rsidR="00F60963" w:rsidRDefault="00F60963" w:rsidP="00C563A0">
      <w:pPr>
        <w:jc w:val="both"/>
        <w:rPr>
          <w:rFonts w:cs="Arial"/>
        </w:rPr>
      </w:pPr>
    </w:p>
    <w:p w14:paraId="6FD1E19F" w14:textId="027A8CBA" w:rsidR="00F60963" w:rsidRDefault="00F60963" w:rsidP="00C563A0">
      <w:pPr>
        <w:jc w:val="both"/>
        <w:rPr>
          <w:rFonts w:cs="Arial"/>
        </w:rPr>
      </w:pPr>
      <w:r>
        <w:rPr>
          <w:rFonts w:cs="Arial"/>
        </w:rPr>
        <w:t>For example</w:t>
      </w:r>
      <w:r w:rsidR="00504A08">
        <w:rPr>
          <w:rFonts w:cs="Arial"/>
        </w:rPr>
        <w:t>,</w:t>
      </w:r>
      <w:r>
        <w:rPr>
          <w:rFonts w:cs="Arial"/>
        </w:rPr>
        <w:t xml:space="preserve"> some industries and sectors may not find that questions related to the treatment of hazardous waste, deforestation policies or water use are applicable to them. Leveraging a materiality framework</w:t>
      </w:r>
      <w:r w:rsidR="00073667">
        <w:rPr>
          <w:rFonts w:cs="Arial"/>
        </w:rPr>
        <w:t xml:space="preserve"> </w:t>
      </w:r>
      <w:r>
        <w:rPr>
          <w:rFonts w:cs="Arial"/>
        </w:rPr>
        <w:t>may be more prudent to highlight where certain sectors have environmental exposure and lead to more meaningful results.</w:t>
      </w:r>
    </w:p>
    <w:p w14:paraId="5DAE01B8" w14:textId="5F060B80" w:rsidR="00D767F5" w:rsidRPr="001F5DDA" w:rsidRDefault="00D767F5" w:rsidP="00C563A0">
      <w:pPr>
        <w:jc w:val="both"/>
        <w:rPr>
          <w:rFonts w:cs="Arial"/>
        </w:rPr>
      </w:pPr>
    </w:p>
    <w:p w14:paraId="095EA482" w14:textId="77777777" w:rsidR="00D767F5" w:rsidRPr="001F5DDA" w:rsidRDefault="00D767F5" w:rsidP="00C563A0">
      <w:pPr>
        <w:jc w:val="both"/>
        <w:rPr>
          <w:rFonts w:cs="Arial"/>
        </w:rPr>
      </w:pPr>
      <w:r w:rsidRPr="001F5DDA">
        <w:rPr>
          <w:rFonts w:cs="Arial"/>
        </w:rPr>
        <w:t>There are three main ways in which an investor can meaningfully contribute to sustainable outcomes:</w:t>
      </w:r>
    </w:p>
    <w:p w14:paraId="0ED9C28E" w14:textId="77777777" w:rsidR="00D767F5" w:rsidRPr="001F5DDA" w:rsidRDefault="00D767F5" w:rsidP="00C563A0">
      <w:pPr>
        <w:pStyle w:val="ListParagraph"/>
        <w:numPr>
          <w:ilvl w:val="0"/>
          <w:numId w:val="49"/>
        </w:numPr>
        <w:jc w:val="both"/>
        <w:rPr>
          <w:rFonts w:cs="Arial"/>
        </w:rPr>
      </w:pPr>
      <w:r w:rsidRPr="001F5DDA">
        <w:rPr>
          <w:rFonts w:cs="Arial"/>
        </w:rPr>
        <w:t xml:space="preserve">Capital allocation </w:t>
      </w:r>
    </w:p>
    <w:p w14:paraId="53098552" w14:textId="77777777" w:rsidR="00D767F5" w:rsidRPr="001F5DDA" w:rsidRDefault="00D767F5" w:rsidP="00C563A0">
      <w:pPr>
        <w:pStyle w:val="ListParagraph"/>
        <w:numPr>
          <w:ilvl w:val="0"/>
          <w:numId w:val="49"/>
        </w:numPr>
        <w:jc w:val="both"/>
        <w:rPr>
          <w:rFonts w:cs="Arial"/>
        </w:rPr>
      </w:pPr>
      <w:r w:rsidRPr="001F5DDA">
        <w:rPr>
          <w:rFonts w:cs="Arial"/>
        </w:rPr>
        <w:t>Corporate engagement</w:t>
      </w:r>
    </w:p>
    <w:p w14:paraId="2F4C7C6C" w14:textId="77777777" w:rsidR="00D767F5" w:rsidRPr="001F5DDA" w:rsidRDefault="00D767F5" w:rsidP="00C563A0">
      <w:pPr>
        <w:pStyle w:val="ListParagraph"/>
        <w:numPr>
          <w:ilvl w:val="0"/>
          <w:numId w:val="49"/>
        </w:numPr>
        <w:jc w:val="both"/>
        <w:rPr>
          <w:rFonts w:cs="Arial"/>
        </w:rPr>
      </w:pPr>
      <w:r w:rsidRPr="001F5DDA">
        <w:rPr>
          <w:rFonts w:cs="Arial"/>
        </w:rPr>
        <w:t>Voting/Ownership rights</w:t>
      </w:r>
    </w:p>
    <w:p w14:paraId="05F417AD" w14:textId="29434B8C" w:rsidR="00D767F5" w:rsidRPr="001F5DDA" w:rsidRDefault="00D767F5" w:rsidP="00C563A0">
      <w:pPr>
        <w:jc w:val="both"/>
        <w:rPr>
          <w:rFonts w:cs="Arial"/>
        </w:rPr>
      </w:pPr>
      <w:r w:rsidRPr="001F5DDA">
        <w:rPr>
          <w:rFonts w:cs="Arial"/>
        </w:rPr>
        <w:t>Given the primary data sets recommended within PAI are carbon footprinting, we feel this would suggest that FMPs who are actively involved in reducing the emissions profile of their investee companies would be incentivised to divest (option 1) and not to work with the company to decarbonise (option 2 and 3).</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6C9C34F0" w14:textId="3DEA429E" w:rsidR="00073667" w:rsidRPr="001F5DDA" w:rsidRDefault="00073667" w:rsidP="00C563A0">
      <w:pPr>
        <w:jc w:val="both"/>
      </w:pPr>
      <w:permStart w:id="677205538" w:edGrp="everyone"/>
      <w:r w:rsidRPr="001F5DDA">
        <w:t>As mentioned in response to Question</w:t>
      </w:r>
      <w:r w:rsidR="00D767F5" w:rsidRPr="001F5DDA">
        <w:t>s</w:t>
      </w:r>
      <w:r w:rsidRPr="001F5DDA">
        <w:t xml:space="preserve"> 1</w:t>
      </w:r>
      <w:r w:rsidR="00D767F5" w:rsidRPr="001F5DDA">
        <w:t xml:space="preserve"> and 2</w:t>
      </w:r>
      <w:r w:rsidRPr="001F5DDA">
        <w:t xml:space="preserve">, we are concerned that the proposed framework could provide a misleading account of </w:t>
      </w:r>
      <w:r w:rsidR="008D20B1" w:rsidRPr="001F5DDA">
        <w:t>investee behaviour</w:t>
      </w:r>
      <w:r w:rsidRPr="001F5DDA">
        <w:t xml:space="preserve"> or incentivise investors </w:t>
      </w:r>
      <w:r w:rsidR="008D20B1" w:rsidRPr="001F5DDA">
        <w:t xml:space="preserve">to act outside of the Regulations’ </w:t>
      </w:r>
      <w:r w:rsidR="008D20B1" w:rsidRPr="001F5DDA">
        <w:lastRenderedPageBreak/>
        <w:t>primary aims</w:t>
      </w:r>
      <w:r w:rsidRPr="001F5DDA">
        <w:t xml:space="preserve">. </w:t>
      </w:r>
      <w:r w:rsidR="009600F9" w:rsidRPr="001F5DDA">
        <w:t>Bloomberg L.P.</w:t>
      </w:r>
      <w:r w:rsidR="00C563A0">
        <w:t xml:space="preserve"> are</w:t>
      </w:r>
      <w:r w:rsidRPr="001F5DDA">
        <w:t xml:space="preserve"> also concerned that the proposed framework does not draw upon the recommendations from the Technical Expert Group regarding the EU Taxonomy. We would therefore ask that the ESAs and Commission develop and publish a clear overview of how this Regulation, the Taxonomy regulation and future amendments such as those proposed to the Non-Financial Reporting Directive will work in compl</w:t>
      </w:r>
      <w:r w:rsidR="00927440" w:rsidRPr="001F5DDA">
        <w:t>e</w:t>
      </w:r>
      <w:r w:rsidRPr="001F5DDA">
        <w:t>ment to one another.</w:t>
      </w:r>
    </w:p>
    <w:p w14:paraId="249E4841" w14:textId="77777777" w:rsidR="00073667" w:rsidRDefault="00073667" w:rsidP="00C563A0">
      <w:pPr>
        <w:jc w:val="both"/>
      </w:pPr>
    </w:p>
    <w:p w14:paraId="72A23BA0" w14:textId="3FA7D4DF" w:rsidR="003E573C" w:rsidRDefault="002825A0" w:rsidP="00C563A0">
      <w:pPr>
        <w:jc w:val="both"/>
        <w:rPr>
          <w:rFonts w:cs="Arial"/>
        </w:rPr>
      </w:pPr>
      <w:r>
        <w:rPr>
          <w:rFonts w:cs="Arial"/>
        </w:rPr>
        <w:t xml:space="preserve">The data suggested in Annex I should ensure that non-disclosure is </w:t>
      </w:r>
      <w:r w:rsidR="007A131F">
        <w:rPr>
          <w:rFonts w:cs="Arial"/>
        </w:rPr>
        <w:t>discouraged</w:t>
      </w:r>
      <w:r>
        <w:rPr>
          <w:rFonts w:cs="Arial"/>
        </w:rPr>
        <w:t xml:space="preserve">. The absence of data should indicate that a company is not performing in line with key </w:t>
      </w:r>
      <w:r w:rsidR="007A131F">
        <w:rPr>
          <w:rFonts w:cs="Arial"/>
        </w:rPr>
        <w:t>environmental</w:t>
      </w:r>
      <w:r>
        <w:rPr>
          <w:rFonts w:cs="Arial"/>
        </w:rPr>
        <w:t xml:space="preserve"> and social </w:t>
      </w:r>
      <w:r w:rsidR="007A131F">
        <w:rPr>
          <w:rFonts w:cs="Arial"/>
        </w:rPr>
        <w:t>objectives</w:t>
      </w:r>
      <w:r>
        <w:rPr>
          <w:rFonts w:cs="Arial"/>
        </w:rPr>
        <w:t xml:space="preserve"> under the Sustainable Finance Action Plan.</w:t>
      </w:r>
    </w:p>
    <w:p w14:paraId="05B3DA62" w14:textId="016A12DC" w:rsidR="007A131F" w:rsidRDefault="007A131F" w:rsidP="00C563A0">
      <w:pPr>
        <w:jc w:val="both"/>
        <w:rPr>
          <w:rFonts w:cs="Arial"/>
        </w:rPr>
      </w:pPr>
    </w:p>
    <w:p w14:paraId="5D6224FD" w14:textId="540304DF" w:rsidR="007A131F" w:rsidRDefault="009600F9" w:rsidP="00C563A0">
      <w:pPr>
        <w:jc w:val="both"/>
        <w:rPr>
          <w:rFonts w:cs="Arial"/>
        </w:rPr>
      </w:pPr>
      <w:r>
        <w:rPr>
          <w:rFonts w:cs="Arial"/>
        </w:rPr>
        <w:t xml:space="preserve">Bloomberg L.P. </w:t>
      </w:r>
      <w:r w:rsidR="007A131F">
        <w:rPr>
          <w:rFonts w:cs="Arial"/>
        </w:rPr>
        <w:t>would recommend that the principle adverse impacts ali</w:t>
      </w:r>
      <w:r w:rsidR="00497D8E">
        <w:rPr>
          <w:rFonts w:cs="Arial"/>
        </w:rPr>
        <w:t>g</w:t>
      </w:r>
      <w:r w:rsidR="007A131F">
        <w:rPr>
          <w:rFonts w:cs="Arial"/>
        </w:rPr>
        <w:t>ns with the data requirement under the Taxonomy Regulation related to minimum social safeguards. Data sets that would create overlap between the regimes includes:</w:t>
      </w:r>
    </w:p>
    <w:p w14:paraId="78470D94" w14:textId="3CD7BEA5" w:rsidR="007A131F" w:rsidRDefault="007A131F" w:rsidP="00C563A0">
      <w:pPr>
        <w:pStyle w:val="ListParagraph"/>
        <w:numPr>
          <w:ilvl w:val="0"/>
          <w:numId w:val="41"/>
        </w:numPr>
        <w:jc w:val="both"/>
        <w:rPr>
          <w:rFonts w:cs="Arial"/>
        </w:rPr>
      </w:pPr>
      <w:r>
        <w:rPr>
          <w:rFonts w:cs="Arial"/>
        </w:rPr>
        <w:t>Fair re</w:t>
      </w:r>
      <w:r w:rsidR="000B6483">
        <w:rPr>
          <w:rFonts w:cs="Arial"/>
        </w:rPr>
        <w:t>m</w:t>
      </w:r>
      <w:r>
        <w:rPr>
          <w:rFonts w:cs="Arial"/>
        </w:rPr>
        <w:t>u</w:t>
      </w:r>
      <w:r w:rsidR="000B6483">
        <w:rPr>
          <w:rFonts w:cs="Arial"/>
        </w:rPr>
        <w:t>n</w:t>
      </w:r>
      <w:r>
        <w:rPr>
          <w:rFonts w:cs="Arial"/>
        </w:rPr>
        <w:t>eration policy</w:t>
      </w:r>
    </w:p>
    <w:p w14:paraId="58E0E52B" w14:textId="77777777" w:rsidR="007A131F" w:rsidRDefault="007A131F" w:rsidP="00C563A0">
      <w:pPr>
        <w:pStyle w:val="ListParagraph"/>
        <w:numPr>
          <w:ilvl w:val="0"/>
          <w:numId w:val="41"/>
        </w:numPr>
        <w:jc w:val="both"/>
        <w:rPr>
          <w:rFonts w:cs="Arial"/>
        </w:rPr>
      </w:pPr>
      <w:r>
        <w:rPr>
          <w:rFonts w:cs="Arial"/>
        </w:rPr>
        <w:t>Human rights policy</w:t>
      </w:r>
    </w:p>
    <w:p w14:paraId="46C48CF2" w14:textId="77777777" w:rsidR="007A131F" w:rsidRDefault="007A131F" w:rsidP="00C563A0">
      <w:pPr>
        <w:pStyle w:val="ListParagraph"/>
        <w:numPr>
          <w:ilvl w:val="0"/>
          <w:numId w:val="41"/>
        </w:numPr>
        <w:jc w:val="both"/>
        <w:rPr>
          <w:rFonts w:cs="Arial"/>
        </w:rPr>
      </w:pPr>
      <w:r>
        <w:rPr>
          <w:rFonts w:cs="Arial"/>
        </w:rPr>
        <w:t>Policies against child labour</w:t>
      </w:r>
    </w:p>
    <w:p w14:paraId="648A6377" w14:textId="34988B10" w:rsidR="007A131F" w:rsidRDefault="007A131F" w:rsidP="00C563A0">
      <w:pPr>
        <w:pStyle w:val="ListParagraph"/>
        <w:numPr>
          <w:ilvl w:val="0"/>
          <w:numId w:val="41"/>
        </w:numPr>
        <w:jc w:val="both"/>
        <w:rPr>
          <w:rFonts w:cs="Arial"/>
        </w:rPr>
      </w:pPr>
      <w:r>
        <w:rPr>
          <w:rFonts w:cs="Arial"/>
        </w:rPr>
        <w:t>Equal opportunity policies</w:t>
      </w:r>
    </w:p>
    <w:p w14:paraId="5B1BB330" w14:textId="0D677A32" w:rsidR="007A131F" w:rsidRDefault="007A131F" w:rsidP="00C563A0">
      <w:pPr>
        <w:pStyle w:val="ListParagraph"/>
        <w:numPr>
          <w:ilvl w:val="0"/>
          <w:numId w:val="41"/>
        </w:numPr>
        <w:jc w:val="both"/>
        <w:rPr>
          <w:rFonts w:cs="Arial"/>
        </w:rPr>
      </w:pPr>
      <w:r>
        <w:rPr>
          <w:rFonts w:cs="Arial"/>
        </w:rPr>
        <w:t>Health and Safety policy</w:t>
      </w:r>
    </w:p>
    <w:p w14:paraId="55C78C1B" w14:textId="01D0E963" w:rsidR="007A131F" w:rsidRDefault="007A131F" w:rsidP="00C563A0">
      <w:pPr>
        <w:pStyle w:val="ListParagraph"/>
        <w:numPr>
          <w:ilvl w:val="0"/>
          <w:numId w:val="41"/>
        </w:numPr>
        <w:jc w:val="both"/>
        <w:rPr>
          <w:rFonts w:cs="Arial"/>
        </w:rPr>
      </w:pPr>
      <w:r>
        <w:rPr>
          <w:rFonts w:cs="Arial"/>
        </w:rPr>
        <w:t>UNGC signator</w:t>
      </w:r>
      <w:r w:rsidR="00D767F5">
        <w:rPr>
          <w:rFonts w:cs="Arial"/>
        </w:rPr>
        <w:t>ies</w:t>
      </w:r>
    </w:p>
    <w:p w14:paraId="60075CBD" w14:textId="1EA92E0F" w:rsidR="007A131F" w:rsidRDefault="007A131F" w:rsidP="00C563A0">
      <w:pPr>
        <w:pStyle w:val="ListParagraph"/>
        <w:numPr>
          <w:ilvl w:val="0"/>
          <w:numId w:val="41"/>
        </w:numPr>
        <w:jc w:val="both"/>
        <w:rPr>
          <w:rFonts w:cs="Arial"/>
        </w:rPr>
      </w:pPr>
      <w:r w:rsidRPr="007A131F">
        <w:rPr>
          <w:rFonts w:cs="Arial"/>
        </w:rPr>
        <w:t>Anti-Bribery Ethics Policy</w:t>
      </w:r>
    </w:p>
    <w:p w14:paraId="2C16C697" w14:textId="77777777" w:rsidR="007A131F" w:rsidRDefault="007A131F" w:rsidP="00C563A0">
      <w:pPr>
        <w:pStyle w:val="ListParagraph"/>
        <w:numPr>
          <w:ilvl w:val="0"/>
          <w:numId w:val="41"/>
        </w:numPr>
        <w:jc w:val="both"/>
        <w:rPr>
          <w:rFonts w:cs="Arial"/>
        </w:rPr>
      </w:pPr>
      <w:r>
        <w:rPr>
          <w:rFonts w:cs="Arial"/>
        </w:rPr>
        <w:t>Social supply chain management</w:t>
      </w:r>
    </w:p>
    <w:p w14:paraId="3B4D5E1A" w14:textId="355C2D72" w:rsidR="007A131F" w:rsidRDefault="007A131F" w:rsidP="00C563A0">
      <w:pPr>
        <w:jc w:val="both"/>
        <w:rPr>
          <w:rFonts w:cs="Arial"/>
        </w:rPr>
      </w:pPr>
    </w:p>
    <w:p w14:paraId="3E33675A" w14:textId="52DA7108" w:rsidR="007A131F" w:rsidRDefault="007A131F" w:rsidP="00C563A0">
      <w:pPr>
        <w:jc w:val="both"/>
        <w:rPr>
          <w:rFonts w:cs="Arial"/>
        </w:rPr>
      </w:pPr>
      <w:r>
        <w:rPr>
          <w:rFonts w:cs="Arial"/>
        </w:rPr>
        <w:t xml:space="preserve">Further environmental </w:t>
      </w:r>
      <w:proofErr w:type="gramStart"/>
      <w:r>
        <w:rPr>
          <w:rFonts w:cs="Arial"/>
        </w:rPr>
        <w:t>data, that</w:t>
      </w:r>
      <w:proofErr w:type="gramEnd"/>
      <w:r>
        <w:rPr>
          <w:rFonts w:cs="Arial"/>
        </w:rPr>
        <w:t xml:space="preserve"> would limit subjectivity and is easily available, includes the existence of:</w:t>
      </w:r>
    </w:p>
    <w:p w14:paraId="32431770" w14:textId="745EFC88" w:rsidR="007A131F" w:rsidRDefault="007A131F" w:rsidP="00C563A0">
      <w:pPr>
        <w:pStyle w:val="ListParagraph"/>
        <w:numPr>
          <w:ilvl w:val="0"/>
          <w:numId w:val="45"/>
        </w:numPr>
        <w:jc w:val="both"/>
        <w:rPr>
          <w:rFonts w:cs="Arial"/>
        </w:rPr>
      </w:pPr>
      <w:r>
        <w:rPr>
          <w:rFonts w:cs="Arial"/>
        </w:rPr>
        <w:t>Biodiversity policy</w:t>
      </w:r>
    </w:p>
    <w:p w14:paraId="7B0AED9B" w14:textId="766B48DD" w:rsidR="007A131F" w:rsidRDefault="007A131F" w:rsidP="00C563A0">
      <w:pPr>
        <w:pStyle w:val="ListParagraph"/>
        <w:numPr>
          <w:ilvl w:val="0"/>
          <w:numId w:val="45"/>
        </w:numPr>
        <w:jc w:val="both"/>
        <w:rPr>
          <w:rFonts w:cs="Arial"/>
        </w:rPr>
      </w:pPr>
      <w:r>
        <w:rPr>
          <w:rFonts w:cs="Arial"/>
        </w:rPr>
        <w:t xml:space="preserve">Percentage of land restored, as a portion of land </w:t>
      </w:r>
      <w:r w:rsidR="00D767F5">
        <w:rPr>
          <w:rFonts w:cs="Arial"/>
        </w:rPr>
        <w:t>disturbed</w:t>
      </w:r>
    </w:p>
    <w:p w14:paraId="3D92677A" w14:textId="39808C54" w:rsidR="007A131F" w:rsidRPr="007A131F" w:rsidRDefault="007A131F" w:rsidP="00C563A0">
      <w:pPr>
        <w:pStyle w:val="ListParagraph"/>
        <w:numPr>
          <w:ilvl w:val="0"/>
          <w:numId w:val="45"/>
        </w:numPr>
        <w:jc w:val="both"/>
        <w:rPr>
          <w:rFonts w:cs="Arial"/>
        </w:rPr>
      </w:pPr>
      <w:r>
        <w:rPr>
          <w:rFonts w:cs="Arial"/>
        </w:rPr>
        <w:t>Companies with emissions reduction targets</w:t>
      </w:r>
    </w:p>
    <w:p w14:paraId="782DB2A1" w14:textId="32B8817D" w:rsidR="007A131F" w:rsidRDefault="007A131F" w:rsidP="00C563A0">
      <w:pPr>
        <w:jc w:val="both"/>
        <w:rPr>
          <w:rFonts w:cs="Arial"/>
        </w:rPr>
      </w:pPr>
    </w:p>
    <w:p w14:paraId="6B4C7638" w14:textId="06ED4348" w:rsidR="00650261" w:rsidRDefault="009600F9" w:rsidP="00C563A0">
      <w:pPr>
        <w:jc w:val="both"/>
        <w:rPr>
          <w:rFonts w:cs="Arial"/>
        </w:rPr>
      </w:pPr>
      <w:r>
        <w:rPr>
          <w:rFonts w:cs="Arial"/>
        </w:rPr>
        <w:t xml:space="preserve">Bloomberg L.P. </w:t>
      </w:r>
      <w:r w:rsidR="00650261">
        <w:rPr>
          <w:rFonts w:cs="Arial"/>
        </w:rPr>
        <w:t xml:space="preserve">would also recommend data sets, ideally </w:t>
      </w:r>
      <w:r w:rsidR="00D767F5">
        <w:rPr>
          <w:rFonts w:cs="Arial"/>
        </w:rPr>
        <w:t>backed by</w:t>
      </w:r>
      <w:r w:rsidR="00650261">
        <w:rPr>
          <w:rFonts w:cs="Arial"/>
        </w:rPr>
        <w:t xml:space="preserve"> reliable public </w:t>
      </w:r>
      <w:r w:rsidR="0058507F">
        <w:rPr>
          <w:rFonts w:cs="Arial"/>
        </w:rPr>
        <w:t>inventories</w:t>
      </w:r>
      <w:r w:rsidR="00650261">
        <w:rPr>
          <w:rFonts w:cs="Arial"/>
        </w:rPr>
        <w:t xml:space="preserve"> </w:t>
      </w:r>
      <w:r w:rsidR="00D767F5">
        <w:rPr>
          <w:rFonts w:cs="Arial"/>
        </w:rPr>
        <w:t>alongside</w:t>
      </w:r>
      <w:r w:rsidR="00650261">
        <w:rPr>
          <w:rFonts w:cs="Arial"/>
        </w:rPr>
        <w:t xml:space="preserve"> corporate self-disclosure. These would include:</w:t>
      </w:r>
    </w:p>
    <w:p w14:paraId="0759F164" w14:textId="61973639" w:rsidR="00650261" w:rsidRDefault="00650261" w:rsidP="00C563A0">
      <w:pPr>
        <w:pStyle w:val="ListParagraph"/>
        <w:numPr>
          <w:ilvl w:val="0"/>
          <w:numId w:val="46"/>
        </w:numPr>
        <w:jc w:val="both"/>
        <w:rPr>
          <w:rFonts w:cs="Arial"/>
        </w:rPr>
      </w:pPr>
      <w:r w:rsidRPr="00650261">
        <w:rPr>
          <w:rFonts w:cs="Arial"/>
        </w:rPr>
        <w:t>Reporting on environmental fines</w:t>
      </w:r>
      <w:r>
        <w:rPr>
          <w:rFonts w:cs="Arial"/>
        </w:rPr>
        <w:t xml:space="preserve">; number and </w:t>
      </w:r>
      <w:r w:rsidR="00D767F5">
        <w:rPr>
          <w:rFonts w:cs="Arial"/>
        </w:rPr>
        <w:t>amount</w:t>
      </w:r>
    </w:p>
    <w:p w14:paraId="3A5E6F96" w14:textId="0CE81FD0" w:rsidR="00650261" w:rsidRDefault="00650261" w:rsidP="00C563A0">
      <w:pPr>
        <w:pStyle w:val="ListParagraph"/>
        <w:numPr>
          <w:ilvl w:val="0"/>
          <w:numId w:val="46"/>
        </w:numPr>
        <w:jc w:val="both"/>
        <w:rPr>
          <w:rFonts w:cs="Arial"/>
        </w:rPr>
      </w:pPr>
      <w:r>
        <w:rPr>
          <w:rFonts w:cs="Arial"/>
        </w:rPr>
        <w:t>H</w:t>
      </w:r>
      <w:r w:rsidRPr="00650261">
        <w:rPr>
          <w:rFonts w:cs="Arial"/>
        </w:rPr>
        <w:t>ealth and safety fines with additional data such as safety incidents &amp; fatalities.</w:t>
      </w:r>
    </w:p>
    <w:p w14:paraId="11AA8320" w14:textId="5DE8A283" w:rsidR="00650261" w:rsidRPr="00307FAF" w:rsidRDefault="00650261" w:rsidP="00C563A0">
      <w:pPr>
        <w:pStyle w:val="ListParagraph"/>
        <w:numPr>
          <w:ilvl w:val="0"/>
          <w:numId w:val="46"/>
        </w:numPr>
        <w:jc w:val="both"/>
        <w:rPr>
          <w:rFonts w:cs="Arial"/>
        </w:rPr>
      </w:pPr>
      <w:r>
        <w:rPr>
          <w:rFonts w:cs="Arial"/>
        </w:rPr>
        <w:t>For certain sectors (e.g. oil and gas), data related to spills</w:t>
      </w:r>
      <w:r w:rsidR="0058507F">
        <w:rPr>
          <w:rFonts w:cs="Arial"/>
        </w:rPr>
        <w:t xml:space="preserve">, </w:t>
      </w:r>
      <w:r w:rsidR="00D767F5">
        <w:rPr>
          <w:rFonts w:cs="Arial"/>
        </w:rPr>
        <w:t xml:space="preserve">as well as applicable </w:t>
      </w:r>
      <w:r w:rsidR="0058507F">
        <w:rPr>
          <w:rFonts w:cs="Arial"/>
        </w:rPr>
        <w:t>water and waste management practices</w:t>
      </w:r>
    </w:p>
    <w:p w14:paraId="6AD67944" w14:textId="77777777" w:rsidR="00620E32" w:rsidRDefault="00620E32" w:rsidP="00C563A0">
      <w:pPr>
        <w:jc w:val="both"/>
        <w:rPr>
          <w:rFonts w:cs="Arial"/>
        </w:rPr>
      </w:pPr>
    </w:p>
    <w:p w14:paraId="50E89EC8" w14:textId="77777777" w:rsidR="00C90F89" w:rsidRPr="00790B31" w:rsidRDefault="00C90F89" w:rsidP="00C563A0">
      <w:pPr>
        <w:jc w:val="both"/>
        <w:rPr>
          <w:rFonts w:cs="Arial"/>
          <w:lang w:eastAsia="zh-CN"/>
        </w:rPr>
      </w:pPr>
      <w:r w:rsidRPr="00790B31">
        <w:rPr>
          <w:rFonts w:cs="Arial"/>
        </w:rPr>
        <w:t>Bloomberg L.P. recommends that key data sets align with the TCFD framework, such as climate-related implications within governance, strategy, risk management, and metrics and targets. The TCFD’s 11 recommended disclosures provide a useful and already widely accepted framework for climate-related financial disclosures. Investee disclosure on climate risks and how they are monitoring and mitigating those risks would be a key component of demonstrating long termism in investment practices. The TCFD recommendations encompass many of the metrics on climate-related impacts outlined in Appendix I.</w:t>
      </w:r>
    </w:p>
    <w:p w14:paraId="07202DEF" w14:textId="77777777" w:rsidR="00C90F89" w:rsidRPr="00790B31" w:rsidRDefault="00C90F89" w:rsidP="00C563A0">
      <w:pPr>
        <w:jc w:val="both"/>
        <w:rPr>
          <w:rFonts w:cs="Arial"/>
        </w:rPr>
      </w:pPr>
    </w:p>
    <w:p w14:paraId="788EE40A" w14:textId="77777777" w:rsidR="00C90F89" w:rsidRPr="00790B31" w:rsidRDefault="00C90F89" w:rsidP="00C563A0">
      <w:pPr>
        <w:jc w:val="both"/>
        <w:rPr>
          <w:rFonts w:cs="Arial"/>
        </w:rPr>
      </w:pPr>
      <w:r w:rsidRPr="00790B31">
        <w:rPr>
          <w:rFonts w:cs="Arial"/>
        </w:rPr>
        <w:t>Our recommendations include data points related to:</w:t>
      </w:r>
    </w:p>
    <w:p w14:paraId="1CCF5902" w14:textId="77777777" w:rsidR="00C90F89" w:rsidRPr="00790B31" w:rsidRDefault="00C90F89" w:rsidP="00C563A0">
      <w:pPr>
        <w:numPr>
          <w:ilvl w:val="0"/>
          <w:numId w:val="55"/>
        </w:numPr>
        <w:spacing w:afterAutospacing="1"/>
        <w:jc w:val="both"/>
        <w:rPr>
          <w:rFonts w:cs="Arial"/>
        </w:rPr>
      </w:pPr>
      <w:r w:rsidRPr="00790B31">
        <w:rPr>
          <w:rFonts w:cs="Arial"/>
        </w:rPr>
        <w:t>Scope 1, 2, and 3 GHG emissions and future targets</w:t>
      </w:r>
    </w:p>
    <w:p w14:paraId="5996617D" w14:textId="77777777" w:rsidR="00C90F89" w:rsidRPr="00790B31" w:rsidRDefault="00C90F89" w:rsidP="00C563A0">
      <w:pPr>
        <w:numPr>
          <w:ilvl w:val="0"/>
          <w:numId w:val="55"/>
        </w:numPr>
        <w:spacing w:beforeAutospacing="1" w:afterAutospacing="1"/>
        <w:jc w:val="both"/>
        <w:rPr>
          <w:rFonts w:cs="Arial"/>
        </w:rPr>
      </w:pPr>
      <w:r w:rsidRPr="00790B31">
        <w:rPr>
          <w:rFonts w:cs="Arial"/>
        </w:rPr>
        <w:t>Metrics related to waste and water, and other TCFD illustrative metrics overlapping with those outlined in Appendix I as appropriate</w:t>
      </w:r>
    </w:p>
    <w:p w14:paraId="7926E85A" w14:textId="77777777" w:rsidR="00C90F89" w:rsidRPr="00790B31" w:rsidRDefault="00C90F89" w:rsidP="00C563A0">
      <w:pPr>
        <w:numPr>
          <w:ilvl w:val="0"/>
          <w:numId w:val="55"/>
        </w:numPr>
        <w:spacing w:beforeAutospacing="1" w:afterAutospacing="1"/>
        <w:jc w:val="both"/>
        <w:rPr>
          <w:rFonts w:cs="Arial"/>
        </w:rPr>
      </w:pPr>
      <w:r w:rsidRPr="00790B31">
        <w:rPr>
          <w:rFonts w:cs="Arial"/>
        </w:rPr>
        <w:t>What proportion of the underlying investment has made a disclosure consistent with the TCFD’s recommendations in their annual accounts</w:t>
      </w:r>
    </w:p>
    <w:p w14:paraId="64ACACC5" w14:textId="77777777" w:rsidR="00C90F89" w:rsidRPr="00790B31" w:rsidRDefault="00C90F89" w:rsidP="00C563A0">
      <w:pPr>
        <w:numPr>
          <w:ilvl w:val="0"/>
          <w:numId w:val="55"/>
        </w:numPr>
        <w:spacing w:beforeAutospacing="1" w:afterAutospacing="1"/>
        <w:jc w:val="both"/>
        <w:rPr>
          <w:rFonts w:cs="Arial"/>
        </w:rPr>
      </w:pPr>
      <w:r w:rsidRPr="00790B31">
        <w:rPr>
          <w:rFonts w:cs="Arial"/>
        </w:rPr>
        <w:t>Where climate related risks have been identified; probability and severity of the risk</w:t>
      </w:r>
    </w:p>
    <w:p w14:paraId="1A351CE8" w14:textId="6A0BB9F5" w:rsidR="00917916" w:rsidRPr="00790B31" w:rsidRDefault="00C90F89" w:rsidP="00C563A0">
      <w:pPr>
        <w:numPr>
          <w:ilvl w:val="0"/>
          <w:numId w:val="55"/>
        </w:numPr>
        <w:spacing w:beforeAutospacing="1"/>
        <w:jc w:val="both"/>
        <w:rPr>
          <w:rFonts w:cs="Arial"/>
        </w:rPr>
      </w:pPr>
      <w:r w:rsidRPr="00790B31">
        <w:rPr>
          <w:rFonts w:cs="Arial"/>
        </w:rPr>
        <w:t>How climate related risks are being addressed</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178EA8E9" w14:textId="5A272EA8" w:rsidR="00307FAF" w:rsidRPr="00307FAF" w:rsidRDefault="00D767F5" w:rsidP="00D767F5">
      <w:pPr>
        <w:rPr>
          <w:rFonts w:cs="Arial"/>
        </w:rPr>
      </w:pPr>
      <w:permStart w:id="1220688604" w:edGrp="everyone"/>
      <w:r>
        <w:rPr>
          <w:rFonts w:cs="Arial"/>
        </w:rPr>
        <w:t>Nothing of note</w:t>
      </w:r>
      <w:r w:rsidR="00661C5C">
        <w:rPr>
          <w:rFonts w:cs="Arial"/>
        </w:rPr>
        <w:t>.</w:t>
      </w:r>
    </w:p>
    <w:permEnd w:id="1220688604"/>
    <w:p w14:paraId="53DA6878" w14:textId="3826CEB9" w:rsidR="003E573C" w:rsidRDefault="003E573C" w:rsidP="003E573C">
      <w:pPr>
        <w:rPr>
          <w:rFonts w:cs="Arial"/>
        </w:rPr>
      </w:pPr>
      <w:r>
        <w:rPr>
          <w:rFonts w:cs="Arial"/>
        </w:rPr>
        <w:lastRenderedPageBreak/>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0488DC56" w14:textId="613035F5" w:rsidR="009600F9" w:rsidRPr="001F5DDA" w:rsidRDefault="009600F9" w:rsidP="00C563A0">
      <w:pPr>
        <w:jc w:val="both"/>
        <w:rPr>
          <w:rFonts w:cs="Arial"/>
        </w:rPr>
      </w:pPr>
      <w:permStart w:id="209390932" w:edGrp="everyone"/>
      <w:r w:rsidRPr="001F5DDA">
        <w:rPr>
          <w:rFonts w:cs="Arial"/>
        </w:rPr>
        <w:t xml:space="preserve">In order to create harmony between the reporting regimes, Bloomberg L.P. would recommend, in line with the PRI member’s </w:t>
      </w:r>
      <w:proofErr w:type="gramStart"/>
      <w:r w:rsidRPr="001F5DDA">
        <w:rPr>
          <w:rFonts w:cs="Arial"/>
        </w:rPr>
        <w:t>recommendations, that</w:t>
      </w:r>
      <w:proofErr w:type="gramEnd"/>
      <w:r w:rsidRPr="001F5DDA">
        <w:rPr>
          <w:rFonts w:cs="Arial"/>
        </w:rPr>
        <w:t xml:space="preserve"> a disclosure should contain:</w:t>
      </w:r>
    </w:p>
    <w:p w14:paraId="6DE4AAD2" w14:textId="06D3BA91" w:rsidR="009600F9" w:rsidRPr="001F5DDA" w:rsidRDefault="009600F9" w:rsidP="00C563A0">
      <w:pPr>
        <w:jc w:val="both"/>
        <w:rPr>
          <w:rFonts w:cs="Arial"/>
        </w:rPr>
      </w:pPr>
    </w:p>
    <w:p w14:paraId="28E98454" w14:textId="3E13C42B" w:rsidR="005E0106" w:rsidRPr="001F5DDA" w:rsidRDefault="005E0106" w:rsidP="00C563A0">
      <w:pPr>
        <w:jc w:val="both"/>
        <w:rPr>
          <w:rFonts w:cs="Arial"/>
          <w:b/>
          <w:bCs/>
        </w:rPr>
      </w:pPr>
      <w:r w:rsidRPr="001F5DDA">
        <w:rPr>
          <w:rFonts w:cs="Arial"/>
          <w:b/>
          <w:bCs/>
        </w:rPr>
        <w:t>Article 18 RTS</w:t>
      </w:r>
    </w:p>
    <w:p w14:paraId="5F75E3CC" w14:textId="51DF9F7D" w:rsidR="005E0106" w:rsidRPr="001F5DDA" w:rsidRDefault="005E0106" w:rsidP="00C563A0">
      <w:pPr>
        <w:pStyle w:val="ListParagraph"/>
        <w:numPr>
          <w:ilvl w:val="1"/>
          <w:numId w:val="38"/>
        </w:numPr>
        <w:jc w:val="both"/>
        <w:rPr>
          <w:rFonts w:cs="Arial"/>
        </w:rPr>
      </w:pPr>
      <w:r w:rsidRPr="001F5DDA">
        <w:rPr>
          <w:rFonts w:cs="Arial"/>
        </w:rPr>
        <w:t>A list of sustainability indicators</w:t>
      </w:r>
    </w:p>
    <w:p w14:paraId="38C6AA2C" w14:textId="17597F50" w:rsidR="005E0106" w:rsidRPr="001F5DDA" w:rsidRDefault="005E0106" w:rsidP="00C563A0">
      <w:pPr>
        <w:pStyle w:val="ListParagraph"/>
        <w:numPr>
          <w:ilvl w:val="1"/>
          <w:numId w:val="38"/>
        </w:numPr>
        <w:jc w:val="both"/>
        <w:rPr>
          <w:rFonts w:cs="Arial"/>
        </w:rPr>
      </w:pPr>
      <w:r w:rsidRPr="001F5DDA">
        <w:rPr>
          <w:rFonts w:cs="Arial"/>
        </w:rPr>
        <w:t xml:space="preserve">Narrative explaining the extent to which the EU Taxonomy was used in determining the sustainability of the investments; </w:t>
      </w:r>
    </w:p>
    <w:p w14:paraId="387B35D9" w14:textId="4DA6A045" w:rsidR="005E0106" w:rsidRPr="001F5DDA" w:rsidRDefault="005E0106" w:rsidP="00C563A0">
      <w:pPr>
        <w:pStyle w:val="ListParagraph"/>
        <w:numPr>
          <w:ilvl w:val="1"/>
          <w:numId w:val="38"/>
        </w:numPr>
        <w:jc w:val="both"/>
        <w:rPr>
          <w:rFonts w:cs="Arial"/>
        </w:rPr>
      </w:pPr>
      <w:r w:rsidRPr="001F5DDA">
        <w:rPr>
          <w:rFonts w:cs="Arial"/>
        </w:rPr>
        <w:t xml:space="preserve">Proportion of the fund that is “environmentally sustainable” in accordance with the EU Taxonomy; </w:t>
      </w:r>
    </w:p>
    <w:p w14:paraId="69CD93D5" w14:textId="0B12D365" w:rsidR="005E0106" w:rsidRPr="001F5DDA" w:rsidRDefault="005E0106" w:rsidP="00C563A0">
      <w:pPr>
        <w:pStyle w:val="ListParagraph"/>
        <w:numPr>
          <w:ilvl w:val="1"/>
          <w:numId w:val="38"/>
        </w:numPr>
        <w:jc w:val="both"/>
        <w:rPr>
          <w:rFonts w:cs="Arial"/>
        </w:rPr>
      </w:pPr>
      <w:r w:rsidRPr="001F5DDA">
        <w:rPr>
          <w:rFonts w:cs="Arial"/>
        </w:rPr>
        <w:t xml:space="preserve">Which of the six environmental objectives the fund contributes to; </w:t>
      </w:r>
    </w:p>
    <w:p w14:paraId="0EAD2F98" w14:textId="77777777" w:rsidR="005E0106" w:rsidRPr="001F5DDA" w:rsidRDefault="005E0106" w:rsidP="00C563A0">
      <w:pPr>
        <w:pStyle w:val="ListParagraph"/>
        <w:numPr>
          <w:ilvl w:val="1"/>
          <w:numId w:val="38"/>
        </w:numPr>
        <w:jc w:val="both"/>
        <w:rPr>
          <w:rFonts w:cs="Arial"/>
        </w:rPr>
      </w:pPr>
      <w:r w:rsidRPr="001F5DDA">
        <w:rPr>
          <w:rFonts w:cs="Arial"/>
        </w:rPr>
        <w:t>Proportion of “enabling” and “transition” investments within the fund.</w:t>
      </w:r>
    </w:p>
    <w:p w14:paraId="33AAC14E" w14:textId="5607B05A" w:rsidR="005E0106" w:rsidRPr="001F5DDA" w:rsidRDefault="005E0106" w:rsidP="00C563A0">
      <w:pPr>
        <w:jc w:val="both"/>
        <w:rPr>
          <w:rFonts w:cs="Arial"/>
        </w:rPr>
      </w:pPr>
      <w:r w:rsidRPr="001F5DDA">
        <w:t>Within the TEG recommendations is a ‘potentially aligned’ statement that an investor can make where they do not have all the information available to fully validate alignment.</w:t>
      </w:r>
    </w:p>
    <w:p w14:paraId="41A673F4" w14:textId="77777777" w:rsidR="009600F9" w:rsidRPr="009600F9" w:rsidRDefault="009600F9" w:rsidP="00C563A0">
      <w:pPr>
        <w:jc w:val="both"/>
        <w:rPr>
          <w:rFonts w:cs="Arial"/>
        </w:rPr>
      </w:pPr>
    </w:p>
    <w:p w14:paraId="3837E0BC" w14:textId="70FBF742" w:rsidR="00FA2ED2" w:rsidRDefault="009600F9" w:rsidP="00C563A0">
      <w:pPr>
        <w:jc w:val="both"/>
        <w:rPr>
          <w:rFonts w:cs="Arial"/>
        </w:rPr>
      </w:pPr>
      <w:r>
        <w:rPr>
          <w:rFonts w:cs="Arial"/>
        </w:rPr>
        <w:t xml:space="preserve">Bloomberg L.P. </w:t>
      </w:r>
      <w:r w:rsidR="00FA2ED2">
        <w:rPr>
          <w:rFonts w:cs="Arial"/>
        </w:rPr>
        <w:t>recommend</w:t>
      </w:r>
      <w:r w:rsidR="00504A08">
        <w:rPr>
          <w:rFonts w:cs="Arial"/>
        </w:rPr>
        <w:t>s</w:t>
      </w:r>
      <w:r w:rsidR="00FA2ED2">
        <w:rPr>
          <w:rFonts w:cs="Arial"/>
        </w:rPr>
        <w:t xml:space="preserve"> more specific data sets under the ILO Conventions (item 17), breaking these out into:</w:t>
      </w:r>
    </w:p>
    <w:p w14:paraId="52B54D42" w14:textId="20CC8BAB" w:rsidR="00FA2ED2" w:rsidRDefault="00FA2ED2" w:rsidP="00C563A0">
      <w:pPr>
        <w:pStyle w:val="ListParagraph"/>
        <w:numPr>
          <w:ilvl w:val="0"/>
          <w:numId w:val="41"/>
        </w:numPr>
        <w:jc w:val="both"/>
        <w:rPr>
          <w:rFonts w:cs="Arial"/>
        </w:rPr>
      </w:pPr>
      <w:r>
        <w:rPr>
          <w:rFonts w:cs="Arial"/>
        </w:rPr>
        <w:t xml:space="preserve">Fair </w:t>
      </w:r>
      <w:r w:rsidR="00504A08">
        <w:rPr>
          <w:rFonts w:cs="Arial"/>
        </w:rPr>
        <w:t>remuneration</w:t>
      </w:r>
      <w:r>
        <w:rPr>
          <w:rFonts w:cs="Arial"/>
        </w:rPr>
        <w:t xml:space="preserve"> policy</w:t>
      </w:r>
    </w:p>
    <w:p w14:paraId="1061C953" w14:textId="77777777" w:rsidR="00FA2ED2" w:rsidRDefault="00FA2ED2" w:rsidP="00C563A0">
      <w:pPr>
        <w:pStyle w:val="ListParagraph"/>
        <w:numPr>
          <w:ilvl w:val="0"/>
          <w:numId w:val="41"/>
        </w:numPr>
        <w:jc w:val="both"/>
        <w:rPr>
          <w:rFonts w:cs="Arial"/>
        </w:rPr>
      </w:pPr>
      <w:r>
        <w:rPr>
          <w:rFonts w:cs="Arial"/>
        </w:rPr>
        <w:t>Human rights policy</w:t>
      </w:r>
    </w:p>
    <w:p w14:paraId="127541A8" w14:textId="77777777" w:rsidR="00FA2ED2" w:rsidRDefault="00FA2ED2" w:rsidP="00C563A0">
      <w:pPr>
        <w:pStyle w:val="ListParagraph"/>
        <w:numPr>
          <w:ilvl w:val="0"/>
          <w:numId w:val="41"/>
        </w:numPr>
        <w:jc w:val="both"/>
        <w:rPr>
          <w:rFonts w:cs="Arial"/>
        </w:rPr>
      </w:pPr>
      <w:r>
        <w:rPr>
          <w:rFonts w:cs="Arial"/>
        </w:rPr>
        <w:t>Policies against child labour</w:t>
      </w:r>
    </w:p>
    <w:p w14:paraId="27CD77C4" w14:textId="7365FD5C" w:rsidR="00FA2ED2" w:rsidRDefault="00FA2ED2" w:rsidP="00C563A0">
      <w:pPr>
        <w:pStyle w:val="ListParagraph"/>
        <w:numPr>
          <w:ilvl w:val="0"/>
          <w:numId w:val="41"/>
        </w:numPr>
        <w:jc w:val="both"/>
        <w:rPr>
          <w:rFonts w:cs="Arial"/>
        </w:rPr>
      </w:pPr>
      <w:r>
        <w:rPr>
          <w:rFonts w:cs="Arial"/>
        </w:rPr>
        <w:t>Equal opportunity policies</w:t>
      </w:r>
    </w:p>
    <w:p w14:paraId="2AB5B2ED" w14:textId="472B0653" w:rsidR="0058507F" w:rsidRDefault="0058507F" w:rsidP="00C563A0">
      <w:pPr>
        <w:pStyle w:val="ListParagraph"/>
        <w:numPr>
          <w:ilvl w:val="0"/>
          <w:numId w:val="41"/>
        </w:numPr>
        <w:jc w:val="both"/>
        <w:rPr>
          <w:rFonts w:cs="Arial"/>
        </w:rPr>
      </w:pPr>
      <w:r>
        <w:rPr>
          <w:rFonts w:cs="Arial"/>
        </w:rPr>
        <w:t>Health &amp; Safety policy</w:t>
      </w:r>
    </w:p>
    <w:p w14:paraId="10787279" w14:textId="77777777" w:rsidR="00FA2ED2" w:rsidRDefault="00FA2ED2" w:rsidP="00C563A0">
      <w:pPr>
        <w:pStyle w:val="ListParagraph"/>
        <w:numPr>
          <w:ilvl w:val="0"/>
          <w:numId w:val="41"/>
        </w:numPr>
        <w:jc w:val="both"/>
        <w:rPr>
          <w:rFonts w:cs="Arial"/>
        </w:rPr>
      </w:pPr>
      <w:r>
        <w:rPr>
          <w:rFonts w:cs="Arial"/>
        </w:rPr>
        <w:t>Social supply chain management</w:t>
      </w:r>
    </w:p>
    <w:p w14:paraId="77CC3E61" w14:textId="0C3AF380" w:rsidR="00FA2ED2" w:rsidRDefault="00FA2ED2" w:rsidP="00C563A0">
      <w:pPr>
        <w:jc w:val="both"/>
        <w:rPr>
          <w:rFonts w:cs="Arial"/>
        </w:rPr>
      </w:pPr>
      <w:r>
        <w:rPr>
          <w:rFonts w:cs="Arial"/>
        </w:rPr>
        <w:t>To make for more transparent reporting.</w:t>
      </w:r>
    </w:p>
    <w:p w14:paraId="4C9C3B42" w14:textId="5DDB9ED5" w:rsidR="00FA2ED2" w:rsidRDefault="00FA2ED2" w:rsidP="00C563A0">
      <w:pPr>
        <w:jc w:val="both"/>
        <w:rPr>
          <w:rFonts w:cs="Arial"/>
        </w:rPr>
      </w:pPr>
    </w:p>
    <w:p w14:paraId="1F94D087" w14:textId="59CCBA1A" w:rsidR="00FA2ED2" w:rsidRDefault="00FA2ED2" w:rsidP="00C563A0">
      <w:pPr>
        <w:jc w:val="both"/>
        <w:rPr>
          <w:rFonts w:cs="Arial"/>
        </w:rPr>
      </w:pPr>
      <w:r>
        <w:rPr>
          <w:rFonts w:cs="Arial"/>
        </w:rPr>
        <w:t xml:space="preserve">Regarding supply chain, </w:t>
      </w:r>
      <w:r w:rsidR="009600F9">
        <w:rPr>
          <w:rFonts w:cs="Arial"/>
        </w:rPr>
        <w:t xml:space="preserve">Bloomberg L.P. </w:t>
      </w:r>
      <w:r>
        <w:rPr>
          <w:rFonts w:cs="Arial"/>
        </w:rPr>
        <w:t>would recommend a disclosure aligned with:</w:t>
      </w:r>
    </w:p>
    <w:p w14:paraId="2B10821E" w14:textId="42391E02" w:rsidR="00FA2ED2" w:rsidRDefault="00FA2ED2" w:rsidP="00C563A0">
      <w:pPr>
        <w:pStyle w:val="ListParagraph"/>
        <w:numPr>
          <w:ilvl w:val="0"/>
          <w:numId w:val="42"/>
        </w:numPr>
        <w:jc w:val="both"/>
        <w:rPr>
          <w:rFonts w:cs="Arial"/>
        </w:rPr>
      </w:pPr>
      <w:r>
        <w:rPr>
          <w:rFonts w:cs="Arial"/>
        </w:rPr>
        <w:t xml:space="preserve">Does the company have a sustainable supply chain </w:t>
      </w:r>
      <w:r w:rsidR="000B6483">
        <w:rPr>
          <w:rFonts w:cs="Arial"/>
        </w:rPr>
        <w:t>policy?</w:t>
      </w:r>
    </w:p>
    <w:p w14:paraId="335C7FC8" w14:textId="055CE8D4" w:rsidR="00FA2ED2" w:rsidRDefault="00FA2ED2" w:rsidP="00C563A0">
      <w:pPr>
        <w:pStyle w:val="ListParagraph"/>
        <w:numPr>
          <w:ilvl w:val="0"/>
          <w:numId w:val="42"/>
        </w:numPr>
        <w:jc w:val="both"/>
        <w:rPr>
          <w:rFonts w:cs="Arial"/>
        </w:rPr>
      </w:pPr>
      <w:r>
        <w:rPr>
          <w:rFonts w:cs="Arial"/>
        </w:rPr>
        <w:t xml:space="preserve">What proportion of suppliers are </w:t>
      </w:r>
      <w:r w:rsidR="0071628B">
        <w:rPr>
          <w:rFonts w:cs="Arial"/>
        </w:rPr>
        <w:t>critical to the process</w:t>
      </w:r>
      <w:r w:rsidR="000B6483">
        <w:rPr>
          <w:rFonts w:cs="Arial"/>
        </w:rPr>
        <w:t>?</w:t>
      </w:r>
    </w:p>
    <w:p w14:paraId="7E9EEF0C" w14:textId="72044FD3" w:rsidR="00FA2ED2" w:rsidRDefault="00FA2ED2" w:rsidP="00C563A0">
      <w:pPr>
        <w:pStyle w:val="ListParagraph"/>
        <w:numPr>
          <w:ilvl w:val="0"/>
          <w:numId w:val="42"/>
        </w:numPr>
        <w:jc w:val="both"/>
        <w:rPr>
          <w:rFonts w:cs="Arial"/>
        </w:rPr>
      </w:pPr>
      <w:r>
        <w:rPr>
          <w:rFonts w:cs="Arial"/>
        </w:rPr>
        <w:t xml:space="preserve">Within the last year, what proportion </w:t>
      </w:r>
      <w:r w:rsidR="0071628B">
        <w:rPr>
          <w:rFonts w:cs="Arial"/>
        </w:rPr>
        <w:t xml:space="preserve">of those critical </w:t>
      </w:r>
      <w:r>
        <w:rPr>
          <w:rFonts w:cs="Arial"/>
        </w:rPr>
        <w:t>were audited</w:t>
      </w:r>
    </w:p>
    <w:p w14:paraId="3245A5EF" w14:textId="77777777" w:rsidR="00FA2ED2" w:rsidRDefault="00FA2ED2" w:rsidP="00C563A0">
      <w:pPr>
        <w:jc w:val="both"/>
        <w:rPr>
          <w:rFonts w:cs="Arial"/>
        </w:rPr>
      </w:pPr>
      <w:r>
        <w:rPr>
          <w:rFonts w:cs="Arial"/>
        </w:rPr>
        <w:t>Data can be broken into:</w:t>
      </w:r>
    </w:p>
    <w:p w14:paraId="34FB7DFE" w14:textId="77777777" w:rsidR="00FA2ED2" w:rsidRDefault="00FA2ED2" w:rsidP="00C563A0">
      <w:pPr>
        <w:pStyle w:val="ListParagraph"/>
        <w:numPr>
          <w:ilvl w:val="0"/>
          <w:numId w:val="43"/>
        </w:numPr>
        <w:jc w:val="both"/>
        <w:rPr>
          <w:rFonts w:cs="Arial"/>
        </w:rPr>
      </w:pPr>
      <w:r>
        <w:rPr>
          <w:rFonts w:cs="Arial"/>
        </w:rPr>
        <w:t xml:space="preserve">Sustainable Supplier Guidelines: </w:t>
      </w:r>
      <w:r w:rsidRPr="00B13E77">
        <w:rPr>
          <w:rFonts w:cs="Arial"/>
        </w:rPr>
        <w:t>Indicates whether a supplier's guidelines, that encompass all Environmental, Social and Governance (ESG) areas, are publicly disclosed.</w:t>
      </w:r>
    </w:p>
    <w:p w14:paraId="2F1D4DA5" w14:textId="7F38B004" w:rsidR="00FA2ED2" w:rsidRDefault="00FA2ED2" w:rsidP="00C563A0">
      <w:pPr>
        <w:pStyle w:val="ListParagraph"/>
        <w:numPr>
          <w:ilvl w:val="0"/>
          <w:numId w:val="43"/>
        </w:numPr>
        <w:jc w:val="both"/>
        <w:rPr>
          <w:rFonts w:cs="Arial"/>
        </w:rPr>
      </w:pPr>
      <w:r>
        <w:rPr>
          <w:rFonts w:cs="Arial"/>
        </w:rPr>
        <w:t xml:space="preserve">Environmental Supply Chain Management: </w:t>
      </w:r>
      <w:r w:rsidRPr="00B13E77">
        <w:rPr>
          <w:rFonts w:cs="Arial"/>
        </w:rPr>
        <w:t xml:space="preserve">Indicates whether the company has implemented any initiatives to reduce the environmental footprint of its supply chain. Environmental footprint reductions could be achieved by reducing waste, by reducing resource use, by reducing </w:t>
      </w:r>
      <w:r w:rsidR="0071628B">
        <w:rPr>
          <w:rFonts w:cs="Arial"/>
        </w:rPr>
        <w:t xml:space="preserve">GHG or air </w:t>
      </w:r>
      <w:r w:rsidRPr="00B13E77">
        <w:rPr>
          <w:rFonts w:cs="Arial"/>
        </w:rPr>
        <w:t xml:space="preserve">emissions, by </w:t>
      </w:r>
      <w:r w:rsidR="0071628B">
        <w:rPr>
          <w:rFonts w:cs="Arial"/>
        </w:rPr>
        <w:t>mandatory</w:t>
      </w:r>
      <w:r w:rsidRPr="00B13E77">
        <w:rPr>
          <w:rFonts w:cs="Arial"/>
        </w:rPr>
        <w:t xml:space="preserve"> environmental management systems etc. in the supply chain. </w:t>
      </w:r>
    </w:p>
    <w:p w14:paraId="4D6941B2" w14:textId="46B8BFF8" w:rsidR="00FA2ED2" w:rsidRDefault="00FA2ED2" w:rsidP="00C563A0">
      <w:pPr>
        <w:pStyle w:val="ListParagraph"/>
        <w:numPr>
          <w:ilvl w:val="0"/>
          <w:numId w:val="43"/>
        </w:numPr>
        <w:jc w:val="both"/>
        <w:rPr>
          <w:rFonts w:cs="Arial"/>
        </w:rPr>
      </w:pPr>
      <w:r w:rsidRPr="00D81A71">
        <w:rPr>
          <w:rFonts w:cs="Arial"/>
        </w:rPr>
        <w:t xml:space="preserve">Social Supply Chain Management: Indicates whether the company has implemented any initiatives to reduce the social risks in its supply chain. Social risks might include poor working conditions, </w:t>
      </w:r>
      <w:r w:rsidR="0071628B">
        <w:rPr>
          <w:rFonts w:cs="Arial"/>
        </w:rPr>
        <w:t xml:space="preserve">occupational health and safety, </w:t>
      </w:r>
      <w:r w:rsidRPr="00D81A71">
        <w:rPr>
          <w:rFonts w:cs="Arial"/>
        </w:rPr>
        <w:t xml:space="preserve">the use of child or forced labour, lack of a living, fair or minimum wage etc. </w:t>
      </w:r>
    </w:p>
    <w:p w14:paraId="5188274A" w14:textId="6FC483A5" w:rsidR="0058507F" w:rsidRPr="00661C5C" w:rsidRDefault="0071628B" w:rsidP="00C563A0">
      <w:pPr>
        <w:pStyle w:val="ListParagraph"/>
        <w:numPr>
          <w:ilvl w:val="0"/>
          <w:numId w:val="43"/>
        </w:numPr>
        <w:jc w:val="both"/>
        <w:rPr>
          <w:rFonts w:cs="Arial"/>
        </w:rPr>
      </w:pPr>
      <w:r>
        <w:rPr>
          <w:rFonts w:cs="Arial"/>
        </w:rPr>
        <w:t>Number of suppliers audited within the fiscal year to indicate how many and/or which percentage of the suppliers have been audited according to the Environmental or Social criteria given.</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 xml:space="preserve">In addition to the proposed indicators on carbon emissions in Annex I, do you see merit in also requesting a) a relative measure of carbon emissions relative to the EU 2030 climate and energy </w:t>
      </w:r>
      <w:r w:rsidR="002A73F1" w:rsidRPr="002A73F1">
        <w:lastRenderedPageBreak/>
        <w:t>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38D0D0DF" w14:textId="0E942802" w:rsidR="00057467" w:rsidRPr="005A558B" w:rsidRDefault="009600F9" w:rsidP="00C563A0">
      <w:pPr>
        <w:pStyle w:val="CommentText"/>
        <w:jc w:val="both"/>
      </w:pPr>
      <w:permStart w:id="418122716" w:edGrp="everyone"/>
      <w:r>
        <w:rPr>
          <w:rFonts w:cs="Arial"/>
        </w:rPr>
        <w:t>Bloomberg L.P.</w:t>
      </w:r>
      <w:r w:rsidR="00344310">
        <w:rPr>
          <w:rFonts w:cs="Arial"/>
        </w:rPr>
        <w:t xml:space="preserve"> </w:t>
      </w:r>
      <w:r w:rsidR="0071628B">
        <w:rPr>
          <w:rFonts w:cs="Arial"/>
        </w:rPr>
        <w:t xml:space="preserve">believes that forward looking metrics related to company self-disclosed emissions reduction targets would be valuable. </w:t>
      </w:r>
      <w:r w:rsidR="005A6417">
        <w:rPr>
          <w:rFonts w:cs="Arial"/>
        </w:rPr>
        <w:t xml:space="preserve"> With consistent guidance on corporate reporting against EU 2030/2050 climate and energy targets, which would complement the Taxonomy Regulation. </w:t>
      </w:r>
      <w:r w:rsidR="00057467" w:rsidRPr="005A558B">
        <w:rPr>
          <w:rFonts w:cs="Arial"/>
        </w:rPr>
        <w:t xml:space="preserve">We would also suggest to include an indicator </w:t>
      </w:r>
      <w:r w:rsidR="00057467" w:rsidRPr="005A558B">
        <w:t xml:space="preserve">attesting whether the company is a signatory of the </w:t>
      </w:r>
      <w:r w:rsidR="00057467" w:rsidRPr="005A558B">
        <w:rPr>
          <w:rFonts w:cs="Arial"/>
          <w:shd w:val="clear" w:color="auto" w:fill="FFFFFF"/>
        </w:rPr>
        <w:t>Science Based Targets initiative (</w:t>
      </w:r>
      <w:proofErr w:type="spellStart"/>
      <w:r w:rsidR="00057467" w:rsidRPr="005A558B">
        <w:rPr>
          <w:rFonts w:cs="Arial"/>
          <w:bCs/>
          <w:shd w:val="clear" w:color="auto" w:fill="FFFFFF"/>
        </w:rPr>
        <w:t>SBTi</w:t>
      </w:r>
      <w:proofErr w:type="spellEnd"/>
      <w:r w:rsidR="00057467" w:rsidRPr="005A558B">
        <w:rPr>
          <w:rFonts w:cs="Arial"/>
          <w:shd w:val="clear" w:color="auto" w:fill="FFFFFF"/>
        </w:rPr>
        <w:t>), t</w:t>
      </w:r>
      <w:r w:rsidR="00057467" w:rsidRPr="005A558B">
        <w:t xml:space="preserve">o see alignment of those targets with the Paris Agreement. </w:t>
      </w:r>
    </w:p>
    <w:p w14:paraId="19053D34" w14:textId="3029E0D8" w:rsidR="005A6417" w:rsidRDefault="005A6417" w:rsidP="00C563A0">
      <w:pPr>
        <w:jc w:val="both"/>
        <w:rPr>
          <w:rFonts w:cs="Arial"/>
        </w:rPr>
      </w:pPr>
    </w:p>
    <w:p w14:paraId="012C3CDC" w14:textId="45D7B7FB" w:rsidR="0071628B" w:rsidRDefault="005A6417" w:rsidP="00C563A0">
      <w:pPr>
        <w:jc w:val="both"/>
        <w:rPr>
          <w:rFonts w:cs="Arial"/>
        </w:rPr>
      </w:pPr>
      <w:r>
        <w:rPr>
          <w:rFonts w:cs="Arial"/>
        </w:rPr>
        <w:t xml:space="preserve">It would be more beneficial to use the company reported targets and analyse performance year on year rather than relying a </w:t>
      </w:r>
      <w:r w:rsidR="0071628B">
        <w:rPr>
          <w:rFonts w:cs="Arial"/>
        </w:rPr>
        <w:t>third party solution</w:t>
      </w:r>
      <w:r>
        <w:rPr>
          <w:rFonts w:cs="Arial"/>
        </w:rPr>
        <w:t>, which may be</w:t>
      </w:r>
      <w:r w:rsidR="0071628B">
        <w:rPr>
          <w:rFonts w:cs="Arial"/>
        </w:rPr>
        <w:t xml:space="preserve"> based on linear or regression models to forecast emissions</w:t>
      </w:r>
      <w:r>
        <w:rPr>
          <w:rFonts w:cs="Arial"/>
        </w:rPr>
        <w:t>. More consistent reporting of carbon emissions and allowances within the EU ETS regime would be welcome, as investment firms seek to assess the substantial contribution a company is making towards climate change mitigation.</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4A1864B5" w:rsidR="003E573C" w:rsidRDefault="009600F9" w:rsidP="00C563A0">
      <w:pPr>
        <w:jc w:val="both"/>
        <w:rPr>
          <w:rFonts w:cs="Arial"/>
        </w:rPr>
      </w:pPr>
      <w:permStart w:id="569465455" w:edGrp="everyone"/>
      <w:r>
        <w:rPr>
          <w:rFonts w:cs="Arial"/>
        </w:rPr>
        <w:t xml:space="preserve">Bloomberg L.P. </w:t>
      </w:r>
      <w:r w:rsidR="00D81A71">
        <w:rPr>
          <w:rFonts w:cs="Arial"/>
        </w:rPr>
        <w:t>agrees with breaking out data by the share of companies invested in, and the share of capital those companies hold</w:t>
      </w:r>
      <w:r w:rsidR="00327390">
        <w:rPr>
          <w:rFonts w:cs="Arial"/>
        </w:rPr>
        <w:t>. Bloomberg L.P. believes that some clarity is required on how to calculate the proportion of these values in terms of activity over the reference period.</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7411FA2" w14:textId="4E7AB65F" w:rsidR="0058507F" w:rsidRDefault="009600F9" w:rsidP="00C563A0">
      <w:pPr>
        <w:jc w:val="both"/>
        <w:rPr>
          <w:rFonts w:cs="Arial"/>
        </w:rPr>
      </w:pPr>
      <w:permStart w:id="1713528049" w:edGrp="everyone"/>
      <w:r>
        <w:rPr>
          <w:rFonts w:cs="Arial"/>
        </w:rPr>
        <w:t xml:space="preserve">Bloomberg L.P. </w:t>
      </w:r>
      <w:r w:rsidR="0058507F">
        <w:rPr>
          <w:rFonts w:cs="Arial"/>
        </w:rPr>
        <w:t>recommends keeping the initial recommendations clear</w:t>
      </w:r>
      <w:r w:rsidR="00C563A0">
        <w:rPr>
          <w:rFonts w:cs="Arial"/>
        </w:rPr>
        <w:t>, concise and easy for asset man</w:t>
      </w:r>
      <w:r w:rsidR="0058507F">
        <w:rPr>
          <w:rFonts w:cs="Arial"/>
        </w:rPr>
        <w:t>agers to execute. Keeping the data required limited to that provided by corporates in their public disclosure, should allow for wider adoption.  Improving scope 1, 2 and 3 disclosure would be a recommended pathway</w:t>
      </w:r>
      <w:r w:rsidR="00D329FD">
        <w:rPr>
          <w:rFonts w:cs="Arial"/>
        </w:rPr>
        <w:t xml:space="preserve">. </w:t>
      </w:r>
      <w:r>
        <w:rPr>
          <w:rFonts w:cs="Arial"/>
        </w:rPr>
        <w:t xml:space="preserve">Bloomberg L.P. </w:t>
      </w:r>
      <w:r w:rsidR="00D329FD">
        <w:rPr>
          <w:rFonts w:cs="Arial"/>
        </w:rPr>
        <w:t xml:space="preserve"> </w:t>
      </w:r>
      <w:proofErr w:type="gramStart"/>
      <w:r w:rsidR="00D329FD">
        <w:rPr>
          <w:rFonts w:cs="Arial"/>
        </w:rPr>
        <w:t>see</w:t>
      </w:r>
      <w:proofErr w:type="gramEnd"/>
      <w:r w:rsidR="00D329FD">
        <w:rPr>
          <w:rFonts w:cs="Arial"/>
        </w:rPr>
        <w:t xml:space="preserve"> ~70% of international companies do not disclose this </w:t>
      </w:r>
      <w:r w:rsidR="00D81A71">
        <w:rPr>
          <w:rFonts w:cs="Arial"/>
        </w:rPr>
        <w:t xml:space="preserve">baseline </w:t>
      </w:r>
      <w:r w:rsidR="00D329FD">
        <w:rPr>
          <w:rFonts w:cs="Arial"/>
        </w:rPr>
        <w:t>data</w:t>
      </w:r>
      <w:r w:rsidR="00344310">
        <w:rPr>
          <w:rFonts w:cs="Arial"/>
        </w:rPr>
        <w:t xml:space="preserve"> in publicly available filings.</w:t>
      </w:r>
    </w:p>
    <w:p w14:paraId="7D40BED2" w14:textId="77777777" w:rsidR="0058507F" w:rsidRDefault="0058507F" w:rsidP="00C563A0">
      <w:pPr>
        <w:jc w:val="both"/>
        <w:rPr>
          <w:rFonts w:cs="Arial"/>
        </w:rPr>
      </w:pPr>
    </w:p>
    <w:p w14:paraId="0907E53C" w14:textId="77777777" w:rsidR="008D20B1" w:rsidRDefault="009600F9" w:rsidP="00C563A0">
      <w:pPr>
        <w:jc w:val="both"/>
        <w:rPr>
          <w:rFonts w:cs="Arial"/>
        </w:rPr>
      </w:pPr>
      <w:r>
        <w:rPr>
          <w:rFonts w:cs="Arial"/>
        </w:rPr>
        <w:t xml:space="preserve">Bloomberg L.P.  </w:t>
      </w:r>
      <w:proofErr w:type="gramStart"/>
      <w:r w:rsidR="0058507F">
        <w:rPr>
          <w:rFonts w:cs="Arial"/>
        </w:rPr>
        <w:t>believes</w:t>
      </w:r>
      <w:proofErr w:type="gramEnd"/>
      <w:r w:rsidR="0058507F">
        <w:rPr>
          <w:rFonts w:cs="Arial"/>
        </w:rPr>
        <w:t xml:space="preserve"> that more sophisticated data sets will incur cost to the smaller asset management community, who may lack internal resources to compute the data and need to purchase data or </w:t>
      </w:r>
      <w:r w:rsidR="000B6483">
        <w:rPr>
          <w:rFonts w:cs="Arial"/>
        </w:rPr>
        <w:t>third-party</w:t>
      </w:r>
      <w:r w:rsidR="0058507F">
        <w:rPr>
          <w:rFonts w:cs="Arial"/>
        </w:rPr>
        <w:t xml:space="preserve"> models in order to comply with the regulation.</w:t>
      </w:r>
      <w:r>
        <w:rPr>
          <w:rFonts w:cs="Arial"/>
        </w:rPr>
        <w:t xml:space="preserve"> </w:t>
      </w:r>
    </w:p>
    <w:p w14:paraId="6FBEF1E5" w14:textId="77777777" w:rsidR="008D20B1" w:rsidRDefault="008D20B1" w:rsidP="00C563A0">
      <w:pPr>
        <w:jc w:val="both"/>
        <w:rPr>
          <w:rFonts w:cs="Arial"/>
        </w:rPr>
      </w:pPr>
    </w:p>
    <w:p w14:paraId="20440D29" w14:textId="7094450F" w:rsidR="003E573C" w:rsidRDefault="008D20B1" w:rsidP="00C563A0">
      <w:pPr>
        <w:jc w:val="both"/>
        <w:rPr>
          <w:rFonts w:cs="Arial"/>
        </w:rPr>
      </w:pPr>
      <w:r w:rsidRPr="001F5DDA">
        <w:rPr>
          <w:rStyle w:val="Strong"/>
          <w:b w:val="0"/>
          <w:bCs w:val="0"/>
        </w:rPr>
        <w:t>W</w:t>
      </w:r>
      <w:r w:rsidR="009600F9" w:rsidRPr="001F5DDA">
        <w:rPr>
          <w:rStyle w:val="Strong"/>
          <w:b w:val="0"/>
          <w:bCs w:val="0"/>
        </w:rPr>
        <w:t xml:space="preserve">here </w:t>
      </w:r>
      <w:r w:rsidR="009600F9" w:rsidRPr="001F5DDA">
        <w:t>information is not readily available</w:t>
      </w:r>
      <w:r w:rsidRPr="001F5DDA">
        <w:rPr>
          <w:b/>
          <w:bCs/>
        </w:rPr>
        <w:t xml:space="preserve">, </w:t>
      </w:r>
      <w:r w:rsidRPr="001F5DDA">
        <w:t>Article 7 suggests</w:t>
      </w:r>
      <w:r w:rsidRPr="001F5DDA">
        <w:rPr>
          <w:b/>
          <w:bCs/>
        </w:rPr>
        <w:t xml:space="preserve"> </w:t>
      </w:r>
      <w:r w:rsidR="009600F9" w:rsidRPr="001F5DDA">
        <w:t xml:space="preserve">investors should only resort to using data providers if their best efforts to get data directly from the company have failed. If the RTS chooses PAI attributes where data is not readily available from disclosing corporates, then modelled data will play an important role. </w:t>
      </w:r>
      <w:r w:rsidR="009600F9" w:rsidRPr="008D20B1">
        <w:t>Clear guidelines on acceptable practices for data modelling or assumptions will be welcome to ensure any third party models are compliant with the ESA</w:t>
      </w:r>
      <w:r w:rsidR="00373238">
        <w:t>’</w:t>
      </w:r>
      <w:r w:rsidR="009600F9" w:rsidRPr="008D20B1">
        <w:t>s recommendations.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lastRenderedPageBreak/>
        <w:t>&lt;ESA_QUESTION_</w:t>
      </w:r>
      <w:r w:rsidR="00C86E1C">
        <w:rPr>
          <w:rFonts w:cs="Arial"/>
        </w:rPr>
        <w:t>ESG</w:t>
      </w:r>
      <w:r>
        <w:rPr>
          <w:rFonts w:cs="Arial"/>
        </w:rPr>
        <w:t>_9&gt;</w:t>
      </w:r>
    </w:p>
    <w:p w14:paraId="0A4368BF" w14:textId="17660D78" w:rsidR="003E573C" w:rsidRDefault="00D329FD" w:rsidP="003E573C">
      <w:pPr>
        <w:rPr>
          <w:rFonts w:cs="Arial"/>
        </w:rPr>
      </w:pPr>
      <w:permStart w:id="221670941" w:edGrp="everyone"/>
      <w:r>
        <w:rPr>
          <w:rFonts w:cs="Arial"/>
        </w:rPr>
        <w:t xml:space="preserve">Yes, </w:t>
      </w:r>
      <w:r w:rsidR="009600F9">
        <w:rPr>
          <w:rFonts w:cs="Arial"/>
        </w:rPr>
        <w:t xml:space="preserve">Bloomberg L.P. </w:t>
      </w:r>
      <w:r>
        <w:rPr>
          <w:rFonts w:cs="Arial"/>
        </w:rPr>
        <w:t>agrees with this approach</w:t>
      </w:r>
      <w:r w:rsidR="00661C5C">
        <w:rPr>
          <w:rFonts w:cs="Arial"/>
        </w:rPr>
        <w:t>.</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590D3DEC" w:rsidR="003E573C" w:rsidRDefault="00D329FD" w:rsidP="00C563A0">
      <w:pPr>
        <w:jc w:val="both"/>
        <w:rPr>
          <w:rFonts w:cs="Arial"/>
        </w:rPr>
      </w:pPr>
      <w:permStart w:id="610013876" w:edGrp="everyone"/>
      <w:r>
        <w:rPr>
          <w:rFonts w:cs="Arial"/>
        </w:rPr>
        <w:t xml:space="preserve">Yes, </w:t>
      </w:r>
      <w:r w:rsidR="009600F9">
        <w:rPr>
          <w:rFonts w:cs="Arial"/>
        </w:rPr>
        <w:t xml:space="preserve">Bloomberg L.P. </w:t>
      </w:r>
      <w:r>
        <w:rPr>
          <w:rFonts w:cs="Arial"/>
        </w:rPr>
        <w:t xml:space="preserve"> </w:t>
      </w:r>
      <w:proofErr w:type="gramStart"/>
      <w:r>
        <w:rPr>
          <w:rFonts w:cs="Arial"/>
        </w:rPr>
        <w:t>agrees</w:t>
      </w:r>
      <w:proofErr w:type="gramEnd"/>
      <w:r>
        <w:rPr>
          <w:rFonts w:cs="Arial"/>
        </w:rPr>
        <w:t xml:space="preserve"> with providing trending data</w:t>
      </w:r>
      <w:r w:rsidR="00504A08">
        <w:rPr>
          <w:rFonts w:cs="Arial"/>
        </w:rPr>
        <w:t xml:space="preserve">. As mentioned earlier </w:t>
      </w:r>
      <w:r w:rsidR="00D81A71">
        <w:rPr>
          <w:rFonts w:cs="Arial"/>
        </w:rPr>
        <w:t>demonstrating a positive trend in relation to both the adverse indicators and greater disclosure should correlate</w:t>
      </w:r>
      <w:r>
        <w:rPr>
          <w:rFonts w:cs="Arial"/>
        </w:rPr>
        <w:t>. European climate or ESG marketed products are investing in higher emitting companies in order to encourage decarbonising practices and investment through stewardship</w:t>
      </w:r>
      <w:r w:rsidR="008B03A0">
        <w:rPr>
          <w:rFonts w:cs="Arial"/>
        </w:rPr>
        <w:t>.</w:t>
      </w:r>
      <w:r w:rsidR="00D81A71">
        <w:rPr>
          <w:rFonts w:cs="Arial"/>
        </w:rPr>
        <w:t xml:space="preserve"> </w:t>
      </w:r>
      <w:r w:rsidR="008B03A0">
        <w:rPr>
          <w:rFonts w:cs="Arial"/>
        </w:rPr>
        <w:t>D</w:t>
      </w:r>
      <w:r w:rsidR="00D81A71">
        <w:rPr>
          <w:rFonts w:cs="Arial"/>
        </w:rPr>
        <w:t>ata</w:t>
      </w:r>
      <w:r w:rsidR="008B03A0">
        <w:rPr>
          <w:rFonts w:cs="Arial"/>
        </w:rPr>
        <w:t xml:space="preserve"> trends</w:t>
      </w:r>
      <w:r w:rsidR="009600F9">
        <w:rPr>
          <w:rFonts w:cs="Arial"/>
        </w:rPr>
        <w:t>, aligned to the net zero ambition,</w:t>
      </w:r>
      <w:r w:rsidR="00D81A71">
        <w:rPr>
          <w:rFonts w:cs="Arial"/>
        </w:rPr>
        <w:t xml:space="preserve"> </w:t>
      </w:r>
      <w:r w:rsidR="00927440">
        <w:rPr>
          <w:rFonts w:cs="Arial"/>
        </w:rPr>
        <w:t>are important to measure transition and to identify opportunities for the asset management community.</w:t>
      </w:r>
      <w:r>
        <w:rPr>
          <w:rFonts w:cs="Arial"/>
        </w:rPr>
        <w:t xml:space="preserve"> </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114ED25A" w:rsidR="003E573C" w:rsidRDefault="009600F9" w:rsidP="00C563A0">
      <w:pPr>
        <w:jc w:val="both"/>
        <w:rPr>
          <w:rFonts w:cs="Arial"/>
        </w:rPr>
      </w:pPr>
      <w:permStart w:id="790175202" w:edGrp="everyone"/>
      <w:r>
        <w:rPr>
          <w:rFonts w:cs="Arial"/>
        </w:rPr>
        <w:t>Bloomberg L.P.</w:t>
      </w:r>
      <w:r w:rsidR="00D329FD">
        <w:rPr>
          <w:rFonts w:cs="Arial"/>
        </w:rPr>
        <w:t xml:space="preserve"> believes that the current timeline needs further clarity for Financial Market Participants. </w:t>
      </w:r>
      <w:r>
        <w:rPr>
          <w:rFonts w:cs="Arial"/>
        </w:rPr>
        <w:t>Bloomberg L.P.</w:t>
      </w:r>
      <w:r w:rsidR="00D329FD">
        <w:rPr>
          <w:rFonts w:cs="Arial"/>
        </w:rPr>
        <w:t xml:space="preserve"> would be supportive of harmonising the timeline. Data available for reporting is typically annual and reported with a lag </w:t>
      </w:r>
      <w:r w:rsidR="00927440">
        <w:rPr>
          <w:rFonts w:cs="Arial"/>
        </w:rPr>
        <w:t xml:space="preserve">compared </w:t>
      </w:r>
      <w:r w:rsidR="00D329FD">
        <w:rPr>
          <w:rFonts w:cs="Arial"/>
        </w:rPr>
        <w:t xml:space="preserve">to the existing financial reporting model. </w:t>
      </w:r>
      <w:r>
        <w:rPr>
          <w:rFonts w:cs="Arial"/>
        </w:rPr>
        <w:t xml:space="preserve">Bloomberg L.P. </w:t>
      </w:r>
      <w:r w:rsidR="00D329FD">
        <w:rPr>
          <w:rFonts w:cs="Arial"/>
        </w:rPr>
        <w:t xml:space="preserve">observes CSR and ESG reporting can occur </w:t>
      </w:r>
      <w:r w:rsidR="00927440">
        <w:rPr>
          <w:rFonts w:cs="Arial"/>
        </w:rPr>
        <w:t xml:space="preserve">approximately </w:t>
      </w:r>
      <w:r w:rsidR="00D329FD">
        <w:rPr>
          <w:rFonts w:cs="Arial"/>
        </w:rPr>
        <w:t>6 to 9 months after the company’s annual accounts, which means that the reference period should ideally be year n-1 relative to the reporting date.</w:t>
      </w:r>
    </w:p>
    <w:p w14:paraId="346AAD5D" w14:textId="77777777" w:rsidR="00D329FD" w:rsidRDefault="00D329FD" w:rsidP="00C563A0">
      <w:pPr>
        <w:jc w:val="both"/>
        <w:rPr>
          <w:rFonts w:cs="Arial"/>
        </w:rPr>
      </w:pPr>
    </w:p>
    <w:p w14:paraId="3D74C5CA" w14:textId="34BD5AB7" w:rsidR="00D329FD" w:rsidRDefault="00D329FD" w:rsidP="00C563A0">
      <w:pPr>
        <w:jc w:val="both"/>
        <w:rPr>
          <w:rFonts w:cs="Arial"/>
        </w:rPr>
      </w:pPr>
      <w:r>
        <w:rPr>
          <w:rFonts w:cs="Arial"/>
        </w:rPr>
        <w:t xml:space="preserve">On </w:t>
      </w:r>
      <w:r w:rsidRPr="00D329FD">
        <w:rPr>
          <w:rFonts w:cs="Arial"/>
        </w:rPr>
        <w:t>periodic disclosures, it’s not explicitly clear whether the periodic disclosures obligation applies to either: (</w:t>
      </w:r>
      <w:proofErr w:type="spellStart"/>
      <w:r w:rsidRPr="00D329FD">
        <w:rPr>
          <w:rFonts w:cs="Arial"/>
        </w:rPr>
        <w:t>i</w:t>
      </w:r>
      <w:proofErr w:type="spellEnd"/>
      <w:r w:rsidRPr="00D329FD">
        <w:rPr>
          <w:rFonts w:cs="Arial"/>
        </w:rPr>
        <w:t>) the first reporting period which starts after 1 January 2022, (ii) the first reporting period which finishes after 1 January 2022, or (iii) the first report due to be published after 1 January 2022, which could be in respect of a reporting period which had finished prior to 1 January 2022.</w:t>
      </w:r>
    </w:p>
    <w:p w14:paraId="5F4DF3E6" w14:textId="4C929B17" w:rsidR="00D329FD" w:rsidRDefault="00D329FD" w:rsidP="00C563A0">
      <w:pPr>
        <w:jc w:val="both"/>
        <w:rPr>
          <w:rFonts w:cs="Arial"/>
        </w:rPr>
      </w:pPr>
    </w:p>
    <w:p w14:paraId="5896B04E" w14:textId="2F5AE338" w:rsidR="00D329FD" w:rsidRDefault="00D329FD" w:rsidP="00C563A0">
      <w:pPr>
        <w:jc w:val="both"/>
        <w:rPr>
          <w:rFonts w:cs="Arial"/>
        </w:rPr>
      </w:pPr>
      <w:r w:rsidRPr="00D329FD">
        <w:rPr>
          <w:rFonts w:cs="Arial"/>
        </w:rPr>
        <w:t>Our current understanding is that option (ii) is correct, and you are looking to identify the first reporting period which finishes after 1 January 2022. So for example, if you have an alternative fund with a 31 December financial year end, the first in-scope reporting period would be that ending on 31 December 2022, and the first report containing the ESG disclosures would be due six months later (per AIFMD) i.e. by 30 June 2023</w:t>
      </w:r>
      <w:r w:rsidR="00661C5C">
        <w:rPr>
          <w:rFonts w:cs="Arial"/>
        </w:rPr>
        <w:t>.</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ABEBD2A" w:rsidR="003E573C" w:rsidRPr="008D20B1" w:rsidRDefault="00BF6ADA" w:rsidP="00C563A0">
      <w:pPr>
        <w:jc w:val="both"/>
        <w:rPr>
          <w:rFonts w:cs="Arial"/>
        </w:rPr>
      </w:pPr>
      <w:permStart w:id="800330460" w:edGrp="everyone"/>
      <w:r w:rsidRPr="008D20B1">
        <w:rPr>
          <w:rFonts w:cs="Arial"/>
        </w:rPr>
        <w:t>Bloomberg L.P. agrees with pre-contractual and periodic reporting templates, so long as they are complementary to the Taxonomy Regulation requirements.</w:t>
      </w:r>
    </w:p>
    <w:p w14:paraId="026BE22F" w14:textId="1906BF5F" w:rsidR="00BF6ADA" w:rsidRPr="00727394" w:rsidRDefault="00BF6ADA" w:rsidP="00C563A0">
      <w:pPr>
        <w:jc w:val="both"/>
        <w:rPr>
          <w:rFonts w:cs="Arial"/>
          <w:color w:val="FF0000"/>
        </w:rPr>
      </w:pPr>
    </w:p>
    <w:p w14:paraId="7EC63812" w14:textId="090390EB" w:rsidR="00BF6ADA" w:rsidRPr="001F5DDA" w:rsidRDefault="00BF6ADA" w:rsidP="00C563A0">
      <w:pPr>
        <w:jc w:val="both"/>
      </w:pPr>
      <w:r w:rsidRPr="001F5DDA">
        <w:t>The Taxonomy will provide a single Union-wide definition of “environmentally sustainable economic activities”. Funds covered un</w:t>
      </w:r>
      <w:r w:rsidR="00504A08">
        <w:t>der Article 8 and Article 9 SFDR</w:t>
      </w:r>
      <w:r w:rsidRPr="001F5DDA">
        <w:t xml:space="preserve"> will be required to disclose against the EU Taxonomy.</w:t>
      </w:r>
    </w:p>
    <w:p w14:paraId="1561F3AB" w14:textId="77777777" w:rsidR="00BF6ADA" w:rsidRPr="001F5DDA" w:rsidRDefault="00BF6ADA" w:rsidP="00C563A0">
      <w:pPr>
        <w:jc w:val="both"/>
      </w:pPr>
    </w:p>
    <w:p w14:paraId="32E866C5" w14:textId="72DE342D" w:rsidR="00BF6ADA" w:rsidRPr="001F5DDA" w:rsidRDefault="00BF6ADA" w:rsidP="00C563A0">
      <w:pPr>
        <w:jc w:val="both"/>
        <w:rPr>
          <w:rFonts w:cs="Arial"/>
        </w:rPr>
      </w:pPr>
      <w:r w:rsidRPr="001F5DDA">
        <w:t xml:space="preserve">Under the proposed regime, an individual Article 8 fund with an environmental focus would be required to comply with two distinct sets of disclosure requirements which address the same fundamental concepts. </w:t>
      </w:r>
      <w:r w:rsidRPr="001F5DDA">
        <w:lastRenderedPageBreak/>
        <w:t>Bloomberg L.P. therefore suggests further harmony between the two regimes. End investors seeking to understand the impact of their products should not be presented with two different frameworks to understand the impact of their investment.</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4716C0D3" w:rsidR="003E573C" w:rsidRPr="00954704" w:rsidRDefault="00BF6ADA" w:rsidP="003E573C">
      <w:pPr>
        <w:rPr>
          <w:rFonts w:cs="Arial"/>
          <w:lang w:val="it-IT"/>
        </w:rPr>
      </w:pPr>
      <w:permStart w:id="1179406826" w:edGrp="everyone"/>
      <w:r w:rsidRPr="00954704">
        <w:rPr>
          <w:rFonts w:cs="Arial"/>
          <w:lang w:val="it-IT"/>
        </w:rPr>
        <w:t>No further comments</w:t>
      </w:r>
      <w:r w:rsidR="00661C5C">
        <w:rPr>
          <w:rFonts w:cs="Arial"/>
          <w:lang w:val="it-IT"/>
        </w:rPr>
        <w:t>.</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0DA6735A" w:rsidR="003E573C" w:rsidRDefault="00BF6ADA" w:rsidP="003E573C">
      <w:pPr>
        <w:rPr>
          <w:rFonts w:cs="Arial"/>
        </w:rPr>
      </w:pPr>
      <w:permStart w:id="1646396141" w:edGrp="everyone"/>
      <w:r>
        <w:rPr>
          <w:rFonts w:cs="Arial"/>
        </w:rPr>
        <w:t>Covered previously</w:t>
      </w:r>
      <w:r w:rsidR="00661C5C">
        <w:rPr>
          <w:rFonts w:cs="Arial"/>
        </w:rPr>
        <w:t>.</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12C70796" w:rsidR="003E573C" w:rsidRPr="00954704" w:rsidRDefault="00BF6ADA" w:rsidP="003E573C">
      <w:pPr>
        <w:rPr>
          <w:rFonts w:cs="Arial"/>
          <w:lang w:val="it-IT"/>
        </w:rPr>
      </w:pPr>
      <w:permStart w:id="1271138379" w:edGrp="everyone"/>
      <w:r w:rsidRPr="00954704">
        <w:rPr>
          <w:rFonts w:cs="Arial"/>
          <w:lang w:val="it-IT"/>
        </w:rPr>
        <w:t>No further comments</w:t>
      </w:r>
      <w:r w:rsidR="00661C5C">
        <w:rPr>
          <w:rFonts w:cs="Arial"/>
          <w:lang w:val="it-IT"/>
        </w:rPr>
        <w:t>.</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40291A4D" w14:textId="64043E61" w:rsidR="00F92E22" w:rsidRDefault="009600F9" w:rsidP="00C563A0">
      <w:pPr>
        <w:jc w:val="both"/>
        <w:rPr>
          <w:rFonts w:cs="Arial"/>
        </w:rPr>
      </w:pPr>
      <w:permStart w:id="739535953" w:edGrp="everyone"/>
      <w:r>
        <w:rPr>
          <w:rFonts w:cs="Arial"/>
        </w:rPr>
        <w:t xml:space="preserve">Bloomberg L.P. </w:t>
      </w:r>
      <w:r w:rsidR="00F92E22">
        <w:rPr>
          <w:rFonts w:cs="Arial"/>
        </w:rPr>
        <w:t>believes that Article 8 and 9 funds require further clarity.</w:t>
      </w:r>
      <w:r w:rsidR="00BF6ADA">
        <w:rPr>
          <w:rFonts w:cs="Arial"/>
        </w:rPr>
        <w:t xml:space="preserve"> Bloomberg L.P. believes that the proportion of an investment product following sustainable objectives would be recommended.</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2AF9E5E4" w:rsidR="003E573C" w:rsidRPr="00504A08" w:rsidRDefault="00661C5C" w:rsidP="003E573C">
      <w:pPr>
        <w:rPr>
          <w:rFonts w:cs="Arial"/>
        </w:rPr>
      </w:pPr>
      <w:permStart w:id="225396737" w:edGrp="everyone"/>
      <w:r w:rsidRPr="00E40A5C">
        <w:rPr>
          <w:rStyle w:val="SubtleEmphasis"/>
          <w:b w:val="0"/>
          <w:sz w:val="22"/>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C2A0044" w:rsidR="003E573C" w:rsidRDefault="00661C5C" w:rsidP="003E573C">
      <w:pPr>
        <w:rPr>
          <w:rFonts w:cs="Arial"/>
        </w:rPr>
      </w:pPr>
      <w:permStart w:id="1687822303" w:edGrp="everyone"/>
      <w:r w:rsidRPr="00E40A5C">
        <w:rPr>
          <w:rStyle w:val="SubtleEmphasis"/>
          <w:b w:val="0"/>
          <w:sz w:val="22"/>
        </w:rPr>
        <w:lastRenderedPageBreak/>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7179A936" w14:textId="4D8DEA4D" w:rsidR="007D771A" w:rsidRDefault="007D771A" w:rsidP="00C563A0">
      <w:pPr>
        <w:jc w:val="both"/>
        <w:rPr>
          <w:rFonts w:cs="Arial"/>
        </w:rPr>
      </w:pPr>
      <w:permStart w:id="669663577" w:edGrp="everyone"/>
      <w:r w:rsidRPr="007D771A">
        <w:rPr>
          <w:rFonts w:cs="Arial"/>
        </w:rPr>
        <w:t xml:space="preserve">There are two ways to assess fossil fuel exposure, first through segment revenue in fossil fuel sectors and second is through the energy mix of the organisation. </w:t>
      </w:r>
      <w:r w:rsidR="009600F9">
        <w:rPr>
          <w:rFonts w:cs="Arial"/>
        </w:rPr>
        <w:t xml:space="preserve">Bloomberg L.P. </w:t>
      </w:r>
      <w:r w:rsidRPr="007D771A">
        <w:rPr>
          <w:rFonts w:cs="Arial"/>
        </w:rPr>
        <w:t xml:space="preserve">captures segmentation data, mapping ~60,000 companies to ~2,000 industry sectors and sub-sectors. For solid fossil fuels, </w:t>
      </w:r>
      <w:r w:rsidR="009600F9">
        <w:rPr>
          <w:rFonts w:cs="Arial"/>
        </w:rPr>
        <w:t xml:space="preserve">Bloomberg L.P. </w:t>
      </w:r>
      <w:r w:rsidRPr="007D771A">
        <w:rPr>
          <w:rFonts w:cs="Arial"/>
        </w:rPr>
        <w:t>has oil and gas industry data broken into 84 sub-sectors; which can allow our clients flexibility in what to exclude under the title "solid fossil fuels"</w:t>
      </w:r>
      <w:r w:rsidR="00375F7A">
        <w:rPr>
          <w:rFonts w:cs="Arial"/>
        </w:rPr>
        <w:t>. Further clarity on what involvement in fossil fuels means in the context of the regulation would be welcome</w:t>
      </w:r>
      <w:r w:rsidR="00DB5CFE">
        <w:rPr>
          <w:rFonts w:cs="Arial"/>
        </w:rPr>
        <w:t xml:space="preserve"> to allow for more precise mapping of data.</w:t>
      </w:r>
    </w:p>
    <w:p w14:paraId="4FD990E6" w14:textId="77777777" w:rsidR="00DB5CFE" w:rsidRPr="007D771A" w:rsidRDefault="00DB5CFE" w:rsidP="00C563A0">
      <w:pPr>
        <w:jc w:val="both"/>
        <w:rPr>
          <w:rFonts w:cs="Arial"/>
        </w:rPr>
      </w:pPr>
    </w:p>
    <w:p w14:paraId="2BFDEEDE" w14:textId="586F2268" w:rsidR="00375F7A" w:rsidRDefault="009600F9" w:rsidP="00C563A0">
      <w:pPr>
        <w:jc w:val="both"/>
        <w:rPr>
          <w:rFonts w:cs="Arial"/>
        </w:rPr>
      </w:pPr>
      <w:r>
        <w:rPr>
          <w:rFonts w:cs="Arial"/>
        </w:rPr>
        <w:t xml:space="preserve">Bloomberg L.P. </w:t>
      </w:r>
      <w:r w:rsidR="007D771A" w:rsidRPr="007D771A">
        <w:rPr>
          <w:rFonts w:cs="Arial"/>
        </w:rPr>
        <w:t>also captures the energy use</w:t>
      </w:r>
      <w:r w:rsidR="00375F7A">
        <w:rPr>
          <w:rFonts w:cs="Arial"/>
        </w:rPr>
        <w:t>:</w:t>
      </w:r>
      <w:r w:rsidR="00375F7A" w:rsidRPr="00375F7A">
        <w:t xml:space="preserve"> </w:t>
      </w:r>
      <w:r w:rsidR="00375F7A" w:rsidRPr="00375F7A">
        <w:rPr>
          <w:rFonts w:cs="Arial"/>
        </w:rPr>
        <w:t>Total mass amount of coal</w:t>
      </w:r>
      <w:r w:rsidR="00F404E2">
        <w:rPr>
          <w:rFonts w:cs="Arial"/>
        </w:rPr>
        <w:t>, natural gas or oil</w:t>
      </w:r>
      <w:r w:rsidR="00375F7A" w:rsidRPr="00375F7A">
        <w:rPr>
          <w:rFonts w:cs="Arial"/>
        </w:rPr>
        <w:t xml:space="preserve"> used as fuel by the company during the reporting period.</w:t>
      </w:r>
    </w:p>
    <w:p w14:paraId="4F7289DE" w14:textId="781FE5BC" w:rsidR="00BF6ADA" w:rsidRDefault="00BF6ADA" w:rsidP="00C563A0">
      <w:pPr>
        <w:jc w:val="both"/>
        <w:rPr>
          <w:rFonts w:cs="Arial"/>
        </w:rPr>
      </w:pPr>
    </w:p>
    <w:p w14:paraId="2670FC8F" w14:textId="33BC1393" w:rsidR="00661C5C" w:rsidRDefault="00BF6ADA" w:rsidP="00C563A0">
      <w:pPr>
        <w:jc w:val="both"/>
        <w:rPr>
          <w:rFonts w:cs="Arial"/>
        </w:rPr>
      </w:pPr>
      <w:r>
        <w:t>The term “fossil fuels” is understood to refer to all hydrocarbon-based fuel sources including oil and natural gas. The current proposal suggests only solid fossil fuels should apply.</w:t>
      </w:r>
    </w:p>
    <w:permEnd w:id="669663577"/>
    <w:p w14:paraId="4B36BA28" w14:textId="2BD85CE8"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455AD73D" w:rsidR="003E573C" w:rsidRPr="00504A08" w:rsidRDefault="00661C5C" w:rsidP="003E573C">
      <w:pPr>
        <w:rPr>
          <w:rFonts w:cs="Arial"/>
          <w:strike/>
          <w:color w:val="FF0000"/>
        </w:rPr>
      </w:pPr>
      <w:permStart w:id="806708611" w:edGrp="everyone"/>
      <w:r w:rsidRPr="00E40A5C">
        <w:rPr>
          <w:rStyle w:val="SubtleEmphasis"/>
          <w:b w:val="0"/>
          <w:sz w:val="22"/>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1DC6BE3" w:rsidR="003E573C" w:rsidRPr="00504A08" w:rsidRDefault="00661C5C" w:rsidP="003E573C">
      <w:pPr>
        <w:rPr>
          <w:rFonts w:cs="Arial"/>
          <w:strike/>
          <w:color w:val="FF0000"/>
        </w:rPr>
      </w:pPr>
      <w:permStart w:id="2245015" w:edGrp="everyone"/>
      <w:r w:rsidRPr="00E40A5C">
        <w:rPr>
          <w:rStyle w:val="SubtleEmphasis"/>
          <w:b w:val="0"/>
          <w:sz w:val="22"/>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4C48655F" w14:textId="684FCB03" w:rsidR="005B2B19" w:rsidRPr="005B2B19" w:rsidRDefault="0001524D" w:rsidP="00C563A0">
      <w:pPr>
        <w:jc w:val="both"/>
        <w:rPr>
          <w:rFonts w:cs="Arial"/>
        </w:rPr>
      </w:pPr>
      <w:permStart w:id="1182486711" w:edGrp="everyone"/>
      <w:r>
        <w:rPr>
          <w:rFonts w:cs="Arial"/>
        </w:rPr>
        <w:t xml:space="preserve">“Do No Significant Harm” in the context of the Taxonomy Regulation is intended as a holistic view on an investment. If you are pursing one environmental objective, your investment must not be harming any other environmental objective. Thus the assessment is made at an activity level. For example, the manufacturer of an electric vehicle can claim taxonomy </w:t>
      </w:r>
      <w:r w:rsidR="00453651">
        <w:rPr>
          <w:rFonts w:cs="Arial"/>
        </w:rPr>
        <w:t>alignment</w:t>
      </w:r>
      <w:r>
        <w:rPr>
          <w:rFonts w:cs="Arial"/>
        </w:rPr>
        <w:t xml:space="preserve"> for the share of revenue made from the sale of this electric vehicle type. To demonstrate no significant harm, there is also</w:t>
      </w:r>
      <w:r w:rsidR="005B2B19">
        <w:rPr>
          <w:rFonts w:cs="Arial"/>
        </w:rPr>
        <w:t xml:space="preserve"> a requirement that </w:t>
      </w:r>
      <w:r w:rsidR="005B2B19">
        <w:rPr>
          <w:rFonts w:cs="Arial"/>
          <w:color w:val="000000"/>
          <w:szCs w:val="20"/>
        </w:rPr>
        <w:t>those electric vehicles are:</w:t>
      </w:r>
    </w:p>
    <w:p w14:paraId="1065BB5E" w14:textId="77777777" w:rsidR="005B2B19" w:rsidRDefault="005B2B19" w:rsidP="00C563A0">
      <w:pPr>
        <w:shd w:val="clear" w:color="auto" w:fill="FFFFFF"/>
        <w:jc w:val="both"/>
        <w:rPr>
          <w:color w:val="000000"/>
        </w:rPr>
      </w:pPr>
      <w:r>
        <w:rPr>
          <w:rFonts w:cs="Arial"/>
          <w:color w:val="000000"/>
          <w:szCs w:val="20"/>
        </w:rPr>
        <w:t xml:space="preserve">1. </w:t>
      </w:r>
      <w:proofErr w:type="gramStart"/>
      <w:r>
        <w:rPr>
          <w:rFonts w:cs="Arial"/>
          <w:color w:val="000000"/>
          <w:szCs w:val="20"/>
        </w:rPr>
        <w:t>Within</w:t>
      </w:r>
      <w:proofErr w:type="gramEnd"/>
      <w:r>
        <w:rPr>
          <w:rFonts w:cs="Arial"/>
          <w:color w:val="000000"/>
          <w:szCs w:val="20"/>
        </w:rPr>
        <w:t xml:space="preserve"> acceptable particulate matter thresholds related to </w:t>
      </w:r>
      <w:r>
        <w:rPr>
          <w:rFonts w:cs="Arial"/>
          <w:color w:val="000000"/>
          <w:szCs w:val="20"/>
          <w:shd w:val="clear" w:color="auto" w:fill="E0C010"/>
        </w:rPr>
        <w:t>tyre</w:t>
      </w:r>
      <w:r>
        <w:rPr>
          <w:rFonts w:cs="Arial"/>
          <w:color w:val="000000"/>
          <w:szCs w:val="20"/>
        </w:rPr>
        <w:t> abrasion &amp; brake friction</w:t>
      </w:r>
    </w:p>
    <w:p w14:paraId="29D1AE10" w14:textId="77777777" w:rsidR="005B2B19" w:rsidRDefault="005B2B19" w:rsidP="00C563A0">
      <w:pPr>
        <w:shd w:val="clear" w:color="auto" w:fill="FFFFFF"/>
        <w:jc w:val="both"/>
        <w:rPr>
          <w:color w:val="000000"/>
        </w:rPr>
      </w:pPr>
      <w:r>
        <w:rPr>
          <w:rFonts w:cs="Arial"/>
          <w:color w:val="000000"/>
          <w:szCs w:val="20"/>
        </w:rPr>
        <w:lastRenderedPageBreak/>
        <w:t xml:space="preserve">2. </w:t>
      </w:r>
      <w:proofErr w:type="gramStart"/>
      <w:r>
        <w:rPr>
          <w:rFonts w:cs="Arial"/>
          <w:color w:val="000000"/>
          <w:szCs w:val="20"/>
        </w:rPr>
        <w:t>Within</w:t>
      </w:r>
      <w:proofErr w:type="gramEnd"/>
      <w:r>
        <w:rPr>
          <w:rFonts w:cs="Arial"/>
          <w:color w:val="000000"/>
          <w:szCs w:val="20"/>
        </w:rPr>
        <w:t xml:space="preserve"> acceptable noise pollution levels</w:t>
      </w:r>
    </w:p>
    <w:p w14:paraId="6C0F5608" w14:textId="77777777" w:rsidR="005B2B19" w:rsidRDefault="005B2B19" w:rsidP="00C563A0">
      <w:pPr>
        <w:shd w:val="clear" w:color="auto" w:fill="FFFFFF"/>
        <w:jc w:val="both"/>
        <w:rPr>
          <w:color w:val="000000"/>
        </w:rPr>
      </w:pPr>
      <w:r>
        <w:rPr>
          <w:rFonts w:cs="Arial"/>
          <w:color w:val="000000"/>
          <w:szCs w:val="20"/>
        </w:rPr>
        <w:t>3. Compliant with acceptable waste generation during maintenance and end of life of the vehicles with specific focus on raw material recovery from batteries</w:t>
      </w:r>
    </w:p>
    <w:p w14:paraId="23644FEB" w14:textId="467EF2FE" w:rsidR="005B2B19" w:rsidRDefault="005B2B19" w:rsidP="00C563A0">
      <w:pPr>
        <w:shd w:val="clear" w:color="auto" w:fill="FFFFFF"/>
        <w:jc w:val="both"/>
        <w:rPr>
          <w:color w:val="000000"/>
        </w:rPr>
      </w:pPr>
      <w:r>
        <w:rPr>
          <w:rFonts w:cs="Arial"/>
          <w:color w:val="000000"/>
          <w:szCs w:val="20"/>
        </w:rPr>
        <w:t>4. Understand the extent of recycling to reduce consumption o</w:t>
      </w:r>
      <w:r w:rsidR="00373238">
        <w:rPr>
          <w:rFonts w:cs="Arial"/>
          <w:color w:val="000000"/>
          <w:szCs w:val="20"/>
        </w:rPr>
        <w:t>f</w:t>
      </w:r>
      <w:r>
        <w:rPr>
          <w:rFonts w:cs="Arial"/>
          <w:color w:val="000000"/>
          <w:szCs w:val="20"/>
        </w:rPr>
        <w:t xml:space="preserve"> raw materials</w:t>
      </w:r>
    </w:p>
    <w:p w14:paraId="5A5AAA22" w14:textId="77777777" w:rsidR="005B2B19" w:rsidRDefault="005B2B19" w:rsidP="00C563A0">
      <w:pPr>
        <w:shd w:val="clear" w:color="auto" w:fill="FFFFFF"/>
        <w:jc w:val="both"/>
        <w:rPr>
          <w:color w:val="000000"/>
        </w:rPr>
      </w:pPr>
      <w:r>
        <w:rPr>
          <w:rFonts w:cs="Arial"/>
          <w:color w:val="000000"/>
          <w:szCs w:val="20"/>
        </w:rPr>
        <w:t>5. Emissions levels are in line with directives on clean road transport</w:t>
      </w:r>
    </w:p>
    <w:p w14:paraId="633DCA4B" w14:textId="77777777" w:rsidR="005B2B19" w:rsidRDefault="005B2B19" w:rsidP="00C563A0">
      <w:pPr>
        <w:shd w:val="clear" w:color="auto" w:fill="FFFFFF"/>
        <w:jc w:val="both"/>
        <w:rPr>
          <w:color w:val="000000"/>
        </w:rPr>
      </w:pPr>
      <w:r>
        <w:rPr>
          <w:rFonts w:cs="Arial"/>
          <w:color w:val="000000"/>
          <w:szCs w:val="20"/>
        </w:rPr>
        <w:t>6. </w:t>
      </w:r>
      <w:r>
        <w:rPr>
          <w:rFonts w:cs="Arial"/>
          <w:color w:val="000000"/>
          <w:szCs w:val="20"/>
          <w:shd w:val="clear" w:color="auto" w:fill="E0C010"/>
        </w:rPr>
        <w:t>Tyres</w:t>
      </w:r>
      <w:r>
        <w:rPr>
          <w:rFonts w:cs="Arial"/>
          <w:color w:val="000000"/>
          <w:szCs w:val="20"/>
        </w:rPr>
        <w:t> are within EU standards</w:t>
      </w:r>
    </w:p>
    <w:p w14:paraId="54868752" w14:textId="567608B9" w:rsidR="005B2B19" w:rsidRDefault="005B2B19" w:rsidP="00C563A0">
      <w:pPr>
        <w:shd w:val="clear" w:color="auto" w:fill="FFFFFF"/>
        <w:jc w:val="both"/>
        <w:rPr>
          <w:rFonts w:cs="Arial"/>
          <w:color w:val="000000"/>
          <w:szCs w:val="20"/>
        </w:rPr>
      </w:pPr>
      <w:r>
        <w:rPr>
          <w:rFonts w:cs="Arial"/>
          <w:color w:val="000000"/>
          <w:szCs w:val="20"/>
        </w:rPr>
        <w:t>If you were to test the vehicle manufacture (at an entity level) for these tests, then they may fail due to the diesel/petrol vehicles in their fleet.</w:t>
      </w:r>
    </w:p>
    <w:p w14:paraId="582C2AF3" w14:textId="77777777" w:rsidR="005B2B19" w:rsidRDefault="005B2B19" w:rsidP="00C563A0">
      <w:pPr>
        <w:shd w:val="clear" w:color="auto" w:fill="FFFFFF"/>
        <w:jc w:val="both"/>
        <w:rPr>
          <w:rFonts w:cs="Arial"/>
          <w:color w:val="000000"/>
          <w:szCs w:val="20"/>
        </w:rPr>
      </w:pPr>
    </w:p>
    <w:p w14:paraId="228A7E29" w14:textId="1BB9E216" w:rsidR="00453651" w:rsidRPr="00661C5C" w:rsidRDefault="005B2B19" w:rsidP="00C563A0">
      <w:pPr>
        <w:shd w:val="clear" w:color="auto" w:fill="FFFFFF"/>
        <w:jc w:val="both"/>
        <w:rPr>
          <w:color w:val="000000"/>
        </w:rPr>
      </w:pPr>
      <w:r>
        <w:rPr>
          <w:rFonts w:cs="Arial"/>
          <w:color w:val="000000"/>
          <w:szCs w:val="20"/>
        </w:rPr>
        <w:t>Therefore, any ‘significant harm’ data sets reviewed out of contex</w:t>
      </w:r>
      <w:bookmarkStart w:id="2" w:name="_GoBack"/>
      <w:bookmarkEnd w:id="2"/>
      <w:r>
        <w:rPr>
          <w:rFonts w:cs="Arial"/>
          <w:color w:val="000000"/>
          <w:szCs w:val="20"/>
        </w:rPr>
        <w:t>t could be misleading. Thus Bloomberg L.P. recommends that significant harm data sets at an entity level should be limited and provided in the knowledge that they will be excluded from sustainable investments; such as fossil fuels, controversial weapons</w:t>
      </w:r>
      <w:r w:rsidR="00373238">
        <w:rPr>
          <w:rFonts w:cs="Arial"/>
          <w:color w:val="000000"/>
          <w:szCs w:val="20"/>
        </w:rPr>
        <w:t>, etc</w:t>
      </w:r>
      <w:r>
        <w:rPr>
          <w:rFonts w:cs="Arial"/>
          <w:color w:val="000000"/>
          <w:szCs w:val="20"/>
        </w:rPr>
        <w:t>.</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58FD8289" w:rsidR="003E573C" w:rsidRPr="00504A08" w:rsidRDefault="00661C5C" w:rsidP="003E573C">
      <w:pPr>
        <w:rPr>
          <w:rFonts w:cs="Arial"/>
        </w:rPr>
      </w:pPr>
      <w:permStart w:id="1634935588" w:edGrp="everyone"/>
      <w:r w:rsidRPr="00E40A5C">
        <w:rPr>
          <w:rStyle w:val="SubtleEmphasis"/>
          <w:b w:val="0"/>
          <w:sz w:val="22"/>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10E941F6" w:rsidR="003E573C" w:rsidRPr="00504A08" w:rsidRDefault="00661C5C" w:rsidP="003E573C">
      <w:pPr>
        <w:rPr>
          <w:rFonts w:cs="Arial"/>
        </w:rPr>
      </w:pPr>
      <w:permStart w:id="872961277" w:edGrp="everyone"/>
      <w:r w:rsidRPr="00E40A5C">
        <w:rPr>
          <w:rStyle w:val="SubtleEmphasis"/>
          <w:b w:val="0"/>
          <w:sz w:val="22"/>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lastRenderedPageBreak/>
        <w:t>&lt;ESA_QUESTION_</w:t>
      </w:r>
      <w:r w:rsidR="00C86E1C">
        <w:rPr>
          <w:rFonts w:cs="Arial"/>
        </w:rPr>
        <w:t>ESG</w:t>
      </w:r>
      <w:r>
        <w:rPr>
          <w:rFonts w:cs="Arial"/>
        </w:rPr>
        <w:t>_25&gt;</w:t>
      </w:r>
    </w:p>
    <w:p w14:paraId="791A0604" w14:textId="3BF778C0" w:rsidR="003E573C" w:rsidRPr="00504A08" w:rsidRDefault="00661C5C" w:rsidP="003E573C">
      <w:pPr>
        <w:rPr>
          <w:rFonts w:cs="Arial"/>
        </w:rPr>
      </w:pPr>
      <w:permStart w:id="374105505" w:edGrp="everyone"/>
      <w:r w:rsidRPr="00E40A5C">
        <w:rPr>
          <w:rStyle w:val="SubtleEmphasis"/>
          <w:b w:val="0"/>
          <w:sz w:val="22"/>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490CAB44" w:rsidR="003E573C" w:rsidRPr="00504A08" w:rsidRDefault="00661C5C" w:rsidP="003E573C">
      <w:pPr>
        <w:rPr>
          <w:rFonts w:cs="Arial"/>
        </w:rPr>
      </w:pPr>
      <w:permStart w:id="624894902" w:edGrp="everyone"/>
      <w:r w:rsidRPr="00E40A5C">
        <w:rPr>
          <w:rStyle w:val="SubtleEmphasis"/>
          <w:b w:val="0"/>
          <w:sz w:val="22"/>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27CC0736" w:rsidR="003E573C" w:rsidRPr="00504A08" w:rsidRDefault="00661C5C" w:rsidP="003E573C">
      <w:pPr>
        <w:rPr>
          <w:rFonts w:cs="Arial"/>
        </w:rPr>
      </w:pPr>
      <w:permStart w:id="1007688109" w:edGrp="everyone"/>
      <w:r w:rsidRPr="00E40A5C">
        <w:rPr>
          <w:rStyle w:val="SubtleEmphasis"/>
          <w:b w:val="0"/>
          <w:sz w:val="22"/>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D5709" w14:textId="77777777" w:rsidR="00BE0BD0" w:rsidRDefault="00BE0BD0">
      <w:r>
        <w:separator/>
      </w:r>
    </w:p>
    <w:p w14:paraId="3400AA98" w14:textId="77777777" w:rsidR="00BE0BD0" w:rsidRDefault="00BE0BD0"/>
  </w:endnote>
  <w:endnote w:type="continuationSeparator" w:id="0">
    <w:p w14:paraId="6724FCAF" w14:textId="77777777" w:rsidR="00BE0BD0" w:rsidRDefault="00BE0BD0">
      <w:r>
        <w:continuationSeparator/>
      </w:r>
    </w:p>
    <w:p w14:paraId="10FEA20A" w14:textId="77777777" w:rsidR="00BE0BD0" w:rsidRDefault="00BE0BD0"/>
  </w:endnote>
  <w:endnote w:type="continuationNotice" w:id="1">
    <w:p w14:paraId="3F277346" w14:textId="77777777" w:rsidR="00BE0BD0" w:rsidRDefault="00BE0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92E22" w:rsidRPr="00616B9B" w14:paraId="6A3CB0EF" w14:textId="77777777" w:rsidTr="00315E96">
      <w:trPr>
        <w:trHeight w:val="284"/>
      </w:trPr>
      <w:tc>
        <w:tcPr>
          <w:tcW w:w="8460" w:type="dxa"/>
        </w:tcPr>
        <w:p w14:paraId="6A3CB0ED" w14:textId="77777777" w:rsidR="00F92E22" w:rsidRPr="00315E96" w:rsidRDefault="00F92E22" w:rsidP="00315E96">
          <w:pPr>
            <w:pStyle w:val="00Footer"/>
            <w:rPr>
              <w:lang w:val="fr-FR"/>
            </w:rPr>
          </w:pPr>
        </w:p>
      </w:tc>
      <w:tc>
        <w:tcPr>
          <w:tcW w:w="952" w:type="dxa"/>
        </w:tcPr>
        <w:p w14:paraId="6A3CB0EE" w14:textId="1DEEA2BD" w:rsidR="00F92E22" w:rsidRPr="00616B9B" w:rsidRDefault="00F92E2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563A0">
            <w:rPr>
              <w:rFonts w:cs="Arial"/>
              <w:noProof/>
              <w:sz w:val="22"/>
              <w:szCs w:val="22"/>
            </w:rPr>
            <w:t>15</w:t>
          </w:r>
          <w:r w:rsidRPr="00616B9B">
            <w:rPr>
              <w:rFonts w:cs="Arial"/>
              <w:noProof/>
              <w:sz w:val="22"/>
              <w:szCs w:val="22"/>
            </w:rPr>
            <w:fldChar w:fldCharType="end"/>
          </w:r>
        </w:p>
      </w:tc>
    </w:tr>
  </w:tbl>
  <w:p w14:paraId="6A3CB0F0" w14:textId="77777777" w:rsidR="00F92E22" w:rsidRDefault="00F92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F92E22" w:rsidRDefault="00F92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CBF4" w14:textId="77777777" w:rsidR="00BE0BD0" w:rsidRDefault="00BE0BD0">
      <w:r>
        <w:separator/>
      </w:r>
    </w:p>
    <w:p w14:paraId="08092224" w14:textId="77777777" w:rsidR="00BE0BD0" w:rsidRDefault="00BE0BD0"/>
  </w:footnote>
  <w:footnote w:type="continuationSeparator" w:id="0">
    <w:p w14:paraId="0B76642B" w14:textId="77777777" w:rsidR="00BE0BD0" w:rsidRDefault="00BE0BD0">
      <w:r>
        <w:continuationSeparator/>
      </w:r>
    </w:p>
    <w:p w14:paraId="57ED6F21" w14:textId="77777777" w:rsidR="00BE0BD0" w:rsidRDefault="00BE0BD0"/>
  </w:footnote>
  <w:footnote w:type="continuationNotice" w:id="1">
    <w:p w14:paraId="3DC2130C" w14:textId="77777777" w:rsidR="00BE0BD0" w:rsidRDefault="00BE0BD0"/>
  </w:footnote>
  <w:footnote w:id="2">
    <w:p w14:paraId="52F26208" w14:textId="77777777" w:rsidR="00F92E22" w:rsidRDefault="00F92E22"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F92E22" w:rsidRDefault="00F92E22">
    <w:pPr>
      <w:pStyle w:val="Header"/>
    </w:pPr>
    <w:r>
      <w:rPr>
        <w:noProof/>
        <w:lang w:eastAsia="zh-CN"/>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zh-CN"/>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F92E22" w:rsidRDefault="00F92E22" w:rsidP="00013CCE">
    <w:pPr>
      <w:pStyle w:val="Header"/>
      <w:jc w:val="right"/>
    </w:pPr>
    <w:r>
      <w:rPr>
        <w:noProof/>
        <w:lang w:eastAsia="zh-CN"/>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zh-CN"/>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F92E22" w:rsidRDefault="00F92E2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92E22" w:rsidRPr="002F4496" w14:paraId="6A3CB0F5" w14:textId="77777777" w:rsidTr="000C06C9">
      <w:trPr>
        <w:trHeight w:val="284"/>
      </w:trPr>
      <w:tc>
        <w:tcPr>
          <w:tcW w:w="8460" w:type="dxa"/>
        </w:tcPr>
        <w:p w14:paraId="6A3CB0F3" w14:textId="77777777" w:rsidR="00F92E22" w:rsidRPr="000C3B6D" w:rsidRDefault="00F92E22" w:rsidP="000C06C9">
          <w:pPr>
            <w:pStyle w:val="00Footer"/>
            <w:rPr>
              <w:lang w:val="fr-FR"/>
            </w:rPr>
          </w:pPr>
        </w:p>
      </w:tc>
      <w:tc>
        <w:tcPr>
          <w:tcW w:w="952" w:type="dxa"/>
        </w:tcPr>
        <w:p w14:paraId="6A3CB0F4" w14:textId="77777777" w:rsidR="00F92E22" w:rsidRPr="00146B34" w:rsidRDefault="00F92E22" w:rsidP="000C06C9">
          <w:pPr>
            <w:pStyle w:val="00aPagenumber"/>
            <w:rPr>
              <w:lang w:val="fr-FR"/>
            </w:rPr>
          </w:pPr>
        </w:p>
      </w:tc>
    </w:tr>
  </w:tbl>
  <w:p w14:paraId="6A3CB0F6" w14:textId="77777777" w:rsidR="00F92E22" w:rsidRPr="00DB46C3" w:rsidRDefault="00F92E22">
    <w:pPr>
      <w:rPr>
        <w:lang w:val="fr-FR"/>
      </w:rPr>
    </w:pPr>
  </w:p>
  <w:p w14:paraId="6A3CB0F7" w14:textId="77777777" w:rsidR="00F92E22" w:rsidRPr="002F4496" w:rsidRDefault="00F92E22">
    <w:pPr>
      <w:pStyle w:val="Header"/>
      <w:rPr>
        <w:lang w:val="fr-FR"/>
      </w:rPr>
    </w:pPr>
  </w:p>
  <w:p w14:paraId="6A3CB0F8" w14:textId="77777777" w:rsidR="00F92E22" w:rsidRPr="002F4496" w:rsidRDefault="00F92E22" w:rsidP="000C06C9">
    <w:pPr>
      <w:pStyle w:val="Header"/>
      <w:tabs>
        <w:tab w:val="clear" w:pos="4536"/>
        <w:tab w:val="clear" w:pos="9072"/>
        <w:tab w:val="left" w:pos="8227"/>
      </w:tabs>
      <w:rPr>
        <w:lang w:val="fr-FR"/>
      </w:rPr>
    </w:pPr>
  </w:p>
  <w:p w14:paraId="6A3CB0F9" w14:textId="77777777" w:rsidR="00F92E22" w:rsidRPr="002F4496" w:rsidRDefault="00F92E22" w:rsidP="000C06C9">
    <w:pPr>
      <w:pStyle w:val="Header"/>
      <w:tabs>
        <w:tab w:val="clear" w:pos="4536"/>
        <w:tab w:val="clear" w:pos="9072"/>
        <w:tab w:val="left" w:pos="8227"/>
      </w:tabs>
      <w:rPr>
        <w:lang w:val="fr-FR"/>
      </w:rPr>
    </w:pPr>
  </w:p>
  <w:p w14:paraId="6A3CB0FA" w14:textId="77777777" w:rsidR="00F92E22" w:rsidRPr="002F4496" w:rsidRDefault="00F92E22">
    <w:pPr>
      <w:pStyle w:val="Header"/>
      <w:rPr>
        <w:lang w:val="fr-FR"/>
      </w:rPr>
    </w:pPr>
  </w:p>
  <w:p w14:paraId="6A3CB0FB" w14:textId="77777777" w:rsidR="00F92E22" w:rsidRPr="002F4496" w:rsidRDefault="00F92E22">
    <w:pPr>
      <w:pStyle w:val="Header"/>
      <w:rPr>
        <w:lang w:val="fr-FR"/>
      </w:rPr>
    </w:pPr>
  </w:p>
  <w:p w14:paraId="6A3CB0FC" w14:textId="77777777" w:rsidR="00F92E22" w:rsidRPr="002F4496" w:rsidRDefault="00F92E22">
    <w:pPr>
      <w:pStyle w:val="Header"/>
      <w:rPr>
        <w:lang w:val="fr-FR"/>
      </w:rPr>
    </w:pPr>
  </w:p>
  <w:p w14:paraId="6A3CB0FD" w14:textId="77777777" w:rsidR="00F92E22" w:rsidRPr="002F4496" w:rsidRDefault="00F92E22">
    <w:pPr>
      <w:pStyle w:val="Header"/>
      <w:rPr>
        <w:lang w:val="fr-FR"/>
      </w:rPr>
    </w:pPr>
  </w:p>
  <w:p w14:paraId="6A3CB0FE" w14:textId="77777777" w:rsidR="00F92E22" w:rsidRPr="002F4496" w:rsidRDefault="00F92E22">
    <w:pPr>
      <w:pStyle w:val="Header"/>
      <w:rPr>
        <w:highlight w:val="yellow"/>
        <w:lang w:val="fr-FR"/>
      </w:rPr>
    </w:pPr>
  </w:p>
  <w:p w14:paraId="6A3CB0FF" w14:textId="05D5FF53" w:rsidR="00F92E22" w:rsidRDefault="00F92E22">
    <w:pPr>
      <w:pStyle w:val="Header"/>
    </w:pPr>
    <w:r>
      <w:rPr>
        <w:noProof/>
        <w:lang w:eastAsia="zh-CN"/>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4E0EE6"/>
    <w:multiLevelType w:val="multilevel"/>
    <w:tmpl w:val="85A2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4111EC"/>
    <w:multiLevelType w:val="hybridMultilevel"/>
    <w:tmpl w:val="D658779C"/>
    <w:lvl w:ilvl="0" w:tplc="617AFB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045BA"/>
    <w:multiLevelType w:val="multilevel"/>
    <w:tmpl w:val="45AE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3048AF"/>
    <w:multiLevelType w:val="hybridMultilevel"/>
    <w:tmpl w:val="439C49CE"/>
    <w:lvl w:ilvl="0" w:tplc="61F8E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66445C"/>
    <w:multiLevelType w:val="hybridMultilevel"/>
    <w:tmpl w:val="714E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34059"/>
    <w:multiLevelType w:val="hybridMultilevel"/>
    <w:tmpl w:val="AD3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41115E1D"/>
    <w:multiLevelType w:val="hybridMultilevel"/>
    <w:tmpl w:val="6C18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59E708C"/>
    <w:multiLevelType w:val="multilevel"/>
    <w:tmpl w:val="0EF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24A1D"/>
    <w:multiLevelType w:val="hybridMultilevel"/>
    <w:tmpl w:val="BBC6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041B"/>
    <w:multiLevelType w:val="hybridMultilevel"/>
    <w:tmpl w:val="871A8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AB7211"/>
    <w:multiLevelType w:val="hybridMultilevel"/>
    <w:tmpl w:val="7BA0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36E4C"/>
    <w:multiLevelType w:val="hybridMultilevel"/>
    <w:tmpl w:val="5288A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0A6A97"/>
    <w:multiLevelType w:val="multilevel"/>
    <w:tmpl w:val="04A2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5" w15:restartNumberingAfterBreak="0">
    <w:nsid w:val="66B87DD4"/>
    <w:multiLevelType w:val="hybridMultilevel"/>
    <w:tmpl w:val="D3B6A3A6"/>
    <w:lvl w:ilvl="0" w:tplc="08090001">
      <w:start w:val="1"/>
      <w:numFmt w:val="bullet"/>
      <w:lvlText w:val=""/>
      <w:lvlJc w:val="left"/>
      <w:pPr>
        <w:ind w:left="720" w:hanging="360"/>
      </w:pPr>
      <w:rPr>
        <w:rFonts w:ascii="Symbol" w:hAnsi="Symbol" w:hint="default"/>
      </w:rPr>
    </w:lvl>
    <w:lvl w:ilvl="1" w:tplc="A252AD42">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8D2CBC"/>
    <w:multiLevelType w:val="multilevel"/>
    <w:tmpl w:val="A46C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2" w15:restartNumberingAfterBreak="0">
    <w:nsid w:val="7B0F4883"/>
    <w:multiLevelType w:val="hybridMultilevel"/>
    <w:tmpl w:val="2A0200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4" w15:restartNumberingAfterBreak="0">
    <w:nsid w:val="7E084ED5"/>
    <w:multiLevelType w:val="hybridMultilevel"/>
    <w:tmpl w:val="24F8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2C3CE4"/>
    <w:multiLevelType w:val="multilevel"/>
    <w:tmpl w:val="8822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4B4AC5"/>
    <w:multiLevelType w:val="hybridMultilevel"/>
    <w:tmpl w:val="6DEA2B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24"/>
  </w:num>
  <w:num w:numId="3">
    <w:abstractNumId w:val="16"/>
  </w:num>
  <w:num w:numId="4">
    <w:abstractNumId w:val="35"/>
  </w:num>
  <w:num w:numId="5">
    <w:abstractNumId w:val="38"/>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3"/>
  </w:num>
  <w:num w:numId="14">
    <w:abstractNumId w:val="31"/>
  </w:num>
  <w:num w:numId="15">
    <w:abstractNumId w:val="13"/>
  </w:num>
  <w:num w:numId="16">
    <w:abstractNumId w:val="2"/>
  </w:num>
  <w:num w:numId="17">
    <w:abstractNumId w:val="19"/>
  </w:num>
  <w:num w:numId="18">
    <w:abstractNumId w:val="20"/>
  </w:num>
  <w:num w:numId="19">
    <w:abstractNumId w:val="22"/>
  </w:num>
  <w:num w:numId="20">
    <w:abstractNumId w:val="39"/>
  </w:num>
  <w:num w:numId="21">
    <w:abstractNumId w:val="50"/>
  </w:num>
  <w:num w:numId="22">
    <w:abstractNumId w:val="37"/>
  </w:num>
  <w:num w:numId="23">
    <w:abstractNumId w:val="12"/>
  </w:num>
  <w:num w:numId="24">
    <w:abstractNumId w:val="42"/>
  </w:num>
  <w:num w:numId="25">
    <w:abstractNumId w:val="41"/>
  </w:num>
  <w:num w:numId="26">
    <w:abstractNumId w:val="27"/>
  </w:num>
  <w:num w:numId="27">
    <w:abstractNumId w:val="47"/>
  </w:num>
  <w:num w:numId="28">
    <w:abstractNumId w:val="53"/>
  </w:num>
  <w:num w:numId="29">
    <w:abstractNumId w:val="10"/>
  </w:num>
  <w:num w:numId="30">
    <w:abstractNumId w:val="5"/>
  </w:num>
  <w:num w:numId="31">
    <w:abstractNumId w:val="30"/>
  </w:num>
  <w:num w:numId="32">
    <w:abstractNumId w:val="28"/>
  </w:num>
  <w:num w:numId="33">
    <w:abstractNumId w:val="49"/>
  </w:num>
  <w:num w:numId="34">
    <w:abstractNumId w:val="48"/>
  </w:num>
  <w:num w:numId="35">
    <w:abstractNumId w:val="15"/>
  </w:num>
  <w:num w:numId="36">
    <w:abstractNumId w:val="17"/>
  </w:num>
  <w:num w:numId="37">
    <w:abstractNumId w:val="36"/>
  </w:num>
  <w:num w:numId="38">
    <w:abstractNumId w:val="29"/>
  </w:num>
  <w:num w:numId="39">
    <w:abstractNumId w:val="52"/>
  </w:num>
  <w:num w:numId="40">
    <w:abstractNumId w:val="32"/>
  </w:num>
  <w:num w:numId="41">
    <w:abstractNumId w:val="14"/>
  </w:num>
  <w:num w:numId="42">
    <w:abstractNumId w:val="6"/>
  </w:num>
  <w:num w:numId="43">
    <w:abstractNumId w:val="9"/>
  </w:num>
  <w:num w:numId="44">
    <w:abstractNumId w:val="3"/>
  </w:num>
  <w:num w:numId="45">
    <w:abstractNumId w:val="23"/>
  </w:num>
  <w:num w:numId="46">
    <w:abstractNumId w:val="26"/>
  </w:num>
  <w:num w:numId="47">
    <w:abstractNumId w:val="56"/>
  </w:num>
  <w:num w:numId="48">
    <w:abstractNumId w:val="45"/>
  </w:num>
  <w:num w:numId="49">
    <w:abstractNumId w:val="33"/>
  </w:num>
  <w:num w:numId="50">
    <w:abstractNumId w:val="4"/>
  </w:num>
  <w:num w:numId="51">
    <w:abstractNumId w:val="34"/>
  </w:num>
  <w:num w:numId="52">
    <w:abstractNumId w:val="1"/>
  </w:num>
  <w:num w:numId="53">
    <w:abstractNumId w:val="46"/>
  </w:num>
  <w:num w:numId="54">
    <w:abstractNumId w:val="54"/>
  </w:num>
  <w:num w:numId="55">
    <w:abstractNumId w:val="55"/>
  </w:num>
  <w:num w:numId="56">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24D"/>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467"/>
    <w:rsid w:val="000576D7"/>
    <w:rsid w:val="00060F72"/>
    <w:rsid w:val="00062592"/>
    <w:rsid w:val="000636A1"/>
    <w:rsid w:val="0006469D"/>
    <w:rsid w:val="000649D9"/>
    <w:rsid w:val="000652BE"/>
    <w:rsid w:val="00066479"/>
    <w:rsid w:val="00066F6B"/>
    <w:rsid w:val="0006723C"/>
    <w:rsid w:val="00070376"/>
    <w:rsid w:val="00070974"/>
    <w:rsid w:val="00071EAD"/>
    <w:rsid w:val="00071F4E"/>
    <w:rsid w:val="00072271"/>
    <w:rsid w:val="00072B54"/>
    <w:rsid w:val="00073667"/>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B6483"/>
    <w:rsid w:val="000B783D"/>
    <w:rsid w:val="000C06C9"/>
    <w:rsid w:val="000C1DCC"/>
    <w:rsid w:val="000C1F54"/>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25E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2DA3"/>
    <w:rsid w:val="0015412F"/>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2FEC"/>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5DDA"/>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76"/>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67130"/>
    <w:rsid w:val="00270E54"/>
    <w:rsid w:val="00273681"/>
    <w:rsid w:val="002754B5"/>
    <w:rsid w:val="002764C5"/>
    <w:rsid w:val="002772AE"/>
    <w:rsid w:val="00280613"/>
    <w:rsid w:val="002825A0"/>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97D"/>
    <w:rsid w:val="002E1B22"/>
    <w:rsid w:val="002E30BB"/>
    <w:rsid w:val="002E387F"/>
    <w:rsid w:val="002E486B"/>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07FAF"/>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90"/>
    <w:rsid w:val="003273FE"/>
    <w:rsid w:val="0033194F"/>
    <w:rsid w:val="00332304"/>
    <w:rsid w:val="00332406"/>
    <w:rsid w:val="00332D8D"/>
    <w:rsid w:val="00336420"/>
    <w:rsid w:val="00336B56"/>
    <w:rsid w:val="00337A3F"/>
    <w:rsid w:val="00341B25"/>
    <w:rsid w:val="00341EC0"/>
    <w:rsid w:val="0034240C"/>
    <w:rsid w:val="00344310"/>
    <w:rsid w:val="00344496"/>
    <w:rsid w:val="00345968"/>
    <w:rsid w:val="00347667"/>
    <w:rsid w:val="003507E2"/>
    <w:rsid w:val="003522B2"/>
    <w:rsid w:val="0035455E"/>
    <w:rsid w:val="00354A6F"/>
    <w:rsid w:val="00354B48"/>
    <w:rsid w:val="00355658"/>
    <w:rsid w:val="00355789"/>
    <w:rsid w:val="003557F4"/>
    <w:rsid w:val="00357C60"/>
    <w:rsid w:val="003609B6"/>
    <w:rsid w:val="00361119"/>
    <w:rsid w:val="0036538D"/>
    <w:rsid w:val="00365D12"/>
    <w:rsid w:val="0037018D"/>
    <w:rsid w:val="0037216F"/>
    <w:rsid w:val="00372299"/>
    <w:rsid w:val="00372F02"/>
    <w:rsid w:val="00373238"/>
    <w:rsid w:val="00373729"/>
    <w:rsid w:val="00373C91"/>
    <w:rsid w:val="003748F0"/>
    <w:rsid w:val="003755C6"/>
    <w:rsid w:val="00375AEF"/>
    <w:rsid w:val="00375F7A"/>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086A"/>
    <w:rsid w:val="003A49DA"/>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7BA"/>
    <w:rsid w:val="003E1FF3"/>
    <w:rsid w:val="003E3ACA"/>
    <w:rsid w:val="003E50EA"/>
    <w:rsid w:val="003E573C"/>
    <w:rsid w:val="003E66EF"/>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4386"/>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12F"/>
    <w:rsid w:val="00453651"/>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97D8E"/>
    <w:rsid w:val="004A00E5"/>
    <w:rsid w:val="004A01A7"/>
    <w:rsid w:val="004A03FB"/>
    <w:rsid w:val="004A0D09"/>
    <w:rsid w:val="004A116E"/>
    <w:rsid w:val="004A357F"/>
    <w:rsid w:val="004A3DAD"/>
    <w:rsid w:val="004A4AC0"/>
    <w:rsid w:val="004A7F23"/>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358"/>
    <w:rsid w:val="004E6AE4"/>
    <w:rsid w:val="004E6B05"/>
    <w:rsid w:val="004E76A1"/>
    <w:rsid w:val="004F05DE"/>
    <w:rsid w:val="004F326C"/>
    <w:rsid w:val="004F6376"/>
    <w:rsid w:val="004F6A93"/>
    <w:rsid w:val="004F6F14"/>
    <w:rsid w:val="004F76D9"/>
    <w:rsid w:val="004F79A6"/>
    <w:rsid w:val="00501BF5"/>
    <w:rsid w:val="00501D8B"/>
    <w:rsid w:val="00503A3E"/>
    <w:rsid w:val="00503F59"/>
    <w:rsid w:val="005049A7"/>
    <w:rsid w:val="00504A08"/>
    <w:rsid w:val="00505007"/>
    <w:rsid w:val="005053B2"/>
    <w:rsid w:val="00506331"/>
    <w:rsid w:val="00507D11"/>
    <w:rsid w:val="00510662"/>
    <w:rsid w:val="005109B7"/>
    <w:rsid w:val="00510A19"/>
    <w:rsid w:val="00511299"/>
    <w:rsid w:val="00511AAB"/>
    <w:rsid w:val="00514A28"/>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507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558B"/>
    <w:rsid w:val="005A6417"/>
    <w:rsid w:val="005A6F43"/>
    <w:rsid w:val="005A767D"/>
    <w:rsid w:val="005B00F1"/>
    <w:rsid w:val="005B0CE7"/>
    <w:rsid w:val="005B10E2"/>
    <w:rsid w:val="005B1803"/>
    <w:rsid w:val="005B2B1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106"/>
    <w:rsid w:val="005E038E"/>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6E7A"/>
    <w:rsid w:val="00617520"/>
    <w:rsid w:val="00617AD0"/>
    <w:rsid w:val="00620D7C"/>
    <w:rsid w:val="00620E32"/>
    <w:rsid w:val="00621089"/>
    <w:rsid w:val="00621E1F"/>
    <w:rsid w:val="006228B2"/>
    <w:rsid w:val="006228E1"/>
    <w:rsid w:val="00622E32"/>
    <w:rsid w:val="00623688"/>
    <w:rsid w:val="006247E0"/>
    <w:rsid w:val="00625F82"/>
    <w:rsid w:val="00627999"/>
    <w:rsid w:val="00630CD7"/>
    <w:rsid w:val="00630FF7"/>
    <w:rsid w:val="0063110F"/>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2B77"/>
    <w:rsid w:val="00644F4D"/>
    <w:rsid w:val="006469B1"/>
    <w:rsid w:val="00646C0D"/>
    <w:rsid w:val="006476F7"/>
    <w:rsid w:val="0064779E"/>
    <w:rsid w:val="00647A32"/>
    <w:rsid w:val="006501FA"/>
    <w:rsid w:val="00650261"/>
    <w:rsid w:val="006509B0"/>
    <w:rsid w:val="006521F3"/>
    <w:rsid w:val="006524D5"/>
    <w:rsid w:val="00652BBD"/>
    <w:rsid w:val="00653633"/>
    <w:rsid w:val="00653F69"/>
    <w:rsid w:val="00654936"/>
    <w:rsid w:val="00655485"/>
    <w:rsid w:val="006558B3"/>
    <w:rsid w:val="0065590E"/>
    <w:rsid w:val="00660B0D"/>
    <w:rsid w:val="00660BF0"/>
    <w:rsid w:val="00660D7A"/>
    <w:rsid w:val="0066189C"/>
    <w:rsid w:val="00661C5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02D"/>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19B"/>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5A56"/>
    <w:rsid w:val="0071628B"/>
    <w:rsid w:val="00716774"/>
    <w:rsid w:val="007209DD"/>
    <w:rsid w:val="00722E49"/>
    <w:rsid w:val="00723A08"/>
    <w:rsid w:val="00723B5C"/>
    <w:rsid w:val="00724391"/>
    <w:rsid w:val="00724C18"/>
    <w:rsid w:val="00726630"/>
    <w:rsid w:val="00727394"/>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6D1B"/>
    <w:rsid w:val="00777046"/>
    <w:rsid w:val="007770DA"/>
    <w:rsid w:val="007805B9"/>
    <w:rsid w:val="00780C3A"/>
    <w:rsid w:val="007834A1"/>
    <w:rsid w:val="00790B31"/>
    <w:rsid w:val="00791EB4"/>
    <w:rsid w:val="007928F1"/>
    <w:rsid w:val="0079357D"/>
    <w:rsid w:val="007937CC"/>
    <w:rsid w:val="00793A31"/>
    <w:rsid w:val="00794979"/>
    <w:rsid w:val="007956B7"/>
    <w:rsid w:val="00795F1A"/>
    <w:rsid w:val="00796EDE"/>
    <w:rsid w:val="00797297"/>
    <w:rsid w:val="007974B3"/>
    <w:rsid w:val="0079759A"/>
    <w:rsid w:val="00797875"/>
    <w:rsid w:val="007A076C"/>
    <w:rsid w:val="007A131F"/>
    <w:rsid w:val="007A2140"/>
    <w:rsid w:val="007A23E2"/>
    <w:rsid w:val="007A2F86"/>
    <w:rsid w:val="007A31A5"/>
    <w:rsid w:val="007A411B"/>
    <w:rsid w:val="007A45E6"/>
    <w:rsid w:val="007A4B28"/>
    <w:rsid w:val="007A5C2C"/>
    <w:rsid w:val="007A6F4E"/>
    <w:rsid w:val="007A7678"/>
    <w:rsid w:val="007A7684"/>
    <w:rsid w:val="007B0CD8"/>
    <w:rsid w:val="007B0DE0"/>
    <w:rsid w:val="007B21DE"/>
    <w:rsid w:val="007B2BB9"/>
    <w:rsid w:val="007B38E3"/>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D771A"/>
    <w:rsid w:val="007E0660"/>
    <w:rsid w:val="007E1411"/>
    <w:rsid w:val="007E1882"/>
    <w:rsid w:val="007E1BB4"/>
    <w:rsid w:val="007E3514"/>
    <w:rsid w:val="007E4AAA"/>
    <w:rsid w:val="007E4BD2"/>
    <w:rsid w:val="007E4C29"/>
    <w:rsid w:val="007E58A7"/>
    <w:rsid w:val="007E5E44"/>
    <w:rsid w:val="007F0DDA"/>
    <w:rsid w:val="007F170C"/>
    <w:rsid w:val="007F1939"/>
    <w:rsid w:val="007F280C"/>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66E9"/>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4B3"/>
    <w:rsid w:val="0085590C"/>
    <w:rsid w:val="008575EB"/>
    <w:rsid w:val="00862DDD"/>
    <w:rsid w:val="0086326D"/>
    <w:rsid w:val="00863CC1"/>
    <w:rsid w:val="00865B01"/>
    <w:rsid w:val="00866D7A"/>
    <w:rsid w:val="00866EE3"/>
    <w:rsid w:val="008701E5"/>
    <w:rsid w:val="008706C5"/>
    <w:rsid w:val="00871F04"/>
    <w:rsid w:val="008746C1"/>
    <w:rsid w:val="00880224"/>
    <w:rsid w:val="00880BBC"/>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3A0"/>
    <w:rsid w:val="008B0DC6"/>
    <w:rsid w:val="008B2B9E"/>
    <w:rsid w:val="008B31F5"/>
    <w:rsid w:val="008B4A34"/>
    <w:rsid w:val="008B4C79"/>
    <w:rsid w:val="008B5D2D"/>
    <w:rsid w:val="008B6361"/>
    <w:rsid w:val="008C0320"/>
    <w:rsid w:val="008C2A81"/>
    <w:rsid w:val="008C36A3"/>
    <w:rsid w:val="008C3863"/>
    <w:rsid w:val="008C4BDC"/>
    <w:rsid w:val="008C50FF"/>
    <w:rsid w:val="008C5435"/>
    <w:rsid w:val="008C6BD1"/>
    <w:rsid w:val="008D20B1"/>
    <w:rsid w:val="008D2DB5"/>
    <w:rsid w:val="008D3F10"/>
    <w:rsid w:val="008D611D"/>
    <w:rsid w:val="008D7105"/>
    <w:rsid w:val="008E1B6A"/>
    <w:rsid w:val="008E3054"/>
    <w:rsid w:val="008E32FF"/>
    <w:rsid w:val="008E5625"/>
    <w:rsid w:val="008E5C5B"/>
    <w:rsid w:val="008E6A37"/>
    <w:rsid w:val="008F027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17916"/>
    <w:rsid w:val="0092030E"/>
    <w:rsid w:val="009203D0"/>
    <w:rsid w:val="009217B1"/>
    <w:rsid w:val="00921A42"/>
    <w:rsid w:val="009223BB"/>
    <w:rsid w:val="00922491"/>
    <w:rsid w:val="00923BCF"/>
    <w:rsid w:val="009252EC"/>
    <w:rsid w:val="00925AEC"/>
    <w:rsid w:val="00927440"/>
    <w:rsid w:val="0092751A"/>
    <w:rsid w:val="009305C4"/>
    <w:rsid w:val="00931FAF"/>
    <w:rsid w:val="009360F6"/>
    <w:rsid w:val="009371DC"/>
    <w:rsid w:val="0093759D"/>
    <w:rsid w:val="00940239"/>
    <w:rsid w:val="00942BD6"/>
    <w:rsid w:val="00942DED"/>
    <w:rsid w:val="00944404"/>
    <w:rsid w:val="00944E0A"/>
    <w:rsid w:val="009452D7"/>
    <w:rsid w:val="00945FD1"/>
    <w:rsid w:val="00946CCC"/>
    <w:rsid w:val="00947A5F"/>
    <w:rsid w:val="009503E5"/>
    <w:rsid w:val="00950F71"/>
    <w:rsid w:val="00952F2C"/>
    <w:rsid w:val="009532E3"/>
    <w:rsid w:val="00953615"/>
    <w:rsid w:val="00954704"/>
    <w:rsid w:val="00954A15"/>
    <w:rsid w:val="00954BAF"/>
    <w:rsid w:val="00955F48"/>
    <w:rsid w:val="009560B3"/>
    <w:rsid w:val="0095745E"/>
    <w:rsid w:val="00957CE0"/>
    <w:rsid w:val="0096002E"/>
    <w:rsid w:val="009600F9"/>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186"/>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55"/>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2E85"/>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3E77"/>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2A"/>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3E9"/>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0BD0"/>
    <w:rsid w:val="00BE19EF"/>
    <w:rsid w:val="00BE1AB4"/>
    <w:rsid w:val="00BE425B"/>
    <w:rsid w:val="00BE51BB"/>
    <w:rsid w:val="00BE7595"/>
    <w:rsid w:val="00BE77D3"/>
    <w:rsid w:val="00BE7C87"/>
    <w:rsid w:val="00BF0138"/>
    <w:rsid w:val="00BF114B"/>
    <w:rsid w:val="00BF1620"/>
    <w:rsid w:val="00BF1AC3"/>
    <w:rsid w:val="00BF28DA"/>
    <w:rsid w:val="00BF373A"/>
    <w:rsid w:val="00BF557C"/>
    <w:rsid w:val="00BF62D2"/>
    <w:rsid w:val="00BF6ADA"/>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17CF4"/>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809"/>
    <w:rsid w:val="00C43D33"/>
    <w:rsid w:val="00C44407"/>
    <w:rsid w:val="00C456E8"/>
    <w:rsid w:val="00C46630"/>
    <w:rsid w:val="00C47A2F"/>
    <w:rsid w:val="00C50D18"/>
    <w:rsid w:val="00C51179"/>
    <w:rsid w:val="00C5282C"/>
    <w:rsid w:val="00C52FBE"/>
    <w:rsid w:val="00C5355E"/>
    <w:rsid w:val="00C535E2"/>
    <w:rsid w:val="00C539FF"/>
    <w:rsid w:val="00C53FC1"/>
    <w:rsid w:val="00C563A0"/>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0F89"/>
    <w:rsid w:val="00C923B7"/>
    <w:rsid w:val="00C94D4C"/>
    <w:rsid w:val="00C95086"/>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5D59"/>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44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B0E"/>
    <w:rsid w:val="00D305F6"/>
    <w:rsid w:val="00D30B25"/>
    <w:rsid w:val="00D3175A"/>
    <w:rsid w:val="00D31A00"/>
    <w:rsid w:val="00D323E4"/>
    <w:rsid w:val="00D32871"/>
    <w:rsid w:val="00D329FD"/>
    <w:rsid w:val="00D33881"/>
    <w:rsid w:val="00D34282"/>
    <w:rsid w:val="00D366B1"/>
    <w:rsid w:val="00D37AE0"/>
    <w:rsid w:val="00D416A8"/>
    <w:rsid w:val="00D4217D"/>
    <w:rsid w:val="00D4257C"/>
    <w:rsid w:val="00D425AC"/>
    <w:rsid w:val="00D42823"/>
    <w:rsid w:val="00D42D5E"/>
    <w:rsid w:val="00D43F14"/>
    <w:rsid w:val="00D44C18"/>
    <w:rsid w:val="00D4556D"/>
    <w:rsid w:val="00D47131"/>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7F5"/>
    <w:rsid w:val="00D76933"/>
    <w:rsid w:val="00D76D88"/>
    <w:rsid w:val="00D77CC9"/>
    <w:rsid w:val="00D81A71"/>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CFE"/>
    <w:rsid w:val="00DB5EDF"/>
    <w:rsid w:val="00DB6C46"/>
    <w:rsid w:val="00DB72B8"/>
    <w:rsid w:val="00DB7B9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17C95"/>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07E"/>
    <w:rsid w:val="00E64E69"/>
    <w:rsid w:val="00E64FB7"/>
    <w:rsid w:val="00E669A1"/>
    <w:rsid w:val="00E679BA"/>
    <w:rsid w:val="00E70243"/>
    <w:rsid w:val="00E72CC6"/>
    <w:rsid w:val="00E73D44"/>
    <w:rsid w:val="00E740A4"/>
    <w:rsid w:val="00E7494A"/>
    <w:rsid w:val="00E74BE2"/>
    <w:rsid w:val="00E74C66"/>
    <w:rsid w:val="00E74FA2"/>
    <w:rsid w:val="00E75933"/>
    <w:rsid w:val="00E77A1B"/>
    <w:rsid w:val="00E808BE"/>
    <w:rsid w:val="00E80C47"/>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36D"/>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3ED7"/>
    <w:rsid w:val="00F24E6F"/>
    <w:rsid w:val="00F26069"/>
    <w:rsid w:val="00F26B7E"/>
    <w:rsid w:val="00F27D7D"/>
    <w:rsid w:val="00F3002B"/>
    <w:rsid w:val="00F30BC9"/>
    <w:rsid w:val="00F31E57"/>
    <w:rsid w:val="00F32462"/>
    <w:rsid w:val="00F32FF7"/>
    <w:rsid w:val="00F33EDE"/>
    <w:rsid w:val="00F3568B"/>
    <w:rsid w:val="00F377CD"/>
    <w:rsid w:val="00F404E2"/>
    <w:rsid w:val="00F40C3B"/>
    <w:rsid w:val="00F40CE0"/>
    <w:rsid w:val="00F41BDD"/>
    <w:rsid w:val="00F42DBC"/>
    <w:rsid w:val="00F4308D"/>
    <w:rsid w:val="00F44012"/>
    <w:rsid w:val="00F44947"/>
    <w:rsid w:val="00F458EF"/>
    <w:rsid w:val="00F469AB"/>
    <w:rsid w:val="00F47121"/>
    <w:rsid w:val="00F4775D"/>
    <w:rsid w:val="00F504DD"/>
    <w:rsid w:val="00F50874"/>
    <w:rsid w:val="00F516C6"/>
    <w:rsid w:val="00F52221"/>
    <w:rsid w:val="00F52B28"/>
    <w:rsid w:val="00F536BB"/>
    <w:rsid w:val="00F53755"/>
    <w:rsid w:val="00F53E59"/>
    <w:rsid w:val="00F5475B"/>
    <w:rsid w:val="00F551CC"/>
    <w:rsid w:val="00F574D0"/>
    <w:rsid w:val="00F5771C"/>
    <w:rsid w:val="00F6031F"/>
    <w:rsid w:val="00F60963"/>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2E22"/>
    <w:rsid w:val="00F93CCF"/>
    <w:rsid w:val="00F94307"/>
    <w:rsid w:val="00F9580B"/>
    <w:rsid w:val="00F95F15"/>
    <w:rsid w:val="00F975CA"/>
    <w:rsid w:val="00FA0B60"/>
    <w:rsid w:val="00FA2528"/>
    <w:rsid w:val="00FA2ED2"/>
    <w:rsid w:val="00FA5535"/>
    <w:rsid w:val="00FA625B"/>
    <w:rsid w:val="00FA7206"/>
    <w:rsid w:val="00FA7EFB"/>
    <w:rsid w:val="00FB0816"/>
    <w:rsid w:val="00FB08C2"/>
    <w:rsid w:val="00FB3DD1"/>
    <w:rsid w:val="00FB485E"/>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uiPriority w:val="9"/>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34103981">
      <w:bodyDiv w:val="1"/>
      <w:marLeft w:val="0"/>
      <w:marRight w:val="0"/>
      <w:marTop w:val="0"/>
      <w:marBottom w:val="0"/>
      <w:divBdr>
        <w:top w:val="none" w:sz="0" w:space="0" w:color="auto"/>
        <w:left w:val="none" w:sz="0" w:space="0" w:color="auto"/>
        <w:bottom w:val="none" w:sz="0" w:space="0" w:color="auto"/>
        <w:right w:val="none" w:sz="0" w:space="0" w:color="auto"/>
      </w:divBdr>
      <w:divsChild>
        <w:div w:id="1776710340">
          <w:marLeft w:val="0"/>
          <w:marRight w:val="0"/>
          <w:marTop w:val="0"/>
          <w:marBottom w:val="0"/>
          <w:divBdr>
            <w:top w:val="none" w:sz="0" w:space="0" w:color="auto"/>
            <w:left w:val="none" w:sz="0" w:space="0" w:color="auto"/>
            <w:bottom w:val="none" w:sz="0" w:space="0" w:color="auto"/>
            <w:right w:val="none" w:sz="0" w:space="0" w:color="auto"/>
          </w:divBdr>
        </w:div>
        <w:div w:id="1919359967">
          <w:marLeft w:val="0"/>
          <w:marRight w:val="0"/>
          <w:marTop w:val="0"/>
          <w:marBottom w:val="0"/>
          <w:divBdr>
            <w:top w:val="none" w:sz="0" w:space="0" w:color="auto"/>
            <w:left w:val="none" w:sz="0" w:space="0" w:color="auto"/>
            <w:bottom w:val="none" w:sz="0" w:space="0" w:color="auto"/>
            <w:right w:val="none" w:sz="0" w:space="0" w:color="auto"/>
          </w:divBdr>
        </w:div>
        <w:div w:id="1530101110">
          <w:marLeft w:val="0"/>
          <w:marRight w:val="0"/>
          <w:marTop w:val="0"/>
          <w:marBottom w:val="0"/>
          <w:divBdr>
            <w:top w:val="none" w:sz="0" w:space="0" w:color="auto"/>
            <w:left w:val="none" w:sz="0" w:space="0" w:color="auto"/>
            <w:bottom w:val="none" w:sz="0" w:space="0" w:color="auto"/>
            <w:right w:val="none" w:sz="0" w:space="0" w:color="auto"/>
          </w:divBdr>
        </w:div>
        <w:div w:id="1153444226">
          <w:marLeft w:val="0"/>
          <w:marRight w:val="0"/>
          <w:marTop w:val="0"/>
          <w:marBottom w:val="0"/>
          <w:divBdr>
            <w:top w:val="none" w:sz="0" w:space="0" w:color="auto"/>
            <w:left w:val="none" w:sz="0" w:space="0" w:color="auto"/>
            <w:bottom w:val="none" w:sz="0" w:space="0" w:color="auto"/>
            <w:right w:val="none" w:sz="0" w:space="0" w:color="auto"/>
          </w:divBdr>
        </w:div>
        <w:div w:id="1915624068">
          <w:marLeft w:val="0"/>
          <w:marRight w:val="0"/>
          <w:marTop w:val="0"/>
          <w:marBottom w:val="0"/>
          <w:divBdr>
            <w:top w:val="none" w:sz="0" w:space="0" w:color="auto"/>
            <w:left w:val="none" w:sz="0" w:space="0" w:color="auto"/>
            <w:bottom w:val="none" w:sz="0" w:space="0" w:color="auto"/>
            <w:right w:val="none" w:sz="0" w:space="0" w:color="auto"/>
          </w:divBdr>
        </w:div>
        <w:div w:id="1192836048">
          <w:marLeft w:val="0"/>
          <w:marRight w:val="0"/>
          <w:marTop w:val="0"/>
          <w:marBottom w:val="0"/>
          <w:divBdr>
            <w:top w:val="none" w:sz="0" w:space="0" w:color="auto"/>
            <w:left w:val="none" w:sz="0" w:space="0" w:color="auto"/>
            <w:bottom w:val="none" w:sz="0" w:space="0" w:color="auto"/>
            <w:right w:val="none" w:sz="0" w:space="0" w:color="auto"/>
          </w:divBdr>
        </w:div>
        <w:div w:id="986859237">
          <w:marLeft w:val="0"/>
          <w:marRight w:val="0"/>
          <w:marTop w:val="0"/>
          <w:marBottom w:val="0"/>
          <w:divBdr>
            <w:top w:val="none" w:sz="0" w:space="0" w:color="auto"/>
            <w:left w:val="none" w:sz="0" w:space="0" w:color="auto"/>
            <w:bottom w:val="none" w:sz="0" w:space="0" w:color="auto"/>
            <w:right w:val="none" w:sz="0" w:space="0" w:color="auto"/>
          </w:divBdr>
        </w:div>
        <w:div w:id="1579248917">
          <w:marLeft w:val="0"/>
          <w:marRight w:val="0"/>
          <w:marTop w:val="0"/>
          <w:marBottom w:val="0"/>
          <w:divBdr>
            <w:top w:val="none" w:sz="0" w:space="0" w:color="auto"/>
            <w:left w:val="none" w:sz="0" w:space="0" w:color="auto"/>
            <w:bottom w:val="none" w:sz="0" w:space="0" w:color="auto"/>
            <w:right w:val="none" w:sz="0" w:space="0" w:color="auto"/>
          </w:divBdr>
        </w:div>
        <w:div w:id="1592155292">
          <w:marLeft w:val="0"/>
          <w:marRight w:val="0"/>
          <w:marTop w:val="0"/>
          <w:marBottom w:val="0"/>
          <w:divBdr>
            <w:top w:val="none" w:sz="0" w:space="0" w:color="auto"/>
            <w:left w:val="none" w:sz="0" w:space="0" w:color="auto"/>
            <w:bottom w:val="none" w:sz="0" w:space="0" w:color="auto"/>
            <w:right w:val="none" w:sz="0" w:space="0" w:color="auto"/>
          </w:divBdr>
        </w:div>
        <w:div w:id="1941910576">
          <w:marLeft w:val="0"/>
          <w:marRight w:val="0"/>
          <w:marTop w:val="0"/>
          <w:marBottom w:val="0"/>
          <w:divBdr>
            <w:top w:val="none" w:sz="0" w:space="0" w:color="auto"/>
            <w:left w:val="none" w:sz="0" w:space="0" w:color="auto"/>
            <w:bottom w:val="none" w:sz="0" w:space="0" w:color="auto"/>
            <w:right w:val="none" w:sz="0" w:space="0" w:color="auto"/>
          </w:divBdr>
        </w:div>
        <w:div w:id="872036485">
          <w:marLeft w:val="0"/>
          <w:marRight w:val="0"/>
          <w:marTop w:val="0"/>
          <w:marBottom w:val="0"/>
          <w:divBdr>
            <w:top w:val="none" w:sz="0" w:space="0" w:color="auto"/>
            <w:left w:val="none" w:sz="0" w:space="0" w:color="auto"/>
            <w:bottom w:val="none" w:sz="0" w:space="0" w:color="auto"/>
            <w:right w:val="none" w:sz="0" w:space="0" w:color="auto"/>
          </w:divBdr>
        </w:div>
        <w:div w:id="1553155499">
          <w:marLeft w:val="0"/>
          <w:marRight w:val="0"/>
          <w:marTop w:val="0"/>
          <w:marBottom w:val="0"/>
          <w:divBdr>
            <w:top w:val="none" w:sz="0" w:space="0" w:color="auto"/>
            <w:left w:val="none" w:sz="0" w:space="0" w:color="auto"/>
            <w:bottom w:val="none" w:sz="0" w:space="0" w:color="auto"/>
            <w:right w:val="none" w:sz="0" w:space="0" w:color="auto"/>
          </w:divBdr>
        </w:div>
        <w:div w:id="1068764839">
          <w:marLeft w:val="0"/>
          <w:marRight w:val="0"/>
          <w:marTop w:val="0"/>
          <w:marBottom w:val="0"/>
          <w:divBdr>
            <w:top w:val="none" w:sz="0" w:space="0" w:color="auto"/>
            <w:left w:val="none" w:sz="0" w:space="0" w:color="auto"/>
            <w:bottom w:val="none" w:sz="0" w:space="0" w:color="auto"/>
            <w:right w:val="none" w:sz="0" w:space="0" w:color="auto"/>
          </w:divBdr>
        </w:div>
        <w:div w:id="578057995">
          <w:marLeft w:val="0"/>
          <w:marRight w:val="0"/>
          <w:marTop w:val="0"/>
          <w:marBottom w:val="0"/>
          <w:divBdr>
            <w:top w:val="none" w:sz="0" w:space="0" w:color="auto"/>
            <w:left w:val="none" w:sz="0" w:space="0" w:color="auto"/>
            <w:bottom w:val="none" w:sz="0" w:space="0" w:color="auto"/>
            <w:right w:val="none" w:sz="0" w:space="0" w:color="auto"/>
          </w:divBdr>
        </w:div>
        <w:div w:id="415246674">
          <w:marLeft w:val="0"/>
          <w:marRight w:val="0"/>
          <w:marTop w:val="0"/>
          <w:marBottom w:val="0"/>
          <w:divBdr>
            <w:top w:val="none" w:sz="0" w:space="0" w:color="auto"/>
            <w:left w:val="none" w:sz="0" w:space="0" w:color="auto"/>
            <w:bottom w:val="none" w:sz="0" w:space="0" w:color="auto"/>
            <w:right w:val="none" w:sz="0" w:space="0" w:color="auto"/>
          </w:divBdr>
        </w:div>
        <w:div w:id="1403722054">
          <w:marLeft w:val="0"/>
          <w:marRight w:val="0"/>
          <w:marTop w:val="0"/>
          <w:marBottom w:val="0"/>
          <w:divBdr>
            <w:top w:val="none" w:sz="0" w:space="0" w:color="auto"/>
            <w:left w:val="none" w:sz="0" w:space="0" w:color="auto"/>
            <w:bottom w:val="none" w:sz="0" w:space="0" w:color="auto"/>
            <w:right w:val="none" w:sz="0" w:space="0" w:color="auto"/>
          </w:divBdr>
        </w:div>
        <w:div w:id="540747856">
          <w:marLeft w:val="0"/>
          <w:marRight w:val="0"/>
          <w:marTop w:val="0"/>
          <w:marBottom w:val="0"/>
          <w:divBdr>
            <w:top w:val="none" w:sz="0" w:space="0" w:color="auto"/>
            <w:left w:val="none" w:sz="0" w:space="0" w:color="auto"/>
            <w:bottom w:val="none" w:sz="0" w:space="0" w:color="auto"/>
            <w:right w:val="none" w:sz="0" w:space="0" w:color="auto"/>
          </w:divBdr>
        </w:div>
        <w:div w:id="591472398">
          <w:marLeft w:val="0"/>
          <w:marRight w:val="0"/>
          <w:marTop w:val="0"/>
          <w:marBottom w:val="0"/>
          <w:divBdr>
            <w:top w:val="none" w:sz="0" w:space="0" w:color="auto"/>
            <w:left w:val="none" w:sz="0" w:space="0" w:color="auto"/>
            <w:bottom w:val="none" w:sz="0" w:space="0" w:color="auto"/>
            <w:right w:val="none" w:sz="0" w:space="0" w:color="auto"/>
          </w:divBdr>
        </w:div>
        <w:div w:id="1264876647">
          <w:marLeft w:val="0"/>
          <w:marRight w:val="0"/>
          <w:marTop w:val="0"/>
          <w:marBottom w:val="0"/>
          <w:divBdr>
            <w:top w:val="none" w:sz="0" w:space="0" w:color="auto"/>
            <w:left w:val="none" w:sz="0" w:space="0" w:color="auto"/>
            <w:bottom w:val="none" w:sz="0" w:space="0" w:color="auto"/>
            <w:right w:val="none" w:sz="0" w:space="0" w:color="auto"/>
          </w:divBdr>
        </w:div>
        <w:div w:id="495001001">
          <w:marLeft w:val="0"/>
          <w:marRight w:val="0"/>
          <w:marTop w:val="0"/>
          <w:marBottom w:val="0"/>
          <w:divBdr>
            <w:top w:val="none" w:sz="0" w:space="0" w:color="auto"/>
            <w:left w:val="none" w:sz="0" w:space="0" w:color="auto"/>
            <w:bottom w:val="none" w:sz="0" w:space="0" w:color="auto"/>
            <w:right w:val="none" w:sz="0" w:space="0" w:color="auto"/>
          </w:divBdr>
        </w:div>
        <w:div w:id="1725711438">
          <w:marLeft w:val="0"/>
          <w:marRight w:val="0"/>
          <w:marTop w:val="0"/>
          <w:marBottom w:val="0"/>
          <w:divBdr>
            <w:top w:val="none" w:sz="0" w:space="0" w:color="auto"/>
            <w:left w:val="none" w:sz="0" w:space="0" w:color="auto"/>
            <w:bottom w:val="none" w:sz="0" w:space="0" w:color="auto"/>
            <w:right w:val="none" w:sz="0" w:space="0" w:color="auto"/>
          </w:divBdr>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68898278">
      <w:bodyDiv w:val="1"/>
      <w:marLeft w:val="0"/>
      <w:marRight w:val="0"/>
      <w:marTop w:val="0"/>
      <w:marBottom w:val="0"/>
      <w:divBdr>
        <w:top w:val="none" w:sz="0" w:space="0" w:color="auto"/>
        <w:left w:val="none" w:sz="0" w:space="0" w:color="auto"/>
        <w:bottom w:val="none" w:sz="0" w:space="0" w:color="auto"/>
        <w:right w:val="none" w:sz="0" w:space="0" w:color="auto"/>
      </w:divBdr>
      <w:divsChild>
        <w:div w:id="1155535814">
          <w:marLeft w:val="0"/>
          <w:marRight w:val="0"/>
          <w:marTop w:val="0"/>
          <w:marBottom w:val="0"/>
          <w:divBdr>
            <w:top w:val="none" w:sz="0" w:space="0" w:color="auto"/>
            <w:left w:val="none" w:sz="0" w:space="0" w:color="auto"/>
            <w:bottom w:val="none" w:sz="0" w:space="0" w:color="auto"/>
            <w:right w:val="none" w:sz="0" w:space="0" w:color="auto"/>
          </w:divBdr>
        </w:div>
        <w:div w:id="277297277">
          <w:marLeft w:val="0"/>
          <w:marRight w:val="0"/>
          <w:marTop w:val="0"/>
          <w:marBottom w:val="0"/>
          <w:divBdr>
            <w:top w:val="none" w:sz="0" w:space="0" w:color="auto"/>
            <w:left w:val="none" w:sz="0" w:space="0" w:color="auto"/>
            <w:bottom w:val="none" w:sz="0" w:space="0" w:color="auto"/>
            <w:right w:val="none" w:sz="0" w:space="0" w:color="auto"/>
          </w:divBdr>
        </w:div>
        <w:div w:id="500047000">
          <w:marLeft w:val="0"/>
          <w:marRight w:val="0"/>
          <w:marTop w:val="0"/>
          <w:marBottom w:val="0"/>
          <w:divBdr>
            <w:top w:val="none" w:sz="0" w:space="0" w:color="auto"/>
            <w:left w:val="none" w:sz="0" w:space="0" w:color="auto"/>
            <w:bottom w:val="none" w:sz="0" w:space="0" w:color="auto"/>
            <w:right w:val="none" w:sz="0" w:space="0" w:color="auto"/>
          </w:divBdr>
          <w:divsChild>
            <w:div w:id="8856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622641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098018671">
      <w:bodyDiv w:val="1"/>
      <w:marLeft w:val="0"/>
      <w:marRight w:val="0"/>
      <w:marTop w:val="0"/>
      <w:marBottom w:val="0"/>
      <w:divBdr>
        <w:top w:val="none" w:sz="0" w:space="0" w:color="auto"/>
        <w:left w:val="none" w:sz="0" w:space="0" w:color="auto"/>
        <w:bottom w:val="none" w:sz="0" w:space="0" w:color="auto"/>
        <w:right w:val="none" w:sz="0" w:space="0" w:color="auto"/>
      </w:divBdr>
      <w:divsChild>
        <w:div w:id="859393390">
          <w:marLeft w:val="0"/>
          <w:marRight w:val="0"/>
          <w:marTop w:val="0"/>
          <w:marBottom w:val="0"/>
          <w:divBdr>
            <w:top w:val="none" w:sz="0" w:space="0" w:color="auto"/>
            <w:left w:val="none" w:sz="0" w:space="0" w:color="auto"/>
            <w:bottom w:val="none" w:sz="0" w:space="0" w:color="auto"/>
            <w:right w:val="none" w:sz="0" w:space="0" w:color="auto"/>
          </w:divBdr>
        </w:div>
        <w:div w:id="60299466">
          <w:marLeft w:val="0"/>
          <w:marRight w:val="0"/>
          <w:marTop w:val="0"/>
          <w:marBottom w:val="0"/>
          <w:divBdr>
            <w:top w:val="none" w:sz="0" w:space="0" w:color="auto"/>
            <w:left w:val="none" w:sz="0" w:space="0" w:color="auto"/>
            <w:bottom w:val="none" w:sz="0" w:space="0" w:color="auto"/>
            <w:right w:val="none" w:sz="0" w:space="0" w:color="auto"/>
          </w:divBdr>
        </w:div>
        <w:div w:id="1339849888">
          <w:marLeft w:val="0"/>
          <w:marRight w:val="0"/>
          <w:marTop w:val="0"/>
          <w:marBottom w:val="0"/>
          <w:divBdr>
            <w:top w:val="none" w:sz="0" w:space="0" w:color="auto"/>
            <w:left w:val="none" w:sz="0" w:space="0" w:color="auto"/>
            <w:bottom w:val="none" w:sz="0" w:space="0" w:color="auto"/>
            <w:right w:val="none" w:sz="0" w:space="0" w:color="auto"/>
          </w:divBdr>
          <w:divsChild>
            <w:div w:id="4960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764301875">
      <w:bodyDiv w:val="1"/>
      <w:marLeft w:val="0"/>
      <w:marRight w:val="0"/>
      <w:marTop w:val="0"/>
      <w:marBottom w:val="0"/>
      <w:divBdr>
        <w:top w:val="none" w:sz="0" w:space="0" w:color="auto"/>
        <w:left w:val="none" w:sz="0" w:space="0" w:color="auto"/>
        <w:bottom w:val="none" w:sz="0" w:space="0" w:color="auto"/>
        <w:right w:val="none" w:sz="0" w:space="0" w:color="auto"/>
      </w:divBdr>
      <w:divsChild>
        <w:div w:id="1593928247">
          <w:marLeft w:val="0"/>
          <w:marRight w:val="0"/>
          <w:marTop w:val="0"/>
          <w:marBottom w:val="0"/>
          <w:divBdr>
            <w:top w:val="none" w:sz="0" w:space="0" w:color="auto"/>
            <w:left w:val="none" w:sz="0" w:space="0" w:color="auto"/>
            <w:bottom w:val="none" w:sz="0" w:space="0" w:color="auto"/>
            <w:right w:val="none" w:sz="0" w:space="0" w:color="auto"/>
          </w:divBdr>
        </w:div>
        <w:div w:id="1633442527">
          <w:marLeft w:val="0"/>
          <w:marRight w:val="0"/>
          <w:marTop w:val="0"/>
          <w:marBottom w:val="0"/>
          <w:divBdr>
            <w:top w:val="none" w:sz="0" w:space="0" w:color="auto"/>
            <w:left w:val="none" w:sz="0" w:space="0" w:color="auto"/>
            <w:bottom w:val="none" w:sz="0" w:space="0" w:color="auto"/>
            <w:right w:val="none" w:sz="0" w:space="0" w:color="auto"/>
          </w:divBdr>
        </w:div>
        <w:div w:id="1370450504">
          <w:marLeft w:val="0"/>
          <w:marRight w:val="0"/>
          <w:marTop w:val="0"/>
          <w:marBottom w:val="0"/>
          <w:divBdr>
            <w:top w:val="none" w:sz="0" w:space="0" w:color="auto"/>
            <w:left w:val="none" w:sz="0" w:space="0" w:color="auto"/>
            <w:bottom w:val="none" w:sz="0" w:space="0" w:color="auto"/>
            <w:right w:val="none" w:sz="0" w:space="0" w:color="auto"/>
          </w:divBdr>
        </w:div>
        <w:div w:id="2040624040">
          <w:marLeft w:val="0"/>
          <w:marRight w:val="0"/>
          <w:marTop w:val="0"/>
          <w:marBottom w:val="0"/>
          <w:divBdr>
            <w:top w:val="none" w:sz="0" w:space="0" w:color="auto"/>
            <w:left w:val="none" w:sz="0" w:space="0" w:color="auto"/>
            <w:bottom w:val="none" w:sz="0" w:space="0" w:color="auto"/>
            <w:right w:val="none" w:sz="0" w:space="0" w:color="auto"/>
          </w:divBdr>
        </w:div>
        <w:div w:id="284772604">
          <w:marLeft w:val="0"/>
          <w:marRight w:val="0"/>
          <w:marTop w:val="0"/>
          <w:marBottom w:val="0"/>
          <w:divBdr>
            <w:top w:val="none" w:sz="0" w:space="0" w:color="auto"/>
            <w:left w:val="none" w:sz="0" w:space="0" w:color="auto"/>
            <w:bottom w:val="none" w:sz="0" w:space="0" w:color="auto"/>
            <w:right w:val="none" w:sz="0" w:space="0" w:color="auto"/>
          </w:divBdr>
        </w:div>
        <w:div w:id="2016877135">
          <w:marLeft w:val="0"/>
          <w:marRight w:val="0"/>
          <w:marTop w:val="0"/>
          <w:marBottom w:val="0"/>
          <w:divBdr>
            <w:top w:val="none" w:sz="0" w:space="0" w:color="auto"/>
            <w:left w:val="none" w:sz="0" w:space="0" w:color="auto"/>
            <w:bottom w:val="none" w:sz="0" w:space="0" w:color="auto"/>
            <w:right w:val="none" w:sz="0" w:space="0" w:color="auto"/>
          </w:divBdr>
        </w:div>
        <w:div w:id="1670597247">
          <w:marLeft w:val="0"/>
          <w:marRight w:val="0"/>
          <w:marTop w:val="0"/>
          <w:marBottom w:val="0"/>
          <w:divBdr>
            <w:top w:val="none" w:sz="0" w:space="0" w:color="auto"/>
            <w:left w:val="none" w:sz="0" w:space="0" w:color="auto"/>
            <w:bottom w:val="none" w:sz="0" w:space="0" w:color="auto"/>
            <w:right w:val="none" w:sz="0" w:space="0" w:color="auto"/>
          </w:divBdr>
        </w:div>
        <w:div w:id="2122604377">
          <w:marLeft w:val="0"/>
          <w:marRight w:val="0"/>
          <w:marTop w:val="0"/>
          <w:marBottom w:val="0"/>
          <w:divBdr>
            <w:top w:val="none" w:sz="0" w:space="0" w:color="auto"/>
            <w:left w:val="none" w:sz="0" w:space="0" w:color="auto"/>
            <w:bottom w:val="none" w:sz="0" w:space="0" w:color="auto"/>
            <w:right w:val="none" w:sz="0" w:space="0" w:color="auto"/>
          </w:divBdr>
        </w:div>
        <w:div w:id="1841697939">
          <w:marLeft w:val="0"/>
          <w:marRight w:val="0"/>
          <w:marTop w:val="0"/>
          <w:marBottom w:val="0"/>
          <w:divBdr>
            <w:top w:val="none" w:sz="0" w:space="0" w:color="auto"/>
            <w:left w:val="none" w:sz="0" w:space="0" w:color="auto"/>
            <w:bottom w:val="none" w:sz="0" w:space="0" w:color="auto"/>
            <w:right w:val="none" w:sz="0" w:space="0" w:color="auto"/>
          </w:divBdr>
          <w:divsChild>
            <w:div w:id="549999702">
              <w:marLeft w:val="0"/>
              <w:marRight w:val="0"/>
              <w:marTop w:val="0"/>
              <w:marBottom w:val="0"/>
              <w:divBdr>
                <w:top w:val="none" w:sz="0" w:space="0" w:color="auto"/>
                <w:left w:val="none" w:sz="0" w:space="0" w:color="auto"/>
                <w:bottom w:val="none" w:sz="0" w:space="0" w:color="auto"/>
                <w:right w:val="none" w:sz="0" w:space="0" w:color="auto"/>
              </w:divBdr>
              <w:divsChild>
                <w:div w:id="1163353423">
                  <w:marLeft w:val="0"/>
                  <w:marRight w:val="0"/>
                  <w:marTop w:val="0"/>
                  <w:marBottom w:val="0"/>
                  <w:divBdr>
                    <w:top w:val="none" w:sz="0" w:space="0" w:color="auto"/>
                    <w:left w:val="none" w:sz="0" w:space="0" w:color="auto"/>
                    <w:bottom w:val="none" w:sz="0" w:space="0" w:color="auto"/>
                    <w:right w:val="none" w:sz="0" w:space="0" w:color="auto"/>
                  </w:divBdr>
                </w:div>
                <w:div w:id="893857201">
                  <w:marLeft w:val="0"/>
                  <w:marRight w:val="0"/>
                  <w:marTop w:val="0"/>
                  <w:marBottom w:val="0"/>
                  <w:divBdr>
                    <w:top w:val="none" w:sz="0" w:space="0" w:color="auto"/>
                    <w:left w:val="none" w:sz="0" w:space="0" w:color="auto"/>
                    <w:bottom w:val="none" w:sz="0" w:space="0" w:color="auto"/>
                    <w:right w:val="none" w:sz="0" w:space="0" w:color="auto"/>
                  </w:divBdr>
                </w:div>
                <w:div w:id="913199605">
                  <w:marLeft w:val="0"/>
                  <w:marRight w:val="0"/>
                  <w:marTop w:val="0"/>
                  <w:marBottom w:val="0"/>
                  <w:divBdr>
                    <w:top w:val="none" w:sz="0" w:space="0" w:color="auto"/>
                    <w:left w:val="none" w:sz="0" w:space="0" w:color="auto"/>
                    <w:bottom w:val="none" w:sz="0" w:space="0" w:color="auto"/>
                    <w:right w:val="none" w:sz="0" w:space="0" w:color="auto"/>
                  </w:divBdr>
                </w:div>
                <w:div w:id="727606050">
                  <w:marLeft w:val="0"/>
                  <w:marRight w:val="0"/>
                  <w:marTop w:val="0"/>
                  <w:marBottom w:val="0"/>
                  <w:divBdr>
                    <w:top w:val="none" w:sz="0" w:space="0" w:color="auto"/>
                    <w:left w:val="none" w:sz="0" w:space="0" w:color="auto"/>
                    <w:bottom w:val="none" w:sz="0" w:space="0" w:color="auto"/>
                    <w:right w:val="none" w:sz="0" w:space="0" w:color="auto"/>
                  </w:divBdr>
                </w:div>
                <w:div w:id="1916276344">
                  <w:marLeft w:val="0"/>
                  <w:marRight w:val="0"/>
                  <w:marTop w:val="0"/>
                  <w:marBottom w:val="0"/>
                  <w:divBdr>
                    <w:top w:val="none" w:sz="0" w:space="0" w:color="auto"/>
                    <w:left w:val="none" w:sz="0" w:space="0" w:color="auto"/>
                    <w:bottom w:val="none" w:sz="0" w:space="0" w:color="auto"/>
                    <w:right w:val="none" w:sz="0" w:space="0" w:color="auto"/>
                  </w:divBdr>
                  <w:divsChild>
                    <w:div w:id="11927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1632">
              <w:marLeft w:val="0"/>
              <w:marRight w:val="0"/>
              <w:marTop w:val="0"/>
              <w:marBottom w:val="0"/>
              <w:divBdr>
                <w:top w:val="none" w:sz="0" w:space="0" w:color="auto"/>
                <w:left w:val="none" w:sz="0" w:space="0" w:color="auto"/>
                <w:bottom w:val="none" w:sz="0" w:space="0" w:color="auto"/>
                <w:right w:val="none" w:sz="0" w:space="0" w:color="auto"/>
              </w:divBdr>
              <w:divsChild>
                <w:div w:id="33704087">
                  <w:marLeft w:val="0"/>
                  <w:marRight w:val="0"/>
                  <w:marTop w:val="0"/>
                  <w:marBottom w:val="0"/>
                  <w:divBdr>
                    <w:top w:val="none" w:sz="0" w:space="0" w:color="auto"/>
                    <w:left w:val="none" w:sz="0" w:space="0" w:color="auto"/>
                    <w:bottom w:val="none" w:sz="0" w:space="0" w:color="auto"/>
                    <w:right w:val="none" w:sz="0" w:space="0" w:color="auto"/>
                  </w:divBdr>
                </w:div>
              </w:divsChild>
            </w:div>
            <w:div w:id="5788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c8e399-07b8-49e4-91bf-01a20105d4df"/>
    <ds:schemaRef ds:uri="http://www.w3.org/XML/1998/namespace"/>
    <ds:schemaRef ds:uri="http://purl.org/dc/dcmityp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1A89D-CA1A-4D9C-9A16-4D17EE0579BE}">
  <ds:schemaRefs>
    <ds:schemaRef ds:uri="http://schemas.openxmlformats.org/officeDocument/2006/bibliography"/>
  </ds:schemaRefs>
</ds:datastoreItem>
</file>

<file path=customXml/itemProps6.xml><?xml version="1.0" encoding="utf-8"?>
<ds:datastoreItem xmlns:ds="http://schemas.openxmlformats.org/officeDocument/2006/customXml" ds:itemID="{3AD0AB61-5E6B-417E-85B6-B8447E3C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5472</Words>
  <Characters>31609</Characters>
  <Application>Microsoft Office Word</Application>
  <DocSecurity>8</DocSecurity>
  <Lines>263</Lines>
  <Paragraphs>74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37007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mformisano6</cp:lastModifiedBy>
  <cp:revision>3</cp:revision>
  <cp:lastPrinted>2015-02-18T11:01:00Z</cp:lastPrinted>
  <dcterms:created xsi:type="dcterms:W3CDTF">2020-09-01T14:09:00Z</dcterms:created>
  <dcterms:modified xsi:type="dcterms:W3CDTF">2020-09-01T14:19:00Z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