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69B64722" w:rsidR="00B327E9" w:rsidRPr="00AB6D88" w:rsidRDefault="00756E05" w:rsidP="00756E05">
                <w:pPr>
                  <w:rPr>
                    <w:rStyle w:val="PlaceholderText"/>
                    <w:rFonts w:cs="Arial"/>
                  </w:rPr>
                </w:pPr>
                <w:r>
                  <w:rPr>
                    <w:rStyle w:val="PlaceholderText"/>
                    <w:rFonts w:cs="Arial"/>
                  </w:rPr>
                  <w:t>Actuarial Association of Europe</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43E88322" w:rsidR="00B327E9" w:rsidRPr="00AB6D88" w:rsidRDefault="00BD5F57"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56E05">
                  <w:rPr>
                    <w:rFonts w:cs="Arial"/>
                  </w:rPr>
                  <w:t>Insurance and Pension</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tc>
          <w:tcPr>
            <w:tcW w:w="5595" w:type="dxa"/>
            <w:shd w:val="clear" w:color="auto" w:fill="auto"/>
          </w:tcPr>
          <w:p w14:paraId="6A3CB057" w14:textId="2907682B" w:rsidR="00B327E9" w:rsidRPr="00AB6D88" w:rsidRDefault="00756E05" w:rsidP="00F136AD">
            <w:pPr>
              <w:rPr>
                <w:rFonts w:cs="Arial"/>
              </w:rPr>
            </w:pPr>
            <w:r>
              <w:rPr>
                <w:rFonts w:ascii="MS Gothic" w:eastAsia="MS Gothic" w:hAnsi="MS Gothic" w:cs="Arial" w:hint="eastAsia"/>
              </w:rPr>
              <w:t>x</w:t>
            </w:r>
          </w:p>
        </w:tc>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1DA49505" w:rsidR="00B327E9" w:rsidRPr="00AB6D88" w:rsidRDefault="00756E05" w:rsidP="00F136AD">
                <w:pPr>
                  <w:rPr>
                    <w:rFonts w:cs="Arial"/>
                  </w:rPr>
                </w:pPr>
                <w:r>
                  <w:rPr>
                    <w:rFonts w:cs="Arial"/>
                  </w:rPr>
                  <w:t>Belgium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671FF818" w14:textId="263C2A80" w:rsidR="00756E05" w:rsidRPr="00756E05" w:rsidRDefault="00756E05" w:rsidP="00756E05">
      <w:pPr>
        <w:pStyle w:val="CommentText"/>
        <w:rPr>
          <w:rFonts w:cs="Arial"/>
          <w:sz w:val="22"/>
          <w:szCs w:val="22"/>
        </w:rPr>
      </w:pPr>
      <w:permStart w:id="411981036" w:edGrp="everyone"/>
      <w:r w:rsidRPr="00756E05">
        <w:rPr>
          <w:rFonts w:cs="Arial"/>
          <w:sz w:val="22"/>
          <w:szCs w:val="22"/>
        </w:rPr>
        <w:t xml:space="preserve">The AAE believes that ESG-related disclosures are important and can support the process of achieving the environmental goals of the EU.  We welcome and support the introduction of harmonised rules on disclosure of ESG-related data for end investors. Disclosure should be concise, readable and understandable. Disclosure requirements should be aligned with a clear taxonomy. As far as possible, the requirements should be integrated into current disclosure requirements.   </w:t>
      </w:r>
    </w:p>
    <w:p w14:paraId="507D8D41" w14:textId="77777777" w:rsidR="00756E05" w:rsidRPr="00756E05" w:rsidRDefault="00756E05" w:rsidP="00756E05">
      <w:pPr>
        <w:pStyle w:val="CommentText"/>
        <w:rPr>
          <w:rFonts w:cs="Arial"/>
          <w:sz w:val="22"/>
          <w:szCs w:val="22"/>
        </w:rPr>
      </w:pPr>
    </w:p>
    <w:p w14:paraId="7BA0DCF6" w14:textId="77777777" w:rsidR="00756E05" w:rsidRPr="00756E05" w:rsidRDefault="00756E05" w:rsidP="00756E05">
      <w:pPr>
        <w:pStyle w:val="CommentText"/>
        <w:rPr>
          <w:rFonts w:cs="Arial"/>
          <w:sz w:val="22"/>
          <w:szCs w:val="22"/>
        </w:rPr>
      </w:pPr>
      <w:r w:rsidRPr="00756E05">
        <w:rPr>
          <w:rFonts w:cs="Arial"/>
          <w:sz w:val="22"/>
          <w:szCs w:val="22"/>
        </w:rPr>
        <w:t xml:space="preserve">The AAE would like to highlight that, although the questions asked in this consultation paper address a broad scope of products and businesses, the specific determining features of different types of product should be considered in the disclosure requirements. </w:t>
      </w:r>
    </w:p>
    <w:p w14:paraId="6549CE37" w14:textId="77777777" w:rsidR="00756E05" w:rsidRPr="00756E05" w:rsidRDefault="00756E05" w:rsidP="00756E05">
      <w:pPr>
        <w:pStyle w:val="CommentText"/>
        <w:rPr>
          <w:rFonts w:cs="Arial"/>
          <w:sz w:val="22"/>
          <w:szCs w:val="22"/>
        </w:rPr>
      </w:pPr>
    </w:p>
    <w:p w14:paraId="5B78EFC4" w14:textId="77777777" w:rsidR="00756E05" w:rsidRPr="00756E05" w:rsidRDefault="00756E05" w:rsidP="00756E05">
      <w:pPr>
        <w:rPr>
          <w:rFonts w:cs="Arial"/>
          <w:sz w:val="22"/>
          <w:szCs w:val="22"/>
        </w:rPr>
      </w:pPr>
      <w:r w:rsidRPr="00756E05">
        <w:rPr>
          <w:rFonts w:cs="Arial"/>
          <w:sz w:val="22"/>
          <w:szCs w:val="22"/>
        </w:rPr>
        <w:t xml:space="preserve">The extension of the disclosure requirements to social factors is not covered by the first phase of RTS developments required and should therefore not be included in the RTS at this point in time. While we can rely on an elaborated taxonomy for climate risks, comparable taxonomy is missing for social and governmental risks. A number of indicators, e.g. gender pay gap or CEO ratio, are not clearly defined and, in the absence of definition, their use in a comparison between undertakings and products would be inappropriate. </w:t>
      </w:r>
    </w:p>
    <w:p w14:paraId="49931F99" w14:textId="77777777" w:rsidR="00756E05" w:rsidRPr="00756E05" w:rsidRDefault="00756E05" w:rsidP="00756E05">
      <w:pPr>
        <w:rPr>
          <w:rFonts w:cs="Arial"/>
          <w:sz w:val="22"/>
          <w:szCs w:val="22"/>
        </w:rPr>
      </w:pPr>
      <w:r w:rsidRPr="00756E05">
        <w:rPr>
          <w:rFonts w:cs="Arial"/>
          <w:sz w:val="22"/>
          <w:szCs w:val="22"/>
        </w:rPr>
        <w:t xml:space="preserve"> </w:t>
      </w:r>
    </w:p>
    <w:p w14:paraId="2C3011EA" w14:textId="77777777" w:rsidR="00756E05" w:rsidRPr="00756E05" w:rsidRDefault="00756E05" w:rsidP="00756E05">
      <w:pPr>
        <w:rPr>
          <w:rFonts w:cs="Arial"/>
          <w:i/>
          <w:sz w:val="22"/>
          <w:szCs w:val="22"/>
        </w:rPr>
      </w:pPr>
      <w:r w:rsidRPr="00756E05">
        <w:rPr>
          <w:rFonts w:cs="Arial"/>
          <w:sz w:val="22"/>
          <w:szCs w:val="22"/>
        </w:rPr>
        <w:t xml:space="preserve">The definition of sustainability risk as contained in the Sustainable Finance Disclosure Regulation (SFDR) should be a guiding principle for the development of the final templates and disclosure requirements. This means an </w:t>
      </w:r>
      <w:r w:rsidRPr="00756E05">
        <w:rPr>
          <w:rFonts w:cs="Arial"/>
          <w:i/>
          <w:sz w:val="22"/>
          <w:szCs w:val="22"/>
        </w:rPr>
        <w:t>environmental, social or governance event or condition that, if it occurs, could cause an actual or a potential material negative impact on the value of the investment.</w:t>
      </w:r>
    </w:p>
    <w:p w14:paraId="4B2C15F9" w14:textId="77777777" w:rsidR="00756E05" w:rsidRPr="00756E05" w:rsidRDefault="00756E05" w:rsidP="00756E05">
      <w:pPr>
        <w:rPr>
          <w:rFonts w:cs="Arial"/>
          <w:i/>
          <w:iCs/>
          <w:sz w:val="22"/>
          <w:szCs w:val="22"/>
        </w:rPr>
      </w:pPr>
    </w:p>
    <w:p w14:paraId="7553D4BC" w14:textId="77777777" w:rsidR="00756E05" w:rsidRPr="00756E05" w:rsidRDefault="00756E05" w:rsidP="00756E05">
      <w:pPr>
        <w:rPr>
          <w:rFonts w:cs="Arial"/>
          <w:sz w:val="22"/>
          <w:szCs w:val="22"/>
        </w:rPr>
      </w:pPr>
      <w:r w:rsidRPr="00756E05">
        <w:rPr>
          <w:rFonts w:cs="Arial"/>
          <w:sz w:val="22"/>
          <w:szCs w:val="22"/>
        </w:rPr>
        <w:t xml:space="preserve">The role of insurers is not adequately considered in the proposed RTS. To meet their obligations to their customers, insurers are acting as investors, especially for life and pension business. Underlying features of such products should be taken into account in disclosure requirements in order to achieve an appropriate treatment of such products (for example conflict between performance measures and ESG criteria). </w:t>
      </w:r>
    </w:p>
    <w:p w14:paraId="2C1523FD" w14:textId="77777777" w:rsidR="00756E05" w:rsidRPr="00756E05" w:rsidRDefault="00756E05" w:rsidP="00756E05">
      <w:pPr>
        <w:rPr>
          <w:rFonts w:cs="Arial"/>
          <w:sz w:val="22"/>
          <w:szCs w:val="22"/>
        </w:rPr>
      </w:pPr>
    </w:p>
    <w:p w14:paraId="421265C5" w14:textId="77777777" w:rsidR="00756E05" w:rsidRPr="00756E05" w:rsidRDefault="00756E05" w:rsidP="00756E05">
      <w:pPr>
        <w:rPr>
          <w:rFonts w:cs="Arial"/>
          <w:sz w:val="22"/>
          <w:szCs w:val="22"/>
        </w:rPr>
      </w:pPr>
      <w:r w:rsidRPr="00756E05">
        <w:rPr>
          <w:rFonts w:cs="Arial"/>
          <w:sz w:val="22"/>
          <w:szCs w:val="22"/>
        </w:rPr>
        <w:t>New disclosure requirements for ESG reporting can only work as intended if undertakings and the whole industry are able to provide the required data. A full analysis and understanding of potential variables for which access may not be possible or only in limited form is necessary.  If the required information could not be made available at the level of granularity stipulated, development of proxies may follow and this could impede comparability and credibility of such disclosures.  This would not be consistent with the goal of this exercise.</w:t>
      </w:r>
    </w:p>
    <w:p w14:paraId="56D70DA2" w14:textId="77777777" w:rsidR="00756E05" w:rsidRPr="00756E05" w:rsidRDefault="00756E05" w:rsidP="00756E05">
      <w:pPr>
        <w:rPr>
          <w:rFonts w:cs="Arial"/>
          <w:sz w:val="22"/>
          <w:szCs w:val="22"/>
        </w:rPr>
      </w:pPr>
    </w:p>
    <w:p w14:paraId="6A3CB061" w14:textId="33121CA1" w:rsidR="00B327E9" w:rsidRPr="00756E05" w:rsidRDefault="00756E05" w:rsidP="00B327E9">
      <w:pPr>
        <w:rPr>
          <w:rFonts w:cstheme="minorHAnsi"/>
          <w:sz w:val="24"/>
        </w:rPr>
      </w:pPr>
      <w:r w:rsidRPr="00756E05">
        <w:rPr>
          <w:rFonts w:cs="Arial"/>
          <w:sz w:val="22"/>
          <w:szCs w:val="22"/>
        </w:rPr>
        <w:t>Disclosures should be kept comparable, reliable and to the point in order to be of real use to consumers and the public in their decision making</w:t>
      </w:r>
      <w:r w:rsidRPr="00165FD1">
        <w:rPr>
          <w:rFonts w:cstheme="minorHAnsi"/>
          <w:sz w:val="24"/>
        </w:rPr>
        <w:t>.</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331981F2" w14:textId="77777777" w:rsidR="00756E05" w:rsidRPr="00756E05" w:rsidRDefault="00756E05" w:rsidP="00DC0E59">
      <w:pPr>
        <w:rPr>
          <w:rFonts w:cstheme="minorHAnsi"/>
          <w:sz w:val="22"/>
          <w:lang w:val="en-US"/>
        </w:rPr>
      </w:pPr>
      <w:permStart w:id="1221819945" w:edGrp="everyone"/>
      <w:r w:rsidRPr="00756E05">
        <w:rPr>
          <w:rFonts w:cstheme="minorHAnsi"/>
          <w:sz w:val="22"/>
          <w:lang w:val="en-US"/>
        </w:rPr>
        <w:t xml:space="preserve">In our opinion, and subject to following comments, the approach and the structure of the table is fine, comparing the last two years.  </w:t>
      </w:r>
    </w:p>
    <w:p w14:paraId="749AF7D4" w14:textId="77777777" w:rsidR="00756E05" w:rsidRPr="00756E05" w:rsidRDefault="00756E05" w:rsidP="00DC0E59">
      <w:pPr>
        <w:rPr>
          <w:rFonts w:cstheme="minorHAnsi"/>
          <w:sz w:val="22"/>
          <w:lang w:val="en-US"/>
        </w:rPr>
      </w:pPr>
    </w:p>
    <w:p w14:paraId="782274D3" w14:textId="77777777" w:rsidR="00756E05" w:rsidRPr="00756E05" w:rsidRDefault="00756E05" w:rsidP="00DC0E59">
      <w:pPr>
        <w:rPr>
          <w:rFonts w:cstheme="minorHAnsi"/>
          <w:sz w:val="22"/>
          <w:lang w:val="en-US"/>
        </w:rPr>
      </w:pPr>
      <w:r w:rsidRPr="00756E05">
        <w:rPr>
          <w:rFonts w:cstheme="minorHAnsi"/>
          <w:sz w:val="22"/>
          <w:lang w:val="en-US"/>
        </w:rPr>
        <w:t>We consider that n</w:t>
      </w:r>
      <w:proofErr w:type="spellStart"/>
      <w:r w:rsidRPr="00756E05">
        <w:rPr>
          <w:sz w:val="22"/>
        </w:rPr>
        <w:t>ew</w:t>
      </w:r>
      <w:proofErr w:type="spellEnd"/>
      <w:r w:rsidRPr="00756E05">
        <w:rPr>
          <w:sz w:val="22"/>
        </w:rPr>
        <w:t xml:space="preserve"> disclosure requirements for ESG reporting can only work as intended if undertakings and the whole industry are able to provide the required data. A full analysis and understanding of potential variables for which access may not be possible or only in limited form is necessary.</w:t>
      </w:r>
      <w:r w:rsidRPr="00756E05">
        <w:rPr>
          <w:rFonts w:cstheme="minorHAnsi"/>
          <w:sz w:val="22"/>
          <w:lang w:val="en-US"/>
        </w:rPr>
        <w:t xml:space="preserve">  </w:t>
      </w:r>
    </w:p>
    <w:p w14:paraId="5CE8C9BF" w14:textId="77777777" w:rsidR="00756E05" w:rsidRPr="00756E05" w:rsidRDefault="00756E05" w:rsidP="00DC0E59">
      <w:pPr>
        <w:rPr>
          <w:rFonts w:cstheme="minorHAnsi"/>
          <w:sz w:val="22"/>
        </w:rPr>
      </w:pPr>
      <w:r w:rsidRPr="00756E05">
        <w:rPr>
          <w:rFonts w:cstheme="minorHAnsi"/>
          <w:sz w:val="22"/>
          <w:lang w:val="en-US"/>
        </w:rPr>
        <w:t xml:space="preserve">We do agree with minimum, compulsory indicators. </w:t>
      </w:r>
    </w:p>
    <w:p w14:paraId="69909168" w14:textId="77777777" w:rsidR="00756E05" w:rsidRPr="00756E05" w:rsidRDefault="00756E05" w:rsidP="00DC0E59">
      <w:pPr>
        <w:rPr>
          <w:rFonts w:cstheme="minorHAnsi"/>
          <w:sz w:val="22"/>
        </w:rPr>
      </w:pPr>
      <w:r w:rsidRPr="00756E05">
        <w:rPr>
          <w:rFonts w:cstheme="minorHAnsi"/>
          <w:sz w:val="22"/>
        </w:rPr>
        <w:t xml:space="preserve">We do agree that there should be some compulsory and simple adverse impact indicators that are the same for all market participants in order to facilitate comparability. </w:t>
      </w:r>
    </w:p>
    <w:p w14:paraId="6A2727A2" w14:textId="77777777" w:rsidR="00756E05" w:rsidRPr="00756E05" w:rsidRDefault="00756E05" w:rsidP="00DC0E59">
      <w:pPr>
        <w:rPr>
          <w:rFonts w:cstheme="minorHAnsi"/>
          <w:sz w:val="22"/>
        </w:rPr>
      </w:pPr>
    </w:p>
    <w:p w14:paraId="7B285E6B" w14:textId="77777777" w:rsidR="00756E05" w:rsidRPr="00756E05" w:rsidRDefault="00756E05" w:rsidP="00DC0E59">
      <w:pPr>
        <w:rPr>
          <w:rFonts w:cstheme="minorHAnsi"/>
          <w:sz w:val="22"/>
        </w:rPr>
      </w:pPr>
      <w:r w:rsidRPr="00756E05">
        <w:rPr>
          <w:rFonts w:cstheme="minorHAnsi"/>
          <w:sz w:val="22"/>
        </w:rPr>
        <w:t>Additional voluntary indicators should be transparent and have a benefit for market participants, especially if they could be the source of a risk which could cause “</w:t>
      </w:r>
      <w:r w:rsidRPr="00756E05">
        <w:rPr>
          <w:rFonts w:cstheme="minorHAnsi"/>
          <w:i/>
          <w:sz w:val="22"/>
        </w:rPr>
        <w:t>an actual or a potential material negative impact on the value of the investment”.</w:t>
      </w:r>
    </w:p>
    <w:p w14:paraId="56BB36A4" w14:textId="77777777" w:rsidR="00756E05" w:rsidRPr="00756E05" w:rsidRDefault="00756E05" w:rsidP="00DC0E59">
      <w:pPr>
        <w:rPr>
          <w:rFonts w:cstheme="minorHAnsi"/>
          <w:sz w:val="22"/>
        </w:rPr>
      </w:pPr>
      <w:r w:rsidRPr="00756E05">
        <w:rPr>
          <w:rFonts w:cstheme="minorHAnsi"/>
          <w:sz w:val="22"/>
          <w:lang w:val="en-US"/>
        </w:rPr>
        <w:t xml:space="preserve">   </w:t>
      </w:r>
    </w:p>
    <w:p w14:paraId="672C1083" w14:textId="77777777" w:rsidR="00756E05" w:rsidRPr="00756E05" w:rsidRDefault="00756E05" w:rsidP="00DC0E59">
      <w:pPr>
        <w:rPr>
          <w:rFonts w:cstheme="minorHAnsi"/>
          <w:sz w:val="22"/>
          <w:lang w:val="en-US"/>
        </w:rPr>
      </w:pPr>
      <w:r w:rsidRPr="00756E05">
        <w:rPr>
          <w:rFonts w:cstheme="minorHAnsi"/>
          <w:sz w:val="22"/>
          <w:lang w:val="en-US"/>
        </w:rPr>
        <w:t xml:space="preserve">We see the need to limit the number of indicators and keep the most meaningful and reliable ones. A key reason for limitation is that valuation of products has to be transparent and there are a lot </w:t>
      </w:r>
      <w:proofErr w:type="gramStart"/>
      <w:r w:rsidRPr="00756E05">
        <w:rPr>
          <w:rFonts w:cstheme="minorHAnsi"/>
          <w:sz w:val="22"/>
          <w:lang w:val="en-US"/>
        </w:rPr>
        <w:t>of  other</w:t>
      </w:r>
      <w:proofErr w:type="gramEnd"/>
      <w:r w:rsidRPr="00756E05">
        <w:rPr>
          <w:rFonts w:cstheme="minorHAnsi"/>
          <w:sz w:val="22"/>
          <w:lang w:val="en-US"/>
        </w:rPr>
        <w:t xml:space="preserve"> dimensions to be taken into account besides ESG criteria.</w:t>
      </w:r>
    </w:p>
    <w:p w14:paraId="208250C0" w14:textId="77777777" w:rsidR="00756E05" w:rsidRPr="00756E05" w:rsidRDefault="00756E05" w:rsidP="00DC0E59">
      <w:pPr>
        <w:rPr>
          <w:rFonts w:cstheme="minorHAnsi"/>
          <w:sz w:val="22"/>
          <w:lang w:val="en-US"/>
        </w:rPr>
      </w:pPr>
    </w:p>
    <w:p w14:paraId="6C812032" w14:textId="77777777" w:rsidR="00756E05" w:rsidRPr="00756E05" w:rsidRDefault="00756E05" w:rsidP="003E573C">
      <w:pPr>
        <w:rPr>
          <w:rFonts w:cstheme="minorHAnsi"/>
          <w:sz w:val="22"/>
          <w:lang w:val="en-US"/>
        </w:rPr>
      </w:pPr>
      <w:r w:rsidRPr="00756E05">
        <w:rPr>
          <w:rFonts w:cstheme="minorHAnsi"/>
          <w:sz w:val="22"/>
          <w:lang w:val="en-US"/>
        </w:rPr>
        <w:t xml:space="preserve">We would suggest organizing a client study (at European level) on the understanding and usefulness of each indicator, with only the most relevant indicators being retained as compulsory. </w:t>
      </w:r>
    </w:p>
    <w:permEnd w:id="1221819945"/>
    <w:p w14:paraId="0F1F4245" w14:textId="30BD1C6B"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696564F7" w14:textId="77777777" w:rsidR="00814138" w:rsidRPr="00814138" w:rsidRDefault="00814138" w:rsidP="00814138">
      <w:pPr>
        <w:rPr>
          <w:rFonts w:cstheme="minorHAnsi"/>
          <w:sz w:val="22"/>
          <w:szCs w:val="22"/>
        </w:rPr>
      </w:pPr>
      <w:permStart w:id="729947415" w:edGrp="everyone"/>
      <w:r w:rsidRPr="00814138">
        <w:rPr>
          <w:rFonts w:cstheme="minorHAnsi"/>
          <w:sz w:val="22"/>
          <w:szCs w:val="22"/>
        </w:rPr>
        <w:t>In our opinion, these characteristics are not sufficiently taken into account; it would be more appropriate to establish a homogeneous principle of proportionality for all the financial market participants.</w:t>
      </w:r>
    </w:p>
    <w:p w14:paraId="71DF4C9E" w14:textId="77777777" w:rsidR="00814138" w:rsidRPr="00814138" w:rsidRDefault="00814138" w:rsidP="00814138">
      <w:pPr>
        <w:rPr>
          <w:rFonts w:cstheme="minorHAnsi"/>
          <w:sz w:val="22"/>
          <w:szCs w:val="22"/>
        </w:rPr>
      </w:pPr>
    </w:p>
    <w:p w14:paraId="1E8B3107" w14:textId="77777777" w:rsidR="00814138" w:rsidRPr="00814138" w:rsidRDefault="00814138" w:rsidP="00814138">
      <w:pPr>
        <w:rPr>
          <w:rFonts w:cstheme="minorHAnsi"/>
          <w:sz w:val="22"/>
          <w:szCs w:val="22"/>
        </w:rPr>
      </w:pPr>
      <w:r w:rsidRPr="00814138">
        <w:rPr>
          <w:rFonts w:cstheme="minorHAnsi"/>
          <w:sz w:val="22"/>
          <w:szCs w:val="22"/>
        </w:rPr>
        <w:t>In addition, Annex I relates the adverse impacts generated to the value of the investment the final market participant is making. However, it fails to properly differentiate the different type of products and their characteristics and therefore is not increasing transparency.</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413D6560" w14:textId="77777777" w:rsidR="00814138" w:rsidRPr="00814138" w:rsidRDefault="00814138" w:rsidP="00814138">
      <w:pPr>
        <w:rPr>
          <w:rFonts w:cstheme="minorHAnsi"/>
          <w:sz w:val="22"/>
        </w:rPr>
      </w:pPr>
      <w:permStart w:id="677205538" w:edGrp="everyone"/>
      <w:r w:rsidRPr="00814138">
        <w:rPr>
          <w:rFonts w:cstheme="minorHAnsi"/>
          <w:sz w:val="22"/>
        </w:rPr>
        <w:t>To ensure sufficiently comparable disclosure against key indicators, we would suggest</w:t>
      </w:r>
    </w:p>
    <w:p w14:paraId="6B66FB33" w14:textId="77777777" w:rsidR="00814138" w:rsidRPr="00814138" w:rsidRDefault="00814138" w:rsidP="00814138">
      <w:pPr>
        <w:rPr>
          <w:rFonts w:cstheme="minorHAnsi"/>
          <w:sz w:val="22"/>
        </w:rPr>
      </w:pPr>
      <w:r w:rsidRPr="00814138">
        <w:rPr>
          <w:rFonts w:cstheme="minorHAnsi"/>
          <w:sz w:val="22"/>
        </w:rPr>
        <w:t>- favouring a common template at European level,</w:t>
      </w:r>
    </w:p>
    <w:p w14:paraId="68BFBFDF" w14:textId="77777777" w:rsidR="00814138" w:rsidRPr="00814138" w:rsidRDefault="00814138" w:rsidP="00814138">
      <w:pPr>
        <w:rPr>
          <w:rFonts w:cstheme="minorHAnsi"/>
          <w:sz w:val="22"/>
        </w:rPr>
      </w:pPr>
      <w:r w:rsidRPr="00814138">
        <w:rPr>
          <w:rFonts w:cstheme="minorHAnsi"/>
          <w:sz w:val="22"/>
        </w:rPr>
        <w:t>- favouring quantitative indicators with a common unit of measure;</w:t>
      </w:r>
    </w:p>
    <w:p w14:paraId="1F30C107" w14:textId="77777777" w:rsidR="00814138" w:rsidRPr="00814138" w:rsidRDefault="00814138" w:rsidP="00814138">
      <w:pPr>
        <w:rPr>
          <w:rFonts w:cstheme="minorHAnsi"/>
          <w:sz w:val="22"/>
        </w:rPr>
      </w:pPr>
      <w:r w:rsidRPr="00814138">
        <w:rPr>
          <w:rFonts w:cstheme="minorHAnsi"/>
          <w:sz w:val="22"/>
        </w:rPr>
        <w:t>- harmonizing the KPI in relative terms (in % or in units per million EUR invested).</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3772C06F" w14:textId="77777777" w:rsidR="00814138" w:rsidRPr="00814138" w:rsidRDefault="00814138" w:rsidP="00DC0E59">
      <w:pPr>
        <w:rPr>
          <w:rFonts w:cstheme="minorHAnsi"/>
          <w:i/>
          <w:sz w:val="22"/>
        </w:rPr>
      </w:pPr>
      <w:permStart w:id="1220688604" w:edGrp="everyone"/>
      <w:r w:rsidRPr="00814138">
        <w:rPr>
          <w:rFonts w:cstheme="minorHAnsi"/>
          <w:sz w:val="22"/>
        </w:rPr>
        <w:t>The reporting template should have common parameters, clear definitions, a clear formula to calculate, description of data source used in the calculation, etc., in order to achieve comparability.</w:t>
      </w:r>
      <w:r w:rsidRPr="00814138">
        <w:rPr>
          <w:rFonts w:cstheme="minorHAnsi"/>
          <w:i/>
          <w:sz w:val="22"/>
        </w:rPr>
        <w:t xml:space="preserve"> </w:t>
      </w:r>
    </w:p>
    <w:p w14:paraId="484D2E87" w14:textId="77777777" w:rsidR="00814138" w:rsidRPr="00814138" w:rsidRDefault="00814138" w:rsidP="00DC0E59">
      <w:pPr>
        <w:rPr>
          <w:rFonts w:cstheme="minorHAnsi"/>
          <w:sz w:val="22"/>
        </w:rPr>
      </w:pPr>
    </w:p>
    <w:p w14:paraId="53FEC077" w14:textId="77777777" w:rsidR="00814138" w:rsidRPr="00814138" w:rsidRDefault="00814138" w:rsidP="00DC0E59">
      <w:pPr>
        <w:rPr>
          <w:rFonts w:cstheme="minorHAnsi"/>
          <w:sz w:val="22"/>
        </w:rPr>
      </w:pPr>
      <w:r w:rsidRPr="00814138">
        <w:rPr>
          <w:rFonts w:cstheme="minorHAnsi"/>
          <w:sz w:val="22"/>
        </w:rPr>
        <w:t xml:space="preserve">Only indicators which directly affect sustainability risk should be considered, i.e. those causing an actual or a potential material negative impact on the value of the investment. </w:t>
      </w:r>
    </w:p>
    <w:p w14:paraId="6F2A83BF" w14:textId="77777777" w:rsidR="00814138" w:rsidRPr="00814138" w:rsidRDefault="00814138" w:rsidP="00DC0E59">
      <w:pPr>
        <w:rPr>
          <w:rFonts w:cstheme="minorHAnsi"/>
          <w:sz w:val="22"/>
        </w:rPr>
      </w:pPr>
    </w:p>
    <w:p w14:paraId="0E7E35FC" w14:textId="77777777" w:rsidR="00814138" w:rsidRDefault="00814138" w:rsidP="003E573C">
      <w:pPr>
        <w:rPr>
          <w:rFonts w:cstheme="minorHAnsi"/>
          <w:sz w:val="22"/>
        </w:rPr>
      </w:pPr>
      <w:r w:rsidRPr="00814138">
        <w:rPr>
          <w:rFonts w:cstheme="minorHAnsi"/>
          <w:sz w:val="22"/>
        </w:rPr>
        <w:t>The nature of the business should be considered in assessing appropriate variables to be reported.</w:t>
      </w:r>
    </w:p>
    <w:permEnd w:id="1220688604"/>
    <w:p w14:paraId="53DA6878" w14:textId="1AE9AEA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7C270D99" w14:textId="77777777" w:rsidR="00814138" w:rsidRPr="00814138" w:rsidRDefault="00814138" w:rsidP="00814138">
      <w:pPr>
        <w:rPr>
          <w:rFonts w:cstheme="minorHAnsi"/>
          <w:sz w:val="22"/>
        </w:rPr>
      </w:pPr>
      <w:permStart w:id="209390932" w:edGrp="everyone"/>
      <w:r w:rsidRPr="00814138">
        <w:rPr>
          <w:rFonts w:cstheme="minorHAnsi"/>
          <w:sz w:val="22"/>
        </w:rPr>
        <w:t>There are too many and too detailed indicators in Table 1. This appears to be contrary to Level 1 Regulation which is looking for disclosure of “principal” adverse impact.</w:t>
      </w:r>
      <w:r w:rsidRPr="00814138">
        <w:rPr>
          <w:rFonts w:cstheme="minorHAnsi"/>
          <w:sz w:val="22"/>
        </w:rPr>
        <w:br/>
      </w:r>
    </w:p>
    <w:p w14:paraId="01419063" w14:textId="77777777" w:rsidR="00814138" w:rsidRPr="00814138" w:rsidRDefault="00814138" w:rsidP="00814138">
      <w:pPr>
        <w:rPr>
          <w:rFonts w:cstheme="minorHAnsi"/>
          <w:sz w:val="22"/>
        </w:rPr>
      </w:pPr>
      <w:r w:rsidRPr="00814138">
        <w:rPr>
          <w:rFonts w:cstheme="minorHAnsi"/>
          <w:sz w:val="22"/>
        </w:rPr>
        <w:t>We agree with the indicators relating to environmental risk, where an explicit definition and calculation methodology is available.</w:t>
      </w:r>
    </w:p>
    <w:p w14:paraId="4B4CC55C" w14:textId="77777777" w:rsidR="00814138" w:rsidRPr="00814138" w:rsidRDefault="00814138" w:rsidP="00814138">
      <w:pPr>
        <w:rPr>
          <w:rFonts w:cstheme="minorHAnsi"/>
          <w:sz w:val="22"/>
        </w:rPr>
      </w:pPr>
    </w:p>
    <w:p w14:paraId="5B3C3862" w14:textId="77777777" w:rsidR="00814138" w:rsidRPr="00814138" w:rsidRDefault="00814138" w:rsidP="00814138">
      <w:pPr>
        <w:rPr>
          <w:rFonts w:cstheme="minorHAnsi"/>
          <w:sz w:val="22"/>
        </w:rPr>
      </w:pPr>
      <w:r w:rsidRPr="00814138">
        <w:rPr>
          <w:rFonts w:cstheme="minorHAnsi"/>
          <w:sz w:val="22"/>
        </w:rPr>
        <w:t xml:space="preserve">We do not agree with the inclusion </w:t>
      </w:r>
      <w:proofErr w:type="gramStart"/>
      <w:r w:rsidRPr="00814138">
        <w:rPr>
          <w:rFonts w:cstheme="minorHAnsi"/>
          <w:sz w:val="22"/>
        </w:rPr>
        <w:t>of  forward</w:t>
      </w:r>
      <w:proofErr w:type="gramEnd"/>
      <w:r w:rsidRPr="00814138">
        <w:rPr>
          <w:rFonts w:cstheme="minorHAnsi"/>
          <w:sz w:val="22"/>
        </w:rPr>
        <w:t xml:space="preserve"> looking indicators, as these could be subjective in the way they reflect future improvements. We consider that there is a risk that forward-looking indicators could offer discretion to undertakings and thereby impede comparability.</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2C8C22B7" w14:textId="77777777" w:rsidR="00814138" w:rsidRDefault="00814138" w:rsidP="003E573C">
      <w:pPr>
        <w:rPr>
          <w:rFonts w:cs="Arial"/>
        </w:rPr>
      </w:pPr>
      <w:permStart w:id="418122716" w:edGrp="everyone"/>
      <w:r w:rsidRPr="00814138">
        <w:rPr>
          <w:rFonts w:cstheme="minorHAnsi"/>
          <w:sz w:val="22"/>
        </w:rPr>
        <w:t>n/a</w:t>
      </w:r>
      <w:r>
        <w:rPr>
          <w:rFonts w:cs="Arial"/>
        </w:rPr>
        <w:t xml:space="preserve"> </w:t>
      </w:r>
    </w:p>
    <w:permEnd w:id="418122716"/>
    <w:p w14:paraId="29E77975" w14:textId="171CA26C"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200BBDFA" w14:textId="77777777" w:rsidR="00814138" w:rsidRPr="00814138" w:rsidRDefault="00814138" w:rsidP="003E573C">
      <w:pPr>
        <w:rPr>
          <w:rFonts w:cstheme="minorHAnsi"/>
          <w:sz w:val="22"/>
        </w:rPr>
      </w:pPr>
      <w:permStart w:id="569465455" w:edGrp="everyone"/>
      <w:r w:rsidRPr="00814138">
        <w:rPr>
          <w:rFonts w:cstheme="minorHAnsi"/>
          <w:sz w:val="22"/>
        </w:rPr>
        <w:t>“Share of investment”, understood as percentage of the total investments a company holds, looks fine for us, but note our concern re the necessity of limiting the number of indicators to facilitate customer understanding.</w:t>
      </w:r>
    </w:p>
    <w:permEnd w:id="569465455"/>
    <w:p w14:paraId="2267AC0F" w14:textId="7D83EA5F"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764DFA46" w14:textId="77777777" w:rsidR="00814138" w:rsidRPr="00814138" w:rsidRDefault="00814138" w:rsidP="00814138">
      <w:pPr>
        <w:rPr>
          <w:rFonts w:cstheme="minorHAnsi"/>
          <w:sz w:val="22"/>
        </w:rPr>
      </w:pPr>
      <w:permStart w:id="1713528049" w:edGrp="everyone"/>
      <w:r w:rsidRPr="00814138">
        <w:rPr>
          <w:rFonts w:cstheme="minorHAnsi"/>
          <w:sz w:val="22"/>
        </w:rPr>
        <w:t xml:space="preserve">GHG emissions related metrics might be useful for market participants to set up plans that contribute to a greener economy. However, “advanced” metrics, or insufficiently explained indicators, </w:t>
      </w:r>
      <w:r w:rsidRPr="00814138">
        <w:rPr>
          <w:rFonts w:cstheme="minorHAnsi"/>
          <w:sz w:val="22"/>
          <w:lang w:val="en-US"/>
        </w:rPr>
        <w:t xml:space="preserve">should be optional. They </w:t>
      </w:r>
      <w:r w:rsidRPr="00814138">
        <w:rPr>
          <w:rFonts w:cstheme="minorHAnsi"/>
          <w:sz w:val="22"/>
        </w:rPr>
        <w:t xml:space="preserve">can potentially be even counterproductive for the financial markets if a reliable definition is not available.  “Advanced” metrics relating to only one (although important) goal of sustainable investments could even blur the disclosure. It is important to restrict the disclosed indicators to the main risk-drivers.    </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5CB0176A" w14:textId="77777777" w:rsidR="00814138" w:rsidRPr="00814138" w:rsidRDefault="00814138" w:rsidP="00DC0E59">
      <w:pPr>
        <w:pStyle w:val="Default"/>
        <w:rPr>
          <w:rFonts w:ascii="Arial" w:hAnsi="Arial" w:cs="Arial"/>
          <w:color w:val="auto"/>
          <w:sz w:val="22"/>
          <w:szCs w:val="22"/>
          <w:lang w:val="en-GB"/>
        </w:rPr>
      </w:pPr>
      <w:permStart w:id="221670941" w:edGrp="everyone"/>
      <w:r w:rsidRPr="00814138">
        <w:rPr>
          <w:rFonts w:ascii="Arial" w:hAnsi="Arial" w:cs="Arial"/>
          <w:color w:val="auto"/>
          <w:sz w:val="22"/>
          <w:szCs w:val="22"/>
          <w:lang w:val="en-GB"/>
        </w:rPr>
        <w:t xml:space="preserve">We do not agree that this should be a goal for the first phase; it should be given effect for adaptations after a first phase of experience, where the impact of a more limited set of variables can be properly assessed and enable more informed introduction of additional variables. </w:t>
      </w:r>
    </w:p>
    <w:p w14:paraId="6A7F2774" w14:textId="77777777" w:rsidR="00814138" w:rsidRPr="00814138" w:rsidRDefault="00814138" w:rsidP="00DC0E59">
      <w:pPr>
        <w:pStyle w:val="Default"/>
        <w:rPr>
          <w:rFonts w:ascii="Arial" w:hAnsi="Arial" w:cs="Arial"/>
          <w:color w:val="auto"/>
          <w:sz w:val="22"/>
          <w:szCs w:val="22"/>
          <w:lang w:val="en-GB"/>
        </w:rPr>
      </w:pPr>
    </w:p>
    <w:p w14:paraId="2B198733" w14:textId="77777777" w:rsidR="00814138" w:rsidRPr="00814138" w:rsidRDefault="00814138" w:rsidP="00DC0E59">
      <w:pPr>
        <w:pStyle w:val="Default"/>
        <w:rPr>
          <w:rFonts w:ascii="Arial" w:hAnsi="Arial" w:cs="Arial"/>
          <w:color w:val="auto"/>
          <w:sz w:val="22"/>
          <w:szCs w:val="22"/>
          <w:lang w:val="en-GB"/>
        </w:rPr>
      </w:pPr>
      <w:r w:rsidRPr="00814138">
        <w:rPr>
          <w:rFonts w:ascii="Arial" w:hAnsi="Arial" w:cs="Arial"/>
          <w:color w:val="auto"/>
          <w:sz w:val="22"/>
          <w:szCs w:val="22"/>
          <w:lang w:val="en-GB"/>
        </w:rPr>
        <w:t xml:space="preserve">Indicators should be clear and concise. This is not the case in the currently proposed approach. While we can refer to an elaborated taxonomy and clear definitions relating to economic (climate change) issues, a comparable basis is required before disclosing indicators for social and employee matters. </w:t>
      </w:r>
    </w:p>
    <w:p w14:paraId="0D648540" w14:textId="77777777" w:rsidR="00814138" w:rsidRPr="00814138" w:rsidRDefault="00814138" w:rsidP="00DC0E59">
      <w:pPr>
        <w:pStyle w:val="Default"/>
        <w:rPr>
          <w:rFonts w:ascii="Arial" w:hAnsi="Arial" w:cs="Arial"/>
          <w:color w:val="auto"/>
          <w:sz w:val="22"/>
          <w:szCs w:val="22"/>
          <w:lang w:val="en-GB"/>
        </w:rPr>
      </w:pPr>
    </w:p>
    <w:p w14:paraId="645893EE" w14:textId="77777777" w:rsidR="00814138" w:rsidRPr="00814138" w:rsidRDefault="00814138" w:rsidP="00DC0E59">
      <w:pPr>
        <w:pStyle w:val="Default"/>
        <w:rPr>
          <w:rFonts w:ascii="Arial" w:hAnsi="Arial" w:cs="Arial"/>
          <w:color w:val="auto"/>
          <w:sz w:val="22"/>
          <w:szCs w:val="22"/>
          <w:lang w:val="en-GB"/>
        </w:rPr>
      </w:pPr>
      <w:r w:rsidRPr="00814138">
        <w:rPr>
          <w:rFonts w:ascii="Arial" w:hAnsi="Arial" w:cs="Arial"/>
          <w:color w:val="auto"/>
          <w:sz w:val="22"/>
          <w:szCs w:val="22"/>
          <w:lang w:val="en-GB"/>
        </w:rPr>
        <w:t xml:space="preserve">Some of the indicators are not suitable to allow investors to make informed decisions, which is a key objective of the RTS.   </w:t>
      </w:r>
    </w:p>
    <w:p w14:paraId="35300DB1" w14:textId="77777777" w:rsidR="00814138" w:rsidRPr="00814138" w:rsidRDefault="00814138" w:rsidP="00DC0E59">
      <w:pPr>
        <w:pStyle w:val="Default"/>
        <w:rPr>
          <w:rFonts w:ascii="Arial" w:hAnsi="Arial" w:cs="Arial"/>
          <w:color w:val="auto"/>
          <w:sz w:val="22"/>
          <w:szCs w:val="22"/>
          <w:lang w:val="en-GB"/>
        </w:rPr>
      </w:pPr>
    </w:p>
    <w:p w14:paraId="0F8A1F4A" w14:textId="77777777" w:rsidR="00814138" w:rsidRPr="00814138" w:rsidRDefault="00814138" w:rsidP="00DC0E59">
      <w:pPr>
        <w:pStyle w:val="Default"/>
        <w:rPr>
          <w:rFonts w:ascii="Arial" w:hAnsi="Arial" w:cs="Arial"/>
          <w:color w:val="auto"/>
          <w:sz w:val="22"/>
          <w:szCs w:val="22"/>
          <w:lang w:val="en-GB"/>
        </w:rPr>
      </w:pPr>
      <w:r w:rsidRPr="00814138">
        <w:rPr>
          <w:rFonts w:ascii="Arial" w:hAnsi="Arial" w:cs="Arial"/>
          <w:color w:val="auto"/>
          <w:sz w:val="22"/>
          <w:szCs w:val="22"/>
          <w:lang w:val="en-GB"/>
        </w:rPr>
        <w:t>We do not agree at this point in time with these disclosure requirements. Clarification is vital in advance of their introduction.</w:t>
      </w:r>
    </w:p>
    <w:p w14:paraId="40DF0125" w14:textId="77777777" w:rsidR="00814138" w:rsidRPr="00814138" w:rsidRDefault="00814138" w:rsidP="00DC0E59">
      <w:pPr>
        <w:pStyle w:val="Default"/>
        <w:rPr>
          <w:rFonts w:ascii="Arial" w:hAnsi="Arial" w:cs="Arial"/>
          <w:color w:val="auto"/>
          <w:sz w:val="22"/>
          <w:szCs w:val="22"/>
          <w:lang w:val="en-GB"/>
        </w:rPr>
      </w:pPr>
    </w:p>
    <w:p w14:paraId="463BC92C" w14:textId="77777777" w:rsidR="00814138" w:rsidRPr="00814138" w:rsidRDefault="00814138" w:rsidP="00DC0E59">
      <w:pPr>
        <w:pStyle w:val="Default"/>
        <w:rPr>
          <w:rFonts w:ascii="Arial" w:hAnsi="Arial" w:cs="Arial"/>
          <w:color w:val="auto"/>
          <w:sz w:val="22"/>
          <w:szCs w:val="22"/>
          <w:lang w:val="en-GB"/>
        </w:rPr>
      </w:pPr>
      <w:proofErr w:type="gramStart"/>
      <w:r w:rsidRPr="00814138">
        <w:rPr>
          <w:rFonts w:ascii="Arial" w:hAnsi="Arial" w:cs="Arial"/>
          <w:color w:val="auto"/>
          <w:sz w:val="22"/>
          <w:szCs w:val="22"/>
          <w:lang w:val="en-GB"/>
        </w:rPr>
        <w:t>Examples</w:t>
      </w:r>
      <w:proofErr w:type="gramEnd"/>
      <w:r w:rsidRPr="00814138">
        <w:rPr>
          <w:rFonts w:ascii="Arial" w:hAnsi="Arial" w:cs="Arial"/>
          <w:color w:val="auto"/>
          <w:sz w:val="22"/>
          <w:szCs w:val="22"/>
          <w:lang w:val="en-GB"/>
        </w:rPr>
        <w:br/>
      </w:r>
      <w:r w:rsidRPr="00814138">
        <w:rPr>
          <w:rFonts w:ascii="Arial" w:hAnsi="Arial" w:cs="Arial"/>
          <w:color w:val="auto"/>
          <w:sz w:val="22"/>
          <w:szCs w:val="22"/>
          <w:lang w:val="en-GB"/>
        </w:rPr>
        <w:br/>
        <w:t>(</w:t>
      </w:r>
      <w:proofErr w:type="spellStart"/>
      <w:r w:rsidRPr="00814138">
        <w:rPr>
          <w:rFonts w:ascii="Arial" w:hAnsi="Arial" w:cs="Arial"/>
          <w:color w:val="auto"/>
          <w:sz w:val="22"/>
          <w:szCs w:val="22"/>
          <w:lang w:val="en-GB"/>
        </w:rPr>
        <w:t>i</w:t>
      </w:r>
      <w:proofErr w:type="spellEnd"/>
      <w:r w:rsidRPr="00814138">
        <w:rPr>
          <w:rFonts w:ascii="Arial" w:hAnsi="Arial" w:cs="Arial"/>
          <w:color w:val="auto"/>
          <w:sz w:val="22"/>
          <w:szCs w:val="22"/>
          <w:lang w:val="en-GB"/>
        </w:rPr>
        <w:t xml:space="preserve">) </w:t>
      </w:r>
      <w:r w:rsidRPr="00814138">
        <w:rPr>
          <w:rFonts w:ascii="Arial" w:hAnsi="Arial" w:cs="Arial"/>
          <w:bCs/>
          <w:i/>
          <w:iCs/>
          <w:color w:val="auto"/>
          <w:sz w:val="22"/>
          <w:szCs w:val="22"/>
          <w:lang w:val="en-GB"/>
        </w:rPr>
        <w:t>the gender pay gap</w:t>
      </w:r>
      <w:r w:rsidRPr="00814138">
        <w:rPr>
          <w:rFonts w:ascii="Arial" w:hAnsi="Arial" w:cs="Arial"/>
          <w:color w:val="auto"/>
          <w:sz w:val="22"/>
          <w:szCs w:val="22"/>
          <w:lang w:val="en-GB"/>
        </w:rPr>
        <w:t xml:space="preserve"> (number 18 of adverse sustainability indicators) </w:t>
      </w:r>
    </w:p>
    <w:p w14:paraId="7EA189ED" w14:textId="77777777" w:rsidR="00814138" w:rsidRPr="00814138" w:rsidRDefault="00814138" w:rsidP="00DC0E59">
      <w:pPr>
        <w:pStyle w:val="Default"/>
        <w:rPr>
          <w:rFonts w:ascii="Arial" w:hAnsi="Arial" w:cs="Arial"/>
          <w:color w:val="auto"/>
          <w:sz w:val="22"/>
          <w:szCs w:val="22"/>
          <w:lang w:val="en-GB"/>
        </w:rPr>
      </w:pPr>
      <w:r w:rsidRPr="00814138">
        <w:rPr>
          <w:rFonts w:ascii="Arial" w:hAnsi="Arial" w:cs="Arial"/>
          <w:color w:val="auto"/>
          <w:sz w:val="22"/>
          <w:szCs w:val="22"/>
          <w:lang w:val="en-GB"/>
        </w:rPr>
        <w:t xml:space="preserve">Definition in Annex I: </w:t>
      </w:r>
      <w:r w:rsidRPr="00814138">
        <w:rPr>
          <w:rFonts w:ascii="Arial" w:hAnsi="Arial" w:cs="Arial"/>
          <w:i/>
          <w:color w:val="auto"/>
          <w:sz w:val="22"/>
          <w:szCs w:val="22"/>
          <w:lang w:val="en-GB"/>
        </w:rPr>
        <w:t>‘gender pay gap’ means the difference between average gross hourly earnings of male and female employees as a percentage of male gross earnings;</w:t>
      </w:r>
      <w:r w:rsidRPr="00814138">
        <w:rPr>
          <w:rFonts w:ascii="Arial" w:hAnsi="Arial" w:cs="Arial"/>
          <w:color w:val="auto"/>
          <w:sz w:val="22"/>
          <w:szCs w:val="22"/>
          <w:lang w:val="en-GB"/>
        </w:rPr>
        <w:t xml:space="preserve"> </w:t>
      </w:r>
    </w:p>
    <w:p w14:paraId="16354D59" w14:textId="77777777" w:rsidR="00814138" w:rsidRPr="00814138" w:rsidRDefault="00814138" w:rsidP="00DC0E59">
      <w:pPr>
        <w:pStyle w:val="Default"/>
        <w:ind w:left="708"/>
        <w:rPr>
          <w:rFonts w:ascii="Arial" w:hAnsi="Arial" w:cs="Arial"/>
          <w:color w:val="auto"/>
          <w:sz w:val="22"/>
          <w:szCs w:val="22"/>
          <w:lang w:val="en-GB"/>
        </w:rPr>
      </w:pPr>
    </w:p>
    <w:p w14:paraId="15E519BD" w14:textId="77777777" w:rsidR="00814138" w:rsidRPr="00814138" w:rsidRDefault="00814138" w:rsidP="00DC0E59">
      <w:pPr>
        <w:pStyle w:val="Default"/>
        <w:rPr>
          <w:rFonts w:ascii="Arial" w:hAnsi="Arial" w:cs="Arial"/>
          <w:color w:val="auto"/>
          <w:sz w:val="22"/>
          <w:szCs w:val="22"/>
          <w:lang w:val="en-GB"/>
        </w:rPr>
      </w:pPr>
      <w:r w:rsidRPr="00814138">
        <w:rPr>
          <w:rFonts w:ascii="Arial" w:hAnsi="Arial" w:cs="Arial"/>
          <w:color w:val="auto"/>
          <w:sz w:val="22"/>
          <w:szCs w:val="22"/>
          <w:lang w:val="en-GB"/>
        </w:rPr>
        <w:t xml:space="preserve">Such a figure, without a reliable definition, is without any value for the investor. An average value without consideration of the structure of the staff does not make sense. </w:t>
      </w:r>
    </w:p>
    <w:p w14:paraId="1119294D" w14:textId="77777777" w:rsidR="00814138" w:rsidRPr="00814138" w:rsidRDefault="00814138" w:rsidP="00DC0E59">
      <w:pPr>
        <w:pStyle w:val="Default"/>
        <w:ind w:left="708" w:firstLine="2"/>
        <w:rPr>
          <w:rFonts w:ascii="Arial" w:hAnsi="Arial" w:cs="Arial"/>
          <w:color w:val="auto"/>
          <w:sz w:val="22"/>
          <w:szCs w:val="22"/>
          <w:lang w:val="en-GB"/>
        </w:rPr>
      </w:pPr>
    </w:p>
    <w:p w14:paraId="78B59A42" w14:textId="77777777" w:rsidR="00814138" w:rsidRDefault="00814138" w:rsidP="003E573C">
      <w:pPr>
        <w:rPr>
          <w:rFonts w:asciiTheme="minorHAnsi" w:hAnsiTheme="minorHAnsi" w:cstheme="minorHAnsi"/>
        </w:rPr>
      </w:pPr>
      <w:r w:rsidRPr="00814138">
        <w:rPr>
          <w:rFonts w:cs="Arial"/>
          <w:i/>
          <w:sz w:val="22"/>
          <w:szCs w:val="22"/>
        </w:rPr>
        <w:t xml:space="preserve">(ii)No. 21: </w:t>
      </w:r>
      <w:proofErr w:type="spellStart"/>
      <w:r w:rsidRPr="00814138">
        <w:rPr>
          <w:rFonts w:cs="Arial"/>
          <w:i/>
          <w:sz w:val="22"/>
          <w:szCs w:val="22"/>
        </w:rPr>
        <w:t>Whistleblower</w:t>
      </w:r>
      <w:proofErr w:type="spellEnd"/>
      <w:r w:rsidRPr="00814138">
        <w:rPr>
          <w:rFonts w:cs="Arial"/>
          <w:i/>
          <w:sz w:val="22"/>
          <w:szCs w:val="22"/>
        </w:rPr>
        <w:t xml:space="preserve"> protection: </w:t>
      </w:r>
      <w:r w:rsidRPr="00814138">
        <w:rPr>
          <w:rFonts w:cs="Arial"/>
          <w:sz w:val="22"/>
          <w:szCs w:val="22"/>
        </w:rPr>
        <w:t xml:space="preserve">The concrete meaning of </w:t>
      </w:r>
      <w:proofErr w:type="spellStart"/>
      <w:r w:rsidRPr="00814138">
        <w:rPr>
          <w:rFonts w:cs="Arial"/>
          <w:sz w:val="22"/>
          <w:szCs w:val="22"/>
        </w:rPr>
        <w:t>whistleblower</w:t>
      </w:r>
      <w:proofErr w:type="spellEnd"/>
      <w:r w:rsidRPr="00814138">
        <w:rPr>
          <w:rFonts w:cs="Arial"/>
          <w:sz w:val="22"/>
          <w:szCs w:val="22"/>
        </w:rPr>
        <w:t xml:space="preserve"> protection remains unclear.</w:t>
      </w:r>
      <w:r w:rsidRPr="00991F93">
        <w:rPr>
          <w:rFonts w:asciiTheme="minorHAnsi" w:hAnsiTheme="minorHAnsi" w:cstheme="minorHAnsi"/>
        </w:rPr>
        <w:t xml:space="preserve">  </w:t>
      </w:r>
    </w:p>
    <w:permEnd w:id="221670941"/>
    <w:p w14:paraId="57161E15" w14:textId="69EBDEDE"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43E11BE9" w14:textId="77777777" w:rsidR="00814138" w:rsidRPr="00814138" w:rsidRDefault="00814138" w:rsidP="00814138">
      <w:pPr>
        <w:rPr>
          <w:rFonts w:cstheme="minorHAnsi"/>
          <w:sz w:val="22"/>
        </w:rPr>
      </w:pPr>
      <w:permStart w:id="610013876" w:edGrp="everyone"/>
      <w:r w:rsidRPr="00814138">
        <w:rPr>
          <w:rFonts w:cstheme="minorHAnsi"/>
          <w:sz w:val="22"/>
        </w:rPr>
        <w:t xml:space="preserve">No. Historical comparison is too ambitious for most financial market participants.  </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44900C6A" w14:textId="77777777" w:rsidR="00814138" w:rsidRPr="00814138" w:rsidRDefault="00814138" w:rsidP="00DC0E59">
      <w:pPr>
        <w:rPr>
          <w:rFonts w:cstheme="minorHAnsi"/>
          <w:iCs/>
          <w:sz w:val="22"/>
        </w:rPr>
      </w:pPr>
      <w:permStart w:id="790175202" w:edGrp="everyone"/>
      <w:r w:rsidRPr="00814138">
        <w:rPr>
          <w:rFonts w:cstheme="minorHAnsi"/>
          <w:iCs/>
          <w:sz w:val="22"/>
        </w:rPr>
        <w:t xml:space="preserve">Timing of reporting should be aligned with already existing reporting frequencies – considering proportionality.  </w:t>
      </w:r>
    </w:p>
    <w:p w14:paraId="653914D3" w14:textId="77777777" w:rsidR="00814138" w:rsidRPr="00814138" w:rsidRDefault="00814138" w:rsidP="00DC0E59">
      <w:pPr>
        <w:rPr>
          <w:rFonts w:cstheme="minorHAnsi"/>
          <w:iCs/>
          <w:sz w:val="22"/>
        </w:rPr>
      </w:pPr>
    </w:p>
    <w:p w14:paraId="1F1BEEE5" w14:textId="77777777" w:rsidR="00814138" w:rsidRDefault="00814138" w:rsidP="003E573C">
      <w:pPr>
        <w:rPr>
          <w:rFonts w:cstheme="minorHAnsi"/>
          <w:iCs/>
          <w:sz w:val="22"/>
        </w:rPr>
      </w:pPr>
      <w:r w:rsidRPr="00814138">
        <w:rPr>
          <w:rFonts w:cstheme="minorHAnsi"/>
          <w:iCs/>
          <w:sz w:val="22"/>
        </w:rPr>
        <w:t xml:space="preserve">Consistency of reporting should be encouraged but absolute consistency is unlikely to be attainable. Undertakings should have some latitude in determining and reporting the required variables. </w:t>
      </w:r>
    </w:p>
    <w:permEnd w:id="790175202"/>
    <w:p w14:paraId="140C09C0" w14:textId="0DA883D0"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6B9C71AD" w14:textId="77777777" w:rsidR="00814138" w:rsidRPr="00814138" w:rsidRDefault="00814138" w:rsidP="00814138">
      <w:pPr>
        <w:pStyle w:val="Default"/>
        <w:rPr>
          <w:rFonts w:ascii="Arial" w:hAnsi="Arial" w:cs="Arial"/>
          <w:iCs/>
          <w:color w:val="auto"/>
          <w:lang w:val="en-GB"/>
        </w:rPr>
      </w:pPr>
      <w:permStart w:id="800330460" w:edGrp="everyone"/>
      <w:r w:rsidRPr="00814138">
        <w:rPr>
          <w:rFonts w:ascii="Arial" w:hAnsi="Arial" w:cs="Arial"/>
          <w:color w:val="auto"/>
          <w:sz w:val="22"/>
          <w:lang w:val="en-GB"/>
        </w:rPr>
        <w:t xml:space="preserve">We agree </w:t>
      </w:r>
      <w:r w:rsidRPr="00814138">
        <w:rPr>
          <w:rFonts w:ascii="Arial" w:hAnsi="Arial" w:cs="Arial"/>
          <w:iCs/>
          <w:color w:val="auto"/>
          <w:sz w:val="22"/>
          <w:lang w:val="en-GB"/>
        </w:rPr>
        <w:t xml:space="preserve">with the approach to have transparent and comparable information. Mandatory templates can help to achieve this goal, but, as discussed elsewhere in this response, requirements must be practicable at a level which enables effective comparison and understanding. It is necessary that undertakings are able to provide these templates and to depict the specificities of their products and business. </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3AF1474E" w14:textId="77777777" w:rsidR="00814138" w:rsidRPr="00814138" w:rsidRDefault="00814138" w:rsidP="00814138">
      <w:pPr>
        <w:rPr>
          <w:rFonts w:cstheme="minorHAnsi"/>
          <w:sz w:val="22"/>
        </w:rPr>
      </w:pPr>
      <w:permStart w:id="1179406826" w:edGrp="everyone"/>
      <w:r w:rsidRPr="00814138">
        <w:rPr>
          <w:rFonts w:cstheme="minorHAnsi"/>
          <w:sz w:val="22"/>
        </w:rPr>
        <w:t>See Q12.</w:t>
      </w:r>
    </w:p>
    <w:p w14:paraId="55495FBD" w14:textId="77777777" w:rsidR="00814138" w:rsidRPr="00814138" w:rsidRDefault="00814138" w:rsidP="00814138">
      <w:pPr>
        <w:rPr>
          <w:rFonts w:cstheme="minorHAnsi"/>
          <w:sz w:val="22"/>
        </w:rPr>
      </w:pPr>
      <w:r w:rsidRPr="00814138">
        <w:rPr>
          <w:rFonts w:cstheme="minorHAnsi"/>
          <w:sz w:val="22"/>
        </w:rPr>
        <w:t>Mandatory templates should be developed in close cooperation with the industry concerned. Mandatory templates showing incomplete or even misleading information are useless for the public.</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6C463A37" w14:textId="77777777" w:rsidR="00814138" w:rsidRPr="00814138" w:rsidRDefault="00814138" w:rsidP="003E573C">
      <w:pPr>
        <w:rPr>
          <w:rFonts w:cstheme="minorHAnsi"/>
          <w:sz w:val="22"/>
        </w:rPr>
      </w:pPr>
      <w:permStart w:id="1646396141" w:edGrp="everyone"/>
      <w:r w:rsidRPr="00814138">
        <w:rPr>
          <w:rFonts w:cstheme="minorHAnsi"/>
          <w:sz w:val="22"/>
        </w:rPr>
        <w:t xml:space="preserve">We do agree subject to comments in Q12 and Q13. </w:t>
      </w:r>
    </w:p>
    <w:permEnd w:id="1646396141"/>
    <w:p w14:paraId="0FE78052" w14:textId="5D345234"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30A988B9" w14:textId="77777777" w:rsidR="00814138" w:rsidRDefault="00814138" w:rsidP="003E573C">
      <w:pPr>
        <w:rPr>
          <w:rFonts w:cs="Arial"/>
        </w:rPr>
      </w:pPr>
      <w:permStart w:id="1271138379" w:edGrp="everyone"/>
      <w:r w:rsidRPr="00814138">
        <w:rPr>
          <w:rFonts w:cstheme="minorHAnsi"/>
          <w:sz w:val="22"/>
        </w:rPr>
        <w:t>n/a</w:t>
      </w:r>
      <w:r w:rsidRPr="00814138">
        <w:rPr>
          <w:rFonts w:cs="Arial"/>
          <w:sz w:val="18"/>
        </w:rPr>
        <w:t xml:space="preserve"> </w:t>
      </w:r>
    </w:p>
    <w:permEnd w:id="1271138379"/>
    <w:p w14:paraId="5A098E3E" w14:textId="72EEF322"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4E3CD5BB" w14:textId="77777777" w:rsidR="00814138" w:rsidRPr="00814138" w:rsidRDefault="00814138" w:rsidP="00814138">
      <w:pPr>
        <w:rPr>
          <w:rFonts w:cstheme="minorHAnsi"/>
          <w:sz w:val="22"/>
        </w:rPr>
      </w:pPr>
      <w:permStart w:id="739535953" w:edGrp="everyone"/>
      <w:r w:rsidRPr="00814138">
        <w:rPr>
          <w:rFonts w:cstheme="minorHAnsi"/>
          <w:sz w:val="22"/>
        </w:rPr>
        <w:t>We think that the definitions of "sustainable investment products" and "products that promote environmental or social characteristics" may result in varying interpretations.</w:t>
      </w:r>
    </w:p>
    <w:p w14:paraId="0EE0377C" w14:textId="77777777" w:rsidR="00814138" w:rsidRPr="00814138" w:rsidRDefault="00814138" w:rsidP="00814138">
      <w:pPr>
        <w:rPr>
          <w:rFonts w:cstheme="minorHAnsi"/>
          <w:sz w:val="22"/>
        </w:rPr>
      </w:pPr>
      <w:r w:rsidRPr="00814138">
        <w:rPr>
          <w:rFonts w:cstheme="minorHAnsi"/>
          <w:sz w:val="22"/>
        </w:rPr>
        <w:t>More guidance in RTS is needed to determine when a product will qualify for either product category and facilitate compliance from insurers.</w:t>
      </w:r>
    </w:p>
    <w:p w14:paraId="4ABD4DA3" w14:textId="77777777" w:rsidR="00814138" w:rsidRPr="00814138" w:rsidRDefault="00814138" w:rsidP="00814138">
      <w:pPr>
        <w:rPr>
          <w:rFonts w:cstheme="minorHAnsi"/>
          <w:sz w:val="22"/>
        </w:rPr>
      </w:pPr>
      <w:r w:rsidRPr="00814138">
        <w:rPr>
          <w:rFonts w:cstheme="minorHAnsi"/>
          <w:sz w:val="22"/>
        </w:rPr>
        <w:t>Unless more guidance is given, it would be possible that national supervisors would supply different interpretations.</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55508897" w14:textId="77777777" w:rsidR="00814138" w:rsidRPr="00814138" w:rsidRDefault="00814138" w:rsidP="00DC0E59">
      <w:pPr>
        <w:pStyle w:val="Default"/>
        <w:rPr>
          <w:rFonts w:ascii="Arial" w:hAnsi="Arial" w:cs="Arial"/>
          <w:sz w:val="22"/>
          <w:szCs w:val="22"/>
          <w:lang w:val="en-GB"/>
        </w:rPr>
      </w:pPr>
      <w:permStart w:id="225396737" w:edGrp="everyone"/>
      <w:r w:rsidRPr="00814138">
        <w:rPr>
          <w:rFonts w:ascii="Arial" w:hAnsi="Arial" w:cs="Arial"/>
          <w:sz w:val="22"/>
          <w:szCs w:val="22"/>
          <w:lang w:val="en-GB"/>
        </w:rPr>
        <w:t>The scope of the indirect investments is not clear and not effectively defined.</w:t>
      </w:r>
    </w:p>
    <w:p w14:paraId="28DD611A" w14:textId="77777777" w:rsidR="00814138" w:rsidRDefault="00814138" w:rsidP="003E573C">
      <w:pPr>
        <w:rPr>
          <w:rFonts w:cs="Arial"/>
          <w:sz w:val="22"/>
          <w:szCs w:val="22"/>
        </w:rPr>
      </w:pPr>
      <w:r w:rsidRPr="00814138">
        <w:rPr>
          <w:rFonts w:cs="Arial"/>
          <w:sz w:val="22"/>
          <w:szCs w:val="22"/>
        </w:rPr>
        <w:t xml:space="preserve">We consider that the sentence “those that contribute to the attainment of the environmental or social characteristics”, is expected to be understood as “those products which promote environmental or social characteristics”, and recommend that the latter sentence, being more explicit and specific, should be included instead of the former. </w:t>
      </w:r>
    </w:p>
    <w:permEnd w:id="225396737"/>
    <w:p w14:paraId="78DF26C5" w14:textId="4FE2DB2A"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2212371B" w14:textId="77777777" w:rsidR="00814138" w:rsidRPr="00814138" w:rsidRDefault="00814138" w:rsidP="00814138">
      <w:pPr>
        <w:pStyle w:val="Default"/>
        <w:rPr>
          <w:rFonts w:ascii="Arial" w:hAnsi="Arial" w:cs="Arial"/>
          <w:color w:val="auto"/>
          <w:sz w:val="22"/>
          <w:lang w:val="en-GB"/>
        </w:rPr>
      </w:pPr>
      <w:permStart w:id="1687822303" w:edGrp="everyone"/>
      <w:r w:rsidRPr="00814138">
        <w:rPr>
          <w:rFonts w:ascii="Arial" w:hAnsi="Arial" w:cs="Arial"/>
          <w:color w:val="auto"/>
          <w:sz w:val="22"/>
          <w:lang w:val="en-GB"/>
        </w:rPr>
        <w:t>Graphical representations are attractive communication tools but experience shows that they can often be misinterpreted by non-professionals.</w:t>
      </w:r>
    </w:p>
    <w:p w14:paraId="2FD8D662" w14:textId="77777777" w:rsidR="00814138" w:rsidRPr="00814138" w:rsidRDefault="00814138" w:rsidP="00814138">
      <w:pPr>
        <w:pStyle w:val="Default"/>
        <w:rPr>
          <w:rFonts w:ascii="Arial" w:hAnsi="Arial" w:cs="Arial"/>
          <w:color w:val="auto"/>
          <w:sz w:val="22"/>
          <w:lang w:val="en-GB"/>
        </w:rPr>
      </w:pPr>
      <w:r w:rsidRPr="00814138">
        <w:rPr>
          <w:rFonts w:ascii="Arial" w:hAnsi="Arial" w:cs="Arial"/>
          <w:color w:val="auto"/>
          <w:sz w:val="22"/>
          <w:lang w:val="en-GB"/>
        </w:rPr>
        <w:t>The same graphical representation for very different types of products can end up misleading final clients, as it does not consider the constraints and the allocation of different products types.</w:t>
      </w:r>
    </w:p>
    <w:p w14:paraId="2CA543B2" w14:textId="77777777" w:rsidR="00814138" w:rsidRPr="00814138" w:rsidRDefault="00814138" w:rsidP="00814138">
      <w:pPr>
        <w:pStyle w:val="Default"/>
        <w:rPr>
          <w:rFonts w:ascii="Arial" w:hAnsi="Arial" w:cs="Arial"/>
          <w:color w:val="auto"/>
          <w:sz w:val="22"/>
          <w:lang w:val="en-GB"/>
        </w:rPr>
      </w:pPr>
    </w:p>
    <w:p w14:paraId="5B22D230" w14:textId="77777777" w:rsidR="00814138" w:rsidRPr="00814138" w:rsidRDefault="00814138" w:rsidP="00814138">
      <w:pPr>
        <w:pStyle w:val="Default"/>
        <w:rPr>
          <w:rFonts w:ascii="Arial" w:hAnsi="Arial" w:cs="Arial"/>
          <w:color w:val="auto"/>
          <w:sz w:val="22"/>
          <w:lang w:val="en-GB"/>
        </w:rPr>
      </w:pPr>
      <w:r w:rsidRPr="00814138">
        <w:rPr>
          <w:rFonts w:ascii="Arial" w:hAnsi="Arial" w:cs="Arial"/>
          <w:color w:val="auto"/>
          <w:sz w:val="22"/>
          <w:lang w:val="en-GB"/>
        </w:rPr>
        <w:t xml:space="preserve">See also Question 12. </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9B7C1E" w14:textId="77777777" w:rsidR="00814138" w:rsidRDefault="00814138" w:rsidP="003E573C">
      <w:pPr>
        <w:rPr>
          <w:rFonts w:cs="Arial"/>
          <w:sz w:val="18"/>
        </w:rPr>
      </w:pPr>
      <w:permStart w:id="669663577" w:edGrp="everyone"/>
      <w:r w:rsidRPr="00814138">
        <w:rPr>
          <w:rFonts w:cstheme="minorHAnsi"/>
          <w:sz w:val="22"/>
        </w:rPr>
        <w:t>n/a</w:t>
      </w:r>
      <w:r w:rsidRPr="00814138">
        <w:rPr>
          <w:rFonts w:cs="Arial"/>
          <w:sz w:val="18"/>
        </w:rPr>
        <w:t xml:space="preserve"> </w:t>
      </w:r>
    </w:p>
    <w:permEnd w:id="669663577"/>
    <w:p w14:paraId="4B36BA28" w14:textId="13F53995"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6B6F0374" w14:textId="77777777" w:rsidR="00814138" w:rsidRDefault="00814138" w:rsidP="003E573C">
      <w:pPr>
        <w:rPr>
          <w:rFonts w:cs="Arial"/>
        </w:rPr>
      </w:pPr>
      <w:permStart w:id="806708611" w:edGrp="everyone"/>
      <w:r w:rsidRPr="00814138">
        <w:rPr>
          <w:rFonts w:cstheme="minorHAnsi"/>
          <w:sz w:val="22"/>
        </w:rPr>
        <w:t>No.  See comments above.</w:t>
      </w:r>
    </w:p>
    <w:permEnd w:id="806708611"/>
    <w:p w14:paraId="7AC72B75" w14:textId="1CE479DF"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FAC4B9A" w14:textId="77777777" w:rsidR="00814138" w:rsidRPr="00814138" w:rsidRDefault="00814138" w:rsidP="00814138">
      <w:pPr>
        <w:pStyle w:val="Default"/>
        <w:rPr>
          <w:rFonts w:ascii="Arial" w:hAnsi="Arial" w:cs="Arial"/>
          <w:iCs/>
          <w:color w:val="auto"/>
          <w:sz w:val="22"/>
          <w:lang w:val="en-GB"/>
        </w:rPr>
      </w:pPr>
      <w:permStart w:id="2245015" w:edGrp="everyone"/>
      <w:r w:rsidRPr="00814138">
        <w:rPr>
          <w:rFonts w:ascii="Arial" w:hAnsi="Arial" w:cs="Arial"/>
          <w:iCs/>
          <w:color w:val="auto"/>
          <w:sz w:val="22"/>
          <w:lang w:val="en-GB"/>
        </w:rPr>
        <w:t>For insurance undertakings such governance principles are already part of the Solvency II regime and have to be disclosed in the SFCR. Sound management structures are already explicitly required. The topics mentioned will be (or are already in some cases) part of risk management considerations for undertakings. We do not see an additional benefit from explicitly listing such issues in these requirements.</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61B77183" w:rsidR="003E573C" w:rsidRDefault="00814138" w:rsidP="003E573C">
      <w:pPr>
        <w:rPr>
          <w:rFonts w:cs="Arial"/>
        </w:rPr>
      </w:pPr>
      <w:permStart w:id="1182486711" w:edGrp="everyone"/>
      <w:r>
        <w:rPr>
          <w:rFonts w:cs="Arial"/>
        </w:rPr>
        <w:t>n/a</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3F69EC95" w14:textId="77777777" w:rsidR="00814138" w:rsidRPr="00814138" w:rsidRDefault="00814138" w:rsidP="00814138">
      <w:pPr>
        <w:rPr>
          <w:rFonts w:cstheme="minorHAnsi"/>
          <w:sz w:val="22"/>
        </w:rPr>
      </w:pPr>
      <w:permStart w:id="1634935588" w:edGrp="everyone"/>
      <w:r w:rsidRPr="00814138">
        <w:rPr>
          <w:rFonts w:cstheme="minorHAnsi"/>
          <w:iCs/>
          <w:sz w:val="22"/>
        </w:rPr>
        <w:t xml:space="preserve">No. Investment strategies are likely to reflect a number of factors including for instance the expected term of the investment and need for customer security. </w:t>
      </w:r>
      <w:r w:rsidRPr="00814138">
        <w:rPr>
          <w:rFonts w:cstheme="minorHAnsi"/>
          <w:sz w:val="22"/>
        </w:rPr>
        <w:t>We do not see merit in the ESAs defining widely used ESG investment strategies as they could not be sufficiently comprehensive to cover all of the factors which determine actual strategies.  We consider that each financial market participant must define and disclose its own strategy.</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3DFFC3F1" w14:textId="77777777" w:rsidR="00814138" w:rsidRPr="00814138" w:rsidRDefault="00814138" w:rsidP="00814138">
      <w:pPr>
        <w:rPr>
          <w:rFonts w:cstheme="minorHAnsi"/>
          <w:sz w:val="22"/>
        </w:rPr>
      </w:pPr>
      <w:permStart w:id="872961277" w:edGrp="everyone"/>
      <w:r w:rsidRPr="00814138">
        <w:rPr>
          <w:rFonts w:cstheme="minorHAnsi"/>
          <w:sz w:val="22"/>
        </w:rPr>
        <w:t>We agree with the approach on the disclosure of financial products’ top investments in periodic disclosures in order to know the evolution of sustainable investments.</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460645CD" w:rsidR="003E573C" w:rsidRDefault="00814138" w:rsidP="003E573C">
      <w:pPr>
        <w:rPr>
          <w:rFonts w:cs="Arial"/>
        </w:rPr>
      </w:pPr>
      <w:permStart w:id="374105505" w:edGrp="everyone"/>
      <w:r>
        <w:rPr>
          <w:rFonts w:cs="Arial"/>
        </w:rPr>
        <w:t>n/a</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6A2BE624" w14:textId="77777777" w:rsidR="00426622" w:rsidRPr="00426622" w:rsidRDefault="00426622" w:rsidP="00DC0E59">
      <w:pPr>
        <w:rPr>
          <w:rFonts w:cstheme="minorHAnsi"/>
          <w:sz w:val="22"/>
        </w:rPr>
      </w:pPr>
      <w:permStart w:id="624894902" w:edGrp="everyone"/>
      <w:r w:rsidRPr="00426622">
        <w:rPr>
          <w:rFonts w:cstheme="minorHAnsi"/>
          <w:sz w:val="22"/>
        </w:rPr>
        <w:t>From our point of view it would be better to integrate this section with the graphic and narrative explanation of the investment proportions since it makes it easier for the client to understand the information.</w:t>
      </w:r>
    </w:p>
    <w:p w14:paraId="3128D2FD" w14:textId="77777777" w:rsidR="00426622" w:rsidRPr="00426622" w:rsidRDefault="00426622" w:rsidP="00DC0E59">
      <w:pPr>
        <w:rPr>
          <w:rFonts w:cstheme="minorHAnsi"/>
          <w:iCs/>
          <w:sz w:val="22"/>
        </w:rPr>
      </w:pPr>
      <w:r w:rsidRPr="00426622">
        <w:rPr>
          <w:rFonts w:cstheme="minorHAnsi"/>
          <w:iCs/>
          <w:sz w:val="22"/>
        </w:rPr>
        <w:t>Taking into account the substantial information proposed to be disclosed, a separate focus on derivatives is not necessary and seems excessive and complex for clients.</w:t>
      </w:r>
    </w:p>
    <w:p w14:paraId="0632FA92" w14:textId="77777777" w:rsidR="00426622" w:rsidRPr="00426622" w:rsidRDefault="00426622" w:rsidP="00DC0E59">
      <w:pPr>
        <w:rPr>
          <w:rFonts w:cstheme="minorHAnsi"/>
          <w:iCs/>
          <w:sz w:val="22"/>
        </w:rPr>
      </w:pPr>
      <w:r w:rsidRPr="00426622">
        <w:rPr>
          <w:rFonts w:cstheme="minorHAnsi"/>
          <w:iCs/>
          <w:sz w:val="22"/>
        </w:rPr>
        <w:t>The use of derivatives should be covered in the financial market participant’s investment and risk policy instead.</w:t>
      </w:r>
    </w:p>
    <w:p w14:paraId="20E7349E" w14:textId="77777777" w:rsidR="00426622" w:rsidRDefault="00426622" w:rsidP="003E573C">
      <w:pPr>
        <w:rPr>
          <w:rFonts w:cstheme="minorHAnsi"/>
          <w:iCs/>
          <w:sz w:val="22"/>
        </w:rPr>
      </w:pPr>
      <w:r w:rsidRPr="00426622">
        <w:rPr>
          <w:rFonts w:cstheme="minorHAnsi"/>
          <w:iCs/>
          <w:sz w:val="22"/>
        </w:rPr>
        <w:t>For the insurance sector, the usage of derivatives is already covered under the prudent person principle (article 132 (4) of the Solvency II Directive which dictates that the use of derivative instruments shall be possible only insofar as they contribute to a reduction of risks or facilitate efficient portfolio management.</w:t>
      </w:r>
    </w:p>
    <w:permEnd w:id="624894902"/>
    <w:p w14:paraId="4A8013FB" w14:textId="60DA4C8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554788A8" w:rsidR="003E573C" w:rsidRDefault="00426622" w:rsidP="003E573C">
      <w:pPr>
        <w:rPr>
          <w:rFonts w:cs="Arial"/>
        </w:rPr>
      </w:pPr>
      <w:permStart w:id="1007688109" w:edGrp="everyone"/>
      <w:r>
        <w:rPr>
          <w:rFonts w:cs="Arial"/>
        </w:rPr>
        <w:t>No</w:t>
      </w:r>
      <w:bookmarkStart w:id="2" w:name="_GoBack"/>
      <w:bookmarkEnd w:id="2"/>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A614B" w14:textId="77777777" w:rsidR="00703E9A" w:rsidRDefault="00703E9A">
      <w:r>
        <w:separator/>
      </w:r>
    </w:p>
    <w:p w14:paraId="6A035954" w14:textId="77777777" w:rsidR="00703E9A" w:rsidRDefault="00703E9A"/>
  </w:endnote>
  <w:endnote w:type="continuationSeparator" w:id="0">
    <w:p w14:paraId="5930C47E" w14:textId="77777777" w:rsidR="00703E9A" w:rsidRDefault="00703E9A">
      <w:r>
        <w:continuationSeparator/>
      </w:r>
    </w:p>
    <w:p w14:paraId="3EEEFE39" w14:textId="77777777" w:rsidR="00703E9A" w:rsidRDefault="00703E9A"/>
  </w:endnote>
  <w:endnote w:type="continuationNotice" w:id="1">
    <w:p w14:paraId="7D1B40D2" w14:textId="77777777" w:rsidR="00703E9A" w:rsidRDefault="0070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0E59" w14:textId="77777777" w:rsidR="008F65D5" w:rsidRDefault="008F6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D5F57">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D7D7" w14:textId="77777777" w:rsidR="008F65D5" w:rsidRDefault="008F65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EF10C" w14:textId="77777777" w:rsidR="00703E9A" w:rsidRDefault="00703E9A">
      <w:r>
        <w:separator/>
      </w:r>
    </w:p>
    <w:p w14:paraId="11D2549F" w14:textId="77777777" w:rsidR="00703E9A" w:rsidRDefault="00703E9A"/>
  </w:footnote>
  <w:footnote w:type="continuationSeparator" w:id="0">
    <w:p w14:paraId="5464E227" w14:textId="77777777" w:rsidR="00703E9A" w:rsidRDefault="00703E9A">
      <w:r>
        <w:continuationSeparator/>
      </w:r>
    </w:p>
    <w:p w14:paraId="3D44CE08" w14:textId="77777777" w:rsidR="00703E9A" w:rsidRDefault="00703E9A"/>
  </w:footnote>
  <w:footnote w:type="continuationNotice" w:id="1">
    <w:p w14:paraId="1C615F7F" w14:textId="77777777" w:rsidR="00703E9A" w:rsidRDefault="00703E9A"/>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DCD1" w14:textId="77777777" w:rsidR="008F65D5" w:rsidRDefault="008F6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811EDA" w:rsidRDefault="00811ED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30"/>
  </w:num>
  <w:num w:numId="5">
    <w:abstractNumId w:val="33"/>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7"/>
  </w:num>
  <w:num w:numId="15">
    <w:abstractNumId w:val="10"/>
  </w:num>
  <w:num w:numId="16">
    <w:abstractNumId w:val="2"/>
  </w:num>
  <w:num w:numId="17">
    <w:abstractNumId w:val="17"/>
  </w:num>
  <w:num w:numId="18">
    <w:abstractNumId w:val="18"/>
  </w:num>
  <w:num w:numId="19">
    <w:abstractNumId w:val="20"/>
  </w:num>
  <w:num w:numId="20">
    <w:abstractNumId w:val="34"/>
  </w:num>
  <w:num w:numId="21">
    <w:abstractNumId w:val="46"/>
  </w:num>
  <w:num w:numId="22">
    <w:abstractNumId w:val="32"/>
  </w:num>
  <w:num w:numId="23">
    <w:abstractNumId w:val="9"/>
  </w:num>
  <w:num w:numId="24">
    <w:abstractNumId w:val="38"/>
  </w:num>
  <w:num w:numId="25">
    <w:abstractNumId w:val="37"/>
  </w:num>
  <w:num w:numId="26">
    <w:abstractNumId w:val="23"/>
  </w:num>
  <w:num w:numId="27">
    <w:abstractNumId w:val="42"/>
  </w:num>
  <w:num w:numId="28">
    <w:abstractNumId w:val="48"/>
  </w:num>
  <w:num w:numId="29">
    <w:abstractNumId w:val="6"/>
  </w:num>
  <w:num w:numId="30">
    <w:abstractNumId w:val="3"/>
  </w:num>
  <w:num w:numId="31">
    <w:abstractNumId w:val="26"/>
  </w:num>
  <w:num w:numId="32">
    <w:abstractNumId w:val="24"/>
  </w:num>
  <w:num w:numId="33">
    <w:abstractNumId w:val="45"/>
  </w:num>
  <w:num w:numId="34">
    <w:abstractNumId w:val="44"/>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8"/>
  </w:num>
  <w:num w:numId="39">
    <w:abstractNumId w:val="15"/>
  </w:num>
  <w:num w:numId="40">
    <w:abstractNumId w:val="12"/>
  </w:num>
  <w:num w:numId="41">
    <w:abstractNumId w:val="21"/>
  </w:num>
  <w:num w:numId="42">
    <w:abstractNumId w:val="41"/>
  </w:num>
  <w:num w:numId="43">
    <w:abstractNumId w:val="31"/>
  </w:num>
  <w:num w:numId="44">
    <w:abstractNumId w:val="31"/>
    <w:lvlOverride w:ilvl="0">
      <w:startOverride w:val="1"/>
    </w:lvlOverride>
  </w:num>
  <w:num w:numId="45">
    <w:abstractNumId w:val="29"/>
  </w:num>
  <w:num w:numId="46">
    <w:abstractNumId w:val="8"/>
  </w:num>
  <w:num w:numId="47">
    <w:abstractNumId w:val="35"/>
  </w:num>
  <w:num w:numId="48">
    <w:abstractNumId w:val="0"/>
  </w:num>
  <w:num w:numId="49">
    <w:abstractNumId w:val="25"/>
  </w:num>
  <w:num w:numId="50">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40A"/>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622"/>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56E05"/>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14138"/>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23A8"/>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5F57"/>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purl.org/dc/terms/"/>
    <ds:schemaRef ds:uri="35c8e399-07b8-49e4-91bf-01a20105d4df"/>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05A11C7A-D03D-44ED-982C-42B9624E2963}">
  <ds:schemaRefs>
    <ds:schemaRef ds:uri="http://schemas.openxmlformats.org/officeDocument/2006/bibliography"/>
  </ds:schemaRefs>
</ds:datastoreItem>
</file>

<file path=customXml/itemProps6.xml><?xml version="1.0" encoding="utf-8"?>
<ds:datastoreItem xmlns:ds="http://schemas.openxmlformats.org/officeDocument/2006/customXml" ds:itemID="{A6B3297F-511A-4D2A-BF24-23A6CD71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3605</Words>
  <Characters>20818</Characters>
  <Application>Microsoft Office Word</Application>
  <DocSecurity>8</DocSecurity>
  <Lines>867</Lines>
  <Paragraphs>469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23954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Monique Schuilenburg</cp:lastModifiedBy>
  <cp:revision>6</cp:revision>
  <cp:lastPrinted>2015-02-18T11:01:00Z</cp:lastPrinted>
  <dcterms:created xsi:type="dcterms:W3CDTF">2020-09-01T07:26:00Z</dcterms:created>
  <dcterms:modified xsi:type="dcterms:W3CDTF">2020-09-01T08:11:00Z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