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berschrift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eastAsiaTheme="minorEastAsia" w:hAnsi="Arial" w:cs="Arial"/>
              <w:color w:val="818181"/>
              <w:sz w:val="20"/>
              <w:szCs w:val="20"/>
              <w:lang w:val="de-DE" w:eastAsia="en-US"/>
            </w:rPr>
            <w:id w:val="-1905066999"/>
            <w:text/>
          </w:sdtPr>
          <w:sdtEndPr/>
          <w:sdtContent>
            <w:tc>
              <w:tcPr>
                <w:tcW w:w="5595" w:type="dxa"/>
                <w:shd w:val="clear" w:color="auto" w:fill="auto"/>
              </w:tcPr>
              <w:p w14:paraId="59C2980F" w14:textId="1D0EA5DE" w:rsidR="00C85C8B" w:rsidRPr="00C85C8B" w:rsidRDefault="00FA0135" w:rsidP="00C85C8B">
                <w:pPr>
                  <w:rPr>
                    <w:rFonts w:ascii="Arial" w:hAnsi="Arial" w:cs="Arial"/>
                    <w:color w:val="808080"/>
                    <w:sz w:val="20"/>
                    <w:lang w:eastAsia="de-DE"/>
                  </w:rPr>
                </w:pPr>
                <w:r w:rsidRPr="00FA0135">
                  <w:rPr>
                    <w:rFonts w:ascii="Arial" w:eastAsiaTheme="minorEastAsia" w:hAnsi="Arial" w:cs="Arial"/>
                    <w:color w:val="818181"/>
                    <w:sz w:val="20"/>
                    <w:szCs w:val="20"/>
                    <w:lang w:val="de-DE" w:eastAsia="en-US"/>
                  </w:rPr>
                  <w:t>BVI German Fund Association</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025FD2C9" w:rsidR="00C85C8B" w:rsidRPr="00C85C8B" w:rsidRDefault="002C6ED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0135">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724F191D" w:rsidR="00C85C8B" w:rsidRPr="00C85C8B" w:rsidRDefault="00FA0135"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50E4B418" w:rsidR="00C85C8B" w:rsidRPr="00C85C8B" w:rsidRDefault="00FA0135" w:rsidP="00C85C8B">
                <w:pPr>
                  <w:rPr>
                    <w:rFonts w:ascii="Arial" w:hAnsi="Arial" w:cs="Arial"/>
                    <w:sz w:val="20"/>
                    <w:lang w:eastAsia="de-DE"/>
                  </w:rPr>
                </w:pPr>
                <w:r>
                  <w:rPr>
                    <w:rFonts w:ascii="Arial" w:hAnsi="Arial" w:cs="Arial"/>
                    <w:sz w:val="20"/>
                    <w:lang w:eastAsia="de-DE"/>
                  </w:rPr>
                  <w:t>Germany</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3A66321B" w:rsidR="00C85C8B" w:rsidRDefault="009F43B5" w:rsidP="00DD13EE">
      <w:pPr>
        <w:spacing w:line="276" w:lineRule="auto"/>
        <w:jc w:val="both"/>
        <w:rPr>
          <w:rFonts w:ascii="Arial" w:hAnsi="Arial" w:cs="Arial"/>
          <w:sz w:val="20"/>
        </w:rPr>
      </w:pPr>
      <w:permStart w:id="1853699001" w:edGrp="everyone"/>
      <w:r w:rsidRPr="00145A2F">
        <w:rPr>
          <w:rFonts w:ascii="Arial" w:hAnsi="Arial" w:cs="Arial"/>
          <w:sz w:val="20"/>
        </w:rPr>
        <w:t>The BVI</w:t>
      </w:r>
      <w:r w:rsidRPr="009F43B5">
        <w:rPr>
          <w:rFonts w:ascii="Arial" w:hAnsi="Arial" w:cs="Arial"/>
          <w:sz w:val="20"/>
          <w:vertAlign w:val="superscript"/>
        </w:rPr>
        <w:t>1</w:t>
      </w:r>
      <w:r w:rsidRPr="00145A2F">
        <w:rPr>
          <w:rFonts w:ascii="Arial" w:hAnsi="Arial" w:cs="Arial"/>
          <w:sz w:val="20"/>
        </w:rPr>
        <w:t xml:space="preserve"> gladly takes the opportunity to present its views on</w:t>
      </w:r>
      <w:r w:rsidR="00DD13EE">
        <w:rPr>
          <w:rFonts w:ascii="Arial" w:hAnsi="Arial" w:cs="Arial"/>
          <w:sz w:val="20"/>
        </w:rPr>
        <w:t xml:space="preserve"> </w:t>
      </w:r>
      <w:r w:rsidR="00DD13EE" w:rsidRPr="00DD13EE">
        <w:rPr>
          <w:rFonts w:ascii="Arial" w:hAnsi="Arial" w:cs="Arial"/>
          <w:sz w:val="20"/>
        </w:rPr>
        <w:t xml:space="preserve">ESMA’s Consultation </w:t>
      </w:r>
      <w:r w:rsidR="00660867">
        <w:rPr>
          <w:rFonts w:ascii="Arial" w:hAnsi="Arial" w:cs="Arial"/>
          <w:sz w:val="20"/>
        </w:rPr>
        <w:t>P</w:t>
      </w:r>
      <w:r w:rsidR="00DD13EE" w:rsidRPr="00DD13EE">
        <w:rPr>
          <w:rFonts w:ascii="Arial" w:hAnsi="Arial" w:cs="Arial"/>
          <w:sz w:val="20"/>
        </w:rPr>
        <w:t>aper on Draft Guidelines on Outsourcing to Cloud Service Providers (CSP)</w:t>
      </w:r>
      <w:r w:rsidR="00DD13EE">
        <w:rPr>
          <w:rFonts w:ascii="Arial" w:hAnsi="Arial" w:cs="Arial"/>
          <w:sz w:val="20"/>
        </w:rPr>
        <w:t>.</w:t>
      </w:r>
    </w:p>
    <w:p w14:paraId="15875429" w14:textId="77777777" w:rsidR="00DD13EE" w:rsidRPr="009B6069" w:rsidRDefault="00DD13EE" w:rsidP="00DD13EE">
      <w:pPr>
        <w:pStyle w:val="Standa1"/>
        <w:spacing w:after="0" w:line="288" w:lineRule="auto"/>
        <w:rPr>
          <w:rFonts w:ascii="Arial" w:hAnsi="Arial" w:cs="Arial"/>
          <w:color w:val="000000" w:themeColor="text1"/>
          <w:sz w:val="20"/>
          <w:lang w:val="en-GB"/>
        </w:rPr>
      </w:pPr>
      <w:r w:rsidRPr="009B6069">
        <w:rPr>
          <w:rFonts w:ascii="Arial" w:hAnsi="Arial" w:cs="Arial"/>
          <w:color w:val="000000" w:themeColor="text1"/>
          <w:sz w:val="20"/>
          <w:lang w:val="en-GB"/>
        </w:rPr>
        <w:t xml:space="preserve">The draft guidelines contain extensive requirements, especially regarding the register, due diligence / risk analysis, contract and notification obligations. Generally, we welcome that ESMA’s intention is to apply the principle </w:t>
      </w:r>
      <w:r>
        <w:rPr>
          <w:rFonts w:ascii="Arial" w:hAnsi="Arial" w:cs="Arial"/>
          <w:color w:val="000000" w:themeColor="text1"/>
          <w:sz w:val="20"/>
          <w:lang w:val="en-GB"/>
        </w:rPr>
        <w:t xml:space="preserve">of </w:t>
      </w:r>
      <w:r w:rsidRPr="009B6069">
        <w:rPr>
          <w:rFonts w:ascii="Arial" w:hAnsi="Arial" w:cs="Arial"/>
          <w:color w:val="000000" w:themeColor="text1"/>
          <w:sz w:val="20"/>
          <w:lang w:val="en-GB"/>
        </w:rPr>
        <w:t>proportionality. In this context, it is important that existing supervisory practices on outsourcing and CSP at national level are sufficiently taken into account to avoid overlapping regulation</w:t>
      </w:r>
      <w:r>
        <w:rPr>
          <w:rFonts w:ascii="Arial" w:hAnsi="Arial" w:cs="Arial"/>
          <w:color w:val="000000" w:themeColor="text1"/>
          <w:sz w:val="20"/>
          <w:lang w:val="en-GB"/>
        </w:rPr>
        <w:t xml:space="preserve"> (e.g. BaFin, o</w:t>
      </w:r>
      <w:r w:rsidRPr="00B73E3D">
        <w:rPr>
          <w:rFonts w:ascii="Arial" w:hAnsi="Arial" w:cs="Arial"/>
          <w:color w:val="000000" w:themeColor="text1"/>
          <w:sz w:val="20"/>
          <w:lang w:val="en-GB"/>
        </w:rPr>
        <w:t>rientation guide on outsourcing to cloud providers, https://www.bafin.de/SharedDocs/Downloads/DE/Merkblatt/BA/dl_181108_orientierungshilfe_zu_auslagerungen_an_cloud_anbieter_ba.pdf?__blob=publicationFile&amp;v=4</w:t>
      </w:r>
      <w:r>
        <w:rPr>
          <w:rFonts w:ascii="Arial" w:hAnsi="Arial" w:cs="Arial"/>
          <w:color w:val="000000" w:themeColor="text1"/>
          <w:sz w:val="20"/>
          <w:lang w:val="en-GB"/>
        </w:rPr>
        <w:t>)</w:t>
      </w:r>
      <w:r w:rsidRPr="009B6069">
        <w:rPr>
          <w:rFonts w:ascii="Arial" w:hAnsi="Arial" w:cs="Arial"/>
          <w:color w:val="000000" w:themeColor="text1"/>
          <w:sz w:val="20"/>
          <w:lang w:val="en-GB"/>
        </w:rPr>
        <w:t xml:space="preserve">. </w:t>
      </w:r>
    </w:p>
    <w:p w14:paraId="5E0CDF57" w14:textId="1CDAD56C" w:rsidR="009F43B5" w:rsidRPr="00C85C8B" w:rsidRDefault="009F43B5" w:rsidP="00C85C8B">
      <w:pPr>
        <w:spacing w:after="250" w:line="276" w:lineRule="auto"/>
        <w:jc w:val="both"/>
        <w:rPr>
          <w:rFonts w:ascii="Arial" w:eastAsiaTheme="minorEastAsia" w:hAnsi="Arial" w:cs="Arial"/>
          <w:sz w:val="22"/>
          <w:szCs w:val="20"/>
          <w:lang w:eastAsia="en-US"/>
        </w:rPr>
      </w:pPr>
      <w:r w:rsidRPr="009F43B5">
        <w:rPr>
          <w:rFonts w:ascii="Arial" w:eastAsiaTheme="minorEastAsia" w:hAnsi="Arial" w:cs="Arial"/>
          <w:sz w:val="22"/>
          <w:szCs w:val="20"/>
          <w:vertAlign w:val="superscript"/>
          <w:lang w:eastAsia="en-US"/>
        </w:rPr>
        <w:t>1</w:t>
      </w:r>
      <w:r w:rsidRPr="009F43B5">
        <w:rPr>
          <w:rFonts w:cs="Arial"/>
          <w:sz w:val="16"/>
          <w:szCs w:val="16"/>
          <w:lang w:val="en-US"/>
        </w:rPr>
        <w:t xml:space="preserve"> </w:t>
      </w:r>
      <w:r w:rsidRPr="00DD13EE">
        <w:rPr>
          <w:rFonts w:ascii="Arial" w:hAnsi="Arial" w:cs="Arial"/>
          <w:sz w:val="16"/>
          <w:szCs w:val="16"/>
          <w:lang w:val="en-US"/>
        </w:rPr>
        <w:t>BVI represents the interests of the German fund industry at national and international level. The association promotes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114 members manage assets more than 3 trillion euros for retail investors, insurance companies, pension and retirement schemes, banks, churches and foundations. With a share of 2</w:t>
      </w:r>
      <w:r w:rsidR="002C6ED5">
        <w:rPr>
          <w:rFonts w:ascii="Arial" w:hAnsi="Arial" w:cs="Arial"/>
          <w:sz w:val="16"/>
          <w:szCs w:val="16"/>
          <w:lang w:val="en-US"/>
        </w:rPr>
        <w:t>3</w:t>
      </w:r>
      <w:bookmarkStart w:id="2" w:name="_GoBack"/>
      <w:bookmarkEnd w:id="2"/>
      <w:r w:rsidRPr="00DD13EE">
        <w:rPr>
          <w:rFonts w:ascii="Arial" w:hAnsi="Arial" w:cs="Arial"/>
          <w:sz w:val="16"/>
          <w:szCs w:val="16"/>
          <w:lang w:val="en-US"/>
        </w:rPr>
        <w:t>%, Germany represents the largest fund market in the EU. BVI’s ID number in the EU Transparency Register is 96816064173-47. For more information, please visit www.bvi.de/en.</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lastRenderedPageBreak/>
        <w:t>&lt;ESMA_QUESTION_COGL_1&gt;</w:t>
      </w:r>
    </w:p>
    <w:p w14:paraId="6C99B6BE" w14:textId="77777777" w:rsidR="00E33392" w:rsidRDefault="00E33392" w:rsidP="00E33392">
      <w:pPr>
        <w:rPr>
          <w:rFonts w:ascii="Arial" w:hAnsi="Arial" w:cs="Arial"/>
        </w:rPr>
      </w:pPr>
      <w:permStart w:id="870130210" w:edGrp="everyone"/>
      <w:r>
        <w:rPr>
          <w:rFonts w:ascii="Arial" w:hAnsi="Arial" w:cs="Arial"/>
        </w:rPr>
        <w:t>TYPE YOUR TEXT HERE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41D8D561" w:rsidR="00E33392" w:rsidRPr="00883B70" w:rsidRDefault="00883B70" w:rsidP="00E33392">
      <w:pPr>
        <w:rPr>
          <w:rFonts w:ascii="Arial" w:hAnsi="Arial" w:cs="Arial"/>
        </w:rPr>
      </w:pPr>
      <w:permStart w:id="603860191" w:edGrp="everyone"/>
      <w:r w:rsidRPr="00883B70">
        <w:rPr>
          <w:rFonts w:ascii="Arial" w:eastAsia="Cambria" w:hAnsi="Arial" w:cs="Arial"/>
          <w:color w:val="000000" w:themeColor="text1"/>
          <w:sz w:val="20"/>
          <w:lang w:eastAsia="en-US"/>
        </w:rPr>
        <w:t>The register of information provides a comprehensive set of documentation on cloud outsourcing. However, regarding the scope we would like to note that the requirements for a cloud outsourcing register are particularly extensive and require process-related statements that might already be included in existing descriptions of processes such as "decision making body" or "date of the next planned risk assessment/audit" etc. It is important to avoid duplicate documentation obligations as these provide no additional value but increase the administrative burden.</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28A5F031" w:rsidR="00E33392" w:rsidRPr="00883B70" w:rsidRDefault="00883B70" w:rsidP="00E33392">
      <w:pPr>
        <w:rPr>
          <w:rFonts w:ascii="Arial" w:hAnsi="Arial" w:cs="Arial"/>
        </w:rPr>
      </w:pPr>
      <w:permStart w:id="1685610127" w:edGrp="everyone"/>
      <w:r w:rsidRPr="00883B70">
        <w:rPr>
          <w:rFonts w:ascii="Arial" w:eastAsia="Cambria" w:hAnsi="Arial" w:cs="Arial"/>
          <w:color w:val="000000" w:themeColor="text1"/>
          <w:sz w:val="20"/>
          <w:lang w:eastAsia="en-US"/>
        </w:rPr>
        <w:t xml:space="preserve">Yes, prior to outsourcing a pre-outsourcing analysis and due diligence should be undertaken. </w:t>
      </w:r>
      <w:r w:rsidRPr="00883B70">
        <w:rPr>
          <w:rFonts w:ascii="Arial" w:hAnsi="Arial" w:cs="Arial"/>
          <w:color w:val="000000" w:themeColor="text1"/>
          <w:sz w:val="20"/>
        </w:rPr>
        <w:t>However, with respect to the examination the requirement to assess local insolvency and enforcement law appears to be rather far-reaching. Furthermore, depending on the actual economic situation/insurance coverage of the outsourcing company, insolvency issues might in fact only play a minor role in the evaluation. If mandatory, expert opinions and related costs on this issue might therefore be disproportionate.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77777777" w:rsidR="00E33392" w:rsidRDefault="00E33392" w:rsidP="00E33392">
      <w:pPr>
        <w:rPr>
          <w:rFonts w:ascii="Arial" w:hAnsi="Arial" w:cs="Arial"/>
        </w:rPr>
      </w:pPr>
      <w:permStart w:id="792990084" w:edGrp="everyone"/>
      <w:r>
        <w:rPr>
          <w:rFonts w:ascii="Arial" w:hAnsi="Arial" w:cs="Arial"/>
        </w:rPr>
        <w:t>TYPE YOUR TEXT HERE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1F06C1AD" w:rsidR="00E33392" w:rsidRPr="00883B70" w:rsidRDefault="00883B70" w:rsidP="00E33392">
      <w:pPr>
        <w:rPr>
          <w:rFonts w:ascii="Arial" w:hAnsi="Arial" w:cs="Arial"/>
        </w:rPr>
      </w:pPr>
      <w:permStart w:id="1998543046" w:edGrp="everyone"/>
      <w:r w:rsidRPr="00883B70">
        <w:rPr>
          <w:rFonts w:ascii="Arial" w:eastAsia="Cambria" w:hAnsi="Arial" w:cs="Arial"/>
          <w:color w:val="000000" w:themeColor="text1"/>
          <w:sz w:val="20"/>
          <w:lang w:eastAsia="en-US"/>
        </w:rPr>
        <w:t>Yes, for planned and unplanned exits of cloud services there should be a plan. The exit assessment should be risk-based and demonstrate the feasibility of the plan. With regard to the testing of exit plans, we would like to note that some requirements of the exit strategy cannot be reasonably tested (such as the transfer to another CSP). We therefore recommend to allow for sub-sets of exit scenarios in the test.</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lastRenderedPageBreak/>
        <w:t>&lt;ESMA_QUESTION_COGL_7&gt;</w:t>
      </w:r>
    </w:p>
    <w:p w14:paraId="4493AAD0" w14:textId="77777777" w:rsidR="00E33392" w:rsidRDefault="00E33392" w:rsidP="00E33392">
      <w:pPr>
        <w:rPr>
          <w:rFonts w:ascii="Arial" w:hAnsi="Arial" w:cs="Arial"/>
        </w:rPr>
      </w:pPr>
      <w:permStart w:id="1893742938" w:edGrp="everyone"/>
      <w:r>
        <w:rPr>
          <w:rFonts w:ascii="Arial" w:hAnsi="Arial" w:cs="Arial"/>
        </w:rPr>
        <w:t>TYPE YOUR TEXT HERE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309BAFE0" w:rsidR="00E33392" w:rsidRDefault="00883B70" w:rsidP="00E33392">
      <w:pPr>
        <w:rPr>
          <w:rFonts w:ascii="Arial" w:hAnsi="Arial" w:cs="Arial"/>
        </w:rPr>
      </w:pPr>
      <w:permStart w:id="943999632" w:edGrp="everyone"/>
      <w:r w:rsidRPr="00C52AE4">
        <w:rPr>
          <w:rFonts w:ascii="Arial" w:hAnsi="Arial" w:cs="Arial"/>
          <w:sz w:val="20"/>
        </w:rPr>
        <w:t xml:space="preserve">While guidance on the notification requirements is generally helpful, </w:t>
      </w:r>
      <w:r>
        <w:rPr>
          <w:rFonts w:ascii="Arial" w:hAnsi="Arial" w:cs="Arial"/>
          <w:sz w:val="20"/>
        </w:rPr>
        <w:t xml:space="preserve">we believe that </w:t>
      </w:r>
      <w:r w:rsidRPr="00C52AE4">
        <w:rPr>
          <w:rFonts w:ascii="Arial" w:hAnsi="Arial" w:cs="Arial"/>
          <w:sz w:val="20"/>
        </w:rPr>
        <w:t>the level of detail of the notification to competent authorities should be reconsidered.</w:t>
      </w:r>
      <w:r>
        <w:rPr>
          <w:rFonts w:ascii="Arial" w:hAnsi="Arial" w:cs="Arial"/>
          <w:sz w:val="20"/>
        </w:rPr>
        <w:t xml:space="preserve"> </w:t>
      </w:r>
      <w:r w:rsidRPr="00C52AE4">
        <w:rPr>
          <w:rFonts w:ascii="Arial" w:hAnsi="Arial" w:cs="Arial"/>
          <w:sz w:val="20"/>
        </w:rPr>
        <w:t>Certain notification obligations will provide limited added value for supervisory authorities but cause</w:t>
      </w:r>
      <w:r>
        <w:rPr>
          <w:rFonts w:ascii="Arial" w:hAnsi="Arial" w:cs="Arial"/>
          <w:sz w:val="20"/>
        </w:rPr>
        <w:t xml:space="preserve"> </w:t>
      </w:r>
      <w:r w:rsidRPr="00C52AE4">
        <w:rPr>
          <w:rFonts w:ascii="Arial" w:hAnsi="Arial" w:cs="Arial"/>
          <w:sz w:val="20"/>
        </w:rPr>
        <w:t>an increased administrative burden (e.g. information re "next contractual renewal date", "notice periods for the CSP", "date of the most recent assessment of the criticality or importance</w:t>
      </w:r>
      <w:r w:rsidRPr="00DB0C28">
        <w:rPr>
          <w:rFonts w:ascii="Arial" w:hAnsi="Arial" w:cs="Arial"/>
          <w:sz w:val="20"/>
        </w:rPr>
        <w:t xml:space="preserve"> </w:t>
      </w:r>
      <w:r w:rsidRPr="00C52AE4">
        <w:rPr>
          <w:rFonts w:ascii="Arial" w:hAnsi="Arial" w:cs="Arial"/>
          <w:sz w:val="20"/>
        </w:rPr>
        <w:t>of the outsourced function" etc).</w:t>
      </w:r>
      <w:r>
        <w:rPr>
          <w:rFonts w:ascii="Arial" w:hAnsi="Arial" w:cs="Arial"/>
          <w:sz w:val="20"/>
        </w:rPr>
        <w:t xml:space="preserve"> Information on </w:t>
      </w:r>
      <w:r w:rsidRPr="00D26F54">
        <w:rPr>
          <w:rFonts w:ascii="Arial" w:hAnsi="Arial" w:cs="Arial"/>
          <w:sz w:val="20"/>
        </w:rPr>
        <w:t xml:space="preserve">outsourcing controlling </w:t>
      </w:r>
      <w:r>
        <w:rPr>
          <w:rFonts w:ascii="Arial" w:hAnsi="Arial" w:cs="Arial"/>
          <w:sz w:val="20"/>
        </w:rPr>
        <w:t>and random checks are</w:t>
      </w:r>
      <w:r w:rsidRPr="00D26F54">
        <w:rPr>
          <w:rFonts w:ascii="Arial" w:hAnsi="Arial" w:cs="Arial"/>
          <w:sz w:val="20"/>
        </w:rPr>
        <w:t xml:space="preserve"> regularly </w:t>
      </w:r>
      <w:r>
        <w:rPr>
          <w:rFonts w:ascii="Arial" w:hAnsi="Arial" w:cs="Arial"/>
          <w:sz w:val="20"/>
        </w:rPr>
        <w:t xml:space="preserve">included </w:t>
      </w:r>
      <w:r w:rsidRPr="00D26F54">
        <w:rPr>
          <w:rFonts w:ascii="Arial" w:hAnsi="Arial" w:cs="Arial"/>
          <w:sz w:val="20"/>
        </w:rPr>
        <w:t>in the annual audit reports</w:t>
      </w:r>
      <w:r>
        <w:rPr>
          <w:rFonts w:ascii="Arial" w:hAnsi="Arial" w:cs="Arial"/>
          <w:sz w:val="20"/>
        </w:rPr>
        <w:t xml:space="preserve"> and the </w:t>
      </w:r>
      <w:r w:rsidRPr="00D26F54">
        <w:rPr>
          <w:rFonts w:ascii="Arial" w:hAnsi="Arial" w:cs="Arial"/>
          <w:sz w:val="20"/>
        </w:rPr>
        <w:t xml:space="preserve">supervisory authority </w:t>
      </w:r>
      <w:r>
        <w:rPr>
          <w:rFonts w:ascii="Arial" w:hAnsi="Arial" w:cs="Arial"/>
          <w:sz w:val="20"/>
        </w:rPr>
        <w:t xml:space="preserve">may already review </w:t>
      </w:r>
      <w:r w:rsidRPr="00D26F54">
        <w:rPr>
          <w:rFonts w:ascii="Arial" w:hAnsi="Arial" w:cs="Arial"/>
          <w:sz w:val="20"/>
        </w:rPr>
        <w:t>controlling</w:t>
      </w:r>
      <w:r>
        <w:rPr>
          <w:rFonts w:ascii="Arial" w:hAnsi="Arial" w:cs="Arial"/>
          <w:sz w:val="20"/>
        </w:rPr>
        <w:t xml:space="preserve"> procedures.</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Kopfzeile"/>
    </w:pPr>
  </w:p>
  <w:p w14:paraId="4C660DBF"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Kopfzeile"/>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Kopfzeile"/>
      <w:jc w:val="right"/>
      <w:rPr>
        <w:color w:val="2F5496" w:themeColor="accent5" w:themeShade="BF"/>
        <w:sz w:val="20"/>
      </w:rPr>
    </w:pPr>
  </w:p>
  <w:p w14:paraId="7F71A825"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4D8"/>
    <w:rsid w:val="002A6C21"/>
    <w:rsid w:val="002A780E"/>
    <w:rsid w:val="002B144C"/>
    <w:rsid w:val="002B53F3"/>
    <w:rsid w:val="002C03FD"/>
    <w:rsid w:val="002C044D"/>
    <w:rsid w:val="002C1AA5"/>
    <w:rsid w:val="002C2A46"/>
    <w:rsid w:val="002C3048"/>
    <w:rsid w:val="002C6ED5"/>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0867"/>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26506"/>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3B7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035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43B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13EE"/>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0EC2"/>
    <w:rsid w:val="00F927B5"/>
    <w:rsid w:val="00F94BD0"/>
    <w:rsid w:val="00F95403"/>
    <w:rsid w:val="00F96705"/>
    <w:rsid w:val="00F96750"/>
    <w:rsid w:val="00F9704D"/>
    <w:rsid w:val="00FA0135"/>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1">
    <w:name w:val="Standa1"/>
    <w:uiPriority w:val="99"/>
    <w:rsid w:val="00DD13EE"/>
    <w:pPr>
      <w:spacing w:after="200" w:line="240" w:lineRule="auto"/>
    </w:pPr>
    <w:rPr>
      <w:rFonts w:ascii="Cambria" w:eastAsia="Cambria" w:hAnsi="Cambria"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B32D-1D6C-4FEC-883B-66709530BE9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090d947-cb5a-4e71-a094-4f979ca4aec0"/>
    <ds:schemaRef ds:uri="http://www.w3.org/XML/1998/namespace"/>
  </ds:schemaRefs>
</ds:datastoreItem>
</file>

<file path=customXml/itemProps2.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5.xml><?xml version="1.0" encoding="utf-8"?>
<ds:datastoreItem xmlns:ds="http://schemas.openxmlformats.org/officeDocument/2006/customXml" ds:itemID="{DC43B338-2250-4E9F-B84E-4F346387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1363</Words>
  <Characters>8593</Characters>
  <Application>Microsoft Office Word</Application>
  <DocSecurity>8</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2020-08-05T14:54:00Z</dcterms:created>
  <dcterms:modified xsi:type="dcterms:W3CDTF">2020-09-01T08:06:00Z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