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2"/>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2"/>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530C8338" w:rsidR="00B327E9" w:rsidRPr="00AB6D88" w:rsidRDefault="009D38DD" w:rsidP="00F136AD">
                <w:pPr>
                  <w:rPr>
                    <w:rStyle w:val="PlaceholderText"/>
                    <w:rFonts w:cs="Arial"/>
                  </w:rPr>
                </w:pPr>
                <w:r>
                  <w:rPr>
                    <w:rStyle w:val="PlaceholderText"/>
                    <w:rFonts w:cs="Arial"/>
                  </w:rPr>
                  <w:t xml:space="preserve">European Structured Investment Products Association </w:t>
                </w:r>
                <w:r w:rsidR="000A7C98">
                  <w:rPr>
                    <w:rStyle w:val="PlaceholderText"/>
                    <w:rFonts w:cs="Arial"/>
                  </w:rPr>
                  <w:t>(</w:t>
                </w:r>
                <w:r>
                  <w:rPr>
                    <w:rStyle w:val="PlaceholderText"/>
                    <w:rFonts w:cs="Arial"/>
                  </w:rPr>
                  <w:t>EUSIPA</w:t>
                </w:r>
                <w:r w:rsidR="000A7C98">
                  <w:rPr>
                    <w:rStyle w:val="PlaceholderText"/>
                    <w:rFonts w:cs="Arial"/>
                  </w:rPr>
                  <w: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F5A0FFD" w:rsidR="00B327E9" w:rsidRPr="00AB6D88" w:rsidRDefault="00DE3FE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D1C22">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8F83832" w:rsidR="00B327E9" w:rsidRPr="00AB6D88" w:rsidRDefault="00FC6AFD"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210D4C3" w:rsidR="00B327E9" w:rsidRPr="00AB6D88" w:rsidRDefault="003D1C22"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03911DEC" w14:textId="77777777" w:rsidR="003C63E5" w:rsidRDefault="003C63E5" w:rsidP="00B327E9">
      <w:permStart w:id="411981036" w:edGrp="everyone"/>
    </w:p>
    <w:p w14:paraId="66EEFC60" w14:textId="368BF92B" w:rsidR="00A0691D" w:rsidRDefault="00236991" w:rsidP="00FA431A">
      <w:pPr>
        <w:spacing w:line="276" w:lineRule="auto"/>
        <w:rPr>
          <w:color w:val="000000" w:themeColor="text1"/>
        </w:rPr>
      </w:pPr>
      <w:r w:rsidRPr="00B92B63">
        <w:rPr>
          <w:color w:val="000000" w:themeColor="text1"/>
        </w:rPr>
        <w:t>EUSIPA, the European Structured Investment Products Assoc</w:t>
      </w:r>
      <w:r w:rsidR="00752340" w:rsidRPr="00B92B63">
        <w:rPr>
          <w:color w:val="000000" w:themeColor="text1"/>
        </w:rPr>
        <w:t>i</w:t>
      </w:r>
      <w:r w:rsidRPr="00B92B63">
        <w:rPr>
          <w:color w:val="000000" w:themeColor="text1"/>
        </w:rPr>
        <w:t xml:space="preserve">ation bundling the voice of issuers of structured products </w:t>
      </w:r>
      <w:r w:rsidR="00850D43" w:rsidRPr="00B92B63">
        <w:rPr>
          <w:color w:val="000000" w:themeColor="text1"/>
        </w:rPr>
        <w:t>active in the European Union</w:t>
      </w:r>
      <w:r w:rsidR="00A0691D">
        <w:rPr>
          <w:color w:val="000000" w:themeColor="text1"/>
        </w:rPr>
        <w:t xml:space="preserve"> and originating from the EU</w:t>
      </w:r>
      <w:r w:rsidR="00E01605">
        <w:rPr>
          <w:color w:val="000000" w:themeColor="text1"/>
        </w:rPr>
        <w:t>, UK and Switzerland</w:t>
      </w:r>
      <w:r w:rsidR="00850D43" w:rsidRPr="00B92B63">
        <w:rPr>
          <w:color w:val="000000" w:themeColor="text1"/>
        </w:rPr>
        <w:t xml:space="preserve">, </w:t>
      </w:r>
      <w:r w:rsidR="008C370D" w:rsidRPr="00B92B63">
        <w:rPr>
          <w:color w:val="000000" w:themeColor="text1"/>
        </w:rPr>
        <w:t xml:space="preserve">takes the opportunity of this consultation to </w:t>
      </w:r>
      <w:r w:rsidR="00752340" w:rsidRPr="00B92B63">
        <w:rPr>
          <w:color w:val="000000" w:themeColor="text1"/>
        </w:rPr>
        <w:t xml:space="preserve">voice its </w:t>
      </w:r>
      <w:r w:rsidR="006C34F3">
        <w:rPr>
          <w:color w:val="000000" w:themeColor="text1"/>
        </w:rPr>
        <w:t xml:space="preserve">pressing </w:t>
      </w:r>
      <w:r w:rsidR="00752340" w:rsidRPr="00B92B63">
        <w:rPr>
          <w:color w:val="000000" w:themeColor="text1"/>
        </w:rPr>
        <w:t xml:space="preserve">concerns with regard to the emergence of a level playing field for ESG </w:t>
      </w:r>
      <w:r w:rsidR="00DF7B73" w:rsidRPr="00B92B63">
        <w:rPr>
          <w:color w:val="000000" w:themeColor="text1"/>
        </w:rPr>
        <w:t xml:space="preserve">financial </w:t>
      </w:r>
      <w:r w:rsidR="00752340" w:rsidRPr="00B92B63">
        <w:rPr>
          <w:color w:val="000000" w:themeColor="text1"/>
        </w:rPr>
        <w:t>products</w:t>
      </w:r>
      <w:r w:rsidR="00DF7B73" w:rsidRPr="00B92B63">
        <w:rPr>
          <w:color w:val="000000" w:themeColor="text1"/>
        </w:rPr>
        <w:t>.</w:t>
      </w:r>
    </w:p>
    <w:p w14:paraId="282FCD32" w14:textId="7F58AE79" w:rsidR="003C63E5" w:rsidRPr="00B92B63" w:rsidRDefault="00DF7B73" w:rsidP="00FA431A">
      <w:pPr>
        <w:spacing w:line="276" w:lineRule="auto"/>
        <w:rPr>
          <w:color w:val="000000" w:themeColor="text1"/>
        </w:rPr>
      </w:pPr>
      <w:r w:rsidRPr="00B92B63">
        <w:rPr>
          <w:color w:val="000000" w:themeColor="text1"/>
        </w:rPr>
        <w:t xml:space="preserve">As </w:t>
      </w:r>
      <w:r w:rsidR="006C34F3">
        <w:rPr>
          <w:color w:val="000000" w:themeColor="text1"/>
        </w:rPr>
        <w:t>such level playing field</w:t>
      </w:r>
      <w:r w:rsidRPr="00B92B63">
        <w:rPr>
          <w:color w:val="000000" w:themeColor="text1"/>
        </w:rPr>
        <w:t xml:space="preserve"> necessitate</w:t>
      </w:r>
      <w:r w:rsidR="00CB21DB" w:rsidRPr="00B92B63">
        <w:rPr>
          <w:color w:val="000000" w:themeColor="text1"/>
        </w:rPr>
        <w:t>s</w:t>
      </w:r>
      <w:r w:rsidRPr="00B92B63">
        <w:rPr>
          <w:color w:val="000000" w:themeColor="text1"/>
        </w:rPr>
        <w:t xml:space="preserve"> the adequate and full consideration of </w:t>
      </w:r>
      <w:r w:rsidR="00CB21DB" w:rsidRPr="00B92B63">
        <w:rPr>
          <w:color w:val="000000" w:themeColor="text1"/>
        </w:rPr>
        <w:t>all products which enhance, support or implement ESG investment strategies, the absence of s</w:t>
      </w:r>
      <w:r w:rsidR="00D52164" w:rsidRPr="00B92B63">
        <w:rPr>
          <w:color w:val="000000" w:themeColor="text1"/>
        </w:rPr>
        <w:t xml:space="preserve">ome asset classes/product formats from </w:t>
      </w:r>
      <w:r w:rsidR="0071224C" w:rsidRPr="00B92B63">
        <w:rPr>
          <w:color w:val="000000" w:themeColor="text1"/>
        </w:rPr>
        <w:t xml:space="preserve">upcoming </w:t>
      </w:r>
      <w:r w:rsidR="00D52164" w:rsidRPr="00B92B63">
        <w:rPr>
          <w:color w:val="000000" w:themeColor="text1"/>
        </w:rPr>
        <w:t xml:space="preserve">regulatory </w:t>
      </w:r>
      <w:r w:rsidR="00A47A86" w:rsidRPr="00B92B63">
        <w:rPr>
          <w:color w:val="000000" w:themeColor="text1"/>
        </w:rPr>
        <w:t>rule</w:t>
      </w:r>
      <w:r w:rsidR="003F49FD" w:rsidRPr="00B92B63">
        <w:rPr>
          <w:color w:val="000000" w:themeColor="text1"/>
        </w:rPr>
        <w:t>s</w:t>
      </w:r>
      <w:r w:rsidR="00A47A86" w:rsidRPr="00B92B63">
        <w:rPr>
          <w:color w:val="000000" w:themeColor="text1"/>
        </w:rPr>
        <w:t>, such as the SFDR</w:t>
      </w:r>
      <w:r w:rsidR="00CC7ADA" w:rsidRPr="00B92B63">
        <w:rPr>
          <w:color w:val="000000" w:themeColor="text1"/>
        </w:rPr>
        <w:t xml:space="preserve"> </w:t>
      </w:r>
      <w:r w:rsidR="0071224C" w:rsidRPr="00B92B63">
        <w:rPr>
          <w:color w:val="000000" w:themeColor="text1"/>
        </w:rPr>
        <w:t xml:space="preserve">and its </w:t>
      </w:r>
      <w:r w:rsidR="00A47A86" w:rsidRPr="00B92B63">
        <w:rPr>
          <w:color w:val="000000" w:themeColor="text1"/>
        </w:rPr>
        <w:t>R</w:t>
      </w:r>
      <w:r w:rsidR="003F49FD" w:rsidRPr="00B92B63">
        <w:rPr>
          <w:color w:val="000000" w:themeColor="text1"/>
        </w:rPr>
        <w:t xml:space="preserve">egulatory </w:t>
      </w:r>
      <w:r w:rsidR="00A47A86" w:rsidRPr="00B92B63">
        <w:rPr>
          <w:color w:val="000000" w:themeColor="text1"/>
        </w:rPr>
        <w:t>T</w:t>
      </w:r>
      <w:r w:rsidR="003F49FD" w:rsidRPr="00B92B63">
        <w:rPr>
          <w:color w:val="000000" w:themeColor="text1"/>
        </w:rPr>
        <w:t xml:space="preserve">echnical </w:t>
      </w:r>
      <w:r w:rsidR="00A47A86" w:rsidRPr="00B92B63">
        <w:rPr>
          <w:color w:val="000000" w:themeColor="text1"/>
        </w:rPr>
        <w:t>S</w:t>
      </w:r>
      <w:r w:rsidR="003F49FD" w:rsidRPr="00B92B63">
        <w:rPr>
          <w:color w:val="000000" w:themeColor="text1"/>
        </w:rPr>
        <w:t>tandards</w:t>
      </w:r>
      <w:r w:rsidR="00A47A86" w:rsidRPr="00B92B63">
        <w:rPr>
          <w:color w:val="000000" w:themeColor="text1"/>
        </w:rPr>
        <w:t>,</w:t>
      </w:r>
      <w:r w:rsidR="00D52164" w:rsidRPr="00B92B63">
        <w:rPr>
          <w:color w:val="000000" w:themeColor="text1"/>
        </w:rPr>
        <w:t xml:space="preserve"> is highly worrisome. </w:t>
      </w:r>
      <w:r w:rsidR="00D92461" w:rsidRPr="00B92B63">
        <w:rPr>
          <w:color w:val="000000" w:themeColor="text1"/>
        </w:rPr>
        <w:t xml:space="preserve">This applies </w:t>
      </w:r>
      <w:proofErr w:type="gramStart"/>
      <w:r w:rsidR="00CE4E8E" w:rsidRPr="00B92B63">
        <w:rPr>
          <w:color w:val="000000" w:themeColor="text1"/>
        </w:rPr>
        <w:t>in particular</w:t>
      </w:r>
      <w:r w:rsidR="00D92461" w:rsidRPr="00B92B63">
        <w:rPr>
          <w:color w:val="000000" w:themeColor="text1"/>
        </w:rPr>
        <w:t xml:space="preserve"> </w:t>
      </w:r>
      <w:r w:rsidR="00007DA1" w:rsidRPr="00007DA1">
        <w:rPr>
          <w:color w:val="000000" w:themeColor="text1"/>
        </w:rPr>
        <w:t>to</w:t>
      </w:r>
      <w:proofErr w:type="gramEnd"/>
      <w:r w:rsidR="00D92461" w:rsidRPr="00B92B63">
        <w:rPr>
          <w:b/>
          <w:bCs/>
          <w:color w:val="000000" w:themeColor="text1"/>
        </w:rPr>
        <w:t xml:space="preserve"> the absence of Structured Products</w:t>
      </w:r>
      <w:r w:rsidR="00CC7ADA" w:rsidRPr="00B92B63">
        <w:rPr>
          <w:b/>
          <w:bCs/>
          <w:color w:val="000000" w:themeColor="text1"/>
        </w:rPr>
        <w:t xml:space="preserve"> </w:t>
      </w:r>
      <w:r w:rsidR="00CE4E8E" w:rsidRPr="00B92B63">
        <w:rPr>
          <w:b/>
          <w:bCs/>
          <w:color w:val="000000" w:themeColor="text1"/>
        </w:rPr>
        <w:t xml:space="preserve">from the regulatory inclusion </w:t>
      </w:r>
      <w:r w:rsidR="003F49FD" w:rsidRPr="00B92B63">
        <w:rPr>
          <w:b/>
          <w:bCs/>
          <w:color w:val="000000" w:themeColor="text1"/>
        </w:rPr>
        <w:t xml:space="preserve">in before rulesets </w:t>
      </w:r>
      <w:r w:rsidR="00CC7ADA" w:rsidRPr="00B92B63">
        <w:rPr>
          <w:b/>
          <w:bCs/>
          <w:color w:val="000000" w:themeColor="text1"/>
        </w:rPr>
        <w:t>for which there is</w:t>
      </w:r>
      <w:r w:rsidR="00DA16CC" w:rsidRPr="00B92B63">
        <w:rPr>
          <w:b/>
          <w:bCs/>
          <w:color w:val="000000" w:themeColor="text1"/>
        </w:rPr>
        <w:t xml:space="preserve"> no political or technical justificatio</w:t>
      </w:r>
      <w:r w:rsidR="005E270C" w:rsidRPr="00B92B63">
        <w:rPr>
          <w:b/>
          <w:bCs/>
          <w:color w:val="000000" w:themeColor="text1"/>
        </w:rPr>
        <w:t>n</w:t>
      </w:r>
      <w:r w:rsidR="003C63E5" w:rsidRPr="00B92B63">
        <w:rPr>
          <w:color w:val="000000" w:themeColor="text1"/>
        </w:rPr>
        <w:t>.</w:t>
      </w:r>
    </w:p>
    <w:p w14:paraId="418FE2F7" w14:textId="77777777" w:rsidR="003C63E5" w:rsidRPr="00B92B63" w:rsidRDefault="003C63E5" w:rsidP="00B327E9">
      <w:pPr>
        <w:rPr>
          <w:color w:val="000000" w:themeColor="text1"/>
        </w:rPr>
      </w:pPr>
    </w:p>
    <w:p w14:paraId="72A86EA1" w14:textId="77777777" w:rsidR="003C63E5" w:rsidRPr="003C63E5" w:rsidRDefault="003C63E5" w:rsidP="003C63E5">
      <w:pPr>
        <w:rPr>
          <w:color w:val="000000" w:themeColor="text1"/>
        </w:rPr>
      </w:pPr>
    </w:p>
    <w:p w14:paraId="42A90BC0" w14:textId="19CBFB68" w:rsidR="003C63E5" w:rsidRPr="00B92B63" w:rsidRDefault="003C63E5" w:rsidP="003C63E5">
      <w:pPr>
        <w:spacing w:line="276" w:lineRule="auto"/>
        <w:rPr>
          <w:rFonts w:cstheme="minorHAnsi"/>
          <w:bCs/>
          <w:color w:val="000000" w:themeColor="text1"/>
        </w:rPr>
      </w:pPr>
      <w:r w:rsidRPr="003C63E5">
        <w:rPr>
          <w:rFonts w:cstheme="minorHAnsi"/>
          <w:bCs/>
          <w:color w:val="000000" w:themeColor="text1"/>
        </w:rPr>
        <w:t>To avoid any misunderstanding, EUSIPA wishes to clarify that we are aware of the current consultation dealing (only) with the implementation</w:t>
      </w:r>
      <w:r w:rsidR="00007DA1">
        <w:rPr>
          <w:rFonts w:cstheme="minorHAnsi"/>
          <w:bCs/>
          <w:color w:val="000000" w:themeColor="text1"/>
        </w:rPr>
        <w:t xml:space="preserve"> (RTS)</w:t>
      </w:r>
      <w:r w:rsidRPr="003C63E5">
        <w:rPr>
          <w:rFonts w:cstheme="minorHAnsi"/>
          <w:bCs/>
          <w:color w:val="000000" w:themeColor="text1"/>
        </w:rPr>
        <w:t xml:space="preserve"> level of the SFDR. Nonetheless we would like to mark up our concerns linked to the limited scope of the SFDR on the legislative level (1)</w:t>
      </w:r>
      <w:r w:rsidR="00692098" w:rsidRPr="00B92B63">
        <w:rPr>
          <w:rFonts w:cstheme="minorHAnsi"/>
          <w:bCs/>
          <w:color w:val="000000" w:themeColor="text1"/>
        </w:rPr>
        <w:t xml:space="preserve"> </w:t>
      </w:r>
      <w:r w:rsidR="00E21807" w:rsidRPr="00B92B63">
        <w:rPr>
          <w:rFonts w:cstheme="minorHAnsi"/>
          <w:bCs/>
          <w:color w:val="000000" w:themeColor="text1"/>
        </w:rPr>
        <w:t xml:space="preserve">which has a perpetuating effect through </w:t>
      </w:r>
      <w:r w:rsidR="00E27EA4">
        <w:rPr>
          <w:rFonts w:cstheme="minorHAnsi"/>
          <w:bCs/>
          <w:color w:val="000000" w:themeColor="text1"/>
        </w:rPr>
        <w:t>its</w:t>
      </w:r>
      <w:r w:rsidR="00E21807" w:rsidRPr="00B92B63">
        <w:rPr>
          <w:rFonts w:cstheme="minorHAnsi"/>
          <w:bCs/>
          <w:color w:val="000000" w:themeColor="text1"/>
        </w:rPr>
        <w:t xml:space="preserve"> RTS</w:t>
      </w:r>
      <w:r w:rsidRPr="003C63E5">
        <w:rPr>
          <w:rFonts w:cstheme="minorHAnsi"/>
          <w:bCs/>
          <w:color w:val="000000" w:themeColor="text1"/>
        </w:rPr>
        <w:t xml:space="preserve">. Given that the SFDR’s regulatory subject (disclosure of ESG product aspects and investment policies) is of paramount importance to the dynamically growing ESG landscape, the potentially highly negative impact of an incomplete ruleset, such as the SFDR in its current format, on the emergence of a level playing field cannot be overstated. This effect hits </w:t>
      </w:r>
      <w:proofErr w:type="gramStart"/>
      <w:r w:rsidRPr="003C63E5">
        <w:rPr>
          <w:rFonts w:cstheme="minorHAnsi"/>
          <w:bCs/>
          <w:color w:val="000000" w:themeColor="text1"/>
        </w:rPr>
        <w:t>in particular the</w:t>
      </w:r>
      <w:proofErr w:type="gramEnd"/>
      <w:r w:rsidRPr="003C63E5">
        <w:rPr>
          <w:rFonts w:cstheme="minorHAnsi"/>
          <w:bCs/>
          <w:color w:val="000000" w:themeColor="text1"/>
        </w:rPr>
        <w:t xml:space="preserve"> ESG product distribution to retail investors. </w:t>
      </w:r>
      <w:r w:rsidR="00BA49C5" w:rsidRPr="00B92B63">
        <w:rPr>
          <w:rFonts w:cstheme="minorHAnsi"/>
          <w:bCs/>
          <w:color w:val="000000" w:themeColor="text1"/>
        </w:rPr>
        <w:t>As we demonstrate below</w:t>
      </w:r>
      <w:r w:rsidR="000A240A" w:rsidRPr="00B92B63">
        <w:rPr>
          <w:rFonts w:cstheme="minorHAnsi"/>
          <w:bCs/>
          <w:color w:val="000000" w:themeColor="text1"/>
        </w:rPr>
        <w:t xml:space="preserve">, </w:t>
      </w:r>
      <w:r w:rsidR="00BA49C5" w:rsidRPr="00B92B63">
        <w:rPr>
          <w:rFonts w:cstheme="minorHAnsi"/>
          <w:bCs/>
          <w:color w:val="000000" w:themeColor="text1"/>
        </w:rPr>
        <w:t>p</w:t>
      </w:r>
      <w:r w:rsidRPr="003C63E5">
        <w:rPr>
          <w:rFonts w:cstheme="minorHAnsi"/>
          <w:bCs/>
          <w:color w:val="000000" w:themeColor="text1"/>
        </w:rPr>
        <w:t xml:space="preserve">roducts which are out of scope of the SFDR run the danger not to be offered anymore to </w:t>
      </w:r>
      <w:r w:rsidR="00A72F9B" w:rsidRPr="00B92B63">
        <w:rPr>
          <w:rFonts w:cstheme="minorHAnsi"/>
          <w:bCs/>
          <w:color w:val="000000" w:themeColor="text1"/>
        </w:rPr>
        <w:t xml:space="preserve">retail </w:t>
      </w:r>
      <w:r w:rsidRPr="003C63E5">
        <w:rPr>
          <w:rFonts w:cstheme="minorHAnsi"/>
          <w:bCs/>
          <w:color w:val="000000" w:themeColor="text1"/>
        </w:rPr>
        <w:t xml:space="preserve">investors, thus impacting the landscape of available investment solutions in a way that </w:t>
      </w:r>
      <w:r w:rsidR="00970354" w:rsidRPr="00B92B63">
        <w:rPr>
          <w:rFonts w:cstheme="minorHAnsi"/>
          <w:bCs/>
          <w:color w:val="000000" w:themeColor="text1"/>
        </w:rPr>
        <w:t xml:space="preserve">ESG-focused </w:t>
      </w:r>
      <w:r w:rsidRPr="003C63E5">
        <w:rPr>
          <w:rFonts w:cstheme="minorHAnsi"/>
          <w:bCs/>
          <w:color w:val="000000" w:themeColor="text1"/>
        </w:rPr>
        <w:t xml:space="preserve">retail investors in the EU are put a competitive disadvantage compared to their peers in highly developed neighbouring capital markets as Switzerland and the UK, as well as on the global level. </w:t>
      </w:r>
    </w:p>
    <w:p w14:paraId="05A46B2C" w14:textId="77777777" w:rsidR="00D124CC" w:rsidRPr="003C63E5" w:rsidRDefault="00D124CC" w:rsidP="003C63E5">
      <w:pPr>
        <w:spacing w:line="276" w:lineRule="auto"/>
        <w:rPr>
          <w:color w:val="000000" w:themeColor="text1"/>
        </w:rPr>
      </w:pPr>
    </w:p>
    <w:p w14:paraId="72E69D19" w14:textId="268516B1" w:rsidR="00D124CC" w:rsidRPr="00B92B63" w:rsidRDefault="00D124CC" w:rsidP="001C7862">
      <w:pPr>
        <w:spacing w:line="276" w:lineRule="auto"/>
        <w:rPr>
          <w:color w:val="000000" w:themeColor="text1"/>
        </w:rPr>
      </w:pPr>
      <w:r w:rsidRPr="00B92B63">
        <w:rPr>
          <w:color w:val="000000" w:themeColor="text1"/>
        </w:rPr>
        <w:t xml:space="preserve">Structured Products belong to the </w:t>
      </w:r>
      <w:r w:rsidRPr="003C63E5">
        <w:rPr>
          <w:color w:val="000000" w:themeColor="text1"/>
        </w:rPr>
        <w:t xml:space="preserve">type of products financial market participants </w:t>
      </w:r>
      <w:r w:rsidRPr="00B92B63">
        <w:rPr>
          <w:color w:val="000000" w:themeColor="text1"/>
        </w:rPr>
        <w:t xml:space="preserve">frequently </w:t>
      </w:r>
      <w:r w:rsidRPr="003C63E5">
        <w:rPr>
          <w:color w:val="000000" w:themeColor="text1"/>
        </w:rPr>
        <w:t>make available</w:t>
      </w:r>
      <w:r w:rsidRPr="00B92B63">
        <w:rPr>
          <w:color w:val="000000" w:themeColor="text1"/>
        </w:rPr>
        <w:t xml:space="preserve"> for ESG investment purposes. Their components can be evaluated on </w:t>
      </w:r>
      <w:r w:rsidR="00140E5C" w:rsidRPr="00B92B63">
        <w:rPr>
          <w:color w:val="000000" w:themeColor="text1"/>
        </w:rPr>
        <w:t xml:space="preserve">their </w:t>
      </w:r>
      <w:r w:rsidRPr="00B92B63">
        <w:rPr>
          <w:color w:val="000000" w:themeColor="text1"/>
        </w:rPr>
        <w:t xml:space="preserve">ESG quality and the result, </w:t>
      </w:r>
      <w:r w:rsidR="00507B43" w:rsidRPr="00B92B63">
        <w:rPr>
          <w:color w:val="000000" w:themeColor="text1"/>
        </w:rPr>
        <w:t>assessing</w:t>
      </w:r>
      <w:r w:rsidRPr="00B92B63">
        <w:rPr>
          <w:color w:val="000000" w:themeColor="text1"/>
        </w:rPr>
        <w:t xml:space="preserve"> the ESG qualification of the Structured Product</w:t>
      </w:r>
      <w:r w:rsidR="00EC07F1" w:rsidRPr="00B92B63">
        <w:rPr>
          <w:color w:val="000000" w:themeColor="text1"/>
        </w:rPr>
        <w:t xml:space="preserve"> as such</w:t>
      </w:r>
      <w:r w:rsidRPr="00B92B63">
        <w:rPr>
          <w:color w:val="000000" w:themeColor="text1"/>
        </w:rPr>
        <w:t xml:space="preserve">, </w:t>
      </w:r>
      <w:r w:rsidR="00EC07F1" w:rsidRPr="00B92B63">
        <w:rPr>
          <w:color w:val="000000" w:themeColor="text1"/>
        </w:rPr>
        <w:t>c</w:t>
      </w:r>
      <w:r w:rsidR="00506858" w:rsidRPr="00B92B63">
        <w:rPr>
          <w:color w:val="000000" w:themeColor="text1"/>
        </w:rPr>
        <w:t>ould theoretically</w:t>
      </w:r>
      <w:r w:rsidR="00EC07F1" w:rsidRPr="00B92B63">
        <w:rPr>
          <w:color w:val="000000" w:themeColor="text1"/>
        </w:rPr>
        <w:t xml:space="preserve"> </w:t>
      </w:r>
      <w:r w:rsidRPr="00B92B63">
        <w:rPr>
          <w:color w:val="000000" w:themeColor="text1"/>
        </w:rPr>
        <w:t xml:space="preserve">be disclosed in line with the </w:t>
      </w:r>
      <w:r w:rsidR="00140E5C" w:rsidRPr="00B92B63">
        <w:rPr>
          <w:color w:val="000000" w:themeColor="text1"/>
        </w:rPr>
        <w:t xml:space="preserve">SFDR </w:t>
      </w:r>
      <w:r w:rsidR="00506858" w:rsidRPr="00B92B63">
        <w:rPr>
          <w:color w:val="000000" w:themeColor="text1"/>
        </w:rPr>
        <w:t xml:space="preserve">(RTS) </w:t>
      </w:r>
      <w:r w:rsidR="00140E5C" w:rsidRPr="00B92B63">
        <w:rPr>
          <w:color w:val="000000" w:themeColor="text1"/>
        </w:rPr>
        <w:t>requirements</w:t>
      </w:r>
      <w:r w:rsidRPr="003C63E5">
        <w:rPr>
          <w:color w:val="000000" w:themeColor="text1"/>
        </w:rPr>
        <w:t>.</w:t>
      </w:r>
      <w:r w:rsidR="00123BE0">
        <w:rPr>
          <w:color w:val="000000" w:themeColor="text1"/>
        </w:rPr>
        <w:t xml:space="preserve"> Their exclusion from the SFDR</w:t>
      </w:r>
      <w:r w:rsidR="00BF087E">
        <w:rPr>
          <w:color w:val="000000" w:themeColor="text1"/>
        </w:rPr>
        <w:t>’s scope</w:t>
      </w:r>
      <w:r w:rsidR="00123BE0">
        <w:rPr>
          <w:color w:val="000000" w:themeColor="text1"/>
        </w:rPr>
        <w:t xml:space="preserve"> </w:t>
      </w:r>
      <w:r w:rsidR="00BF087E">
        <w:rPr>
          <w:color w:val="000000" w:themeColor="text1"/>
        </w:rPr>
        <w:t xml:space="preserve">is thus neither politically nor technically justified and </w:t>
      </w:r>
      <w:r w:rsidR="00123BE0">
        <w:rPr>
          <w:color w:val="000000" w:themeColor="text1"/>
        </w:rPr>
        <w:t>should be reconsidered and changed</w:t>
      </w:r>
      <w:r w:rsidR="00BF087E">
        <w:rPr>
          <w:color w:val="000000" w:themeColor="text1"/>
        </w:rPr>
        <w:t>.</w:t>
      </w:r>
    </w:p>
    <w:p w14:paraId="6FFF9A37" w14:textId="3BCC1F79" w:rsidR="00755724" w:rsidRPr="00B92B63" w:rsidRDefault="00755724" w:rsidP="00D124CC">
      <w:pPr>
        <w:rPr>
          <w:color w:val="000000" w:themeColor="text1"/>
        </w:rPr>
      </w:pPr>
    </w:p>
    <w:p w14:paraId="20E04997" w14:textId="6AB62BC4" w:rsidR="00755724" w:rsidRPr="003C63E5" w:rsidRDefault="0017636E" w:rsidP="00D124CC">
      <w:pPr>
        <w:rPr>
          <w:color w:val="000000" w:themeColor="text1"/>
        </w:rPr>
      </w:pPr>
      <w:r w:rsidRPr="00B92B63">
        <w:rPr>
          <w:color w:val="000000" w:themeColor="text1"/>
        </w:rPr>
        <w:t xml:space="preserve">1. </w:t>
      </w:r>
      <w:r w:rsidR="00B41841" w:rsidRPr="00B92B63">
        <w:rPr>
          <w:color w:val="000000" w:themeColor="text1"/>
        </w:rPr>
        <w:t>G</w:t>
      </w:r>
      <w:r w:rsidR="00755724" w:rsidRPr="00B92B63">
        <w:rPr>
          <w:color w:val="000000" w:themeColor="text1"/>
        </w:rPr>
        <w:t>eneral comments on Structured Products</w:t>
      </w:r>
    </w:p>
    <w:p w14:paraId="6A34A8ED" w14:textId="77777777" w:rsidR="003C63E5" w:rsidRPr="003C63E5" w:rsidRDefault="003C63E5" w:rsidP="003C63E5">
      <w:pPr>
        <w:rPr>
          <w:color w:val="000000" w:themeColor="text1"/>
        </w:rPr>
      </w:pPr>
    </w:p>
    <w:p w14:paraId="014186AF" w14:textId="0BB6887F" w:rsidR="003C63E5" w:rsidRPr="003C63E5" w:rsidRDefault="003C63E5" w:rsidP="003C63E5">
      <w:pPr>
        <w:spacing w:line="276" w:lineRule="auto"/>
        <w:rPr>
          <w:rFonts w:cstheme="minorHAnsi"/>
          <w:color w:val="000000" w:themeColor="text1"/>
        </w:rPr>
      </w:pPr>
      <w:r w:rsidRPr="003C63E5">
        <w:rPr>
          <w:rFonts w:cstheme="minorHAnsi"/>
          <w:color w:val="000000" w:themeColor="text1"/>
        </w:rPr>
        <w:t xml:space="preserve">Structured Products have become an important part of the global investment landscape for the last decades. They are issued by financial institutions and exist in various formats (mostly notes, funds, insurance </w:t>
      </w:r>
      <w:r w:rsidRPr="003C63E5">
        <w:rPr>
          <w:rFonts w:cstheme="minorHAnsi"/>
          <w:color w:val="000000" w:themeColor="text1"/>
        </w:rPr>
        <w:lastRenderedPageBreak/>
        <w:t xml:space="preserve">products). In terms of assets held by retail investors, the market is clearly dominated by Structured </w:t>
      </w:r>
      <w:r w:rsidRPr="003C63E5">
        <w:rPr>
          <w:rFonts w:cstheme="minorHAnsi"/>
          <w:color w:val="000000" w:themeColor="text1"/>
          <w:u w:val="single"/>
        </w:rPr>
        <w:t>Investment</w:t>
      </w:r>
      <w:r w:rsidRPr="003C63E5">
        <w:rPr>
          <w:rFonts w:cstheme="minorHAnsi"/>
          <w:color w:val="000000" w:themeColor="text1"/>
        </w:rPr>
        <w:t xml:space="preserve"> Products. These are essentially bond-based </w:t>
      </w:r>
      <w:proofErr w:type="gramStart"/>
      <w:r w:rsidRPr="003C63E5">
        <w:rPr>
          <w:rFonts w:cstheme="minorHAnsi"/>
          <w:color w:val="000000" w:themeColor="text1"/>
        </w:rPr>
        <w:t>and also</w:t>
      </w:r>
      <w:proofErr w:type="gramEnd"/>
      <w:r w:rsidRPr="003C63E5">
        <w:rPr>
          <w:rFonts w:cstheme="minorHAnsi"/>
          <w:color w:val="000000" w:themeColor="text1"/>
        </w:rPr>
        <w:t xml:space="preserve"> embed a derivative. A huge part of them functions in a way that they provide a fixed regular pay-out (interest) until maturity while the repayment level of the principal amount depends on the condition of certain market events (not) occurring (e.g. a certain share price level must not be undercut during the lifetime of a product). Structured Investment Products often come along in a fully or partially capital-protected format. Very importantly, they are passive investment products, so in contrast to a UCITS fund for example, there is no active management of the assets invested in them. The pay-off conditions of a Structured Investment Product are defined in advance and remain unchanged during its lifetime. Structured Investment Products exist for all sorts of market expectations the choice of which lies with the investor who can buy them at issuance or on the secondary</w:t>
      </w:r>
      <w:r w:rsidR="00B07C39" w:rsidRPr="00B92B63">
        <w:rPr>
          <w:rFonts w:cstheme="minorHAnsi"/>
          <w:color w:val="000000" w:themeColor="text1"/>
        </w:rPr>
        <w:t xml:space="preserve"> </w:t>
      </w:r>
      <w:r w:rsidRPr="003C63E5">
        <w:rPr>
          <w:rFonts w:cstheme="minorHAnsi"/>
          <w:color w:val="000000" w:themeColor="text1"/>
        </w:rPr>
        <w:t>market</w:t>
      </w:r>
      <w:r w:rsidR="00B07C39" w:rsidRPr="00B92B63">
        <w:rPr>
          <w:rFonts w:cstheme="minorHAnsi"/>
          <w:color w:val="000000" w:themeColor="text1"/>
        </w:rPr>
        <w:t>s</w:t>
      </w:r>
      <w:r w:rsidRPr="003C63E5">
        <w:rPr>
          <w:rFonts w:cstheme="minorHAnsi"/>
          <w:color w:val="000000" w:themeColor="text1"/>
        </w:rPr>
        <w:t xml:space="preserve">, where they can also be sold before maturity. </w:t>
      </w:r>
    </w:p>
    <w:p w14:paraId="49D8A158" w14:textId="77777777" w:rsidR="003C63E5" w:rsidRPr="003C63E5" w:rsidRDefault="003C63E5" w:rsidP="003C63E5">
      <w:pPr>
        <w:spacing w:line="276" w:lineRule="auto"/>
        <w:rPr>
          <w:rFonts w:cstheme="minorHAnsi"/>
          <w:color w:val="000000" w:themeColor="text1"/>
        </w:rPr>
      </w:pPr>
    </w:p>
    <w:p w14:paraId="16B28889" w14:textId="5C6E6190" w:rsidR="003C63E5" w:rsidRPr="003C63E5" w:rsidRDefault="003C63E5" w:rsidP="003C63E5">
      <w:pPr>
        <w:spacing w:line="276" w:lineRule="auto"/>
        <w:rPr>
          <w:rFonts w:cstheme="minorHAnsi"/>
          <w:color w:val="000000" w:themeColor="text1"/>
        </w:rPr>
      </w:pPr>
      <w:r w:rsidRPr="003C63E5">
        <w:rPr>
          <w:rFonts w:cstheme="minorHAnsi"/>
          <w:color w:val="000000" w:themeColor="text1"/>
        </w:rPr>
        <w:t>Their packaged s</w:t>
      </w:r>
      <w:r w:rsidR="00975EE0" w:rsidRPr="00B92B63">
        <w:rPr>
          <w:rFonts w:cstheme="minorHAnsi"/>
          <w:color w:val="000000" w:themeColor="text1"/>
        </w:rPr>
        <w:t>etup</w:t>
      </w:r>
      <w:r w:rsidRPr="003C63E5">
        <w:rPr>
          <w:rFonts w:cstheme="minorHAnsi"/>
          <w:color w:val="000000" w:themeColor="text1"/>
        </w:rPr>
        <w:t xml:space="preserve"> (the combination of bond and derivative/option) makes </w:t>
      </w:r>
      <w:r w:rsidR="00D64015" w:rsidRPr="00B92B63">
        <w:rPr>
          <w:rFonts w:cstheme="minorHAnsi"/>
          <w:color w:val="000000" w:themeColor="text1"/>
        </w:rPr>
        <w:t>Structured Investment Products</w:t>
      </w:r>
      <w:r w:rsidRPr="003C63E5">
        <w:rPr>
          <w:rFonts w:cstheme="minorHAnsi"/>
          <w:color w:val="000000" w:themeColor="text1"/>
        </w:rPr>
        <w:t xml:space="preserve"> more sophisticated. Th</w:t>
      </w:r>
      <w:r w:rsidR="00975EE0" w:rsidRPr="00B92B63">
        <w:rPr>
          <w:rFonts w:cstheme="minorHAnsi"/>
          <w:color w:val="000000" w:themeColor="text1"/>
        </w:rPr>
        <w:t>is setup</w:t>
      </w:r>
      <w:r w:rsidRPr="003C63E5">
        <w:rPr>
          <w:rFonts w:cstheme="minorHAnsi"/>
          <w:color w:val="000000" w:themeColor="text1"/>
        </w:rPr>
        <w:t xml:space="preserve"> however is necessary to create their specific features (regular annual interest pay-off and principal repayment on certain conditions as well as additional features such as capital protection, for example).  </w:t>
      </w:r>
    </w:p>
    <w:p w14:paraId="5A2CAD5C" w14:textId="01DB8558"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The size of both components, the </w:t>
      </w:r>
      <w:proofErr w:type="gramStart"/>
      <w:r w:rsidRPr="003C63E5">
        <w:rPr>
          <w:rFonts w:cstheme="minorHAnsi"/>
          <w:bCs/>
          <w:color w:val="000000" w:themeColor="text1"/>
        </w:rPr>
        <w:t>derivative</w:t>
      </w:r>
      <w:proofErr w:type="gramEnd"/>
      <w:r w:rsidRPr="003C63E5">
        <w:rPr>
          <w:rFonts w:cstheme="minorHAnsi"/>
          <w:bCs/>
          <w:color w:val="000000" w:themeColor="text1"/>
        </w:rPr>
        <w:t xml:space="preserve"> and the bond/funding part, may vary within a Structured Investment Product</w:t>
      </w:r>
      <w:r w:rsidR="00975EE0" w:rsidRPr="00B92B63">
        <w:rPr>
          <w:rFonts w:cstheme="minorHAnsi"/>
          <w:bCs/>
          <w:color w:val="000000" w:themeColor="text1"/>
        </w:rPr>
        <w:t xml:space="preserve"> in terms of assets allocated to them</w:t>
      </w:r>
      <w:r w:rsidRPr="003C63E5">
        <w:rPr>
          <w:rFonts w:cstheme="minorHAnsi"/>
          <w:bCs/>
          <w:color w:val="000000" w:themeColor="text1"/>
        </w:rPr>
        <w:t>. It should be understood that in the landscape of Structured Investment Products sold in Europe, fully or partially capital-protected structures take up an overwhelmingly large proportion (of an estimated 60-65 per cent in terms of “open interest”/assets invested). In these capital-protected products the amount invested in a derivative usually is rather small (e.g. an estimated 10-15 per cent of the total investment) while the bond/funding part, held by the issuing bank or insurance on its balance sheet or further invested in a specific asset, makes for the largest part of the</w:t>
      </w:r>
      <w:r w:rsidR="00410C20" w:rsidRPr="00B92B63">
        <w:rPr>
          <w:rFonts w:cstheme="minorHAnsi"/>
          <w:bCs/>
          <w:color w:val="000000" w:themeColor="text1"/>
        </w:rPr>
        <w:t xml:space="preserve"> asset allocation</w:t>
      </w:r>
      <w:r w:rsidRPr="003C63E5">
        <w:rPr>
          <w:rFonts w:cstheme="minorHAnsi"/>
          <w:bCs/>
          <w:color w:val="000000" w:themeColor="text1"/>
        </w:rPr>
        <w:t>.</w:t>
      </w:r>
    </w:p>
    <w:p w14:paraId="7F038819" w14:textId="77777777" w:rsidR="003C63E5" w:rsidRPr="003C63E5" w:rsidRDefault="003C63E5" w:rsidP="003C63E5">
      <w:pPr>
        <w:spacing w:line="276" w:lineRule="auto"/>
        <w:rPr>
          <w:rFonts w:cstheme="minorHAnsi"/>
          <w:bCs/>
          <w:color w:val="000000" w:themeColor="text1"/>
        </w:rPr>
      </w:pPr>
    </w:p>
    <w:p w14:paraId="45891394" w14:textId="77777777" w:rsidR="003C63E5" w:rsidRPr="003C63E5" w:rsidRDefault="003C63E5" w:rsidP="003C63E5">
      <w:pPr>
        <w:spacing w:line="276" w:lineRule="auto"/>
        <w:rPr>
          <w:rFonts w:cstheme="minorHAnsi"/>
          <w:color w:val="000000" w:themeColor="text1"/>
        </w:rPr>
      </w:pPr>
      <w:r w:rsidRPr="003C63E5">
        <w:rPr>
          <w:rFonts w:cstheme="minorHAnsi"/>
          <w:color w:val="000000" w:themeColor="text1"/>
        </w:rPr>
        <w:t>Structured Investment Products have become, as said earlier, an established component of the investment product landscape in the global and European asset management and retail financial industry.</w:t>
      </w:r>
    </w:p>
    <w:p w14:paraId="36C0EF34" w14:textId="7DEEF0DF" w:rsidR="003C63E5" w:rsidRPr="00B92B63" w:rsidRDefault="003C63E5" w:rsidP="003C63E5">
      <w:pPr>
        <w:spacing w:line="276" w:lineRule="auto"/>
        <w:rPr>
          <w:rFonts w:cstheme="minorHAnsi"/>
          <w:color w:val="000000" w:themeColor="text1"/>
        </w:rPr>
      </w:pPr>
    </w:p>
    <w:p w14:paraId="529B8F86" w14:textId="47890B32" w:rsidR="00B41841" w:rsidRPr="00B92B63" w:rsidRDefault="00B41841" w:rsidP="003C63E5">
      <w:pPr>
        <w:spacing w:line="276" w:lineRule="auto"/>
        <w:rPr>
          <w:rFonts w:cstheme="minorHAnsi"/>
          <w:color w:val="000000" w:themeColor="text1"/>
        </w:rPr>
      </w:pPr>
      <w:r w:rsidRPr="00B92B63">
        <w:rPr>
          <w:rFonts w:cstheme="minorHAnsi"/>
          <w:color w:val="000000" w:themeColor="text1"/>
        </w:rPr>
        <w:t>2. ESG evaluation of a Structured Investment Product</w:t>
      </w:r>
    </w:p>
    <w:p w14:paraId="6F7F544E" w14:textId="77777777" w:rsidR="00B41841" w:rsidRPr="003C63E5" w:rsidRDefault="00B41841" w:rsidP="003C63E5">
      <w:pPr>
        <w:spacing w:line="276" w:lineRule="auto"/>
        <w:rPr>
          <w:rFonts w:cstheme="minorHAnsi"/>
          <w:color w:val="000000" w:themeColor="text1"/>
        </w:rPr>
      </w:pPr>
    </w:p>
    <w:p w14:paraId="22A580F3" w14:textId="42DE14EA"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As for </w:t>
      </w:r>
      <w:r w:rsidR="002076B5" w:rsidRPr="00B92B63">
        <w:rPr>
          <w:rFonts w:cstheme="minorHAnsi"/>
          <w:bCs/>
          <w:color w:val="000000" w:themeColor="text1"/>
        </w:rPr>
        <w:t>ESG evaluation of a Structured Investment Product</w:t>
      </w:r>
      <w:r w:rsidRPr="003C63E5">
        <w:rPr>
          <w:rFonts w:cstheme="minorHAnsi"/>
          <w:bCs/>
          <w:color w:val="000000" w:themeColor="text1"/>
        </w:rPr>
        <w:t xml:space="preserve">, EUSIPA wishes to underline that </w:t>
      </w:r>
      <w:r w:rsidRPr="003C63E5">
        <w:rPr>
          <w:rFonts w:cstheme="minorHAnsi"/>
          <w:b/>
          <w:color w:val="000000" w:themeColor="text1"/>
        </w:rPr>
        <w:t xml:space="preserve">all </w:t>
      </w:r>
      <w:r w:rsidR="00B92B63">
        <w:rPr>
          <w:rFonts w:cstheme="minorHAnsi"/>
          <w:b/>
          <w:color w:val="000000" w:themeColor="text1"/>
        </w:rPr>
        <w:t>components</w:t>
      </w:r>
      <w:r w:rsidRPr="003C63E5">
        <w:rPr>
          <w:rFonts w:cstheme="minorHAnsi"/>
          <w:b/>
          <w:color w:val="000000" w:themeColor="text1"/>
        </w:rPr>
        <w:t xml:space="preserve"> of a Structured Investment Product can be evaluated on their ESG quality</w:t>
      </w:r>
      <w:r w:rsidR="003D1576" w:rsidRPr="00B92B63">
        <w:rPr>
          <w:rFonts w:cstheme="minorHAnsi"/>
          <w:b/>
          <w:color w:val="000000" w:themeColor="text1"/>
        </w:rPr>
        <w:t>,</w:t>
      </w:r>
      <w:r w:rsidRPr="003C63E5">
        <w:rPr>
          <w:rFonts w:cstheme="minorHAnsi"/>
          <w:b/>
          <w:color w:val="000000" w:themeColor="text1"/>
        </w:rPr>
        <w:t xml:space="preserve"> </w:t>
      </w:r>
      <w:r w:rsidR="009A4C0D" w:rsidRPr="00B92B63">
        <w:rPr>
          <w:rFonts w:cstheme="minorHAnsi"/>
          <w:b/>
          <w:color w:val="000000" w:themeColor="text1"/>
        </w:rPr>
        <w:t xml:space="preserve">allowing </w:t>
      </w:r>
      <w:r w:rsidR="00672F1B">
        <w:rPr>
          <w:rFonts w:cstheme="minorHAnsi"/>
          <w:b/>
          <w:color w:val="000000" w:themeColor="text1"/>
        </w:rPr>
        <w:t xml:space="preserve">as a result </w:t>
      </w:r>
      <w:r w:rsidR="009A4C0D" w:rsidRPr="00B92B63">
        <w:rPr>
          <w:rFonts w:cstheme="minorHAnsi"/>
          <w:b/>
          <w:color w:val="000000" w:themeColor="text1"/>
        </w:rPr>
        <w:t xml:space="preserve">for a judgement of the ESG quality of the Structured Investment Product as such. The details of the components’ ESG evaluation </w:t>
      </w:r>
      <w:r w:rsidRPr="003C63E5">
        <w:rPr>
          <w:rFonts w:cstheme="minorHAnsi"/>
          <w:b/>
          <w:color w:val="000000" w:themeColor="text1"/>
        </w:rPr>
        <w:t>c</w:t>
      </w:r>
      <w:r w:rsidR="00140E5C" w:rsidRPr="00B92B63">
        <w:rPr>
          <w:rFonts w:cstheme="minorHAnsi"/>
          <w:b/>
          <w:color w:val="000000" w:themeColor="text1"/>
        </w:rPr>
        <w:t>ould</w:t>
      </w:r>
      <w:r w:rsidR="003D1576" w:rsidRPr="00B92B63">
        <w:rPr>
          <w:rFonts w:cstheme="minorHAnsi"/>
          <w:b/>
          <w:color w:val="000000" w:themeColor="text1"/>
        </w:rPr>
        <w:t>, as demonstrated below,</w:t>
      </w:r>
      <w:r w:rsidRPr="003C63E5">
        <w:rPr>
          <w:rFonts w:cstheme="minorHAnsi"/>
          <w:b/>
          <w:color w:val="000000" w:themeColor="text1"/>
        </w:rPr>
        <w:t xml:space="preserve"> be disclosed in line with the requirements of the SFDR articles 8 and 9</w:t>
      </w:r>
      <w:r w:rsidRPr="003C63E5">
        <w:rPr>
          <w:rFonts w:cstheme="minorHAnsi"/>
          <w:bCs/>
          <w:color w:val="000000" w:themeColor="text1"/>
        </w:rPr>
        <w:t xml:space="preserve">.  </w:t>
      </w:r>
    </w:p>
    <w:p w14:paraId="4250A2B3" w14:textId="02D217B2" w:rsidR="003C63E5" w:rsidRPr="00B92B63" w:rsidRDefault="003C63E5" w:rsidP="003C63E5">
      <w:pPr>
        <w:spacing w:line="276" w:lineRule="auto"/>
        <w:rPr>
          <w:rFonts w:cstheme="minorHAnsi"/>
          <w:bCs/>
          <w:color w:val="000000" w:themeColor="text1"/>
        </w:rPr>
      </w:pPr>
    </w:p>
    <w:p w14:paraId="50E3B5BF" w14:textId="3ED62ACB" w:rsidR="00B41841" w:rsidRPr="00B92B63" w:rsidRDefault="00B41841" w:rsidP="00B41841">
      <w:pPr>
        <w:spacing w:line="276" w:lineRule="auto"/>
        <w:rPr>
          <w:rFonts w:cstheme="minorHAnsi"/>
          <w:bCs/>
          <w:color w:val="000000" w:themeColor="text1"/>
        </w:rPr>
      </w:pPr>
      <w:r w:rsidRPr="00B92B63">
        <w:rPr>
          <w:rFonts w:cstheme="minorHAnsi"/>
          <w:bCs/>
          <w:color w:val="000000" w:themeColor="text1"/>
        </w:rPr>
        <w:t>a) Principles</w:t>
      </w:r>
    </w:p>
    <w:p w14:paraId="498D7588" w14:textId="77777777" w:rsidR="00B41841" w:rsidRPr="00B92B63" w:rsidRDefault="00B41841" w:rsidP="00B41841">
      <w:pPr>
        <w:pStyle w:val="ListParagraph"/>
        <w:spacing w:line="276" w:lineRule="auto"/>
        <w:rPr>
          <w:rFonts w:cstheme="minorHAnsi"/>
          <w:bCs/>
          <w:color w:val="000000" w:themeColor="text1"/>
        </w:rPr>
      </w:pPr>
    </w:p>
    <w:p w14:paraId="2A7E7E40" w14:textId="7AF80A2A"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In </w:t>
      </w:r>
      <w:proofErr w:type="gramStart"/>
      <w:r w:rsidRPr="003C63E5">
        <w:rPr>
          <w:rFonts w:cstheme="minorHAnsi"/>
          <w:bCs/>
          <w:color w:val="000000" w:themeColor="text1"/>
        </w:rPr>
        <w:t>general</w:t>
      </w:r>
      <w:proofErr w:type="gramEnd"/>
      <w:r w:rsidRPr="003C63E5">
        <w:rPr>
          <w:rFonts w:cstheme="minorHAnsi"/>
          <w:bCs/>
          <w:color w:val="000000" w:themeColor="text1"/>
        </w:rPr>
        <w:t xml:space="preserve"> the following principles </w:t>
      </w:r>
      <w:r w:rsidR="00F20596">
        <w:rPr>
          <w:rFonts w:cstheme="minorHAnsi"/>
          <w:bCs/>
          <w:color w:val="000000" w:themeColor="text1"/>
        </w:rPr>
        <w:t xml:space="preserve">would </w:t>
      </w:r>
      <w:r w:rsidRPr="003C63E5">
        <w:rPr>
          <w:rFonts w:cstheme="minorHAnsi"/>
          <w:bCs/>
          <w:color w:val="000000" w:themeColor="text1"/>
        </w:rPr>
        <w:t>apply</w:t>
      </w:r>
      <w:r w:rsidR="00F20596">
        <w:rPr>
          <w:rFonts w:cstheme="minorHAnsi"/>
          <w:bCs/>
          <w:color w:val="000000" w:themeColor="text1"/>
        </w:rPr>
        <w:t xml:space="preserve"> to the ESG evaluation of a Structured Investment Product</w:t>
      </w:r>
      <w:r w:rsidRPr="003C63E5">
        <w:rPr>
          <w:rFonts w:cstheme="minorHAnsi"/>
          <w:bCs/>
          <w:color w:val="000000" w:themeColor="text1"/>
        </w:rPr>
        <w:t>:</w:t>
      </w:r>
    </w:p>
    <w:p w14:paraId="51BE3331" w14:textId="77777777" w:rsidR="003C63E5" w:rsidRPr="003C63E5" w:rsidRDefault="003C63E5" w:rsidP="003C63E5">
      <w:pPr>
        <w:spacing w:line="276" w:lineRule="auto"/>
        <w:rPr>
          <w:rFonts w:cstheme="minorHAnsi"/>
          <w:bCs/>
          <w:color w:val="000000" w:themeColor="text1"/>
        </w:rPr>
      </w:pPr>
    </w:p>
    <w:p w14:paraId="08BEC5C2" w14:textId="4F2521D6" w:rsidR="003C63E5" w:rsidRPr="003C63E5" w:rsidRDefault="003C63E5" w:rsidP="003C63E5">
      <w:pPr>
        <w:numPr>
          <w:ilvl w:val="0"/>
          <w:numId w:val="42"/>
        </w:numPr>
        <w:spacing w:line="276" w:lineRule="auto"/>
        <w:contextualSpacing/>
        <w:rPr>
          <w:rFonts w:cstheme="minorHAnsi"/>
          <w:bCs/>
          <w:color w:val="000000" w:themeColor="text1"/>
        </w:rPr>
      </w:pPr>
      <w:r w:rsidRPr="003C63E5">
        <w:rPr>
          <w:rFonts w:cstheme="minorHAnsi"/>
          <w:bCs/>
          <w:color w:val="000000" w:themeColor="text1"/>
        </w:rPr>
        <w:t xml:space="preserve">As for the </w:t>
      </w:r>
      <w:r w:rsidRPr="003C63E5">
        <w:rPr>
          <w:rFonts w:cstheme="minorHAnsi"/>
          <w:b/>
          <w:color w:val="000000" w:themeColor="text1"/>
        </w:rPr>
        <w:t xml:space="preserve">derivative </w:t>
      </w:r>
      <w:r w:rsidR="00186A67" w:rsidRPr="00B92B63">
        <w:rPr>
          <w:rFonts w:cstheme="minorHAnsi"/>
          <w:b/>
          <w:color w:val="000000" w:themeColor="text1"/>
        </w:rPr>
        <w:t>component</w:t>
      </w:r>
      <w:r w:rsidRPr="003C63E5">
        <w:rPr>
          <w:rFonts w:cstheme="minorHAnsi"/>
          <w:bCs/>
          <w:color w:val="000000" w:themeColor="text1"/>
        </w:rPr>
        <w:t xml:space="preserve">, the underlying reference value of the derivative (e.g. share, bond, basket of the before, indices) will be judged following the rules of the EU Taxonomy Regulation. </w:t>
      </w:r>
    </w:p>
    <w:p w14:paraId="19B5469F" w14:textId="77777777" w:rsidR="003C63E5" w:rsidRPr="003C63E5" w:rsidRDefault="003C63E5" w:rsidP="003C63E5">
      <w:pPr>
        <w:spacing w:line="276" w:lineRule="auto"/>
        <w:rPr>
          <w:rFonts w:cstheme="minorHAnsi"/>
          <w:bCs/>
          <w:color w:val="000000" w:themeColor="text1"/>
        </w:rPr>
      </w:pPr>
    </w:p>
    <w:p w14:paraId="5A62FC81" w14:textId="124FC7C7" w:rsidR="003C63E5" w:rsidRPr="003C63E5" w:rsidRDefault="003C63E5" w:rsidP="003C63E5">
      <w:pPr>
        <w:numPr>
          <w:ilvl w:val="0"/>
          <w:numId w:val="42"/>
        </w:numPr>
        <w:spacing w:line="276" w:lineRule="auto"/>
        <w:contextualSpacing/>
        <w:rPr>
          <w:rFonts w:cstheme="minorHAnsi"/>
          <w:bCs/>
          <w:color w:val="000000" w:themeColor="text1"/>
        </w:rPr>
      </w:pPr>
      <w:r w:rsidRPr="003C63E5">
        <w:rPr>
          <w:rFonts w:cstheme="minorHAnsi"/>
          <w:bCs/>
          <w:color w:val="000000" w:themeColor="text1"/>
        </w:rPr>
        <w:t xml:space="preserve">As for the </w:t>
      </w:r>
      <w:r w:rsidRPr="003C63E5">
        <w:rPr>
          <w:rFonts w:cstheme="minorHAnsi"/>
          <w:b/>
          <w:color w:val="000000" w:themeColor="text1"/>
        </w:rPr>
        <w:t xml:space="preserve">non-derivative (bond or funding) </w:t>
      </w:r>
      <w:r w:rsidR="00186A67" w:rsidRPr="00B92B63">
        <w:rPr>
          <w:rFonts w:cstheme="minorHAnsi"/>
          <w:b/>
          <w:color w:val="000000" w:themeColor="text1"/>
        </w:rPr>
        <w:t>component</w:t>
      </w:r>
      <w:r w:rsidRPr="003C63E5">
        <w:rPr>
          <w:rFonts w:cstheme="minorHAnsi"/>
          <w:bCs/>
          <w:color w:val="000000" w:themeColor="text1"/>
        </w:rPr>
        <w:t>, the ESG quality will be judged either by its investment purpose in case the bond/funding part serves the financing of a</w:t>
      </w:r>
      <w:r w:rsidR="00727C46">
        <w:rPr>
          <w:rFonts w:cstheme="minorHAnsi"/>
          <w:bCs/>
          <w:color w:val="000000" w:themeColor="text1"/>
        </w:rPr>
        <w:t xml:space="preserve">n </w:t>
      </w:r>
      <w:r w:rsidRPr="003C63E5">
        <w:rPr>
          <w:rFonts w:cstheme="minorHAnsi"/>
          <w:bCs/>
          <w:color w:val="000000" w:themeColor="text1"/>
        </w:rPr>
        <w:t xml:space="preserve">asset (e.g. in the format of a green bond or a part of a ringfenced ESG asset pool) </w:t>
      </w:r>
      <w:r w:rsidR="00727C46">
        <w:rPr>
          <w:rFonts w:cstheme="minorHAnsi"/>
          <w:bCs/>
          <w:color w:val="000000" w:themeColor="text1"/>
        </w:rPr>
        <w:t xml:space="preserve">considered to be sustainable under the EU Taxonomy Regulation </w:t>
      </w:r>
      <w:r w:rsidRPr="003C63E5">
        <w:rPr>
          <w:rFonts w:cstheme="minorHAnsi"/>
          <w:bCs/>
          <w:color w:val="000000" w:themeColor="text1"/>
        </w:rPr>
        <w:t xml:space="preserve">or by the </w:t>
      </w:r>
      <w:r w:rsidR="005731F1">
        <w:rPr>
          <w:rFonts w:cstheme="minorHAnsi"/>
          <w:bCs/>
          <w:color w:val="000000" w:themeColor="text1"/>
        </w:rPr>
        <w:t>proven</w:t>
      </w:r>
      <w:r w:rsidRPr="003C63E5">
        <w:rPr>
          <w:rFonts w:cstheme="minorHAnsi"/>
          <w:bCs/>
          <w:color w:val="000000" w:themeColor="text1"/>
        </w:rPr>
        <w:t xml:space="preserve"> ESG quality of the issuing financial institution which holds the bond/funding part as a position on its general balance sheet.</w:t>
      </w:r>
    </w:p>
    <w:p w14:paraId="227DCA4A" w14:textId="24CFE04C" w:rsidR="003C63E5" w:rsidRPr="00B92B63" w:rsidRDefault="003C63E5" w:rsidP="003C63E5">
      <w:pPr>
        <w:spacing w:line="276" w:lineRule="auto"/>
        <w:rPr>
          <w:rFonts w:cstheme="minorHAnsi"/>
          <w:bCs/>
          <w:color w:val="000000" w:themeColor="text1"/>
        </w:rPr>
      </w:pPr>
    </w:p>
    <w:p w14:paraId="55DC7E0D" w14:textId="2405AE0D" w:rsidR="00B41841" w:rsidRPr="00B92B63" w:rsidRDefault="00B41841" w:rsidP="003C63E5">
      <w:pPr>
        <w:spacing w:line="276" w:lineRule="auto"/>
        <w:rPr>
          <w:rFonts w:cstheme="minorHAnsi"/>
          <w:bCs/>
          <w:color w:val="000000" w:themeColor="text1"/>
        </w:rPr>
      </w:pPr>
      <w:r w:rsidRPr="00B92B63">
        <w:rPr>
          <w:rFonts w:cstheme="minorHAnsi"/>
          <w:bCs/>
          <w:color w:val="000000" w:themeColor="text1"/>
        </w:rPr>
        <w:t>b) Details</w:t>
      </w:r>
      <w:r w:rsidR="00675407" w:rsidRPr="00B92B63">
        <w:rPr>
          <w:rFonts w:cstheme="minorHAnsi"/>
          <w:bCs/>
          <w:color w:val="000000" w:themeColor="text1"/>
        </w:rPr>
        <w:t xml:space="preserve"> of ESG evaluation</w:t>
      </w:r>
    </w:p>
    <w:p w14:paraId="18653C93" w14:textId="77777777" w:rsidR="00B41841" w:rsidRPr="003C63E5" w:rsidRDefault="00B41841" w:rsidP="003C63E5">
      <w:pPr>
        <w:spacing w:line="276" w:lineRule="auto"/>
        <w:rPr>
          <w:rFonts w:cstheme="minorHAnsi"/>
          <w:bCs/>
          <w:color w:val="000000" w:themeColor="text1"/>
        </w:rPr>
      </w:pPr>
    </w:p>
    <w:p w14:paraId="4EC64229" w14:textId="77777777"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When looking at things in more detail, the below aspects should in our view be considered:</w:t>
      </w:r>
    </w:p>
    <w:p w14:paraId="26E51176" w14:textId="7ED19D0E" w:rsidR="003C63E5" w:rsidRPr="00B92B63" w:rsidRDefault="003C63E5" w:rsidP="003C63E5">
      <w:pPr>
        <w:spacing w:line="276" w:lineRule="auto"/>
        <w:rPr>
          <w:rFonts w:cstheme="minorHAnsi"/>
          <w:bCs/>
          <w:color w:val="000000" w:themeColor="text1"/>
        </w:rPr>
      </w:pPr>
    </w:p>
    <w:p w14:paraId="4A831121" w14:textId="5C781B06" w:rsidR="00B41841" w:rsidRPr="00B92B63" w:rsidRDefault="00B41841" w:rsidP="003C63E5">
      <w:pPr>
        <w:spacing w:line="276" w:lineRule="auto"/>
        <w:rPr>
          <w:rFonts w:cstheme="minorHAnsi"/>
          <w:bCs/>
          <w:color w:val="000000" w:themeColor="text1"/>
        </w:rPr>
      </w:pPr>
      <w:r w:rsidRPr="00B92B63">
        <w:rPr>
          <w:rFonts w:cstheme="minorHAnsi"/>
          <w:bCs/>
          <w:color w:val="000000" w:themeColor="text1"/>
        </w:rPr>
        <w:t xml:space="preserve">(1) Derivative </w:t>
      </w:r>
      <w:r w:rsidR="00186A67" w:rsidRPr="00B92B63">
        <w:rPr>
          <w:rFonts w:cstheme="minorHAnsi"/>
          <w:bCs/>
          <w:color w:val="000000" w:themeColor="text1"/>
        </w:rPr>
        <w:t>component</w:t>
      </w:r>
    </w:p>
    <w:p w14:paraId="1F6C3074" w14:textId="77777777" w:rsidR="00B41841" w:rsidRPr="003C63E5" w:rsidRDefault="00B41841" w:rsidP="003C63E5">
      <w:pPr>
        <w:spacing w:line="276" w:lineRule="auto"/>
        <w:rPr>
          <w:rFonts w:cstheme="minorHAnsi"/>
          <w:bCs/>
          <w:color w:val="000000" w:themeColor="text1"/>
        </w:rPr>
      </w:pPr>
    </w:p>
    <w:p w14:paraId="3CDBAB4B" w14:textId="4495F679" w:rsidR="003C63E5" w:rsidRPr="003C63E5" w:rsidRDefault="003C63E5" w:rsidP="00AE4102">
      <w:pPr>
        <w:spacing w:line="276" w:lineRule="auto"/>
        <w:rPr>
          <w:color w:val="000000" w:themeColor="text1"/>
        </w:rPr>
      </w:pPr>
      <w:r w:rsidRPr="003C63E5">
        <w:rPr>
          <w:rFonts w:cstheme="minorHAnsi"/>
          <w:bCs/>
          <w:color w:val="000000" w:themeColor="text1"/>
        </w:rPr>
        <w:t xml:space="preserve">As for the derivative part, EUSIPA does clearly support the view that derivatives as such can contribute to ESG purposes. Recourse is </w:t>
      </w:r>
      <w:r w:rsidR="00B77C49" w:rsidRPr="00B92B63">
        <w:rPr>
          <w:rFonts w:cstheme="minorHAnsi"/>
          <w:bCs/>
          <w:color w:val="000000" w:themeColor="text1"/>
        </w:rPr>
        <w:t>taken</w:t>
      </w:r>
      <w:r w:rsidRPr="003C63E5">
        <w:rPr>
          <w:rFonts w:cstheme="minorHAnsi"/>
          <w:bCs/>
          <w:color w:val="000000" w:themeColor="text1"/>
        </w:rPr>
        <w:t xml:space="preserve"> on the commonly known facts that d</w:t>
      </w:r>
      <w:r w:rsidRPr="003C63E5">
        <w:rPr>
          <w:rFonts w:cstheme="minorHAnsi"/>
          <w:color w:val="000000" w:themeColor="text1"/>
        </w:rPr>
        <w:t>erivatives demonstrably raise the liquidity of stock markets</w:t>
      </w:r>
      <w:r w:rsidR="00E753BA" w:rsidRPr="00B92B63">
        <w:rPr>
          <w:rFonts w:cstheme="minorHAnsi"/>
          <w:color w:val="000000" w:themeColor="text1"/>
        </w:rPr>
        <w:t>,</w:t>
      </w:r>
      <w:r w:rsidRPr="003C63E5">
        <w:rPr>
          <w:rFonts w:cstheme="minorHAnsi"/>
          <w:color w:val="000000" w:themeColor="text1"/>
        </w:rPr>
        <w:t xml:space="preserve"> ultimately not </w:t>
      </w:r>
      <w:r w:rsidR="00B77C49" w:rsidRPr="00B92B63">
        <w:rPr>
          <w:rFonts w:cstheme="minorHAnsi"/>
          <w:color w:val="000000" w:themeColor="text1"/>
        </w:rPr>
        <w:t>being different</w:t>
      </w:r>
      <w:r w:rsidRPr="003C63E5">
        <w:rPr>
          <w:rFonts w:cstheme="minorHAnsi"/>
          <w:color w:val="000000" w:themeColor="text1"/>
        </w:rPr>
        <w:t xml:space="preserve"> from other “direct” secondary market investments in bonds and shares. As recent studies (e.g. by </w:t>
      </w:r>
      <w:proofErr w:type="spellStart"/>
      <w:r w:rsidRPr="003C63E5">
        <w:rPr>
          <w:color w:val="000000" w:themeColor="text1"/>
        </w:rPr>
        <w:t>Lannoo</w:t>
      </w:r>
      <w:proofErr w:type="spellEnd"/>
      <w:r w:rsidRPr="003C63E5">
        <w:rPr>
          <w:color w:val="000000" w:themeColor="text1"/>
        </w:rPr>
        <w:t xml:space="preserve"> and </w:t>
      </w:r>
      <w:proofErr w:type="spellStart"/>
      <w:r w:rsidRPr="003C63E5">
        <w:rPr>
          <w:color w:val="000000" w:themeColor="text1"/>
        </w:rPr>
        <w:t>Thomadakis</w:t>
      </w:r>
      <w:proofErr w:type="spellEnd"/>
      <w:r w:rsidRPr="003C63E5">
        <w:rPr>
          <w:color w:val="000000" w:themeColor="text1"/>
        </w:rPr>
        <w:t xml:space="preserve"> of CEPS, 2020) </w:t>
      </w:r>
      <w:r w:rsidRPr="003C63E5">
        <w:rPr>
          <w:rFonts w:cstheme="minorHAnsi"/>
          <w:color w:val="000000" w:themeColor="text1"/>
        </w:rPr>
        <w:t>have underlined again, derivatives</w:t>
      </w:r>
      <w:r w:rsidRPr="003C63E5">
        <w:rPr>
          <w:color w:val="000000" w:themeColor="text1"/>
        </w:rPr>
        <w:t xml:space="preserve"> play a major role in enhancing transparency, in terms of better and more timely information on the underlying, thus facilitating price discovery and ultimately raising market efficiency. This function could be seen already as contributing by itself to long-term sustainability objectives (of global financial markets) and does so, of course, </w:t>
      </w:r>
      <w:proofErr w:type="gramStart"/>
      <w:r w:rsidRPr="003C63E5">
        <w:rPr>
          <w:color w:val="000000" w:themeColor="text1"/>
        </w:rPr>
        <w:t>in particular with</w:t>
      </w:r>
      <w:proofErr w:type="gramEnd"/>
      <w:r w:rsidRPr="003C63E5">
        <w:rPr>
          <w:color w:val="000000" w:themeColor="text1"/>
        </w:rPr>
        <w:t xml:space="preserve"> respect to ESG reference assets underlying a derivative.</w:t>
      </w:r>
    </w:p>
    <w:p w14:paraId="52472467" w14:textId="762B9BE8" w:rsidR="003C63E5" w:rsidRPr="00B92B63" w:rsidRDefault="003C63E5" w:rsidP="003C63E5">
      <w:pPr>
        <w:spacing w:line="276" w:lineRule="auto"/>
        <w:rPr>
          <w:rFonts w:cstheme="minorHAnsi"/>
          <w:bCs/>
          <w:color w:val="000000" w:themeColor="text1"/>
        </w:rPr>
      </w:pPr>
    </w:p>
    <w:p w14:paraId="02090746" w14:textId="77777777" w:rsidR="00675407" w:rsidRPr="00B92B63" w:rsidRDefault="00675407" w:rsidP="003C63E5">
      <w:pPr>
        <w:spacing w:line="276" w:lineRule="auto"/>
        <w:rPr>
          <w:rFonts w:cstheme="minorHAnsi"/>
          <w:bCs/>
          <w:color w:val="000000" w:themeColor="text1"/>
        </w:rPr>
      </w:pPr>
    </w:p>
    <w:p w14:paraId="7ED99AB6" w14:textId="626037F8" w:rsidR="00934741" w:rsidRPr="00B92B63" w:rsidRDefault="00934741" w:rsidP="003C63E5">
      <w:pPr>
        <w:spacing w:line="276" w:lineRule="auto"/>
        <w:rPr>
          <w:rFonts w:cstheme="minorHAnsi"/>
          <w:bCs/>
          <w:color w:val="000000" w:themeColor="text1"/>
        </w:rPr>
      </w:pPr>
      <w:r w:rsidRPr="00B92B63">
        <w:rPr>
          <w:rFonts w:cstheme="minorHAnsi"/>
          <w:bCs/>
          <w:color w:val="000000" w:themeColor="text1"/>
        </w:rPr>
        <w:t xml:space="preserve">(2) Bond/funding </w:t>
      </w:r>
      <w:r w:rsidR="00186A67" w:rsidRPr="00B92B63">
        <w:rPr>
          <w:rFonts w:cstheme="minorHAnsi"/>
          <w:bCs/>
          <w:color w:val="000000" w:themeColor="text1"/>
        </w:rPr>
        <w:t>component</w:t>
      </w:r>
    </w:p>
    <w:p w14:paraId="67731870" w14:textId="77777777" w:rsidR="008617BA" w:rsidRPr="00B92B63" w:rsidRDefault="008617BA" w:rsidP="003C63E5">
      <w:pPr>
        <w:spacing w:line="276" w:lineRule="auto"/>
        <w:rPr>
          <w:rFonts w:cstheme="minorHAnsi"/>
          <w:bCs/>
          <w:color w:val="000000" w:themeColor="text1"/>
        </w:rPr>
      </w:pPr>
    </w:p>
    <w:p w14:paraId="7B69B230" w14:textId="33F39252" w:rsidR="00934741" w:rsidRPr="00B92B63" w:rsidRDefault="00934741" w:rsidP="003C63E5">
      <w:pPr>
        <w:spacing w:line="276" w:lineRule="auto"/>
        <w:rPr>
          <w:rFonts w:cstheme="minorHAnsi"/>
          <w:bCs/>
          <w:color w:val="000000" w:themeColor="text1"/>
        </w:rPr>
      </w:pPr>
      <w:r w:rsidRPr="00B92B63">
        <w:rPr>
          <w:rFonts w:cstheme="minorHAnsi"/>
          <w:bCs/>
          <w:color w:val="000000" w:themeColor="text1"/>
        </w:rPr>
        <w:t xml:space="preserve">(a) </w:t>
      </w:r>
      <w:r w:rsidR="008617BA" w:rsidRPr="00B92B63">
        <w:rPr>
          <w:rFonts w:cstheme="minorHAnsi"/>
          <w:bCs/>
          <w:color w:val="000000" w:themeColor="text1"/>
        </w:rPr>
        <w:t>Bond/funding held on general balance sheet</w:t>
      </w:r>
    </w:p>
    <w:p w14:paraId="7CF889B4" w14:textId="77777777" w:rsidR="00934741" w:rsidRPr="003C63E5" w:rsidRDefault="00934741" w:rsidP="003C63E5">
      <w:pPr>
        <w:spacing w:line="276" w:lineRule="auto"/>
        <w:rPr>
          <w:rFonts w:cstheme="minorHAnsi"/>
          <w:bCs/>
          <w:color w:val="000000" w:themeColor="text1"/>
        </w:rPr>
      </w:pPr>
    </w:p>
    <w:p w14:paraId="0E4C5A30" w14:textId="4C65589C"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As for the bond/funding </w:t>
      </w:r>
      <w:r w:rsidR="001A399B" w:rsidRPr="00B92B63">
        <w:rPr>
          <w:rFonts w:cstheme="minorHAnsi"/>
          <w:bCs/>
          <w:color w:val="000000" w:themeColor="text1"/>
        </w:rPr>
        <w:t>component,</w:t>
      </w:r>
      <w:r w:rsidRPr="003C63E5">
        <w:rPr>
          <w:rFonts w:cstheme="minorHAnsi"/>
          <w:bCs/>
          <w:color w:val="000000" w:themeColor="text1"/>
        </w:rPr>
        <w:t xml:space="preserve"> an ESG evaluation </w:t>
      </w:r>
      <w:proofErr w:type="gramStart"/>
      <w:r w:rsidRPr="003C63E5">
        <w:rPr>
          <w:rFonts w:cstheme="minorHAnsi"/>
          <w:bCs/>
          <w:color w:val="000000" w:themeColor="text1"/>
        </w:rPr>
        <w:t>would</w:t>
      </w:r>
      <w:proofErr w:type="gramEnd"/>
      <w:r w:rsidRPr="003C63E5">
        <w:rPr>
          <w:rFonts w:cstheme="minorHAnsi"/>
          <w:bCs/>
          <w:color w:val="000000" w:themeColor="text1"/>
        </w:rPr>
        <w:t xml:space="preserve"> entail a judgement of the overall business activity of the issuing financial institution </w:t>
      </w:r>
      <w:r w:rsidR="00675407" w:rsidRPr="00B92B63">
        <w:rPr>
          <w:rFonts w:cstheme="minorHAnsi"/>
          <w:bCs/>
          <w:color w:val="000000" w:themeColor="text1"/>
        </w:rPr>
        <w:t xml:space="preserve">if the latter </w:t>
      </w:r>
      <w:r w:rsidRPr="003C63E5">
        <w:rPr>
          <w:rFonts w:cstheme="minorHAnsi"/>
          <w:bCs/>
          <w:color w:val="000000" w:themeColor="text1"/>
        </w:rPr>
        <w:t>holds the bond proceed</w:t>
      </w:r>
      <w:r w:rsidR="001A399B" w:rsidRPr="00B92B63">
        <w:rPr>
          <w:rFonts w:cstheme="minorHAnsi"/>
          <w:bCs/>
          <w:color w:val="000000" w:themeColor="text1"/>
        </w:rPr>
        <w:t>s</w:t>
      </w:r>
      <w:r w:rsidRPr="003C63E5">
        <w:rPr>
          <w:rFonts w:cstheme="minorHAnsi"/>
          <w:bCs/>
          <w:color w:val="000000" w:themeColor="text1"/>
        </w:rPr>
        <w:t xml:space="preserve"> on its general balance sheet. This approach would be the same for other deposit-/balance sheet-linked financial products, such as savings accounts or </w:t>
      </w:r>
      <w:r w:rsidR="00616B26" w:rsidRPr="00B92B63">
        <w:rPr>
          <w:rFonts w:cstheme="minorHAnsi"/>
          <w:bCs/>
          <w:color w:val="000000" w:themeColor="text1"/>
        </w:rPr>
        <w:t xml:space="preserve">(non-unit linked) </w:t>
      </w:r>
      <w:r w:rsidRPr="003C63E5">
        <w:rPr>
          <w:rFonts w:cstheme="minorHAnsi"/>
          <w:bCs/>
          <w:color w:val="000000" w:themeColor="text1"/>
        </w:rPr>
        <w:t xml:space="preserve">insurance contracts. </w:t>
      </w:r>
      <w:r w:rsidR="00E415D9" w:rsidRPr="00B92B63">
        <w:rPr>
          <w:rFonts w:cstheme="minorHAnsi"/>
          <w:bCs/>
          <w:color w:val="000000" w:themeColor="text1"/>
        </w:rPr>
        <w:t>T</w:t>
      </w:r>
      <w:r w:rsidRPr="003C63E5">
        <w:rPr>
          <w:rFonts w:cstheme="minorHAnsi"/>
          <w:bCs/>
          <w:color w:val="000000" w:themeColor="text1"/>
        </w:rPr>
        <w:t xml:space="preserve">he alternative situation where the bond/funding </w:t>
      </w:r>
      <w:r w:rsidR="001A399B" w:rsidRPr="00B92B63">
        <w:rPr>
          <w:rFonts w:cstheme="minorHAnsi"/>
          <w:bCs/>
          <w:color w:val="000000" w:themeColor="text1"/>
        </w:rPr>
        <w:t>part</w:t>
      </w:r>
      <w:r w:rsidRPr="003C63E5">
        <w:rPr>
          <w:rFonts w:cstheme="minorHAnsi"/>
          <w:bCs/>
          <w:color w:val="000000" w:themeColor="text1"/>
        </w:rPr>
        <w:t xml:space="preserve"> is specifically invested in an ESG asset, such as a green bond, is looked at below</w:t>
      </w:r>
      <w:r w:rsidR="001A399B" w:rsidRPr="00B92B63">
        <w:rPr>
          <w:rFonts w:cstheme="minorHAnsi"/>
          <w:bCs/>
          <w:color w:val="000000" w:themeColor="text1"/>
        </w:rPr>
        <w:t xml:space="preserve"> under </w:t>
      </w:r>
      <w:r w:rsidR="00E415D9" w:rsidRPr="00B92B63">
        <w:rPr>
          <w:rFonts w:cstheme="minorHAnsi"/>
          <w:bCs/>
          <w:color w:val="000000" w:themeColor="text1"/>
        </w:rPr>
        <w:t>(b</w:t>
      </w:r>
      <w:r w:rsidRPr="003C63E5">
        <w:rPr>
          <w:rFonts w:cstheme="minorHAnsi"/>
          <w:bCs/>
          <w:color w:val="000000" w:themeColor="text1"/>
        </w:rPr>
        <w:t xml:space="preserve">). </w:t>
      </w:r>
    </w:p>
    <w:p w14:paraId="222CA3F4" w14:textId="77777777" w:rsidR="003C63E5" w:rsidRPr="003C63E5" w:rsidRDefault="003C63E5" w:rsidP="003C63E5">
      <w:pPr>
        <w:spacing w:line="276" w:lineRule="auto"/>
        <w:rPr>
          <w:rFonts w:cstheme="minorHAnsi"/>
          <w:bCs/>
          <w:color w:val="000000" w:themeColor="text1"/>
        </w:rPr>
      </w:pPr>
    </w:p>
    <w:p w14:paraId="259A8A2E" w14:textId="6D2686D5"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The mentioned balance sheet anchorage (of deposit and balance sheet-linked financial products, as Structured Investment Products) actually represents a somewhat underestimated but actually very effective tool in </w:t>
      </w:r>
      <w:r w:rsidRPr="003C63E5">
        <w:rPr>
          <w:rFonts w:cstheme="minorHAnsi"/>
          <w:b/>
          <w:color w:val="000000" w:themeColor="text1"/>
        </w:rPr>
        <w:t>enhancing the transitioning of the financial sector to a higher ESG quality</w:t>
      </w:r>
      <w:r w:rsidRPr="003C63E5">
        <w:rPr>
          <w:rFonts w:cstheme="minorHAnsi"/>
          <w:bCs/>
          <w:color w:val="000000" w:themeColor="text1"/>
        </w:rPr>
        <w:t xml:space="preserve"> of its business conduct in general. Such effect, to state the obvious, is in line with both, </w:t>
      </w:r>
      <w:r w:rsidR="003D0F19" w:rsidRPr="00B92B63">
        <w:rPr>
          <w:rFonts w:cstheme="minorHAnsi"/>
          <w:bCs/>
          <w:color w:val="000000" w:themeColor="text1"/>
        </w:rPr>
        <w:t xml:space="preserve">the </w:t>
      </w:r>
      <w:r w:rsidRPr="003C63E5">
        <w:rPr>
          <w:rFonts w:cstheme="minorHAnsi"/>
          <w:bCs/>
          <w:color w:val="000000" w:themeColor="text1"/>
        </w:rPr>
        <w:t xml:space="preserve">political goals of almost all OECD countries </w:t>
      </w:r>
      <w:proofErr w:type="gramStart"/>
      <w:r w:rsidRPr="003C63E5">
        <w:rPr>
          <w:rFonts w:cstheme="minorHAnsi"/>
          <w:bCs/>
          <w:color w:val="000000" w:themeColor="text1"/>
        </w:rPr>
        <w:t>and also</w:t>
      </w:r>
      <w:proofErr w:type="gramEnd"/>
      <w:r w:rsidRPr="003C63E5">
        <w:rPr>
          <w:rFonts w:cstheme="minorHAnsi"/>
          <w:bCs/>
          <w:color w:val="000000" w:themeColor="text1"/>
        </w:rPr>
        <w:t xml:space="preserve"> the managerial long-term strategies of all major financial industry participants operating within these. </w:t>
      </w:r>
    </w:p>
    <w:p w14:paraId="34B3C594" w14:textId="430BF4F4" w:rsidR="003C63E5" w:rsidRPr="003C63E5" w:rsidRDefault="0017636E" w:rsidP="003C63E5">
      <w:pPr>
        <w:spacing w:line="276" w:lineRule="auto"/>
        <w:rPr>
          <w:rFonts w:cstheme="minorHAnsi"/>
          <w:bCs/>
          <w:color w:val="000000" w:themeColor="text1"/>
        </w:rPr>
      </w:pPr>
      <w:r w:rsidRPr="00B92B63">
        <w:rPr>
          <w:rFonts w:cstheme="minorHAnsi"/>
          <w:bCs/>
          <w:color w:val="000000" w:themeColor="text1"/>
        </w:rPr>
        <w:t>It should be noted that, u</w:t>
      </w:r>
      <w:r w:rsidR="003C63E5" w:rsidRPr="003C63E5">
        <w:rPr>
          <w:rFonts w:cstheme="minorHAnsi"/>
          <w:bCs/>
          <w:color w:val="000000" w:themeColor="text1"/>
        </w:rPr>
        <w:t xml:space="preserve">nless they are specifically focused on the financial services industry, off-balance sheet financial products such as UCITS funds do </w:t>
      </w:r>
      <w:r w:rsidR="003C63E5" w:rsidRPr="003C63E5">
        <w:rPr>
          <w:rFonts w:cstheme="minorHAnsi"/>
          <w:b/>
          <w:color w:val="000000" w:themeColor="text1"/>
        </w:rPr>
        <w:t>not</w:t>
      </w:r>
      <w:r w:rsidR="003C63E5" w:rsidRPr="003C63E5">
        <w:rPr>
          <w:rFonts w:cstheme="minorHAnsi"/>
          <w:bCs/>
          <w:color w:val="000000" w:themeColor="text1"/>
        </w:rPr>
        <w:t xml:space="preserve"> have this same significance for the financial sector transition towards ESG goals</w:t>
      </w:r>
      <w:r w:rsidR="00211124">
        <w:rPr>
          <w:rFonts w:cstheme="minorHAnsi"/>
          <w:bCs/>
          <w:color w:val="000000" w:themeColor="text1"/>
        </w:rPr>
        <w:t xml:space="preserve"> at large</w:t>
      </w:r>
      <w:r w:rsidR="003C63E5" w:rsidRPr="003C63E5">
        <w:rPr>
          <w:rFonts w:cstheme="minorHAnsi"/>
          <w:bCs/>
          <w:color w:val="000000" w:themeColor="text1"/>
        </w:rPr>
        <w:t>, despite their broad proliferation in retail markets.</w:t>
      </w:r>
    </w:p>
    <w:p w14:paraId="6FAF8173" w14:textId="77777777" w:rsidR="003C63E5" w:rsidRPr="003C63E5" w:rsidRDefault="003C63E5" w:rsidP="003C63E5">
      <w:pPr>
        <w:spacing w:line="276" w:lineRule="auto"/>
        <w:rPr>
          <w:rFonts w:cstheme="minorHAnsi"/>
          <w:bCs/>
          <w:color w:val="000000" w:themeColor="text1"/>
        </w:rPr>
      </w:pPr>
    </w:p>
    <w:p w14:paraId="3B060BF1" w14:textId="37651602"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While there are no agreed global or EU standards yet on how to evaluate the balance sheet of a financial institution on its ESG quality, things constantly evolve through the application of broadly used  ESG ratings and an </w:t>
      </w:r>
      <w:r w:rsidR="00833B1E">
        <w:rPr>
          <w:rFonts w:cstheme="minorHAnsi"/>
          <w:bCs/>
          <w:color w:val="000000" w:themeColor="text1"/>
        </w:rPr>
        <w:t>dynamic</w:t>
      </w:r>
      <w:r w:rsidRPr="003C63E5">
        <w:rPr>
          <w:rFonts w:cstheme="minorHAnsi"/>
          <w:bCs/>
          <w:color w:val="000000" w:themeColor="text1"/>
        </w:rPr>
        <w:t xml:space="preserve"> ESG label landscape (which includes labels, such as the Belgian “Towards Sustainability” label, that already consider the ESG quality of an institution’s balance sheet in product-specific applications). </w:t>
      </w:r>
      <w:bookmarkStart w:id="1" w:name="_Hlk49073548"/>
      <w:r w:rsidRPr="003C63E5">
        <w:rPr>
          <w:rFonts w:cstheme="minorHAnsi"/>
          <w:bCs/>
          <w:color w:val="000000" w:themeColor="text1"/>
        </w:rPr>
        <w:t>A positive evaluation of bond/funding component in above sense</w:t>
      </w:r>
      <w:r w:rsidR="00426344" w:rsidRPr="00B92B63">
        <w:rPr>
          <w:rFonts w:cstheme="minorHAnsi"/>
          <w:bCs/>
          <w:color w:val="000000" w:themeColor="text1"/>
        </w:rPr>
        <w:t>, if</w:t>
      </w:r>
      <w:r w:rsidRPr="003C63E5">
        <w:rPr>
          <w:rFonts w:cstheme="minorHAnsi"/>
          <w:bCs/>
          <w:color w:val="000000" w:themeColor="text1"/>
        </w:rPr>
        <w:t xml:space="preserve"> coupled with a positive ESG evaluation of the underlying reference value accessed through the derivative part, </w:t>
      </w:r>
      <w:r w:rsidRPr="003C63E5">
        <w:rPr>
          <w:rFonts w:cstheme="minorHAnsi"/>
          <w:b/>
          <w:color w:val="000000" w:themeColor="text1"/>
        </w:rPr>
        <w:t>could place the Structured Investment Product into the category of art</w:t>
      </w:r>
      <w:r w:rsidR="002D6771" w:rsidRPr="00B92B63">
        <w:rPr>
          <w:rFonts w:cstheme="minorHAnsi"/>
          <w:b/>
          <w:color w:val="000000" w:themeColor="text1"/>
        </w:rPr>
        <w:t>icle</w:t>
      </w:r>
      <w:r w:rsidRPr="003C63E5">
        <w:rPr>
          <w:rFonts w:cstheme="minorHAnsi"/>
          <w:b/>
          <w:color w:val="000000" w:themeColor="text1"/>
        </w:rPr>
        <w:t xml:space="preserve"> 8 SFDR</w:t>
      </w:r>
      <w:r w:rsidRPr="003C63E5">
        <w:rPr>
          <w:rFonts w:cstheme="minorHAnsi"/>
          <w:bCs/>
          <w:color w:val="000000" w:themeColor="text1"/>
        </w:rPr>
        <w:t>.</w:t>
      </w:r>
      <w:bookmarkEnd w:id="1"/>
    </w:p>
    <w:p w14:paraId="7204FD6E" w14:textId="79E6679A" w:rsidR="003C63E5" w:rsidRPr="00B92B63" w:rsidRDefault="003C63E5" w:rsidP="003C63E5">
      <w:pPr>
        <w:spacing w:line="276" w:lineRule="auto"/>
        <w:rPr>
          <w:rFonts w:cstheme="minorHAnsi"/>
          <w:bCs/>
          <w:color w:val="000000" w:themeColor="text1"/>
        </w:rPr>
      </w:pPr>
    </w:p>
    <w:p w14:paraId="17216CB8" w14:textId="0862D696" w:rsidR="00934741" w:rsidRPr="00B92B63" w:rsidRDefault="00934741" w:rsidP="003C63E5">
      <w:pPr>
        <w:spacing w:line="276" w:lineRule="auto"/>
        <w:rPr>
          <w:rFonts w:cstheme="minorHAnsi"/>
          <w:bCs/>
          <w:color w:val="000000" w:themeColor="text1"/>
        </w:rPr>
      </w:pPr>
      <w:r w:rsidRPr="00B92B63">
        <w:rPr>
          <w:rFonts w:cstheme="minorHAnsi"/>
          <w:bCs/>
          <w:color w:val="000000" w:themeColor="text1"/>
        </w:rPr>
        <w:t xml:space="preserve">(b) </w:t>
      </w:r>
      <w:r w:rsidR="008617BA" w:rsidRPr="00B92B63">
        <w:rPr>
          <w:rFonts w:cstheme="minorHAnsi"/>
          <w:bCs/>
          <w:color w:val="000000" w:themeColor="text1"/>
        </w:rPr>
        <w:t>Funding/bond part invested in g</w:t>
      </w:r>
      <w:r w:rsidRPr="00B92B63">
        <w:rPr>
          <w:rFonts w:cstheme="minorHAnsi"/>
          <w:bCs/>
          <w:color w:val="000000" w:themeColor="text1"/>
        </w:rPr>
        <w:t>reen bond/ringfenced asset</w:t>
      </w:r>
    </w:p>
    <w:p w14:paraId="0EC82C97" w14:textId="77777777" w:rsidR="00934741" w:rsidRPr="003C63E5" w:rsidRDefault="00934741" w:rsidP="003C63E5">
      <w:pPr>
        <w:spacing w:line="276" w:lineRule="auto"/>
        <w:rPr>
          <w:rFonts w:cstheme="minorHAnsi"/>
          <w:bCs/>
          <w:color w:val="000000" w:themeColor="text1"/>
        </w:rPr>
      </w:pPr>
    </w:p>
    <w:p w14:paraId="447B5FD8" w14:textId="77777777"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lastRenderedPageBreak/>
        <w:t>Should the funding/bond part of a Structured Investment Product however not be held on the general balance sheet but rather be invested in a green bond (or a ringfenced ESG asset pool), the ESG impact of the Structured Investment Product is also easily understandable. It should be noted that Structured Investment Products with such a composition can play a significant and also still somewhat underestimated role in alleviating the access of retail investors to green bonds (or ringfenced ESG asset pools held on balance of a financial institution). Both are otherwise rather difficult to invest in by non-professionals.</w:t>
      </w:r>
    </w:p>
    <w:p w14:paraId="4C18B71D" w14:textId="1B412AA3"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A positive evaluation of bond/funding component in above sense, again coupled with a positive ESG evaluation of the underlying reference value accessed through the derivative part, </w:t>
      </w:r>
      <w:r w:rsidRPr="003C63E5">
        <w:rPr>
          <w:rFonts w:cstheme="minorHAnsi"/>
          <w:b/>
          <w:color w:val="000000" w:themeColor="text1"/>
        </w:rPr>
        <w:t>could place the Structured Investment Product into the category of art</w:t>
      </w:r>
      <w:r w:rsidR="003C413D" w:rsidRPr="00B92B63">
        <w:rPr>
          <w:rFonts w:cstheme="minorHAnsi"/>
          <w:b/>
          <w:color w:val="000000" w:themeColor="text1"/>
        </w:rPr>
        <w:t>icle</w:t>
      </w:r>
      <w:r w:rsidRPr="003C63E5">
        <w:rPr>
          <w:rFonts w:cstheme="minorHAnsi"/>
          <w:b/>
          <w:color w:val="000000" w:themeColor="text1"/>
        </w:rPr>
        <w:t xml:space="preserve"> 9 SFDR</w:t>
      </w:r>
      <w:r w:rsidRPr="003C63E5">
        <w:rPr>
          <w:rFonts w:cstheme="minorHAnsi"/>
          <w:bCs/>
          <w:color w:val="000000" w:themeColor="text1"/>
        </w:rPr>
        <w:t>.</w:t>
      </w:r>
    </w:p>
    <w:p w14:paraId="6B359E9C" w14:textId="77777777" w:rsidR="003C63E5" w:rsidRPr="003C63E5" w:rsidRDefault="003C63E5" w:rsidP="003C63E5">
      <w:pPr>
        <w:spacing w:line="276" w:lineRule="auto"/>
        <w:rPr>
          <w:rFonts w:cstheme="minorHAnsi"/>
          <w:bCs/>
          <w:color w:val="000000" w:themeColor="text1"/>
        </w:rPr>
      </w:pPr>
    </w:p>
    <w:p w14:paraId="0312C707" w14:textId="77777777"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As demonstrated, the components of a Structured Investment Product can easily be judged on their ESG quality making it perfectly possible to include these products into the regulatory scope of ESG eligible financial products and the disclosure framework of the SFDR.</w:t>
      </w:r>
    </w:p>
    <w:p w14:paraId="026A10DE" w14:textId="36481980" w:rsidR="003C63E5" w:rsidRPr="00B92B63" w:rsidRDefault="003C63E5" w:rsidP="003C63E5">
      <w:pPr>
        <w:spacing w:line="276" w:lineRule="auto"/>
        <w:rPr>
          <w:rFonts w:cstheme="minorHAnsi"/>
          <w:bCs/>
          <w:color w:val="000000" w:themeColor="text1"/>
        </w:rPr>
      </w:pPr>
    </w:p>
    <w:p w14:paraId="070703F1" w14:textId="77777777" w:rsidR="00675407" w:rsidRPr="00B92B63" w:rsidRDefault="00675407" w:rsidP="003C63E5">
      <w:pPr>
        <w:spacing w:line="276" w:lineRule="auto"/>
        <w:rPr>
          <w:rFonts w:cstheme="minorHAnsi"/>
          <w:bCs/>
          <w:color w:val="000000" w:themeColor="text1"/>
        </w:rPr>
      </w:pPr>
    </w:p>
    <w:p w14:paraId="6D546461" w14:textId="632B007C" w:rsidR="00675407" w:rsidRPr="00B92B63" w:rsidRDefault="00675407" w:rsidP="003C63E5">
      <w:pPr>
        <w:spacing w:line="276" w:lineRule="auto"/>
        <w:rPr>
          <w:rFonts w:cstheme="minorHAnsi"/>
          <w:bCs/>
          <w:color w:val="000000" w:themeColor="text1"/>
        </w:rPr>
      </w:pPr>
      <w:r w:rsidRPr="00B92B63">
        <w:rPr>
          <w:rFonts w:cstheme="minorHAnsi"/>
          <w:bCs/>
          <w:color w:val="000000" w:themeColor="text1"/>
        </w:rPr>
        <w:t>3. Methodological considerations</w:t>
      </w:r>
      <w:r w:rsidR="00894B71" w:rsidRPr="00B92B63">
        <w:rPr>
          <w:rFonts w:cstheme="minorHAnsi"/>
          <w:bCs/>
          <w:color w:val="000000" w:themeColor="text1"/>
        </w:rPr>
        <w:t xml:space="preserve"> (SFDR and MIFID2)</w:t>
      </w:r>
    </w:p>
    <w:p w14:paraId="5C835B08" w14:textId="77777777" w:rsidR="00675407" w:rsidRPr="003C63E5" w:rsidRDefault="00675407" w:rsidP="003C63E5">
      <w:pPr>
        <w:spacing w:line="276" w:lineRule="auto"/>
        <w:rPr>
          <w:rFonts w:cstheme="minorHAnsi"/>
          <w:bCs/>
          <w:color w:val="000000" w:themeColor="text1"/>
        </w:rPr>
      </w:pPr>
    </w:p>
    <w:p w14:paraId="46011AC5" w14:textId="6313B11C" w:rsidR="006D52A5" w:rsidRPr="00B92B63" w:rsidRDefault="003C63E5" w:rsidP="003C63E5">
      <w:pPr>
        <w:spacing w:line="276" w:lineRule="auto"/>
        <w:rPr>
          <w:rFonts w:cstheme="minorHAnsi"/>
          <w:bCs/>
          <w:color w:val="000000" w:themeColor="text1"/>
        </w:rPr>
      </w:pPr>
      <w:r w:rsidRPr="003C63E5">
        <w:rPr>
          <w:rFonts w:cstheme="minorHAnsi"/>
          <w:bCs/>
          <w:color w:val="000000" w:themeColor="text1"/>
        </w:rPr>
        <w:t xml:space="preserve">Beyond these asset class-specific considerations, EUSIPA wishes to draw attention to the need for absolute consistency between the various EU rule-works that regulate the financial product distribution in general with those that deal specifically with ESG issues. </w:t>
      </w:r>
      <w:r w:rsidR="006D52A5" w:rsidRPr="00B92B63">
        <w:rPr>
          <w:rFonts w:cstheme="minorHAnsi"/>
          <w:bCs/>
          <w:color w:val="000000" w:themeColor="text1"/>
        </w:rPr>
        <w:t>Such a consistency does currently not exist.</w:t>
      </w:r>
    </w:p>
    <w:p w14:paraId="3A984131" w14:textId="75FA6C1C" w:rsidR="00505E90" w:rsidRPr="00B92B63" w:rsidRDefault="000473EB" w:rsidP="003C63E5">
      <w:pPr>
        <w:spacing w:line="276" w:lineRule="auto"/>
        <w:rPr>
          <w:rFonts w:cstheme="minorHAnsi"/>
          <w:bCs/>
          <w:color w:val="000000" w:themeColor="text1"/>
        </w:rPr>
      </w:pPr>
      <w:r w:rsidRPr="00B92B63">
        <w:rPr>
          <w:rFonts w:cstheme="minorHAnsi"/>
          <w:bCs/>
          <w:color w:val="000000" w:themeColor="text1"/>
        </w:rPr>
        <w:t>By way of example, t</w:t>
      </w:r>
      <w:r w:rsidR="00496801" w:rsidRPr="00B92B63">
        <w:rPr>
          <w:rFonts w:cstheme="minorHAnsi"/>
          <w:bCs/>
          <w:color w:val="000000" w:themeColor="text1"/>
        </w:rPr>
        <w:t xml:space="preserve">he </w:t>
      </w:r>
      <w:r w:rsidR="00BE7425">
        <w:rPr>
          <w:rFonts w:cstheme="minorHAnsi"/>
          <w:bCs/>
          <w:color w:val="000000" w:themeColor="text1"/>
        </w:rPr>
        <w:t xml:space="preserve">application of ESG-related criteria to the </w:t>
      </w:r>
      <w:r w:rsidR="003C63E5" w:rsidRPr="003C63E5">
        <w:rPr>
          <w:rFonts w:cstheme="minorHAnsi"/>
          <w:bCs/>
          <w:color w:val="000000" w:themeColor="text1"/>
        </w:rPr>
        <w:t xml:space="preserve">target market indication requirement under MIFID2 </w:t>
      </w:r>
      <w:r w:rsidR="00414C4F" w:rsidRPr="00B92B63">
        <w:rPr>
          <w:rFonts w:cstheme="minorHAnsi"/>
          <w:bCs/>
          <w:color w:val="000000" w:themeColor="text1"/>
        </w:rPr>
        <w:t>illustrates</w:t>
      </w:r>
      <w:r w:rsidRPr="00B92B63">
        <w:rPr>
          <w:rFonts w:cstheme="minorHAnsi"/>
          <w:bCs/>
          <w:color w:val="000000" w:themeColor="text1"/>
        </w:rPr>
        <w:t xml:space="preserve"> the</w:t>
      </w:r>
      <w:r w:rsidR="00414C4F" w:rsidRPr="00B92B63">
        <w:rPr>
          <w:rFonts w:cstheme="minorHAnsi"/>
          <w:bCs/>
          <w:color w:val="000000" w:themeColor="text1"/>
        </w:rPr>
        <w:t xml:space="preserve"> consequences of inconsistent rulesets </w:t>
      </w:r>
      <w:r w:rsidRPr="00B92B63">
        <w:rPr>
          <w:rFonts w:cstheme="minorHAnsi"/>
          <w:bCs/>
          <w:color w:val="000000" w:themeColor="text1"/>
        </w:rPr>
        <w:t xml:space="preserve">and </w:t>
      </w:r>
      <w:r w:rsidR="005B6A9F" w:rsidRPr="00B92B63">
        <w:rPr>
          <w:rFonts w:cstheme="minorHAnsi"/>
          <w:bCs/>
          <w:color w:val="000000" w:themeColor="text1"/>
        </w:rPr>
        <w:t xml:space="preserve">is of </w:t>
      </w:r>
      <w:proofErr w:type="gramStart"/>
      <w:r w:rsidR="005B6A9F" w:rsidRPr="00B92B63">
        <w:rPr>
          <w:rFonts w:cstheme="minorHAnsi"/>
          <w:bCs/>
          <w:color w:val="000000" w:themeColor="text1"/>
        </w:rPr>
        <w:t>particular concern</w:t>
      </w:r>
      <w:proofErr w:type="gramEnd"/>
      <w:r w:rsidR="005B6A9F" w:rsidRPr="00B92B63">
        <w:rPr>
          <w:rFonts w:cstheme="minorHAnsi"/>
          <w:bCs/>
          <w:color w:val="000000" w:themeColor="text1"/>
        </w:rPr>
        <w:t xml:space="preserve"> in terms of </w:t>
      </w:r>
      <w:r w:rsidR="003C63E5" w:rsidRPr="003C63E5">
        <w:rPr>
          <w:rFonts w:cstheme="minorHAnsi"/>
          <w:bCs/>
          <w:color w:val="000000" w:themeColor="text1"/>
        </w:rPr>
        <w:t xml:space="preserve">its relation to SFDR </w:t>
      </w:r>
      <w:r w:rsidRPr="00B92B63">
        <w:rPr>
          <w:rFonts w:cstheme="minorHAnsi"/>
          <w:bCs/>
          <w:color w:val="000000" w:themeColor="text1"/>
        </w:rPr>
        <w:t>(RTS) rules</w:t>
      </w:r>
      <w:r w:rsidR="003C63E5" w:rsidRPr="003C63E5">
        <w:rPr>
          <w:rFonts w:cstheme="minorHAnsi"/>
          <w:bCs/>
          <w:color w:val="000000" w:themeColor="text1"/>
        </w:rPr>
        <w:t>.</w:t>
      </w:r>
    </w:p>
    <w:p w14:paraId="3A15C667" w14:textId="02E231AC"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 xml:space="preserve"> </w:t>
      </w:r>
    </w:p>
    <w:p w14:paraId="70693F44" w14:textId="5918DD8E" w:rsidR="003C63E5" w:rsidRPr="00B92B63" w:rsidRDefault="003C63E5" w:rsidP="003C63E5">
      <w:pPr>
        <w:spacing w:line="276" w:lineRule="auto"/>
        <w:rPr>
          <w:rFonts w:cstheme="minorHAnsi"/>
          <w:bCs/>
          <w:color w:val="000000" w:themeColor="text1"/>
        </w:rPr>
      </w:pPr>
      <w:r w:rsidRPr="003C63E5">
        <w:rPr>
          <w:rFonts w:cstheme="minorHAnsi"/>
          <w:bCs/>
          <w:color w:val="000000" w:themeColor="text1"/>
        </w:rPr>
        <w:t>Insofar as SFDR provisions are either directly referred to by MIFID2 (</w:t>
      </w:r>
      <w:r w:rsidR="00505E90" w:rsidRPr="00B92B63">
        <w:rPr>
          <w:rFonts w:cstheme="minorHAnsi"/>
          <w:bCs/>
          <w:color w:val="000000" w:themeColor="text1"/>
        </w:rPr>
        <w:t xml:space="preserve">delegated acts and related </w:t>
      </w:r>
      <w:r w:rsidRPr="003C63E5">
        <w:rPr>
          <w:rFonts w:cstheme="minorHAnsi"/>
          <w:bCs/>
          <w:color w:val="000000" w:themeColor="text1"/>
        </w:rPr>
        <w:t xml:space="preserve">RTS) or as, alternatively, </w:t>
      </w:r>
      <w:r w:rsidR="00FB034F" w:rsidRPr="00B92B63">
        <w:rPr>
          <w:rFonts w:cstheme="minorHAnsi"/>
          <w:bCs/>
          <w:color w:val="000000" w:themeColor="text1"/>
        </w:rPr>
        <w:t xml:space="preserve">SFDR </w:t>
      </w:r>
      <w:r w:rsidRPr="003C63E5">
        <w:rPr>
          <w:rFonts w:cstheme="minorHAnsi"/>
          <w:bCs/>
          <w:color w:val="000000" w:themeColor="text1"/>
        </w:rPr>
        <w:t xml:space="preserve">principles are being </w:t>
      </w:r>
      <w:r w:rsidR="009532AB" w:rsidRPr="00B92B63">
        <w:rPr>
          <w:rFonts w:cstheme="minorHAnsi"/>
          <w:bCs/>
          <w:color w:val="000000" w:themeColor="text1"/>
        </w:rPr>
        <w:t xml:space="preserve">loosely </w:t>
      </w:r>
      <w:r w:rsidR="005412C7" w:rsidRPr="00B92B63">
        <w:rPr>
          <w:rFonts w:cstheme="minorHAnsi"/>
          <w:bCs/>
          <w:color w:val="000000" w:themeColor="text1"/>
        </w:rPr>
        <w:t xml:space="preserve">referenced </w:t>
      </w:r>
      <w:r w:rsidR="009D496B" w:rsidRPr="00B92B63">
        <w:rPr>
          <w:rFonts w:cstheme="minorHAnsi"/>
          <w:bCs/>
          <w:color w:val="000000" w:themeColor="text1"/>
        </w:rPr>
        <w:t xml:space="preserve">under MIFID2 </w:t>
      </w:r>
      <w:r w:rsidRPr="003C63E5">
        <w:rPr>
          <w:rFonts w:cstheme="minorHAnsi"/>
          <w:bCs/>
          <w:color w:val="000000" w:themeColor="text1"/>
        </w:rPr>
        <w:t>to determine ESG aspects of financial products for the target market indication, the exclusion of specific asset classes (under SFDR) collides with a fundamental principle of the MIFID2/MIFIR framework which does at no end prefer or rank a specific financial product type (or asset class) over the other.</w:t>
      </w:r>
    </w:p>
    <w:p w14:paraId="29F86DCD" w14:textId="77777777" w:rsidR="005412C7" w:rsidRPr="003C63E5" w:rsidRDefault="005412C7" w:rsidP="003C63E5">
      <w:pPr>
        <w:spacing w:line="276" w:lineRule="auto"/>
        <w:rPr>
          <w:rFonts w:cstheme="minorHAnsi"/>
          <w:bCs/>
          <w:color w:val="000000" w:themeColor="text1"/>
        </w:rPr>
      </w:pPr>
    </w:p>
    <w:p w14:paraId="7C647E32" w14:textId="48A15E17" w:rsidR="005F361C" w:rsidRDefault="003C63E5" w:rsidP="003C63E5">
      <w:pPr>
        <w:spacing w:line="276" w:lineRule="auto"/>
        <w:rPr>
          <w:rFonts w:cstheme="minorHAnsi"/>
          <w:bCs/>
          <w:color w:val="000000" w:themeColor="text1"/>
        </w:rPr>
      </w:pPr>
      <w:r w:rsidRPr="003C63E5">
        <w:rPr>
          <w:rFonts w:cstheme="minorHAnsi"/>
          <w:bCs/>
          <w:color w:val="000000" w:themeColor="text1"/>
        </w:rPr>
        <w:t>Ignoring this correlation runs the danger that ESG financial products which the SFDR does not</w:t>
      </w:r>
      <w:r w:rsidR="0062796A">
        <w:rPr>
          <w:rFonts w:cstheme="minorHAnsi"/>
          <w:bCs/>
          <w:color w:val="000000" w:themeColor="text1"/>
        </w:rPr>
        <w:t xml:space="preserve">, not clearly </w:t>
      </w:r>
      <w:r w:rsidRPr="003C63E5">
        <w:rPr>
          <w:rFonts w:cstheme="minorHAnsi"/>
          <w:bCs/>
          <w:color w:val="000000" w:themeColor="text1"/>
        </w:rPr>
        <w:t>or only insufficiently deal with, are simply not offered anymore to investors interested in an ESG investment</w:t>
      </w:r>
      <w:r w:rsidR="00432920" w:rsidRPr="00B92B63">
        <w:rPr>
          <w:rFonts w:cstheme="minorHAnsi"/>
          <w:bCs/>
          <w:color w:val="000000" w:themeColor="text1"/>
        </w:rPr>
        <w:t xml:space="preserve">, </w:t>
      </w:r>
      <w:r w:rsidR="00432920" w:rsidRPr="00B92B63">
        <w:rPr>
          <w:rFonts w:cstheme="minorHAnsi"/>
          <w:b/>
          <w:color w:val="000000" w:themeColor="text1"/>
        </w:rPr>
        <w:t>as financial market participants will worry about th</w:t>
      </w:r>
      <w:r w:rsidR="005F361C" w:rsidRPr="00B92B63">
        <w:rPr>
          <w:rFonts w:cstheme="minorHAnsi"/>
          <w:b/>
          <w:color w:val="000000" w:themeColor="text1"/>
        </w:rPr>
        <w:t>e</w:t>
      </w:r>
      <w:r w:rsidR="00432920" w:rsidRPr="00B92B63">
        <w:rPr>
          <w:rFonts w:cstheme="minorHAnsi"/>
          <w:b/>
          <w:color w:val="000000" w:themeColor="text1"/>
        </w:rPr>
        <w:t xml:space="preserve"> MIFID</w:t>
      </w:r>
      <w:r w:rsidR="005F361C" w:rsidRPr="00B92B63">
        <w:rPr>
          <w:rFonts w:cstheme="minorHAnsi"/>
          <w:b/>
          <w:color w:val="000000" w:themeColor="text1"/>
        </w:rPr>
        <w:t>2</w:t>
      </w:r>
      <w:r w:rsidR="00432920" w:rsidRPr="00B92B63">
        <w:rPr>
          <w:rFonts w:cstheme="minorHAnsi"/>
          <w:b/>
          <w:color w:val="000000" w:themeColor="text1"/>
        </w:rPr>
        <w:t xml:space="preserve"> compliance</w:t>
      </w:r>
      <w:r w:rsidR="005F361C" w:rsidRPr="00B92B63">
        <w:rPr>
          <w:rFonts w:cstheme="minorHAnsi"/>
          <w:b/>
          <w:color w:val="000000" w:themeColor="text1"/>
        </w:rPr>
        <w:t xml:space="preserve"> of their business activities</w:t>
      </w:r>
      <w:r w:rsidRPr="003C63E5">
        <w:rPr>
          <w:rFonts w:cstheme="minorHAnsi"/>
          <w:bCs/>
          <w:color w:val="000000" w:themeColor="text1"/>
        </w:rPr>
        <w:t xml:space="preserve">. </w:t>
      </w:r>
    </w:p>
    <w:p w14:paraId="71A36F32" w14:textId="3887EF4C" w:rsidR="0062796A" w:rsidRDefault="00E52AE8" w:rsidP="003C63E5">
      <w:pPr>
        <w:spacing w:line="276" w:lineRule="auto"/>
        <w:rPr>
          <w:rFonts w:cstheme="minorHAnsi"/>
          <w:bCs/>
          <w:color w:val="000000" w:themeColor="text1"/>
        </w:rPr>
      </w:pPr>
      <w:r w:rsidRPr="003C63E5">
        <w:rPr>
          <w:rFonts w:cstheme="minorHAnsi"/>
          <w:bCs/>
          <w:color w:val="000000" w:themeColor="text1"/>
        </w:rPr>
        <w:t xml:space="preserve">(We also hint in this context at the joint letter sent by major EU associations on 23 July 2020 to the EU Commission addressing MIFID draft RTS references made in an inconsistent way to specific SFDR definitions / </w:t>
      </w:r>
      <w:hyperlink r:id="rId22" w:history="1">
        <w:r w:rsidRPr="003C63E5">
          <w:rPr>
            <w:rFonts w:cstheme="minorHAnsi"/>
            <w:bCs/>
            <w:color w:val="000000" w:themeColor="text1"/>
            <w:u w:val="single"/>
          </w:rPr>
          <w:t>link</w:t>
        </w:r>
      </w:hyperlink>
      <w:r w:rsidRPr="003C63E5">
        <w:rPr>
          <w:rFonts w:cstheme="minorHAnsi"/>
          <w:bCs/>
          <w:color w:val="000000" w:themeColor="text1"/>
        </w:rPr>
        <w:t>.)</w:t>
      </w:r>
    </w:p>
    <w:p w14:paraId="51F4122C" w14:textId="77777777" w:rsidR="00E52AE8" w:rsidRPr="00B92B63" w:rsidRDefault="00E52AE8" w:rsidP="003C63E5">
      <w:pPr>
        <w:spacing w:line="276" w:lineRule="auto"/>
        <w:rPr>
          <w:rFonts w:cstheme="minorHAnsi"/>
          <w:bCs/>
          <w:color w:val="000000" w:themeColor="text1"/>
        </w:rPr>
      </w:pPr>
    </w:p>
    <w:p w14:paraId="10AD14CF" w14:textId="1F7EBD3F" w:rsidR="003C63E5" w:rsidRPr="003C63E5" w:rsidRDefault="0062796A" w:rsidP="003C63E5">
      <w:pPr>
        <w:spacing w:line="276" w:lineRule="auto"/>
        <w:rPr>
          <w:rFonts w:cstheme="minorHAnsi"/>
          <w:bCs/>
          <w:color w:val="000000" w:themeColor="text1"/>
        </w:rPr>
      </w:pPr>
      <w:r>
        <w:rPr>
          <w:rFonts w:cstheme="minorHAnsi"/>
          <w:bCs/>
          <w:color w:val="000000" w:themeColor="text1"/>
        </w:rPr>
        <w:t>Beyond the unjustified exclusion of Structured Investment Products</w:t>
      </w:r>
      <w:r w:rsidR="00E52AE8">
        <w:rPr>
          <w:rFonts w:cstheme="minorHAnsi"/>
          <w:bCs/>
          <w:color w:val="000000" w:themeColor="text1"/>
        </w:rPr>
        <w:t xml:space="preserve"> from the SFDR’s scope</w:t>
      </w:r>
      <w:r>
        <w:rPr>
          <w:rFonts w:cstheme="minorHAnsi"/>
          <w:bCs/>
          <w:color w:val="000000" w:themeColor="text1"/>
        </w:rPr>
        <w:t>, above</w:t>
      </w:r>
      <w:r w:rsidR="005F361C" w:rsidRPr="00B92B63">
        <w:rPr>
          <w:rFonts w:cstheme="minorHAnsi"/>
          <w:bCs/>
          <w:color w:val="000000" w:themeColor="text1"/>
        </w:rPr>
        <w:t xml:space="preserve"> legal inconsistency </w:t>
      </w:r>
      <w:r w:rsidR="003C63E5" w:rsidRPr="003C63E5">
        <w:rPr>
          <w:rFonts w:cstheme="minorHAnsi"/>
          <w:bCs/>
          <w:color w:val="000000" w:themeColor="text1"/>
        </w:rPr>
        <w:t>would</w:t>
      </w:r>
      <w:r w:rsidR="005F361C" w:rsidRPr="00B92B63">
        <w:rPr>
          <w:rFonts w:cstheme="minorHAnsi"/>
          <w:bCs/>
          <w:color w:val="000000" w:themeColor="text1"/>
        </w:rPr>
        <w:t xml:space="preserve"> thus further</w:t>
      </w:r>
      <w:r w:rsidR="003C63E5" w:rsidRPr="003C63E5">
        <w:rPr>
          <w:rFonts w:cstheme="minorHAnsi"/>
          <w:bCs/>
          <w:color w:val="000000" w:themeColor="text1"/>
        </w:rPr>
        <w:t xml:space="preserve"> substantially hinder the emergence of a level-playing field for ESG products in the EU. </w:t>
      </w:r>
    </w:p>
    <w:p w14:paraId="5B03FB7A" w14:textId="116C7EE2" w:rsidR="003C63E5" w:rsidRPr="00B92B63" w:rsidRDefault="003C63E5" w:rsidP="003C63E5">
      <w:pPr>
        <w:spacing w:line="276" w:lineRule="auto"/>
        <w:rPr>
          <w:rFonts w:cstheme="minorHAnsi"/>
          <w:bCs/>
          <w:color w:val="000000" w:themeColor="text1"/>
        </w:rPr>
      </w:pPr>
    </w:p>
    <w:p w14:paraId="0A4C5449" w14:textId="77777777" w:rsidR="00186A67" w:rsidRPr="00B92B63" w:rsidRDefault="00186A67" w:rsidP="003C63E5">
      <w:pPr>
        <w:spacing w:line="276" w:lineRule="auto"/>
        <w:rPr>
          <w:rFonts w:cstheme="minorHAnsi"/>
          <w:bCs/>
          <w:color w:val="000000" w:themeColor="text1"/>
        </w:rPr>
      </w:pPr>
    </w:p>
    <w:p w14:paraId="27CBBBB2" w14:textId="70A12657" w:rsidR="00894B71" w:rsidRPr="00B92B63" w:rsidRDefault="00186A67" w:rsidP="003C63E5">
      <w:pPr>
        <w:spacing w:line="276" w:lineRule="auto"/>
        <w:rPr>
          <w:rFonts w:cstheme="minorHAnsi"/>
          <w:bCs/>
          <w:color w:val="000000" w:themeColor="text1"/>
        </w:rPr>
      </w:pPr>
      <w:r w:rsidRPr="00B92B63">
        <w:rPr>
          <w:rFonts w:cstheme="minorHAnsi"/>
          <w:bCs/>
          <w:color w:val="000000" w:themeColor="text1"/>
        </w:rPr>
        <w:t>4. Conclusion</w:t>
      </w:r>
    </w:p>
    <w:p w14:paraId="7148D050" w14:textId="77777777" w:rsidR="00186A67" w:rsidRPr="003C63E5" w:rsidRDefault="00186A67" w:rsidP="003C63E5">
      <w:pPr>
        <w:spacing w:line="276" w:lineRule="auto"/>
        <w:rPr>
          <w:rFonts w:cstheme="minorHAnsi"/>
          <w:bCs/>
          <w:color w:val="000000" w:themeColor="text1"/>
        </w:rPr>
      </w:pPr>
    </w:p>
    <w:p w14:paraId="42D34C97" w14:textId="6E4DCE54" w:rsidR="003C63E5" w:rsidRPr="003C63E5" w:rsidRDefault="003C63E5" w:rsidP="003C63E5">
      <w:pPr>
        <w:spacing w:line="276" w:lineRule="auto"/>
        <w:rPr>
          <w:rFonts w:cstheme="minorHAnsi"/>
          <w:bCs/>
          <w:color w:val="000000" w:themeColor="text1"/>
        </w:rPr>
      </w:pPr>
      <w:r w:rsidRPr="003C63E5">
        <w:rPr>
          <w:rFonts w:cstheme="minorHAnsi"/>
          <w:bCs/>
          <w:color w:val="000000" w:themeColor="text1"/>
        </w:rPr>
        <w:t>Following these arguments, EUSIPA wishes to conclude that Structured Investment Products should be strictly made part of the asset landscape potentially eligible for a positive sustainability assessment under the various EU regulatory frameworks, which for the reasons outlined above must also extend to the SFDR</w:t>
      </w:r>
      <w:r w:rsidR="002D5767" w:rsidRPr="00B92B63">
        <w:rPr>
          <w:rFonts w:cstheme="minorHAnsi"/>
          <w:bCs/>
          <w:color w:val="000000" w:themeColor="text1"/>
        </w:rPr>
        <w:t xml:space="preserve"> (and its RTS)</w:t>
      </w:r>
      <w:r w:rsidRPr="003C63E5">
        <w:rPr>
          <w:rFonts w:cstheme="minorHAnsi"/>
          <w:bCs/>
          <w:color w:val="000000" w:themeColor="text1"/>
        </w:rPr>
        <w:t xml:space="preserve">. </w:t>
      </w:r>
    </w:p>
    <w:p w14:paraId="647A4FBC" w14:textId="77777777" w:rsidR="003C63E5" w:rsidRPr="003C63E5" w:rsidRDefault="003C63E5" w:rsidP="003C63E5">
      <w:pPr>
        <w:rPr>
          <w:color w:val="000000" w:themeColor="text1"/>
        </w:rPr>
      </w:pPr>
    </w:p>
    <w:p w14:paraId="5CBE833E" w14:textId="0B7F4462" w:rsidR="008A7714" w:rsidRDefault="003C63E5" w:rsidP="00B14335">
      <w:pPr>
        <w:spacing w:line="276" w:lineRule="auto"/>
        <w:rPr>
          <w:color w:val="000000" w:themeColor="text1"/>
        </w:rPr>
      </w:pPr>
      <w:r w:rsidRPr="003C63E5">
        <w:rPr>
          <w:color w:val="000000" w:themeColor="text1"/>
        </w:rPr>
        <w:t>Finally, we understand that the final RTS will not be ready by end 2020. This makes the timing of March 2021 for the SFDR to come into effect particularly ambitious given the issues of data availability and the time needed by financial market participants</w:t>
      </w:r>
      <w:r w:rsidR="00417A42">
        <w:rPr>
          <w:color w:val="000000" w:themeColor="text1"/>
        </w:rPr>
        <w:t xml:space="preserve"> to adapt</w:t>
      </w:r>
      <w:r w:rsidRPr="003C63E5">
        <w:rPr>
          <w:color w:val="000000" w:themeColor="text1"/>
        </w:rPr>
        <w:t>. Also for this reason we would encourage the institutions to reconsider the scope of the SFDR, amending it probably by way of a quick-fix</w:t>
      </w:r>
      <w:r w:rsidR="004E0057" w:rsidRPr="00B92B63">
        <w:rPr>
          <w:color w:val="000000" w:themeColor="text1"/>
        </w:rPr>
        <w:t xml:space="preserve"> to be initiated, it being understood, by the EU Commission</w:t>
      </w:r>
      <w:r w:rsidR="00417A42">
        <w:rPr>
          <w:color w:val="000000" w:themeColor="text1"/>
        </w:rPr>
        <w:t xml:space="preserve"> but probably recommended and supported by the European Supervisory Authorities</w:t>
      </w:r>
      <w:r w:rsidRPr="003C63E5">
        <w:rPr>
          <w:color w:val="000000" w:themeColor="text1"/>
        </w:rPr>
        <w:t>.</w:t>
      </w:r>
    </w:p>
    <w:p w14:paraId="2C6F168E" w14:textId="699C436A" w:rsidR="00B14335" w:rsidRDefault="00B14335" w:rsidP="00B14335">
      <w:pPr>
        <w:spacing w:line="276" w:lineRule="auto"/>
        <w:rPr>
          <w:color w:val="000000" w:themeColor="text1"/>
        </w:rPr>
      </w:pPr>
    </w:p>
    <w:p w14:paraId="2AD327BB" w14:textId="479D9EDB" w:rsidR="00B14335" w:rsidRPr="005A7E07" w:rsidRDefault="00210430" w:rsidP="00B14335">
      <w:pPr>
        <w:spacing w:line="276" w:lineRule="auto"/>
        <w:rPr>
          <w:color w:val="000000" w:themeColor="text1"/>
        </w:rPr>
      </w:pPr>
      <w:r w:rsidRPr="005A7E07">
        <w:rPr>
          <w:rFonts w:cstheme="minorHAnsi"/>
          <w:color w:val="000000" w:themeColor="text1"/>
        </w:rPr>
        <w:t>Should</w:t>
      </w:r>
      <w:r w:rsidR="00B14335" w:rsidRPr="005A7E07">
        <w:rPr>
          <w:rFonts w:cstheme="minorHAnsi"/>
          <w:color w:val="000000" w:themeColor="text1"/>
        </w:rPr>
        <w:t xml:space="preserve"> the E</w:t>
      </w:r>
      <w:r w:rsidR="00981CC8" w:rsidRPr="005A7E07">
        <w:rPr>
          <w:rFonts w:cstheme="minorHAnsi"/>
          <w:color w:val="000000" w:themeColor="text1"/>
        </w:rPr>
        <w:t xml:space="preserve">SAs and EU Commission </w:t>
      </w:r>
      <w:r w:rsidR="00B14335" w:rsidRPr="005A7E07">
        <w:rPr>
          <w:rFonts w:cstheme="minorHAnsi"/>
          <w:color w:val="000000" w:themeColor="text1"/>
        </w:rPr>
        <w:t xml:space="preserve">not </w:t>
      </w:r>
      <w:r w:rsidR="00981CC8" w:rsidRPr="005A7E07">
        <w:rPr>
          <w:rFonts w:cstheme="minorHAnsi"/>
          <w:color w:val="000000" w:themeColor="text1"/>
        </w:rPr>
        <w:t>be in</w:t>
      </w:r>
      <w:r w:rsidR="00B14335" w:rsidRPr="005A7E07">
        <w:rPr>
          <w:rFonts w:cstheme="minorHAnsi"/>
          <w:color w:val="000000" w:themeColor="text1"/>
        </w:rPr>
        <w:t xml:space="preserve"> a position to </w:t>
      </w:r>
      <w:r w:rsidR="00981CC8" w:rsidRPr="005A7E07">
        <w:rPr>
          <w:rFonts w:cstheme="minorHAnsi"/>
          <w:color w:val="000000" w:themeColor="text1"/>
        </w:rPr>
        <w:t>initiate or support a quick-fix of the SFDR</w:t>
      </w:r>
      <w:r w:rsidR="00B14335" w:rsidRPr="005A7E07">
        <w:rPr>
          <w:rFonts w:cstheme="minorHAnsi"/>
          <w:color w:val="000000" w:themeColor="text1"/>
        </w:rPr>
        <w:t xml:space="preserve">, we </w:t>
      </w:r>
      <w:r w:rsidR="00981CC8" w:rsidRPr="005A7E07">
        <w:rPr>
          <w:rFonts w:cstheme="minorHAnsi"/>
          <w:color w:val="000000" w:themeColor="text1"/>
        </w:rPr>
        <w:t xml:space="preserve">would suggest to </w:t>
      </w:r>
      <w:r w:rsidR="00B14335" w:rsidRPr="005A7E07">
        <w:rPr>
          <w:rFonts w:cstheme="minorHAnsi"/>
          <w:color w:val="000000" w:themeColor="text1"/>
        </w:rPr>
        <w:t xml:space="preserve">follow </w:t>
      </w:r>
      <w:r w:rsidR="00981CC8" w:rsidRPr="005A7E07">
        <w:rPr>
          <w:rFonts w:cstheme="minorHAnsi"/>
          <w:color w:val="000000" w:themeColor="text1"/>
        </w:rPr>
        <w:t xml:space="preserve">already today </w:t>
      </w:r>
      <w:r w:rsidR="00B14335" w:rsidRPr="005A7E07">
        <w:rPr>
          <w:rFonts w:cstheme="minorHAnsi"/>
          <w:color w:val="000000" w:themeColor="text1"/>
        </w:rPr>
        <w:t xml:space="preserve">an “open architecture” </w:t>
      </w:r>
      <w:r w:rsidR="00981CC8" w:rsidRPr="005A7E07">
        <w:rPr>
          <w:rFonts w:cstheme="minorHAnsi"/>
          <w:color w:val="000000" w:themeColor="text1"/>
        </w:rPr>
        <w:t xml:space="preserve">principle by which </w:t>
      </w:r>
      <w:r w:rsidR="00B14335" w:rsidRPr="005A7E07">
        <w:rPr>
          <w:rFonts w:cstheme="minorHAnsi"/>
          <w:color w:val="000000" w:themeColor="text1"/>
        </w:rPr>
        <w:t xml:space="preserve">the </w:t>
      </w:r>
      <w:r w:rsidR="00EE1B43" w:rsidRPr="005A7E07">
        <w:rPr>
          <w:rFonts w:cstheme="minorHAnsi"/>
          <w:color w:val="000000" w:themeColor="text1"/>
        </w:rPr>
        <w:t>SFDR</w:t>
      </w:r>
      <w:r w:rsidR="00B14335" w:rsidRPr="005A7E07">
        <w:rPr>
          <w:rFonts w:cstheme="minorHAnsi"/>
          <w:color w:val="000000" w:themeColor="text1"/>
        </w:rPr>
        <w:t xml:space="preserve"> RTS </w:t>
      </w:r>
      <w:r w:rsidR="00EE1B43" w:rsidRPr="005A7E07">
        <w:rPr>
          <w:rFonts w:cstheme="minorHAnsi"/>
          <w:color w:val="000000" w:themeColor="text1"/>
        </w:rPr>
        <w:t>are being kept open to</w:t>
      </w:r>
      <w:r w:rsidR="00B14335" w:rsidRPr="005A7E07">
        <w:rPr>
          <w:rFonts w:cstheme="minorHAnsi"/>
          <w:color w:val="000000" w:themeColor="text1"/>
        </w:rPr>
        <w:t xml:space="preserve"> new legislative development</w:t>
      </w:r>
      <w:r w:rsidR="00EE1B43" w:rsidRPr="005A7E07">
        <w:rPr>
          <w:rFonts w:cstheme="minorHAnsi"/>
          <w:color w:val="000000" w:themeColor="text1"/>
        </w:rPr>
        <w:t>s</w:t>
      </w:r>
      <w:r w:rsidR="00B14335" w:rsidRPr="005A7E07">
        <w:rPr>
          <w:rFonts w:cstheme="minorHAnsi"/>
          <w:color w:val="000000" w:themeColor="text1"/>
        </w:rPr>
        <w:t xml:space="preserve"> at Level 1, </w:t>
      </w:r>
      <w:r w:rsidR="00EE1B43" w:rsidRPr="005A7E07">
        <w:rPr>
          <w:rFonts w:cstheme="minorHAnsi"/>
          <w:color w:val="000000" w:themeColor="text1"/>
        </w:rPr>
        <w:t>in particular with regard</w:t>
      </w:r>
      <w:r w:rsidR="00914532" w:rsidRPr="005A7E07">
        <w:rPr>
          <w:rFonts w:cstheme="minorHAnsi"/>
          <w:color w:val="000000" w:themeColor="text1"/>
        </w:rPr>
        <w:t xml:space="preserve"> to the scope of the SFDR and the inclusion of further asset classes. This would deprive the ESAs of the need to recalibrate the RTS at a later point</w:t>
      </w:r>
      <w:r w:rsidR="00CC7C24" w:rsidRPr="005A7E07">
        <w:rPr>
          <w:rFonts w:cstheme="minorHAnsi"/>
          <w:color w:val="000000" w:themeColor="text1"/>
        </w:rPr>
        <w:t xml:space="preserve"> </w:t>
      </w:r>
      <w:r w:rsidR="007552EA" w:rsidRPr="005A7E07">
        <w:rPr>
          <w:rFonts w:cstheme="minorHAnsi"/>
          <w:color w:val="000000" w:themeColor="text1"/>
        </w:rPr>
        <w:t>through cumbersome redrafting of specific rules</w:t>
      </w:r>
      <w:r w:rsidR="00842737" w:rsidRPr="005A7E07">
        <w:rPr>
          <w:rFonts w:cstheme="minorHAnsi"/>
          <w:color w:val="000000" w:themeColor="text1"/>
        </w:rPr>
        <w:t xml:space="preserve"> and </w:t>
      </w:r>
      <w:r w:rsidR="00CC7C24" w:rsidRPr="005A7E07">
        <w:rPr>
          <w:rFonts w:cstheme="minorHAnsi"/>
          <w:color w:val="000000" w:themeColor="text1"/>
        </w:rPr>
        <w:t>giv</w:t>
      </w:r>
      <w:r w:rsidR="00842737" w:rsidRPr="005A7E07">
        <w:rPr>
          <w:rFonts w:cstheme="minorHAnsi"/>
          <w:color w:val="000000" w:themeColor="text1"/>
        </w:rPr>
        <w:t>e</w:t>
      </w:r>
      <w:r w:rsidR="00CC7C24" w:rsidRPr="005A7E07">
        <w:rPr>
          <w:rFonts w:cstheme="minorHAnsi"/>
          <w:color w:val="000000" w:themeColor="text1"/>
        </w:rPr>
        <w:t xml:space="preserve"> the SFDR a</w:t>
      </w:r>
      <w:r w:rsidR="0005176E" w:rsidRPr="005A7E07">
        <w:rPr>
          <w:rFonts w:cstheme="minorHAnsi"/>
          <w:color w:val="000000" w:themeColor="text1"/>
        </w:rPr>
        <w:t xml:space="preserve"> forward-looking </w:t>
      </w:r>
      <w:r w:rsidR="007552EA" w:rsidRPr="005A7E07">
        <w:rPr>
          <w:rFonts w:cstheme="minorHAnsi"/>
          <w:color w:val="000000" w:themeColor="text1"/>
        </w:rPr>
        <w:t>character render</w:t>
      </w:r>
      <w:r w:rsidR="00842737" w:rsidRPr="005A7E07">
        <w:rPr>
          <w:rFonts w:cstheme="minorHAnsi"/>
          <w:color w:val="000000" w:themeColor="text1"/>
        </w:rPr>
        <w:t>ing</w:t>
      </w:r>
      <w:r w:rsidR="007552EA" w:rsidRPr="005A7E07">
        <w:rPr>
          <w:rFonts w:cstheme="minorHAnsi"/>
          <w:color w:val="000000" w:themeColor="text1"/>
        </w:rPr>
        <w:t xml:space="preserve"> the ruleset </w:t>
      </w:r>
      <w:proofErr w:type="gramStart"/>
      <w:r w:rsidR="007552EA" w:rsidRPr="005A7E07">
        <w:rPr>
          <w:rFonts w:cstheme="minorHAnsi"/>
          <w:color w:val="000000" w:themeColor="text1"/>
        </w:rPr>
        <w:t xml:space="preserve">in itself </w:t>
      </w:r>
      <w:r w:rsidR="0005176E" w:rsidRPr="005A7E07">
        <w:rPr>
          <w:rFonts w:cstheme="minorHAnsi"/>
          <w:color w:val="000000" w:themeColor="text1"/>
        </w:rPr>
        <w:t>more</w:t>
      </w:r>
      <w:proofErr w:type="gramEnd"/>
      <w:r w:rsidR="0005176E" w:rsidRPr="005A7E07">
        <w:rPr>
          <w:rFonts w:cstheme="minorHAnsi"/>
          <w:color w:val="000000" w:themeColor="text1"/>
        </w:rPr>
        <w:t xml:space="preserve"> “sustainable</w:t>
      </w:r>
      <w:r w:rsidR="0015109C" w:rsidRPr="005A7E07">
        <w:rPr>
          <w:rFonts w:cstheme="minorHAnsi"/>
          <w:color w:val="000000" w:themeColor="text1"/>
        </w:rPr>
        <w:t>”</w:t>
      </w:r>
      <w:r w:rsidR="00B14335" w:rsidRPr="005A7E07">
        <w:rPr>
          <w:rFonts w:cstheme="minorHAnsi"/>
          <w:color w:val="000000" w:themeColor="text1"/>
        </w:rPr>
        <w:t xml:space="preserve">. </w:t>
      </w:r>
      <w:r w:rsidR="00F270DE" w:rsidRPr="005A7E07">
        <w:rPr>
          <w:rFonts w:cstheme="minorHAnsi"/>
          <w:color w:val="000000" w:themeColor="text1"/>
        </w:rPr>
        <w:t xml:space="preserve">The highly dynamic ESG landscape will surely bring about in the short term </w:t>
      </w:r>
      <w:proofErr w:type="gramStart"/>
      <w:r w:rsidR="00F270DE" w:rsidRPr="005A7E07">
        <w:rPr>
          <w:rFonts w:cstheme="minorHAnsi"/>
          <w:color w:val="000000" w:themeColor="text1"/>
        </w:rPr>
        <w:t>a number of</w:t>
      </w:r>
      <w:proofErr w:type="gramEnd"/>
      <w:r w:rsidR="00F270DE" w:rsidRPr="005A7E07">
        <w:rPr>
          <w:rFonts w:cstheme="minorHAnsi"/>
          <w:color w:val="000000" w:themeColor="text1"/>
        </w:rPr>
        <w:t xml:space="preserve"> change requests to legal provisions including the SFDR which are likely to result in the inclusion of not yet covered products/asset classes. For this </w:t>
      </w:r>
      <w:proofErr w:type="gramStart"/>
      <w:r w:rsidR="00F270DE" w:rsidRPr="005A7E07">
        <w:rPr>
          <w:rFonts w:cstheme="minorHAnsi"/>
          <w:color w:val="000000" w:themeColor="text1"/>
        </w:rPr>
        <w:t>reason</w:t>
      </w:r>
      <w:proofErr w:type="gramEnd"/>
      <w:r w:rsidR="00F270DE" w:rsidRPr="005A7E07">
        <w:rPr>
          <w:rFonts w:cstheme="minorHAnsi"/>
          <w:color w:val="000000" w:themeColor="text1"/>
        </w:rPr>
        <w:t xml:space="preserve"> any advance consideration of such changes caters for a clear future need and thus brings a tremendous added value to the quality of ESG-related regulation and relevant markets.</w:t>
      </w:r>
    </w:p>
    <w:p w14:paraId="2F5879F1" w14:textId="77777777" w:rsidR="00B14335" w:rsidRPr="00B14335" w:rsidRDefault="00B14335" w:rsidP="00B14335">
      <w:pPr>
        <w:spacing w:line="276" w:lineRule="auto"/>
        <w:rPr>
          <w:color w:val="000000" w:themeColor="text1"/>
        </w:rPr>
      </w:pPr>
    </w:p>
    <w:permEnd w:id="411981036"/>
    <w:p w14:paraId="6A3CB062" w14:textId="2587907B"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F1F4245" w14:textId="3ADCFE93" w:rsidR="003E573C" w:rsidRDefault="003E573C" w:rsidP="003E573C">
      <w:pPr>
        <w:rPr>
          <w:rFonts w:cs="Arial"/>
        </w:rPr>
      </w:pPr>
      <w:permStart w:id="1221819945" w:edGrp="everyone"/>
      <w:permEnd w:id="1221819945"/>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02405C98" w14:textId="77777777" w:rsidR="00B12D2A" w:rsidRPr="005A7E07" w:rsidRDefault="00B12D2A" w:rsidP="00F970B5">
      <w:pPr>
        <w:spacing w:line="276" w:lineRule="auto"/>
        <w:rPr>
          <w:rFonts w:cs="Arial"/>
          <w:color w:val="000000" w:themeColor="text1"/>
        </w:rPr>
      </w:pPr>
      <w:permStart w:id="729947415" w:edGrp="everyone"/>
      <w:r w:rsidRPr="005A7E07">
        <w:rPr>
          <w:rFonts w:cs="Arial"/>
          <w:color w:val="000000" w:themeColor="text1"/>
        </w:rPr>
        <w:t>No.</w:t>
      </w:r>
    </w:p>
    <w:p w14:paraId="13A488A3" w14:textId="27485C0F" w:rsidR="00640975" w:rsidRPr="005A7E07" w:rsidRDefault="00D125EE" w:rsidP="00F970B5">
      <w:pPr>
        <w:spacing w:line="276" w:lineRule="auto"/>
        <w:rPr>
          <w:color w:val="000000" w:themeColor="text1"/>
        </w:rPr>
      </w:pPr>
      <w:r w:rsidRPr="005A7E07">
        <w:rPr>
          <w:rFonts w:cs="Arial"/>
          <w:color w:val="000000" w:themeColor="text1"/>
        </w:rPr>
        <w:t xml:space="preserve">EUSIPA wishes to stress that the </w:t>
      </w:r>
      <w:r w:rsidR="00640975" w:rsidRPr="005A7E07">
        <w:rPr>
          <w:rFonts w:cs="Arial"/>
          <w:color w:val="000000" w:themeColor="text1"/>
        </w:rPr>
        <w:t xml:space="preserve">materiality of indicators should be taken </w:t>
      </w:r>
      <w:r w:rsidR="009502EC" w:rsidRPr="005A7E07">
        <w:rPr>
          <w:rFonts w:cs="Arial"/>
          <w:color w:val="000000" w:themeColor="text1"/>
        </w:rPr>
        <w:t xml:space="preserve">clearer </w:t>
      </w:r>
      <w:r w:rsidR="00640975" w:rsidRPr="005A7E07">
        <w:rPr>
          <w:rFonts w:cs="Arial"/>
          <w:color w:val="000000" w:themeColor="text1"/>
        </w:rPr>
        <w:t xml:space="preserve">into account. While some indicators may indeed be considered to always lead to principal adverse impacts, </w:t>
      </w:r>
      <w:r w:rsidR="00640975" w:rsidRPr="005A7E07">
        <w:rPr>
          <w:rFonts w:cs="Arial"/>
          <w:color w:val="000000" w:themeColor="text1"/>
          <w:u w:val="single"/>
        </w:rPr>
        <w:t xml:space="preserve">not all indicators are relevant to all </w:t>
      </w:r>
      <w:r w:rsidR="00640975" w:rsidRPr="005A7E07">
        <w:rPr>
          <w:color w:val="000000" w:themeColor="text1"/>
          <w:u w:val="single"/>
        </w:rPr>
        <w:t>financial market participants or products</w:t>
      </w:r>
      <w:r w:rsidR="00640975" w:rsidRPr="005A7E07">
        <w:rPr>
          <w:color w:val="000000" w:themeColor="text1"/>
        </w:rPr>
        <w:t xml:space="preserve">. Mandatory reporting on non-material or relevant indicators could present an unintended unfavourable picture of an entity or product. </w:t>
      </w:r>
      <w:r w:rsidR="0068589C" w:rsidRPr="005A7E07">
        <w:rPr>
          <w:color w:val="000000" w:themeColor="text1"/>
        </w:rPr>
        <w:t>(e</w:t>
      </w:r>
      <w:r w:rsidR="00640975" w:rsidRPr="005A7E07">
        <w:rPr>
          <w:color w:val="000000" w:themeColor="text1"/>
        </w:rPr>
        <w:t xml:space="preserve">.g. having a deforestation policy is not necessarily relevant </w:t>
      </w:r>
      <w:r w:rsidR="0068589C" w:rsidRPr="005A7E07">
        <w:rPr>
          <w:color w:val="000000" w:themeColor="text1"/>
        </w:rPr>
        <w:t xml:space="preserve">for </w:t>
      </w:r>
      <w:r w:rsidR="00640975" w:rsidRPr="005A7E07">
        <w:rPr>
          <w:color w:val="000000" w:themeColor="text1"/>
        </w:rPr>
        <w:t>all</w:t>
      </w:r>
      <w:r w:rsidR="0068589C" w:rsidRPr="005A7E07">
        <w:rPr>
          <w:color w:val="000000" w:themeColor="text1"/>
        </w:rPr>
        <w:t xml:space="preserve"> </w:t>
      </w:r>
      <w:proofErr w:type="gramStart"/>
      <w:r w:rsidR="00640975" w:rsidRPr="005A7E07">
        <w:rPr>
          <w:color w:val="000000" w:themeColor="text1"/>
        </w:rPr>
        <w:t>companies</w:t>
      </w:r>
      <w:proofErr w:type="gramEnd"/>
      <w:r w:rsidR="00640975" w:rsidRPr="005A7E07">
        <w:rPr>
          <w:color w:val="000000" w:themeColor="text1"/>
        </w:rPr>
        <w:t xml:space="preserve"> </w:t>
      </w:r>
      <w:r w:rsidR="0068589C" w:rsidRPr="005A7E07">
        <w:rPr>
          <w:color w:val="000000" w:themeColor="text1"/>
        </w:rPr>
        <w:t>investors look at for ESG purposes</w:t>
      </w:r>
      <w:r w:rsidR="00B12D2A" w:rsidRPr="005A7E07">
        <w:rPr>
          <w:color w:val="000000" w:themeColor="text1"/>
        </w:rPr>
        <w:t xml:space="preserve"> or, phrased differently,</w:t>
      </w:r>
      <w:r w:rsidR="00640975" w:rsidRPr="005A7E07">
        <w:rPr>
          <w:color w:val="000000" w:themeColor="text1"/>
        </w:rPr>
        <w:t xml:space="preserve"> not having such a policy is not necessarily an indication of an unmanaged adverse impact.</w:t>
      </w:r>
      <w:r w:rsidR="00BB7A6E" w:rsidRPr="005A7E07">
        <w:rPr>
          <w:color w:val="000000" w:themeColor="text1"/>
        </w:rPr>
        <w:t>)</w:t>
      </w:r>
    </w:p>
    <w:p w14:paraId="3546793F" w14:textId="2433F330" w:rsidR="009329C8" w:rsidRPr="005A7E07" w:rsidRDefault="009329C8" w:rsidP="00F970B5">
      <w:pPr>
        <w:spacing w:line="276" w:lineRule="auto"/>
        <w:rPr>
          <w:rFonts w:cs="Arial"/>
          <w:color w:val="000000" w:themeColor="text1"/>
        </w:rPr>
      </w:pPr>
      <w:r w:rsidRPr="005A7E07">
        <w:rPr>
          <w:rFonts w:cs="Arial"/>
          <w:color w:val="000000" w:themeColor="text1"/>
        </w:rPr>
        <w:t>EUSIPA further is of the view that the proposed number and complexity of many of the proposed indicators may not contribute to th</w:t>
      </w:r>
      <w:r w:rsidR="0020097B" w:rsidRPr="005A7E07">
        <w:rPr>
          <w:rFonts w:cs="Arial"/>
          <w:color w:val="000000" w:themeColor="text1"/>
        </w:rPr>
        <w:t>e</w:t>
      </w:r>
      <w:r w:rsidRPr="005A7E07">
        <w:rPr>
          <w:rFonts w:cs="Arial"/>
          <w:color w:val="000000" w:themeColor="text1"/>
        </w:rPr>
        <w:t xml:space="preserve"> objective</w:t>
      </w:r>
      <w:r w:rsidR="0020097B" w:rsidRPr="005A7E07">
        <w:rPr>
          <w:rFonts w:cs="Arial"/>
          <w:color w:val="000000" w:themeColor="text1"/>
        </w:rPr>
        <w:t xml:space="preserve"> of providing clear </w:t>
      </w:r>
      <w:r w:rsidR="005E2B17" w:rsidRPr="005A7E07">
        <w:rPr>
          <w:rFonts w:cs="Arial"/>
          <w:color w:val="000000" w:themeColor="text1"/>
        </w:rPr>
        <w:t>information on the ESG impact of a product</w:t>
      </w:r>
      <w:r w:rsidRPr="005A7E07">
        <w:rPr>
          <w:rFonts w:cs="Arial"/>
          <w:color w:val="000000" w:themeColor="text1"/>
        </w:rPr>
        <w:t xml:space="preserve">, but could on the other hand overwhelm and confuse </w:t>
      </w:r>
      <w:r w:rsidR="005E2B17" w:rsidRPr="005A7E07">
        <w:rPr>
          <w:rFonts w:cs="Arial"/>
          <w:color w:val="000000" w:themeColor="text1"/>
        </w:rPr>
        <w:t xml:space="preserve">retail </w:t>
      </w:r>
      <w:r w:rsidRPr="005A7E07">
        <w:rPr>
          <w:rFonts w:cs="Arial"/>
          <w:color w:val="000000" w:themeColor="text1"/>
        </w:rPr>
        <w:t>investors.</w:t>
      </w:r>
    </w:p>
    <w:p w14:paraId="25050E80" w14:textId="1E0066B8" w:rsidR="009329C8" w:rsidRPr="005A7E07" w:rsidRDefault="009329C8" w:rsidP="00F970B5">
      <w:pPr>
        <w:spacing w:line="276" w:lineRule="auto"/>
        <w:rPr>
          <w:rFonts w:cs="Arial"/>
          <w:color w:val="000000" w:themeColor="text1"/>
        </w:rPr>
      </w:pPr>
      <w:r w:rsidRPr="005A7E07">
        <w:rPr>
          <w:rFonts w:cs="Arial"/>
          <w:color w:val="000000" w:themeColor="text1"/>
        </w:rPr>
        <w:t xml:space="preserve">Special care should </w:t>
      </w:r>
      <w:r w:rsidR="005E2B17" w:rsidRPr="005A7E07">
        <w:rPr>
          <w:rFonts w:cs="Arial"/>
          <w:color w:val="000000" w:themeColor="text1"/>
        </w:rPr>
        <w:t xml:space="preserve">thus </w:t>
      </w:r>
      <w:r w:rsidRPr="005A7E07">
        <w:rPr>
          <w:rFonts w:cs="Arial"/>
          <w:color w:val="000000" w:themeColor="text1"/>
        </w:rPr>
        <w:t>be taken on the usefulness and comprehensibility of the disclosures for the intended target audience. Disclosures that are not read or, if read, misinterpreted are not useful.</w:t>
      </w:r>
    </w:p>
    <w:p w14:paraId="10716E53" w14:textId="35D5314A" w:rsidR="00BB7A6E" w:rsidRPr="005A7E07" w:rsidRDefault="00BB7A6E" w:rsidP="00F970B5">
      <w:pPr>
        <w:spacing w:line="276" w:lineRule="auto"/>
        <w:rPr>
          <w:color w:val="000000" w:themeColor="text1"/>
        </w:rPr>
      </w:pPr>
      <w:r w:rsidRPr="005A7E07">
        <w:rPr>
          <w:rFonts w:cs="Arial"/>
          <w:color w:val="000000" w:themeColor="text1"/>
        </w:rPr>
        <w:t>Given the ongoing evolution of ESG criteria especially outside environmental aspects (in the areas of social and governance issues) the above seems to win a</w:t>
      </w:r>
      <w:r w:rsidR="00D35631" w:rsidRPr="005A7E07">
        <w:rPr>
          <w:rFonts w:cs="Arial"/>
          <w:color w:val="000000" w:themeColor="text1"/>
        </w:rPr>
        <w:t>n even</w:t>
      </w:r>
      <w:r w:rsidRPr="005A7E07">
        <w:rPr>
          <w:rFonts w:cs="Arial"/>
          <w:color w:val="000000" w:themeColor="text1"/>
        </w:rPr>
        <w:t xml:space="preserve"> high</w:t>
      </w:r>
      <w:r w:rsidR="00D35631" w:rsidRPr="005A7E07">
        <w:rPr>
          <w:rFonts w:cs="Arial"/>
          <w:color w:val="000000" w:themeColor="text1"/>
        </w:rPr>
        <w:t>er</w:t>
      </w:r>
      <w:r w:rsidRPr="005A7E07">
        <w:rPr>
          <w:rFonts w:cs="Arial"/>
          <w:color w:val="000000" w:themeColor="text1"/>
        </w:rPr>
        <w:t xml:space="preserve"> </w:t>
      </w:r>
      <w:r w:rsidR="00D35631" w:rsidRPr="005A7E07">
        <w:rPr>
          <w:rFonts w:cs="Arial"/>
          <w:color w:val="000000" w:themeColor="text1"/>
        </w:rPr>
        <w:t>relevance, going forward.</w:t>
      </w:r>
    </w:p>
    <w:p w14:paraId="4FF4110A" w14:textId="4F958A66" w:rsidR="00B12D2A" w:rsidRPr="005A7E07" w:rsidRDefault="00B12D2A" w:rsidP="00640975">
      <w:pPr>
        <w:rPr>
          <w:color w:val="000000" w:themeColor="text1"/>
        </w:rPr>
      </w:pPr>
    </w:p>
    <w:p w14:paraId="36EB5454" w14:textId="77777777" w:rsidR="00B12D2A" w:rsidRPr="00BB7A6E" w:rsidRDefault="00B12D2A" w:rsidP="00640975"/>
    <w:p w14:paraId="1EFE5E50" w14:textId="77777777" w:rsidR="00A164C2" w:rsidRPr="00BB7A6E" w:rsidRDefault="00A164C2" w:rsidP="003B6607">
      <w:pPr>
        <w:rPr>
          <w:rFonts w:cs="Arial"/>
        </w:rPr>
      </w:pPr>
    </w:p>
    <w:permEnd w:id="729947415"/>
    <w:p w14:paraId="6415E03C" w14:textId="3ECD5365"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54D6583E" w14:textId="3F05E884" w:rsidR="003E573C" w:rsidRDefault="003E573C" w:rsidP="003E573C">
      <w:pPr>
        <w:rPr>
          <w:rFonts w:cs="Arial"/>
        </w:rPr>
      </w:pPr>
      <w:permStart w:id="677205538" w:edGrp="everyone"/>
      <w:permEnd w:id="677205538"/>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53DA6878" w14:textId="3826CEB9" w:rsidR="003E573C" w:rsidRDefault="003E573C" w:rsidP="003E573C">
      <w:pPr>
        <w:rPr>
          <w:rFonts w:cs="Arial"/>
        </w:rPr>
      </w:pPr>
      <w:permStart w:id="1220688604" w:edGrp="everyone"/>
      <w:permEnd w:id="1220688604"/>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61BD6C84" w14:textId="2768234A" w:rsidR="003E573C" w:rsidRDefault="003E573C" w:rsidP="003E573C">
      <w:pPr>
        <w:rPr>
          <w:rFonts w:cs="Arial"/>
        </w:rPr>
      </w:pPr>
      <w:permStart w:id="209390932" w:edGrp="everyone"/>
      <w:permEnd w:id="209390932"/>
      <w:r>
        <w:rPr>
          <w:rFonts w:cs="Arial"/>
        </w:rPr>
        <w:lastRenderedPageBreak/>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9E77975" w14:textId="6590E75B" w:rsidR="003E573C" w:rsidRDefault="003E573C" w:rsidP="003E573C">
      <w:pPr>
        <w:rPr>
          <w:rFonts w:cs="Arial"/>
        </w:rPr>
      </w:pPr>
      <w:permStart w:id="418122716" w:edGrp="everyone"/>
      <w:permEnd w:id="418122716"/>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267AC0F" w14:textId="00044BD1" w:rsidR="003E573C" w:rsidRDefault="003E573C" w:rsidP="003E573C">
      <w:pPr>
        <w:rPr>
          <w:rFonts w:cs="Arial"/>
        </w:rPr>
      </w:pPr>
      <w:permStart w:id="569465455" w:edGrp="everyone"/>
      <w:permEnd w:id="569465455"/>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DB9AF7D" w14:textId="789B574E" w:rsidR="003E573C" w:rsidRDefault="003E573C" w:rsidP="003E573C">
      <w:pPr>
        <w:rPr>
          <w:rFonts w:cs="Arial"/>
        </w:rPr>
      </w:pPr>
      <w:permStart w:id="1713528049" w:edGrp="everyone"/>
      <w:permEnd w:id="1713528049"/>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7161E15" w14:textId="4F4F7603" w:rsidR="003E573C" w:rsidRDefault="003E573C" w:rsidP="003E573C">
      <w:pPr>
        <w:rPr>
          <w:rFonts w:cs="Arial"/>
        </w:rPr>
      </w:pPr>
      <w:permStart w:id="221670941" w:edGrp="everyone"/>
      <w:permEnd w:id="221670941"/>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0F05C94" w14:textId="484F0F04" w:rsidR="003E573C" w:rsidRDefault="003E573C" w:rsidP="003E573C">
      <w:pPr>
        <w:rPr>
          <w:rFonts w:cs="Arial"/>
        </w:rPr>
      </w:pPr>
      <w:permStart w:id="610013876" w:edGrp="everyone"/>
      <w:permEnd w:id="610013876"/>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40C09C0" w14:textId="26F0974C" w:rsidR="003E573C" w:rsidRDefault="003E573C" w:rsidP="003E573C">
      <w:pPr>
        <w:rPr>
          <w:rFonts w:cs="Arial"/>
        </w:rPr>
      </w:pPr>
      <w:permStart w:id="790175202" w:edGrp="everyone"/>
      <w:permEnd w:id="790175202"/>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lastRenderedPageBreak/>
        <w:t>&lt;ESA_QUESTION_</w:t>
      </w:r>
      <w:r w:rsidR="00C86E1C">
        <w:rPr>
          <w:rFonts w:cs="Arial"/>
        </w:rPr>
        <w:t>ESG</w:t>
      </w:r>
      <w:r>
        <w:rPr>
          <w:rFonts w:cs="Arial"/>
        </w:rPr>
        <w:t>_12&gt;</w:t>
      </w:r>
    </w:p>
    <w:p w14:paraId="7F118029" w14:textId="6CF0CA41" w:rsidR="003E573C" w:rsidRDefault="003E573C" w:rsidP="003E573C">
      <w:pPr>
        <w:rPr>
          <w:rFonts w:cs="Arial"/>
        </w:rPr>
      </w:pPr>
      <w:permStart w:id="800330460" w:edGrp="everyone"/>
      <w:permEnd w:id="800330460"/>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39C16C25" w14:textId="12218D08" w:rsidR="003E573C" w:rsidRDefault="003E573C" w:rsidP="003E573C">
      <w:pPr>
        <w:rPr>
          <w:rFonts w:cs="Arial"/>
        </w:rPr>
      </w:pPr>
      <w:permStart w:id="1179406826" w:edGrp="everyone"/>
      <w:permEnd w:id="1179406826"/>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FDC0C34" w:rsidR="003E573C" w:rsidRPr="00504BD0" w:rsidRDefault="00504BD0"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5A098E3E" w14:textId="2E81C49D" w:rsidR="003E573C" w:rsidRDefault="003E573C" w:rsidP="003E573C">
      <w:pPr>
        <w:rPr>
          <w:rFonts w:cs="Arial"/>
        </w:rPr>
      </w:pPr>
      <w:permStart w:id="1271138379" w:edGrp="everyone"/>
      <w:permEnd w:id="1271138379"/>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3D245DDC" w14:textId="14A18067" w:rsidR="003E573C" w:rsidRDefault="003E573C" w:rsidP="003E573C">
      <w:pPr>
        <w:rPr>
          <w:rFonts w:cs="Arial"/>
        </w:rPr>
      </w:pPr>
      <w:permStart w:id="739535953" w:edGrp="everyone"/>
      <w:permEnd w:id="739535953"/>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5B213DD3" w14:textId="77777777" w:rsidR="009E7C8B" w:rsidRPr="00504BD0" w:rsidRDefault="009E7C8B" w:rsidP="009E7C8B">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30601A6B" w14:textId="0128431F" w:rsidR="003E573C" w:rsidRDefault="003E573C" w:rsidP="003E573C">
      <w:pPr>
        <w:rPr>
          <w:rFonts w:cs="Arial"/>
        </w:rPr>
      </w:pPr>
      <w:permStart w:id="1687822303" w:edGrp="everyone"/>
      <w:permEnd w:id="1687822303"/>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lastRenderedPageBreak/>
        <w:t>&lt;ESA_QUESTION_</w:t>
      </w:r>
      <w:r w:rsidR="00C86E1C">
        <w:rPr>
          <w:rFonts w:cs="Arial"/>
        </w:rPr>
        <w:t>ESG</w:t>
      </w:r>
      <w:r>
        <w:rPr>
          <w:rFonts w:cs="Arial"/>
        </w:rPr>
        <w:t>_19&gt;</w:t>
      </w:r>
    </w:p>
    <w:p w14:paraId="4B36BA28" w14:textId="0C626534" w:rsidR="003E573C" w:rsidRDefault="003E573C" w:rsidP="003E573C">
      <w:pPr>
        <w:rPr>
          <w:rFonts w:cs="Arial"/>
        </w:rPr>
      </w:pPr>
      <w:permStart w:id="669663577" w:edGrp="everyone"/>
      <w:permEnd w:id="669663577"/>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5DFD492A" w14:textId="2CDB6D04" w:rsidR="002861C3" w:rsidRDefault="008607D6" w:rsidP="002861C3">
      <w:pPr>
        <w:rPr>
          <w:rFonts w:cs="Arial"/>
          <w:lang w:val="en-US"/>
        </w:rPr>
      </w:pPr>
      <w:permStart w:id="806708611" w:edGrp="everyone"/>
      <w:r>
        <w:rPr>
          <w:rFonts w:cs="Arial"/>
          <w:lang w:val="en-US"/>
        </w:rPr>
        <w:t xml:space="preserve">EUSIPA </w:t>
      </w:r>
      <w:proofErr w:type="gramStart"/>
      <w:r>
        <w:rPr>
          <w:rFonts w:cs="Arial"/>
          <w:lang w:val="en-US"/>
        </w:rPr>
        <w:t>makes reference</w:t>
      </w:r>
      <w:proofErr w:type="gramEnd"/>
      <w:r>
        <w:rPr>
          <w:rFonts w:cs="Arial"/>
          <w:lang w:val="en-US"/>
        </w:rPr>
        <w:t xml:space="preserve"> to the before introductory comments </w:t>
      </w:r>
      <w:r w:rsidR="002D2FE9">
        <w:rPr>
          <w:rFonts w:cs="Arial"/>
          <w:lang w:val="en-US"/>
        </w:rPr>
        <w:t>(see above</w:t>
      </w:r>
      <w:r w:rsidR="00BE7D67">
        <w:rPr>
          <w:rFonts w:cs="Arial"/>
          <w:lang w:val="en-US"/>
        </w:rPr>
        <w:t xml:space="preserve"> </w:t>
      </w:r>
      <w:r w:rsidR="00417A42">
        <w:rPr>
          <w:rFonts w:cs="Arial"/>
          <w:lang w:val="en-US"/>
        </w:rPr>
        <w:t>under 1</w:t>
      </w:r>
      <w:r w:rsidR="002D2FE9">
        <w:rPr>
          <w:rFonts w:cs="Arial"/>
          <w:lang w:val="en-US"/>
        </w:rPr>
        <w:t xml:space="preserve">) </w:t>
      </w:r>
      <w:r>
        <w:rPr>
          <w:rFonts w:cs="Arial"/>
          <w:lang w:val="en-US"/>
        </w:rPr>
        <w:t>on the potential impact that the insufficient scope of the SFDR has on the wider distribution landscape for ESG financial product</w:t>
      </w:r>
      <w:r w:rsidR="00BD213A">
        <w:rPr>
          <w:rFonts w:cs="Arial"/>
          <w:lang w:val="en-US"/>
        </w:rPr>
        <w:t>s</w:t>
      </w:r>
      <w:r w:rsidR="002D2FE9">
        <w:rPr>
          <w:rFonts w:cs="Arial"/>
          <w:lang w:val="en-US"/>
        </w:rPr>
        <w:t>, in particular t</w:t>
      </w:r>
      <w:r w:rsidR="00BD213A">
        <w:rPr>
          <w:rFonts w:cs="Arial"/>
          <w:lang w:val="en-US"/>
        </w:rPr>
        <w:t>hose available to</w:t>
      </w:r>
      <w:r w:rsidR="002D2FE9">
        <w:rPr>
          <w:rFonts w:cs="Arial"/>
          <w:lang w:val="en-US"/>
        </w:rPr>
        <w:t xml:space="preserve"> retail investors</w:t>
      </w:r>
      <w:r w:rsidR="00592834" w:rsidRPr="009C42C5">
        <w:rPr>
          <w:rFonts w:cs="Arial"/>
          <w:lang w:val="en-US"/>
        </w:rPr>
        <w:t>.</w:t>
      </w:r>
      <w:r w:rsidR="00BE7D67">
        <w:rPr>
          <w:rFonts w:cs="Arial"/>
          <w:lang w:val="en-US"/>
        </w:rPr>
        <w:t xml:space="preserve"> Our emphasis is put on</w:t>
      </w:r>
      <w:r w:rsidR="00774732">
        <w:rPr>
          <w:rFonts w:cs="Arial"/>
          <w:lang w:val="en-US"/>
        </w:rPr>
        <w:t xml:space="preserve"> the necessary inclusion of</w:t>
      </w:r>
      <w:r w:rsidR="00BE7D67">
        <w:rPr>
          <w:rFonts w:cs="Arial"/>
          <w:lang w:val="en-US"/>
        </w:rPr>
        <w:t xml:space="preserve"> Structured Investment Products </w:t>
      </w:r>
      <w:r w:rsidR="00774732">
        <w:rPr>
          <w:rFonts w:cs="Arial"/>
          <w:lang w:val="en-US"/>
        </w:rPr>
        <w:t>into the scope of the SFDR.</w:t>
      </w:r>
    </w:p>
    <w:p w14:paraId="30890BE0" w14:textId="77777777" w:rsidR="00774732" w:rsidRPr="009C42C5" w:rsidRDefault="00774732" w:rsidP="002861C3">
      <w:pPr>
        <w:rPr>
          <w:rFonts w:cs="Arial"/>
          <w:lang w:val="en-US"/>
        </w:rPr>
      </w:pP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428D8815" w14:textId="38050CC6" w:rsidR="002861C3" w:rsidRPr="00640975" w:rsidRDefault="002861C3" w:rsidP="002861C3">
      <w:pPr>
        <w:rPr>
          <w:rFonts w:cs="Arial"/>
          <w:lang w:val="fr-BE"/>
        </w:rPr>
      </w:pPr>
      <w:permStart w:id="2245015" w:edGrp="everyone"/>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5F95ABFF" w14:textId="4D7308E1" w:rsidR="003E573C" w:rsidRDefault="003E573C" w:rsidP="003E573C">
      <w:pPr>
        <w:rPr>
          <w:rFonts w:cs="Arial"/>
        </w:rPr>
      </w:pPr>
      <w:permStart w:id="1182486711" w:edGrp="everyone"/>
      <w:permEnd w:id="1182486711"/>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0C17FC2A" w14:textId="2D9188FF" w:rsidR="003E573C" w:rsidRDefault="003E573C" w:rsidP="003E573C">
      <w:pPr>
        <w:rPr>
          <w:rFonts w:cs="Arial"/>
        </w:rPr>
      </w:pPr>
      <w:permStart w:id="1634935588" w:edGrp="everyone"/>
      <w:permEnd w:id="1634935588"/>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10059834" w14:textId="626AE791" w:rsidR="003E573C" w:rsidRDefault="003E573C" w:rsidP="003E573C">
      <w:pPr>
        <w:rPr>
          <w:rFonts w:cs="Arial"/>
        </w:rPr>
      </w:pPr>
      <w:permStart w:id="872961277" w:edGrp="everyone"/>
      <w:permEnd w:id="872961277"/>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3"/>
        </w:numPr>
      </w:pPr>
      <w:r>
        <w:lastRenderedPageBreak/>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3"/>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3"/>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3"/>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59793E82" w:rsidR="003E573C" w:rsidRPr="00EB1F85" w:rsidRDefault="007E0AC6" w:rsidP="003E573C">
      <w:pPr>
        <w:rPr>
          <w:rFonts w:cs="Arial"/>
        </w:rPr>
      </w:pPr>
      <w:permStart w:id="374105505" w:edGrp="everyone"/>
      <w:r>
        <w:t xml:space="preserve">All technical </w:t>
      </w:r>
      <w:r w:rsidR="000E7E16">
        <w:t>and</w:t>
      </w:r>
      <w:r w:rsidR="00D356E2">
        <w:t xml:space="preserve"> more </w:t>
      </w:r>
      <w:r w:rsidR="000E7E16">
        <w:t xml:space="preserve">detailed information should be provided on the website where </w:t>
      </w:r>
      <w:r w:rsidR="00C27005">
        <w:t xml:space="preserve">there </w:t>
      </w:r>
      <w:r w:rsidR="00D356E2">
        <w:t>it is</w:t>
      </w:r>
      <w:r w:rsidR="00C27005">
        <w:t xml:space="preserve"> possib</w:t>
      </w:r>
      <w:r w:rsidR="00D356E2">
        <w:t>le</w:t>
      </w:r>
      <w:r w:rsidR="00C27005">
        <w:t xml:space="preserve"> to present </w:t>
      </w:r>
      <w:r w:rsidR="000C4D84">
        <w:t>these elements in a comprehensible way</w:t>
      </w:r>
      <w:r w:rsidR="00C03D59">
        <w:t xml:space="preserve">. Pre-contractual information should be limited to </w:t>
      </w:r>
      <w:r w:rsidR="00231017">
        <w:t xml:space="preserve">the essential and more high-level ESG characteristics of the </w:t>
      </w:r>
      <w:r w:rsidR="00D356E2">
        <w:t>product</w:t>
      </w:r>
      <w:r w:rsidR="00C03D59">
        <w:t xml:space="preserve"> and refer to the website for more in-depth information.</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7CC8B671" w14:textId="77777777" w:rsidR="00BD213A" w:rsidRDefault="00BD213A" w:rsidP="00B7157E">
      <w:pPr>
        <w:rPr>
          <w:rFonts w:cstheme="minorHAnsi"/>
          <w:iCs/>
          <w:color w:val="C0504D" w:themeColor="accent2"/>
        </w:rPr>
      </w:pPr>
      <w:permStart w:id="624894902" w:edGrp="everyone"/>
    </w:p>
    <w:p w14:paraId="4DB6430C" w14:textId="5FD36EB7" w:rsidR="00B7157E" w:rsidRPr="005A7E07" w:rsidRDefault="00B7157E" w:rsidP="00B7157E">
      <w:pPr>
        <w:rPr>
          <w:rFonts w:cstheme="minorHAnsi"/>
          <w:iCs/>
          <w:color w:val="000000" w:themeColor="text1"/>
        </w:rPr>
      </w:pPr>
      <w:r w:rsidRPr="005A7E07">
        <w:rPr>
          <w:rFonts w:cstheme="minorHAnsi"/>
          <w:iCs/>
          <w:color w:val="000000" w:themeColor="text1"/>
        </w:rPr>
        <w:t xml:space="preserve">EUSIPA is of the opinion that </w:t>
      </w:r>
      <w:r w:rsidR="009C432E" w:rsidRPr="005A7E07">
        <w:rPr>
          <w:rFonts w:cstheme="minorHAnsi"/>
          <w:iCs/>
          <w:color w:val="000000" w:themeColor="text1"/>
        </w:rPr>
        <w:t>in</w:t>
      </w:r>
      <w:r w:rsidRPr="005A7E07">
        <w:rPr>
          <w:rFonts w:cstheme="minorHAnsi"/>
          <w:iCs/>
          <w:color w:val="000000" w:themeColor="text1"/>
        </w:rPr>
        <w:t xml:space="preserve"> case </w:t>
      </w:r>
      <w:r w:rsidR="0020716B" w:rsidRPr="005A7E07">
        <w:rPr>
          <w:rFonts w:cstheme="minorHAnsi"/>
          <w:iCs/>
          <w:color w:val="000000" w:themeColor="text1"/>
        </w:rPr>
        <w:t xml:space="preserve">of a Structured Investment Product for example, where only a </w:t>
      </w:r>
      <w:r w:rsidRPr="005A7E07">
        <w:rPr>
          <w:rFonts w:cstheme="minorHAnsi"/>
          <w:iCs/>
          <w:color w:val="000000" w:themeColor="text1"/>
        </w:rPr>
        <w:t xml:space="preserve">minor proportion of </w:t>
      </w:r>
      <w:r w:rsidR="00ED0C2B" w:rsidRPr="005A7E07">
        <w:rPr>
          <w:rFonts w:cstheme="minorHAnsi"/>
          <w:iCs/>
          <w:color w:val="000000" w:themeColor="text1"/>
        </w:rPr>
        <w:t xml:space="preserve">customer </w:t>
      </w:r>
      <w:r w:rsidR="0077242F" w:rsidRPr="005A7E07">
        <w:rPr>
          <w:rFonts w:cstheme="minorHAnsi"/>
          <w:iCs/>
          <w:color w:val="000000" w:themeColor="text1"/>
        </w:rPr>
        <w:t>assets</w:t>
      </w:r>
      <w:r w:rsidRPr="005A7E07">
        <w:rPr>
          <w:rFonts w:cstheme="minorHAnsi"/>
          <w:iCs/>
          <w:color w:val="000000" w:themeColor="text1"/>
        </w:rPr>
        <w:t xml:space="preserve"> is used to </w:t>
      </w:r>
      <w:r w:rsidR="0020716B" w:rsidRPr="005A7E07">
        <w:rPr>
          <w:rFonts w:cstheme="minorHAnsi"/>
          <w:iCs/>
          <w:color w:val="000000" w:themeColor="text1"/>
        </w:rPr>
        <w:t>invest in the</w:t>
      </w:r>
      <w:r w:rsidRPr="005A7E07">
        <w:rPr>
          <w:rFonts w:cstheme="minorHAnsi"/>
          <w:iCs/>
          <w:color w:val="000000" w:themeColor="text1"/>
        </w:rPr>
        <w:t xml:space="preserve"> derivative</w:t>
      </w:r>
      <w:r w:rsidR="0020716B" w:rsidRPr="005A7E07">
        <w:rPr>
          <w:rFonts w:cstheme="minorHAnsi"/>
          <w:iCs/>
          <w:color w:val="000000" w:themeColor="text1"/>
        </w:rPr>
        <w:t xml:space="preserve"> component</w:t>
      </w:r>
      <w:r w:rsidR="00A8640D" w:rsidRPr="005A7E07">
        <w:rPr>
          <w:rFonts w:cstheme="minorHAnsi"/>
          <w:iCs/>
          <w:color w:val="000000" w:themeColor="text1"/>
        </w:rPr>
        <w:t xml:space="preserve"> </w:t>
      </w:r>
      <w:r w:rsidR="00ED0C2B" w:rsidRPr="005A7E07">
        <w:rPr>
          <w:rFonts w:cstheme="minorHAnsi"/>
          <w:iCs/>
          <w:color w:val="000000" w:themeColor="text1"/>
        </w:rPr>
        <w:t>(</w:t>
      </w:r>
      <w:r w:rsidR="00A8640D" w:rsidRPr="005A7E07">
        <w:rPr>
          <w:rFonts w:cstheme="minorHAnsi"/>
          <w:iCs/>
          <w:color w:val="000000" w:themeColor="text1"/>
        </w:rPr>
        <w:t>so to access the underl</w:t>
      </w:r>
      <w:r w:rsidR="00F158FD" w:rsidRPr="005A7E07">
        <w:rPr>
          <w:rFonts w:cstheme="minorHAnsi"/>
          <w:iCs/>
          <w:color w:val="000000" w:themeColor="text1"/>
        </w:rPr>
        <w:t>ying</w:t>
      </w:r>
      <w:r w:rsidR="00F87861" w:rsidRPr="005A7E07">
        <w:rPr>
          <w:rFonts w:cstheme="minorHAnsi"/>
          <w:iCs/>
          <w:color w:val="000000" w:themeColor="text1"/>
        </w:rPr>
        <w:t xml:space="preserve"> reference value</w:t>
      </w:r>
      <w:r w:rsidR="0077242F" w:rsidRPr="005A7E07">
        <w:rPr>
          <w:rFonts w:cstheme="minorHAnsi"/>
          <w:iCs/>
          <w:color w:val="000000" w:themeColor="text1"/>
        </w:rPr>
        <w:t xml:space="preserve"> performance</w:t>
      </w:r>
      <w:r w:rsidR="00ED0C2B" w:rsidRPr="005A7E07">
        <w:rPr>
          <w:rFonts w:cstheme="minorHAnsi"/>
          <w:iCs/>
          <w:color w:val="000000" w:themeColor="text1"/>
        </w:rPr>
        <w:t>)</w:t>
      </w:r>
      <w:r w:rsidRPr="005A7E07">
        <w:rPr>
          <w:rFonts w:cstheme="minorHAnsi"/>
          <w:iCs/>
          <w:color w:val="000000" w:themeColor="text1"/>
        </w:rPr>
        <w:t xml:space="preserve"> a disclosure of this proportion </w:t>
      </w:r>
      <w:r w:rsidR="006C7767" w:rsidRPr="005A7E07">
        <w:rPr>
          <w:rFonts w:cstheme="minorHAnsi"/>
          <w:iCs/>
          <w:color w:val="000000" w:themeColor="text1"/>
        </w:rPr>
        <w:t xml:space="preserve">and </w:t>
      </w:r>
      <w:r w:rsidR="00A5684D" w:rsidRPr="005A7E07">
        <w:rPr>
          <w:rFonts w:cstheme="minorHAnsi"/>
          <w:iCs/>
          <w:color w:val="000000" w:themeColor="text1"/>
        </w:rPr>
        <w:t xml:space="preserve">the </w:t>
      </w:r>
      <w:r w:rsidR="00B116F1" w:rsidRPr="005A7E07">
        <w:rPr>
          <w:rFonts w:cstheme="minorHAnsi"/>
          <w:iCs/>
          <w:color w:val="000000" w:themeColor="text1"/>
        </w:rPr>
        <w:t xml:space="preserve">description of the </w:t>
      </w:r>
      <w:r w:rsidR="00A5684D" w:rsidRPr="005A7E07">
        <w:rPr>
          <w:rFonts w:cstheme="minorHAnsi"/>
          <w:iCs/>
          <w:color w:val="000000" w:themeColor="text1"/>
        </w:rPr>
        <w:t xml:space="preserve">expected indirect effects </w:t>
      </w:r>
      <w:r w:rsidR="006C7767" w:rsidRPr="005A7E07">
        <w:rPr>
          <w:rFonts w:cstheme="minorHAnsi"/>
          <w:iCs/>
          <w:color w:val="000000" w:themeColor="text1"/>
        </w:rPr>
        <w:t xml:space="preserve">could </w:t>
      </w:r>
      <w:r w:rsidR="00CB29AE" w:rsidRPr="005A7E07">
        <w:rPr>
          <w:rFonts w:cstheme="minorHAnsi"/>
          <w:iCs/>
          <w:color w:val="000000" w:themeColor="text1"/>
        </w:rPr>
        <w:t xml:space="preserve">easily </w:t>
      </w:r>
      <w:r w:rsidR="006C7767" w:rsidRPr="005A7E07">
        <w:rPr>
          <w:rFonts w:cstheme="minorHAnsi"/>
          <w:iCs/>
          <w:color w:val="000000" w:themeColor="text1"/>
        </w:rPr>
        <w:t xml:space="preserve">be made part of the </w:t>
      </w:r>
      <w:r w:rsidR="000754E2" w:rsidRPr="005A7E07">
        <w:rPr>
          <w:rFonts w:cstheme="minorHAnsi"/>
          <w:iCs/>
          <w:color w:val="000000" w:themeColor="text1"/>
        </w:rPr>
        <w:t xml:space="preserve">regular </w:t>
      </w:r>
      <w:r w:rsidR="000B30E7" w:rsidRPr="005A7E07">
        <w:rPr>
          <w:rFonts w:cstheme="minorHAnsi"/>
          <w:iCs/>
          <w:color w:val="000000" w:themeColor="text1"/>
        </w:rPr>
        <w:t>graphical</w:t>
      </w:r>
      <w:r w:rsidR="00AA1A86" w:rsidRPr="005A7E07">
        <w:rPr>
          <w:rFonts w:cstheme="minorHAnsi"/>
          <w:iCs/>
          <w:color w:val="000000" w:themeColor="text1"/>
        </w:rPr>
        <w:t xml:space="preserve"> and </w:t>
      </w:r>
      <w:r w:rsidRPr="005A7E07">
        <w:rPr>
          <w:rFonts w:cstheme="minorHAnsi"/>
          <w:iCs/>
          <w:color w:val="000000" w:themeColor="text1"/>
        </w:rPr>
        <w:t>narrative description</w:t>
      </w:r>
      <w:r w:rsidR="009C432E" w:rsidRPr="005A7E07">
        <w:rPr>
          <w:rFonts w:cstheme="minorHAnsi"/>
          <w:iCs/>
          <w:color w:val="000000" w:themeColor="text1"/>
        </w:rPr>
        <w:t>(s)</w:t>
      </w:r>
      <w:r w:rsidRPr="005A7E07">
        <w:rPr>
          <w:rFonts w:cstheme="minorHAnsi"/>
          <w:iCs/>
          <w:color w:val="000000" w:themeColor="text1"/>
        </w:rPr>
        <w:t xml:space="preserve"> </w:t>
      </w:r>
      <w:r w:rsidR="00F15E7D" w:rsidRPr="005A7E07">
        <w:rPr>
          <w:rFonts w:cstheme="minorHAnsi"/>
          <w:iCs/>
          <w:color w:val="000000" w:themeColor="text1"/>
        </w:rPr>
        <w:t>of the product</w:t>
      </w:r>
      <w:r w:rsidR="000B30E7" w:rsidRPr="005A7E07">
        <w:rPr>
          <w:rFonts w:cstheme="minorHAnsi"/>
          <w:iCs/>
          <w:color w:val="000000" w:themeColor="text1"/>
        </w:rPr>
        <w:t>.</w:t>
      </w:r>
      <w:r w:rsidR="00977A22" w:rsidRPr="005A7E07">
        <w:rPr>
          <w:rFonts w:cstheme="minorHAnsi"/>
          <w:iCs/>
          <w:color w:val="000000" w:themeColor="text1"/>
        </w:rPr>
        <w:t xml:space="preserve"> (See </w:t>
      </w:r>
      <w:r w:rsidR="00610061" w:rsidRPr="005A7E07">
        <w:rPr>
          <w:rFonts w:cstheme="minorHAnsi"/>
          <w:iCs/>
          <w:color w:val="000000" w:themeColor="text1"/>
        </w:rPr>
        <w:t xml:space="preserve">our comments in </w:t>
      </w:r>
      <w:r w:rsidR="00977A22" w:rsidRPr="005A7E07">
        <w:rPr>
          <w:rFonts w:cstheme="minorHAnsi"/>
          <w:iCs/>
          <w:color w:val="000000" w:themeColor="text1"/>
        </w:rPr>
        <w:t>above introduction section for more details on the components, functioning and role of Structured Investment Product in the asset management and retail financial industry</w:t>
      </w:r>
      <w:r w:rsidR="00610061" w:rsidRPr="005A7E07">
        <w:rPr>
          <w:rFonts w:cstheme="minorHAnsi"/>
          <w:iCs/>
          <w:color w:val="000000" w:themeColor="text1"/>
        </w:rPr>
        <w:t xml:space="preserve"> and the consequence </w:t>
      </w:r>
      <w:r w:rsidR="00D803B5" w:rsidRPr="005A7E07">
        <w:rPr>
          <w:rFonts w:cstheme="minorHAnsi"/>
          <w:iCs/>
          <w:color w:val="000000" w:themeColor="text1"/>
        </w:rPr>
        <w:t>of their non-consideration under the SFDR.</w:t>
      </w:r>
      <w:r w:rsidR="00977A22" w:rsidRPr="005A7E07">
        <w:rPr>
          <w:rFonts w:cstheme="minorHAnsi"/>
          <w:iCs/>
          <w:color w:val="000000" w:themeColor="text1"/>
        </w:rPr>
        <w:t>)</w:t>
      </w:r>
    </w:p>
    <w:p w14:paraId="05B94FD4" w14:textId="36D1C5A1" w:rsidR="00E90E4C" w:rsidRDefault="00E90E4C" w:rsidP="003E573C">
      <w:pPr>
        <w:rPr>
          <w:rFonts w:cs="Arial"/>
          <w:color w:val="C0504D" w:themeColor="accent2"/>
        </w:rPr>
      </w:pPr>
    </w:p>
    <w:p w14:paraId="289780FD" w14:textId="77777777" w:rsidR="00E90E4C" w:rsidRPr="00506DF5" w:rsidRDefault="00E90E4C" w:rsidP="003E573C">
      <w:pPr>
        <w:rPr>
          <w:rFonts w:cs="Arial"/>
          <w:color w:val="C0504D" w:themeColor="accent2"/>
        </w:rPr>
      </w:pP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6BB1D960" w14:textId="77777777" w:rsidR="00BB6B46" w:rsidRPr="00504BD0" w:rsidRDefault="00BB6B46" w:rsidP="00BB6B46">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1D6E6" w14:textId="77777777" w:rsidR="00EC00D8" w:rsidRDefault="00EC00D8">
      <w:r>
        <w:separator/>
      </w:r>
    </w:p>
    <w:p w14:paraId="0D5DFF96" w14:textId="77777777" w:rsidR="00EC00D8" w:rsidRDefault="00EC00D8"/>
  </w:endnote>
  <w:endnote w:type="continuationSeparator" w:id="0">
    <w:p w14:paraId="575DED3E" w14:textId="77777777" w:rsidR="00EC00D8" w:rsidRDefault="00EC00D8">
      <w:r>
        <w:continuationSeparator/>
      </w:r>
    </w:p>
    <w:p w14:paraId="496355CA" w14:textId="77777777" w:rsidR="00EC00D8" w:rsidRDefault="00EC00D8"/>
  </w:endnote>
  <w:endnote w:type="continuationNotice" w:id="1">
    <w:p w14:paraId="401B3C40" w14:textId="77777777" w:rsidR="00EC00D8" w:rsidRDefault="00EC0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D2D5" w14:textId="77777777" w:rsidR="00EC00D8" w:rsidRDefault="00EC00D8">
      <w:r>
        <w:separator/>
      </w:r>
    </w:p>
    <w:p w14:paraId="763AE136" w14:textId="77777777" w:rsidR="00EC00D8" w:rsidRDefault="00EC00D8"/>
  </w:footnote>
  <w:footnote w:type="continuationSeparator" w:id="0">
    <w:p w14:paraId="3C0EED28" w14:textId="77777777" w:rsidR="00EC00D8" w:rsidRDefault="00EC00D8">
      <w:r>
        <w:continuationSeparator/>
      </w:r>
    </w:p>
    <w:p w14:paraId="23ACE8C1" w14:textId="77777777" w:rsidR="00EC00D8" w:rsidRDefault="00EC00D8"/>
  </w:footnote>
  <w:footnote w:type="continuationNotice" w:id="1">
    <w:p w14:paraId="6E10A209" w14:textId="77777777" w:rsidR="00EC00D8" w:rsidRDefault="00EC00D8"/>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7728"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EF68" id="Line 16" o:spid="_x0000_s1026" style="position:absolute;z-index:251657728;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6704"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58752"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6469" id="Straight Connector 138" o:spid="_x0000_s1026" style="position:absolute;z-index:251658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F149F5"/>
    <w:multiLevelType w:val="hybridMultilevel"/>
    <w:tmpl w:val="47586D64"/>
    <w:lvl w:ilvl="0" w:tplc="CC207F8A">
      <w:start w:val="5"/>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8D49EE"/>
    <w:multiLevelType w:val="multilevel"/>
    <w:tmpl w:val="F2A8BC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42DEF"/>
    <w:multiLevelType w:val="hybridMultilevel"/>
    <w:tmpl w:val="FE28E180"/>
    <w:lvl w:ilvl="0" w:tplc="13A022D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BD758DD"/>
    <w:multiLevelType w:val="hybridMultilevel"/>
    <w:tmpl w:val="D1566DA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0"/>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9"/>
  </w:num>
  <w:num w:numId="24">
    <w:abstractNumId w:val="32"/>
  </w:num>
  <w:num w:numId="25">
    <w:abstractNumId w:val="31"/>
  </w:num>
  <w:num w:numId="26">
    <w:abstractNumId w:val="20"/>
  </w:num>
  <w:num w:numId="27">
    <w:abstractNumId w:val="36"/>
  </w:num>
  <w:num w:numId="28">
    <w:abstractNumId w:val="42"/>
  </w:num>
  <w:num w:numId="29">
    <w:abstractNumId w:val="7"/>
  </w:num>
  <w:num w:numId="30">
    <w:abstractNumId w:val="3"/>
  </w:num>
  <w:num w:numId="31">
    <w:abstractNumId w:val="23"/>
  </w:num>
  <w:num w:numId="32">
    <w:abstractNumId w:val="21"/>
  </w:num>
  <w:num w:numId="33">
    <w:abstractNumId w:val="39"/>
  </w:num>
  <w:num w:numId="34">
    <w:abstractNumId w:val="38"/>
  </w:num>
  <w:num w:numId="35">
    <w:abstractNumId w:val="11"/>
  </w:num>
  <w:num w:numId="36">
    <w:abstractNumId w:val="13"/>
  </w:num>
  <w:num w:numId="37">
    <w:abstractNumId w:val="26"/>
  </w:num>
  <w:num w:numId="38">
    <w:abstractNumId w:val="22"/>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4"/>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07DA1"/>
    <w:rsid w:val="0001062C"/>
    <w:rsid w:val="0001067A"/>
    <w:rsid w:val="00012926"/>
    <w:rsid w:val="0001310D"/>
    <w:rsid w:val="00013289"/>
    <w:rsid w:val="00013CCE"/>
    <w:rsid w:val="000140D5"/>
    <w:rsid w:val="0001410B"/>
    <w:rsid w:val="000141D6"/>
    <w:rsid w:val="0001442A"/>
    <w:rsid w:val="00014A95"/>
    <w:rsid w:val="00015B5E"/>
    <w:rsid w:val="00015C6D"/>
    <w:rsid w:val="00015F1D"/>
    <w:rsid w:val="00016CAB"/>
    <w:rsid w:val="000173F8"/>
    <w:rsid w:val="0001774B"/>
    <w:rsid w:val="00020D0F"/>
    <w:rsid w:val="00020D25"/>
    <w:rsid w:val="000215EB"/>
    <w:rsid w:val="000218D8"/>
    <w:rsid w:val="00021E83"/>
    <w:rsid w:val="0002263B"/>
    <w:rsid w:val="00023713"/>
    <w:rsid w:val="00023C4D"/>
    <w:rsid w:val="00025E71"/>
    <w:rsid w:val="00026035"/>
    <w:rsid w:val="00026269"/>
    <w:rsid w:val="0002705D"/>
    <w:rsid w:val="00027154"/>
    <w:rsid w:val="00027ECF"/>
    <w:rsid w:val="000303BE"/>
    <w:rsid w:val="000321C9"/>
    <w:rsid w:val="00032CB9"/>
    <w:rsid w:val="000335C9"/>
    <w:rsid w:val="00033A03"/>
    <w:rsid w:val="000344D6"/>
    <w:rsid w:val="00034960"/>
    <w:rsid w:val="000360DF"/>
    <w:rsid w:val="00036927"/>
    <w:rsid w:val="00036FAE"/>
    <w:rsid w:val="00037F87"/>
    <w:rsid w:val="000405A2"/>
    <w:rsid w:val="00040BB8"/>
    <w:rsid w:val="00041698"/>
    <w:rsid w:val="00041858"/>
    <w:rsid w:val="0004351E"/>
    <w:rsid w:val="0004389E"/>
    <w:rsid w:val="000439D8"/>
    <w:rsid w:val="000463A6"/>
    <w:rsid w:val="00046CC9"/>
    <w:rsid w:val="00046E91"/>
    <w:rsid w:val="000470FB"/>
    <w:rsid w:val="000473EB"/>
    <w:rsid w:val="000502FE"/>
    <w:rsid w:val="000505EA"/>
    <w:rsid w:val="0005126D"/>
    <w:rsid w:val="00051304"/>
    <w:rsid w:val="0005176E"/>
    <w:rsid w:val="00051992"/>
    <w:rsid w:val="00051DFE"/>
    <w:rsid w:val="00051E9A"/>
    <w:rsid w:val="000521A7"/>
    <w:rsid w:val="00052F47"/>
    <w:rsid w:val="0005399B"/>
    <w:rsid w:val="00054DE6"/>
    <w:rsid w:val="000557BD"/>
    <w:rsid w:val="000569D7"/>
    <w:rsid w:val="000576D7"/>
    <w:rsid w:val="000579B6"/>
    <w:rsid w:val="00057A78"/>
    <w:rsid w:val="00060E27"/>
    <w:rsid w:val="00060F72"/>
    <w:rsid w:val="00062592"/>
    <w:rsid w:val="000636A1"/>
    <w:rsid w:val="0006405B"/>
    <w:rsid w:val="000640A6"/>
    <w:rsid w:val="000649D9"/>
    <w:rsid w:val="000652BE"/>
    <w:rsid w:val="00066479"/>
    <w:rsid w:val="00066F6B"/>
    <w:rsid w:val="0006723C"/>
    <w:rsid w:val="00067508"/>
    <w:rsid w:val="00070322"/>
    <w:rsid w:val="00070376"/>
    <w:rsid w:val="000705FB"/>
    <w:rsid w:val="00070974"/>
    <w:rsid w:val="00070AFC"/>
    <w:rsid w:val="000711E3"/>
    <w:rsid w:val="00071EAD"/>
    <w:rsid w:val="00071F4E"/>
    <w:rsid w:val="00072271"/>
    <w:rsid w:val="00072B54"/>
    <w:rsid w:val="000744C3"/>
    <w:rsid w:val="0007463D"/>
    <w:rsid w:val="000749F0"/>
    <w:rsid w:val="000754E2"/>
    <w:rsid w:val="00075D76"/>
    <w:rsid w:val="0007609D"/>
    <w:rsid w:val="00077C67"/>
    <w:rsid w:val="00080976"/>
    <w:rsid w:val="00081148"/>
    <w:rsid w:val="00081CEB"/>
    <w:rsid w:val="00081E60"/>
    <w:rsid w:val="00082574"/>
    <w:rsid w:val="00082626"/>
    <w:rsid w:val="00082D8E"/>
    <w:rsid w:val="00082E31"/>
    <w:rsid w:val="00083600"/>
    <w:rsid w:val="00083AA3"/>
    <w:rsid w:val="00085947"/>
    <w:rsid w:val="00085FF0"/>
    <w:rsid w:val="000868FE"/>
    <w:rsid w:val="00087444"/>
    <w:rsid w:val="000876F7"/>
    <w:rsid w:val="000878D1"/>
    <w:rsid w:val="000921AE"/>
    <w:rsid w:val="000921D7"/>
    <w:rsid w:val="000925FF"/>
    <w:rsid w:val="00092A50"/>
    <w:rsid w:val="000932E0"/>
    <w:rsid w:val="000936C2"/>
    <w:rsid w:val="00094608"/>
    <w:rsid w:val="00094C4C"/>
    <w:rsid w:val="00095A20"/>
    <w:rsid w:val="00096762"/>
    <w:rsid w:val="000969C8"/>
    <w:rsid w:val="0009752D"/>
    <w:rsid w:val="00097AEE"/>
    <w:rsid w:val="000A014A"/>
    <w:rsid w:val="000A04B6"/>
    <w:rsid w:val="000A07AB"/>
    <w:rsid w:val="000A0E36"/>
    <w:rsid w:val="000A1BD2"/>
    <w:rsid w:val="000A2127"/>
    <w:rsid w:val="000A240A"/>
    <w:rsid w:val="000A358F"/>
    <w:rsid w:val="000A43CC"/>
    <w:rsid w:val="000A4839"/>
    <w:rsid w:val="000A58BE"/>
    <w:rsid w:val="000A7314"/>
    <w:rsid w:val="000A7B53"/>
    <w:rsid w:val="000A7B64"/>
    <w:rsid w:val="000A7C98"/>
    <w:rsid w:val="000A7D5F"/>
    <w:rsid w:val="000B145F"/>
    <w:rsid w:val="000B230B"/>
    <w:rsid w:val="000B275C"/>
    <w:rsid w:val="000B2C3D"/>
    <w:rsid w:val="000B30E7"/>
    <w:rsid w:val="000B55C0"/>
    <w:rsid w:val="000B5DF2"/>
    <w:rsid w:val="000B636C"/>
    <w:rsid w:val="000C06C9"/>
    <w:rsid w:val="000C122B"/>
    <w:rsid w:val="000C18A3"/>
    <w:rsid w:val="000C1DCC"/>
    <w:rsid w:val="000C1FBC"/>
    <w:rsid w:val="000C251D"/>
    <w:rsid w:val="000C2B6A"/>
    <w:rsid w:val="000C2F88"/>
    <w:rsid w:val="000C4D84"/>
    <w:rsid w:val="000C555D"/>
    <w:rsid w:val="000C55C8"/>
    <w:rsid w:val="000C57C4"/>
    <w:rsid w:val="000C5FD3"/>
    <w:rsid w:val="000C701D"/>
    <w:rsid w:val="000C70BC"/>
    <w:rsid w:val="000C7C4A"/>
    <w:rsid w:val="000D17AA"/>
    <w:rsid w:val="000D1B1F"/>
    <w:rsid w:val="000D1D51"/>
    <w:rsid w:val="000D2D0B"/>
    <w:rsid w:val="000D340A"/>
    <w:rsid w:val="000D4660"/>
    <w:rsid w:val="000D5D1A"/>
    <w:rsid w:val="000D705D"/>
    <w:rsid w:val="000D7280"/>
    <w:rsid w:val="000D74AD"/>
    <w:rsid w:val="000D7EB9"/>
    <w:rsid w:val="000E0223"/>
    <w:rsid w:val="000E0856"/>
    <w:rsid w:val="000E0CF3"/>
    <w:rsid w:val="000E0DD3"/>
    <w:rsid w:val="000E18A8"/>
    <w:rsid w:val="000E1AEC"/>
    <w:rsid w:val="000E26FC"/>
    <w:rsid w:val="000E35BD"/>
    <w:rsid w:val="000E3937"/>
    <w:rsid w:val="000E4926"/>
    <w:rsid w:val="000E5BD3"/>
    <w:rsid w:val="000E5F7F"/>
    <w:rsid w:val="000E667A"/>
    <w:rsid w:val="000E7086"/>
    <w:rsid w:val="000E7AFD"/>
    <w:rsid w:val="000E7C65"/>
    <w:rsid w:val="000E7E16"/>
    <w:rsid w:val="000F04D2"/>
    <w:rsid w:val="000F1304"/>
    <w:rsid w:val="000F26FD"/>
    <w:rsid w:val="000F380A"/>
    <w:rsid w:val="000F55B7"/>
    <w:rsid w:val="000F604F"/>
    <w:rsid w:val="000F7399"/>
    <w:rsid w:val="001013B6"/>
    <w:rsid w:val="00101420"/>
    <w:rsid w:val="001027F1"/>
    <w:rsid w:val="0010450F"/>
    <w:rsid w:val="0010461C"/>
    <w:rsid w:val="00104F2E"/>
    <w:rsid w:val="00107229"/>
    <w:rsid w:val="001072DD"/>
    <w:rsid w:val="00107BAA"/>
    <w:rsid w:val="0011036E"/>
    <w:rsid w:val="00110D7A"/>
    <w:rsid w:val="00111464"/>
    <w:rsid w:val="0011167D"/>
    <w:rsid w:val="001124A3"/>
    <w:rsid w:val="00112892"/>
    <w:rsid w:val="00112C70"/>
    <w:rsid w:val="00112E48"/>
    <w:rsid w:val="001130EA"/>
    <w:rsid w:val="00114259"/>
    <w:rsid w:val="00114381"/>
    <w:rsid w:val="001148DD"/>
    <w:rsid w:val="001168B2"/>
    <w:rsid w:val="00117C20"/>
    <w:rsid w:val="0012057C"/>
    <w:rsid w:val="00120EDC"/>
    <w:rsid w:val="00120F0E"/>
    <w:rsid w:val="00121BED"/>
    <w:rsid w:val="00122E17"/>
    <w:rsid w:val="00123BE0"/>
    <w:rsid w:val="00123D39"/>
    <w:rsid w:val="001244CD"/>
    <w:rsid w:val="0012566F"/>
    <w:rsid w:val="001262B1"/>
    <w:rsid w:val="00127172"/>
    <w:rsid w:val="00130F41"/>
    <w:rsid w:val="00130FAF"/>
    <w:rsid w:val="0013139B"/>
    <w:rsid w:val="001327F8"/>
    <w:rsid w:val="00135360"/>
    <w:rsid w:val="0013583D"/>
    <w:rsid w:val="00135E56"/>
    <w:rsid w:val="00135F2B"/>
    <w:rsid w:val="00136FDF"/>
    <w:rsid w:val="001372DD"/>
    <w:rsid w:val="00137EF4"/>
    <w:rsid w:val="001405BA"/>
    <w:rsid w:val="00140E5C"/>
    <w:rsid w:val="001410B5"/>
    <w:rsid w:val="00141497"/>
    <w:rsid w:val="001416D3"/>
    <w:rsid w:val="0014253A"/>
    <w:rsid w:val="001425C8"/>
    <w:rsid w:val="001431AE"/>
    <w:rsid w:val="001435A9"/>
    <w:rsid w:val="00143B87"/>
    <w:rsid w:val="001459E3"/>
    <w:rsid w:val="00146A0B"/>
    <w:rsid w:val="0014761E"/>
    <w:rsid w:val="00150128"/>
    <w:rsid w:val="00150B11"/>
    <w:rsid w:val="0015109C"/>
    <w:rsid w:val="00151907"/>
    <w:rsid w:val="001534BB"/>
    <w:rsid w:val="001540EF"/>
    <w:rsid w:val="001544C8"/>
    <w:rsid w:val="00154AB2"/>
    <w:rsid w:val="00155FAB"/>
    <w:rsid w:val="001567A1"/>
    <w:rsid w:val="00156857"/>
    <w:rsid w:val="00157E79"/>
    <w:rsid w:val="00157EED"/>
    <w:rsid w:val="0016087A"/>
    <w:rsid w:val="00160A5C"/>
    <w:rsid w:val="001613EC"/>
    <w:rsid w:val="00162F2F"/>
    <w:rsid w:val="0016358A"/>
    <w:rsid w:val="001638D4"/>
    <w:rsid w:val="00164264"/>
    <w:rsid w:val="00164664"/>
    <w:rsid w:val="0016477E"/>
    <w:rsid w:val="00164F15"/>
    <w:rsid w:val="001651A4"/>
    <w:rsid w:val="0016552B"/>
    <w:rsid w:val="001659B7"/>
    <w:rsid w:val="00166B04"/>
    <w:rsid w:val="00166F16"/>
    <w:rsid w:val="001670A6"/>
    <w:rsid w:val="00167A6A"/>
    <w:rsid w:val="001701FA"/>
    <w:rsid w:val="00170645"/>
    <w:rsid w:val="001707B9"/>
    <w:rsid w:val="00170D44"/>
    <w:rsid w:val="00170E04"/>
    <w:rsid w:val="00171034"/>
    <w:rsid w:val="00171183"/>
    <w:rsid w:val="001712BC"/>
    <w:rsid w:val="00171E3D"/>
    <w:rsid w:val="001725A5"/>
    <w:rsid w:val="00172681"/>
    <w:rsid w:val="00172695"/>
    <w:rsid w:val="00173AC7"/>
    <w:rsid w:val="00174185"/>
    <w:rsid w:val="001745D7"/>
    <w:rsid w:val="001753AD"/>
    <w:rsid w:val="00175586"/>
    <w:rsid w:val="00175754"/>
    <w:rsid w:val="0017636E"/>
    <w:rsid w:val="00176982"/>
    <w:rsid w:val="0017701C"/>
    <w:rsid w:val="00180DAE"/>
    <w:rsid w:val="00181264"/>
    <w:rsid w:val="001817D7"/>
    <w:rsid w:val="00181BD1"/>
    <w:rsid w:val="0018204A"/>
    <w:rsid w:val="00182AFE"/>
    <w:rsid w:val="00182F7C"/>
    <w:rsid w:val="001843B5"/>
    <w:rsid w:val="00185663"/>
    <w:rsid w:val="001861F9"/>
    <w:rsid w:val="00186829"/>
    <w:rsid w:val="001868CA"/>
    <w:rsid w:val="00186A67"/>
    <w:rsid w:val="00187304"/>
    <w:rsid w:val="001875BE"/>
    <w:rsid w:val="0019017A"/>
    <w:rsid w:val="00190B8C"/>
    <w:rsid w:val="00190FF8"/>
    <w:rsid w:val="0019311A"/>
    <w:rsid w:val="00193418"/>
    <w:rsid w:val="0019508A"/>
    <w:rsid w:val="00195BFF"/>
    <w:rsid w:val="001960D8"/>
    <w:rsid w:val="00197794"/>
    <w:rsid w:val="001A1642"/>
    <w:rsid w:val="001A1BFF"/>
    <w:rsid w:val="001A371B"/>
    <w:rsid w:val="001A399B"/>
    <w:rsid w:val="001A4766"/>
    <w:rsid w:val="001A5B7D"/>
    <w:rsid w:val="001A5E5C"/>
    <w:rsid w:val="001A65C5"/>
    <w:rsid w:val="001A6A0D"/>
    <w:rsid w:val="001A6C51"/>
    <w:rsid w:val="001A6FAA"/>
    <w:rsid w:val="001A7D73"/>
    <w:rsid w:val="001B013A"/>
    <w:rsid w:val="001B0363"/>
    <w:rsid w:val="001B1355"/>
    <w:rsid w:val="001B2257"/>
    <w:rsid w:val="001B3138"/>
    <w:rsid w:val="001B3445"/>
    <w:rsid w:val="001B34D3"/>
    <w:rsid w:val="001B38DE"/>
    <w:rsid w:val="001B3FDE"/>
    <w:rsid w:val="001B4E4B"/>
    <w:rsid w:val="001B50AC"/>
    <w:rsid w:val="001B558C"/>
    <w:rsid w:val="001B55FB"/>
    <w:rsid w:val="001B5E05"/>
    <w:rsid w:val="001B6762"/>
    <w:rsid w:val="001B6D68"/>
    <w:rsid w:val="001B6F2E"/>
    <w:rsid w:val="001B74F0"/>
    <w:rsid w:val="001C0344"/>
    <w:rsid w:val="001C0F2A"/>
    <w:rsid w:val="001C13A8"/>
    <w:rsid w:val="001C16BA"/>
    <w:rsid w:val="001C1A59"/>
    <w:rsid w:val="001C240F"/>
    <w:rsid w:val="001C270F"/>
    <w:rsid w:val="001C282E"/>
    <w:rsid w:val="001C4679"/>
    <w:rsid w:val="001C5770"/>
    <w:rsid w:val="001C6195"/>
    <w:rsid w:val="001C7016"/>
    <w:rsid w:val="001C7862"/>
    <w:rsid w:val="001D000A"/>
    <w:rsid w:val="001D0883"/>
    <w:rsid w:val="001D12A2"/>
    <w:rsid w:val="001D20E2"/>
    <w:rsid w:val="001D2205"/>
    <w:rsid w:val="001D3A1F"/>
    <w:rsid w:val="001D3FB6"/>
    <w:rsid w:val="001D4550"/>
    <w:rsid w:val="001D4F04"/>
    <w:rsid w:val="001D5360"/>
    <w:rsid w:val="001D5498"/>
    <w:rsid w:val="001D565D"/>
    <w:rsid w:val="001D5BAF"/>
    <w:rsid w:val="001D6401"/>
    <w:rsid w:val="001D66C9"/>
    <w:rsid w:val="001D722A"/>
    <w:rsid w:val="001D73D9"/>
    <w:rsid w:val="001E04FC"/>
    <w:rsid w:val="001E407D"/>
    <w:rsid w:val="001E40FB"/>
    <w:rsid w:val="001E4FB4"/>
    <w:rsid w:val="001E66EC"/>
    <w:rsid w:val="001E68C5"/>
    <w:rsid w:val="001F0F63"/>
    <w:rsid w:val="001F153D"/>
    <w:rsid w:val="001F3996"/>
    <w:rsid w:val="001F44A4"/>
    <w:rsid w:val="001F451E"/>
    <w:rsid w:val="001F5434"/>
    <w:rsid w:val="001F579D"/>
    <w:rsid w:val="001F65EF"/>
    <w:rsid w:val="001F697B"/>
    <w:rsid w:val="001F718A"/>
    <w:rsid w:val="002005A6"/>
    <w:rsid w:val="0020097B"/>
    <w:rsid w:val="00201887"/>
    <w:rsid w:val="00201CD7"/>
    <w:rsid w:val="002021BC"/>
    <w:rsid w:val="002039FA"/>
    <w:rsid w:val="00204CBC"/>
    <w:rsid w:val="0020511F"/>
    <w:rsid w:val="002051F1"/>
    <w:rsid w:val="002067BA"/>
    <w:rsid w:val="00206993"/>
    <w:rsid w:val="00206C75"/>
    <w:rsid w:val="0020716B"/>
    <w:rsid w:val="002076B5"/>
    <w:rsid w:val="00207A3A"/>
    <w:rsid w:val="00210430"/>
    <w:rsid w:val="0021058D"/>
    <w:rsid w:val="00210E59"/>
    <w:rsid w:val="00211124"/>
    <w:rsid w:val="0021159C"/>
    <w:rsid w:val="00211BB8"/>
    <w:rsid w:val="00211E2F"/>
    <w:rsid w:val="00211E9E"/>
    <w:rsid w:val="00212DB3"/>
    <w:rsid w:val="00214735"/>
    <w:rsid w:val="00214A4C"/>
    <w:rsid w:val="00214EAA"/>
    <w:rsid w:val="00214FB4"/>
    <w:rsid w:val="00215940"/>
    <w:rsid w:val="00215DE0"/>
    <w:rsid w:val="00217C23"/>
    <w:rsid w:val="00220561"/>
    <w:rsid w:val="00220CE4"/>
    <w:rsid w:val="00222D9B"/>
    <w:rsid w:val="00223667"/>
    <w:rsid w:val="00223788"/>
    <w:rsid w:val="00223D11"/>
    <w:rsid w:val="002242D3"/>
    <w:rsid w:val="00227E99"/>
    <w:rsid w:val="002301E6"/>
    <w:rsid w:val="00230DE2"/>
    <w:rsid w:val="00231017"/>
    <w:rsid w:val="00232F90"/>
    <w:rsid w:val="00233240"/>
    <w:rsid w:val="00233AFB"/>
    <w:rsid w:val="00233B08"/>
    <w:rsid w:val="00233C3B"/>
    <w:rsid w:val="0023499C"/>
    <w:rsid w:val="00234B19"/>
    <w:rsid w:val="00235CE3"/>
    <w:rsid w:val="0023636A"/>
    <w:rsid w:val="00236421"/>
    <w:rsid w:val="00236705"/>
    <w:rsid w:val="00236991"/>
    <w:rsid w:val="00236F34"/>
    <w:rsid w:val="002372F7"/>
    <w:rsid w:val="00240651"/>
    <w:rsid w:val="00240803"/>
    <w:rsid w:val="00241459"/>
    <w:rsid w:val="0024426D"/>
    <w:rsid w:val="00244F1D"/>
    <w:rsid w:val="00245004"/>
    <w:rsid w:val="00245C7D"/>
    <w:rsid w:val="00245FB4"/>
    <w:rsid w:val="00246AE0"/>
    <w:rsid w:val="00246CEB"/>
    <w:rsid w:val="00247F17"/>
    <w:rsid w:val="00250898"/>
    <w:rsid w:val="00250FE2"/>
    <w:rsid w:val="00251EA9"/>
    <w:rsid w:val="00252409"/>
    <w:rsid w:val="00252843"/>
    <w:rsid w:val="00252B57"/>
    <w:rsid w:val="00252F2C"/>
    <w:rsid w:val="002543F8"/>
    <w:rsid w:val="0025449D"/>
    <w:rsid w:val="002551A4"/>
    <w:rsid w:val="002559F3"/>
    <w:rsid w:val="0025611B"/>
    <w:rsid w:val="0025669D"/>
    <w:rsid w:val="00256DFE"/>
    <w:rsid w:val="0025791D"/>
    <w:rsid w:val="00260F7B"/>
    <w:rsid w:val="00261D56"/>
    <w:rsid w:val="00261DD5"/>
    <w:rsid w:val="00261FD3"/>
    <w:rsid w:val="002625AF"/>
    <w:rsid w:val="00263862"/>
    <w:rsid w:val="00264077"/>
    <w:rsid w:val="00264FEF"/>
    <w:rsid w:val="00266330"/>
    <w:rsid w:val="00266B9A"/>
    <w:rsid w:val="00266D4D"/>
    <w:rsid w:val="00266E1F"/>
    <w:rsid w:val="00267F8A"/>
    <w:rsid w:val="00270E54"/>
    <w:rsid w:val="002713CD"/>
    <w:rsid w:val="00272175"/>
    <w:rsid w:val="00273681"/>
    <w:rsid w:val="002754B5"/>
    <w:rsid w:val="002764C5"/>
    <w:rsid w:val="002772AE"/>
    <w:rsid w:val="00280613"/>
    <w:rsid w:val="00281008"/>
    <w:rsid w:val="0028274D"/>
    <w:rsid w:val="0028282A"/>
    <w:rsid w:val="00282B96"/>
    <w:rsid w:val="00282DFB"/>
    <w:rsid w:val="002833D6"/>
    <w:rsid w:val="002837D1"/>
    <w:rsid w:val="00283F51"/>
    <w:rsid w:val="00284018"/>
    <w:rsid w:val="00284AF9"/>
    <w:rsid w:val="00286064"/>
    <w:rsid w:val="002861C3"/>
    <w:rsid w:val="002867B1"/>
    <w:rsid w:val="0028733C"/>
    <w:rsid w:val="00287BBB"/>
    <w:rsid w:val="00287E3B"/>
    <w:rsid w:val="002900D4"/>
    <w:rsid w:val="00290638"/>
    <w:rsid w:val="00291021"/>
    <w:rsid w:val="00291763"/>
    <w:rsid w:val="00291D80"/>
    <w:rsid w:val="00291D97"/>
    <w:rsid w:val="00292288"/>
    <w:rsid w:val="00293156"/>
    <w:rsid w:val="00293BE7"/>
    <w:rsid w:val="002946DC"/>
    <w:rsid w:val="00294D91"/>
    <w:rsid w:val="00296005"/>
    <w:rsid w:val="0029797A"/>
    <w:rsid w:val="002A015B"/>
    <w:rsid w:val="002A0C82"/>
    <w:rsid w:val="002A0CD8"/>
    <w:rsid w:val="002A0D37"/>
    <w:rsid w:val="002A13EB"/>
    <w:rsid w:val="002A35EF"/>
    <w:rsid w:val="002A3893"/>
    <w:rsid w:val="002A3DE0"/>
    <w:rsid w:val="002A40EA"/>
    <w:rsid w:val="002A46E8"/>
    <w:rsid w:val="002A491C"/>
    <w:rsid w:val="002A73F1"/>
    <w:rsid w:val="002B05C9"/>
    <w:rsid w:val="002B1765"/>
    <w:rsid w:val="002B1FEF"/>
    <w:rsid w:val="002B2550"/>
    <w:rsid w:val="002B2DF8"/>
    <w:rsid w:val="002B354F"/>
    <w:rsid w:val="002B3614"/>
    <w:rsid w:val="002B4287"/>
    <w:rsid w:val="002B45D1"/>
    <w:rsid w:val="002B468E"/>
    <w:rsid w:val="002B4ED8"/>
    <w:rsid w:val="002B4FAA"/>
    <w:rsid w:val="002B52C2"/>
    <w:rsid w:val="002B5C3A"/>
    <w:rsid w:val="002B6BCE"/>
    <w:rsid w:val="002B7327"/>
    <w:rsid w:val="002B7656"/>
    <w:rsid w:val="002B7FA2"/>
    <w:rsid w:val="002C104B"/>
    <w:rsid w:val="002C1492"/>
    <w:rsid w:val="002C1BD3"/>
    <w:rsid w:val="002C1E8B"/>
    <w:rsid w:val="002C2EFE"/>
    <w:rsid w:val="002C40A0"/>
    <w:rsid w:val="002C4109"/>
    <w:rsid w:val="002C53AA"/>
    <w:rsid w:val="002C5B2D"/>
    <w:rsid w:val="002C65E4"/>
    <w:rsid w:val="002C6AF9"/>
    <w:rsid w:val="002C7DFC"/>
    <w:rsid w:val="002D010C"/>
    <w:rsid w:val="002D14F3"/>
    <w:rsid w:val="002D16E4"/>
    <w:rsid w:val="002D1A11"/>
    <w:rsid w:val="002D2FE9"/>
    <w:rsid w:val="002D2FEF"/>
    <w:rsid w:val="002D36C2"/>
    <w:rsid w:val="002D3FCB"/>
    <w:rsid w:val="002D407F"/>
    <w:rsid w:val="002D458F"/>
    <w:rsid w:val="002D4FEF"/>
    <w:rsid w:val="002D502D"/>
    <w:rsid w:val="002D5767"/>
    <w:rsid w:val="002D61E7"/>
    <w:rsid w:val="002D63F5"/>
    <w:rsid w:val="002D6771"/>
    <w:rsid w:val="002D6A0C"/>
    <w:rsid w:val="002D6E1A"/>
    <w:rsid w:val="002E036D"/>
    <w:rsid w:val="002E0396"/>
    <w:rsid w:val="002E0792"/>
    <w:rsid w:val="002E1517"/>
    <w:rsid w:val="002E1B22"/>
    <w:rsid w:val="002E30BB"/>
    <w:rsid w:val="002E31DC"/>
    <w:rsid w:val="002E387F"/>
    <w:rsid w:val="002E4283"/>
    <w:rsid w:val="002E4F86"/>
    <w:rsid w:val="002E501E"/>
    <w:rsid w:val="002E51D7"/>
    <w:rsid w:val="002E583B"/>
    <w:rsid w:val="002E6E02"/>
    <w:rsid w:val="002E7113"/>
    <w:rsid w:val="002E7403"/>
    <w:rsid w:val="002E7AFE"/>
    <w:rsid w:val="002E7F4B"/>
    <w:rsid w:val="002E7FB3"/>
    <w:rsid w:val="002F092E"/>
    <w:rsid w:val="002F0C91"/>
    <w:rsid w:val="002F0E3E"/>
    <w:rsid w:val="002F1AA1"/>
    <w:rsid w:val="002F1B19"/>
    <w:rsid w:val="002F1FBF"/>
    <w:rsid w:val="002F213C"/>
    <w:rsid w:val="002F4139"/>
    <w:rsid w:val="002F4C93"/>
    <w:rsid w:val="00300624"/>
    <w:rsid w:val="00300A1F"/>
    <w:rsid w:val="00300F56"/>
    <w:rsid w:val="00301006"/>
    <w:rsid w:val="0030141D"/>
    <w:rsid w:val="00302266"/>
    <w:rsid w:val="00303565"/>
    <w:rsid w:val="00304A71"/>
    <w:rsid w:val="00304D6B"/>
    <w:rsid w:val="00305B66"/>
    <w:rsid w:val="003066C8"/>
    <w:rsid w:val="0030739D"/>
    <w:rsid w:val="00307AFB"/>
    <w:rsid w:val="00311184"/>
    <w:rsid w:val="00312675"/>
    <w:rsid w:val="00313459"/>
    <w:rsid w:val="00313F87"/>
    <w:rsid w:val="00314013"/>
    <w:rsid w:val="00314945"/>
    <w:rsid w:val="00314ADE"/>
    <w:rsid w:val="00314B1C"/>
    <w:rsid w:val="00315389"/>
    <w:rsid w:val="00315746"/>
    <w:rsid w:val="00315895"/>
    <w:rsid w:val="00315E96"/>
    <w:rsid w:val="00316806"/>
    <w:rsid w:val="00317FC8"/>
    <w:rsid w:val="00320B9B"/>
    <w:rsid w:val="003223D7"/>
    <w:rsid w:val="00323D9F"/>
    <w:rsid w:val="00324011"/>
    <w:rsid w:val="00324BDF"/>
    <w:rsid w:val="00324FDB"/>
    <w:rsid w:val="00325F48"/>
    <w:rsid w:val="003273FE"/>
    <w:rsid w:val="00327F14"/>
    <w:rsid w:val="00330C57"/>
    <w:rsid w:val="0033194F"/>
    <w:rsid w:val="00331ECE"/>
    <w:rsid w:val="00332304"/>
    <w:rsid w:val="00332406"/>
    <w:rsid w:val="00332BB0"/>
    <w:rsid w:val="00332D8D"/>
    <w:rsid w:val="00332DA8"/>
    <w:rsid w:val="00332ED1"/>
    <w:rsid w:val="003333BA"/>
    <w:rsid w:val="00333884"/>
    <w:rsid w:val="003363D6"/>
    <w:rsid w:val="00336420"/>
    <w:rsid w:val="00336B56"/>
    <w:rsid w:val="00337233"/>
    <w:rsid w:val="00337782"/>
    <w:rsid w:val="00337A3F"/>
    <w:rsid w:val="00341286"/>
    <w:rsid w:val="00341371"/>
    <w:rsid w:val="00341B25"/>
    <w:rsid w:val="00341EC0"/>
    <w:rsid w:val="0034240C"/>
    <w:rsid w:val="003440D8"/>
    <w:rsid w:val="00344496"/>
    <w:rsid w:val="003450DA"/>
    <w:rsid w:val="00345968"/>
    <w:rsid w:val="003461B1"/>
    <w:rsid w:val="00347667"/>
    <w:rsid w:val="003507E2"/>
    <w:rsid w:val="003516E5"/>
    <w:rsid w:val="00352139"/>
    <w:rsid w:val="003522B2"/>
    <w:rsid w:val="00353007"/>
    <w:rsid w:val="0035455E"/>
    <w:rsid w:val="00354A6F"/>
    <w:rsid w:val="00354B48"/>
    <w:rsid w:val="00355014"/>
    <w:rsid w:val="00355789"/>
    <w:rsid w:val="003557F4"/>
    <w:rsid w:val="003563B8"/>
    <w:rsid w:val="00357C60"/>
    <w:rsid w:val="00360289"/>
    <w:rsid w:val="003609B6"/>
    <w:rsid w:val="00361119"/>
    <w:rsid w:val="003618D0"/>
    <w:rsid w:val="00361963"/>
    <w:rsid w:val="00361EC4"/>
    <w:rsid w:val="0036395D"/>
    <w:rsid w:val="00363C8D"/>
    <w:rsid w:val="003640E4"/>
    <w:rsid w:val="003646F3"/>
    <w:rsid w:val="0036538D"/>
    <w:rsid w:val="00365D12"/>
    <w:rsid w:val="00367ED7"/>
    <w:rsid w:val="0037018D"/>
    <w:rsid w:val="00371C4A"/>
    <w:rsid w:val="00372299"/>
    <w:rsid w:val="003725AC"/>
    <w:rsid w:val="00372C81"/>
    <w:rsid w:val="00372F02"/>
    <w:rsid w:val="00373729"/>
    <w:rsid w:val="00373C91"/>
    <w:rsid w:val="003748F0"/>
    <w:rsid w:val="003755C6"/>
    <w:rsid w:val="00375AEF"/>
    <w:rsid w:val="00376367"/>
    <w:rsid w:val="00376B02"/>
    <w:rsid w:val="0037733A"/>
    <w:rsid w:val="0037738A"/>
    <w:rsid w:val="003776DC"/>
    <w:rsid w:val="003779C1"/>
    <w:rsid w:val="00380FEC"/>
    <w:rsid w:val="003810E1"/>
    <w:rsid w:val="00381226"/>
    <w:rsid w:val="00381B1B"/>
    <w:rsid w:val="00381FF6"/>
    <w:rsid w:val="00382246"/>
    <w:rsid w:val="00383D7D"/>
    <w:rsid w:val="00383E86"/>
    <w:rsid w:val="00384CCE"/>
    <w:rsid w:val="003865E5"/>
    <w:rsid w:val="00386BB8"/>
    <w:rsid w:val="00387276"/>
    <w:rsid w:val="0038793D"/>
    <w:rsid w:val="0039056F"/>
    <w:rsid w:val="00392211"/>
    <w:rsid w:val="003926C1"/>
    <w:rsid w:val="00392900"/>
    <w:rsid w:val="00393262"/>
    <w:rsid w:val="00393357"/>
    <w:rsid w:val="00394CE6"/>
    <w:rsid w:val="00395489"/>
    <w:rsid w:val="00395785"/>
    <w:rsid w:val="00395BD0"/>
    <w:rsid w:val="00395E7B"/>
    <w:rsid w:val="00395F4C"/>
    <w:rsid w:val="0039685D"/>
    <w:rsid w:val="00396F87"/>
    <w:rsid w:val="00396F90"/>
    <w:rsid w:val="003A0B2E"/>
    <w:rsid w:val="003A3C4B"/>
    <w:rsid w:val="003A3DB0"/>
    <w:rsid w:val="003A5DAC"/>
    <w:rsid w:val="003A6591"/>
    <w:rsid w:val="003A6E9A"/>
    <w:rsid w:val="003A6F6D"/>
    <w:rsid w:val="003B08C8"/>
    <w:rsid w:val="003B2567"/>
    <w:rsid w:val="003B381A"/>
    <w:rsid w:val="003B4976"/>
    <w:rsid w:val="003B4B3F"/>
    <w:rsid w:val="003B514F"/>
    <w:rsid w:val="003B6258"/>
    <w:rsid w:val="003B6607"/>
    <w:rsid w:val="003B6EB8"/>
    <w:rsid w:val="003B7736"/>
    <w:rsid w:val="003B7A99"/>
    <w:rsid w:val="003C0282"/>
    <w:rsid w:val="003C0343"/>
    <w:rsid w:val="003C05AB"/>
    <w:rsid w:val="003C0E87"/>
    <w:rsid w:val="003C1C32"/>
    <w:rsid w:val="003C40DA"/>
    <w:rsid w:val="003C413D"/>
    <w:rsid w:val="003C42BA"/>
    <w:rsid w:val="003C462F"/>
    <w:rsid w:val="003C4A02"/>
    <w:rsid w:val="003C4F05"/>
    <w:rsid w:val="003C6191"/>
    <w:rsid w:val="003C63E5"/>
    <w:rsid w:val="003C6E49"/>
    <w:rsid w:val="003C74B0"/>
    <w:rsid w:val="003C7B9E"/>
    <w:rsid w:val="003D0CBF"/>
    <w:rsid w:val="003D0DD6"/>
    <w:rsid w:val="003D0F19"/>
    <w:rsid w:val="003D1576"/>
    <w:rsid w:val="003D1C22"/>
    <w:rsid w:val="003D203F"/>
    <w:rsid w:val="003D22A6"/>
    <w:rsid w:val="003D4B73"/>
    <w:rsid w:val="003D503B"/>
    <w:rsid w:val="003D605E"/>
    <w:rsid w:val="003D61D1"/>
    <w:rsid w:val="003D6780"/>
    <w:rsid w:val="003D6FCB"/>
    <w:rsid w:val="003E06DD"/>
    <w:rsid w:val="003E0A16"/>
    <w:rsid w:val="003E0F84"/>
    <w:rsid w:val="003E10B8"/>
    <w:rsid w:val="003E1FF3"/>
    <w:rsid w:val="003E219B"/>
    <w:rsid w:val="003E2994"/>
    <w:rsid w:val="003E3ACA"/>
    <w:rsid w:val="003E50EA"/>
    <w:rsid w:val="003E573C"/>
    <w:rsid w:val="003E68C7"/>
    <w:rsid w:val="003E6B7D"/>
    <w:rsid w:val="003E7218"/>
    <w:rsid w:val="003E79B0"/>
    <w:rsid w:val="003F0403"/>
    <w:rsid w:val="003F1094"/>
    <w:rsid w:val="003F26BB"/>
    <w:rsid w:val="003F29B4"/>
    <w:rsid w:val="003F2E45"/>
    <w:rsid w:val="003F3777"/>
    <w:rsid w:val="003F38EA"/>
    <w:rsid w:val="003F3EFE"/>
    <w:rsid w:val="003F40B8"/>
    <w:rsid w:val="003F49FD"/>
    <w:rsid w:val="003F5C06"/>
    <w:rsid w:val="003F5E05"/>
    <w:rsid w:val="003F60D9"/>
    <w:rsid w:val="003F79F8"/>
    <w:rsid w:val="00400195"/>
    <w:rsid w:val="0040075B"/>
    <w:rsid w:val="00401081"/>
    <w:rsid w:val="004018D4"/>
    <w:rsid w:val="004021B9"/>
    <w:rsid w:val="0040254B"/>
    <w:rsid w:val="00402999"/>
    <w:rsid w:val="00403086"/>
    <w:rsid w:val="00403460"/>
    <w:rsid w:val="00403516"/>
    <w:rsid w:val="00403524"/>
    <w:rsid w:val="0040371C"/>
    <w:rsid w:val="00403C18"/>
    <w:rsid w:val="004040FF"/>
    <w:rsid w:val="00404284"/>
    <w:rsid w:val="004042C4"/>
    <w:rsid w:val="00404826"/>
    <w:rsid w:val="0040551E"/>
    <w:rsid w:val="00406E90"/>
    <w:rsid w:val="00407232"/>
    <w:rsid w:val="00407355"/>
    <w:rsid w:val="00410240"/>
    <w:rsid w:val="00410C20"/>
    <w:rsid w:val="00410DC5"/>
    <w:rsid w:val="00412253"/>
    <w:rsid w:val="00413031"/>
    <w:rsid w:val="004142ED"/>
    <w:rsid w:val="00414C4F"/>
    <w:rsid w:val="00415CA1"/>
    <w:rsid w:val="0041634D"/>
    <w:rsid w:val="00416CDF"/>
    <w:rsid w:val="0041714D"/>
    <w:rsid w:val="00417A42"/>
    <w:rsid w:val="00417EF7"/>
    <w:rsid w:val="0042028B"/>
    <w:rsid w:val="0042165C"/>
    <w:rsid w:val="004221F2"/>
    <w:rsid w:val="00422A7D"/>
    <w:rsid w:val="00422BFC"/>
    <w:rsid w:val="0042334B"/>
    <w:rsid w:val="00424642"/>
    <w:rsid w:val="00424B59"/>
    <w:rsid w:val="00424CA3"/>
    <w:rsid w:val="00425ABB"/>
    <w:rsid w:val="00425BB6"/>
    <w:rsid w:val="0042610A"/>
    <w:rsid w:val="004261A0"/>
    <w:rsid w:val="00426344"/>
    <w:rsid w:val="004263C6"/>
    <w:rsid w:val="004265AA"/>
    <w:rsid w:val="004269E4"/>
    <w:rsid w:val="00426BC3"/>
    <w:rsid w:val="00426CE1"/>
    <w:rsid w:val="00427076"/>
    <w:rsid w:val="00427D52"/>
    <w:rsid w:val="00430412"/>
    <w:rsid w:val="00430497"/>
    <w:rsid w:val="00430B2A"/>
    <w:rsid w:val="0043173B"/>
    <w:rsid w:val="00432920"/>
    <w:rsid w:val="00432A91"/>
    <w:rsid w:val="00432EAD"/>
    <w:rsid w:val="004332A4"/>
    <w:rsid w:val="0043453F"/>
    <w:rsid w:val="00434A74"/>
    <w:rsid w:val="00435C97"/>
    <w:rsid w:val="00436749"/>
    <w:rsid w:val="00436A79"/>
    <w:rsid w:val="00437929"/>
    <w:rsid w:val="00437A4A"/>
    <w:rsid w:val="00440541"/>
    <w:rsid w:val="00440B78"/>
    <w:rsid w:val="004412E3"/>
    <w:rsid w:val="0044162D"/>
    <w:rsid w:val="0044277A"/>
    <w:rsid w:val="004456DC"/>
    <w:rsid w:val="00447756"/>
    <w:rsid w:val="00447FBE"/>
    <w:rsid w:val="0045035E"/>
    <w:rsid w:val="0045106A"/>
    <w:rsid w:val="0045175A"/>
    <w:rsid w:val="00451ED9"/>
    <w:rsid w:val="00452180"/>
    <w:rsid w:val="00452FEE"/>
    <w:rsid w:val="00453072"/>
    <w:rsid w:val="004539F8"/>
    <w:rsid w:val="00453F26"/>
    <w:rsid w:val="0045427F"/>
    <w:rsid w:val="0045503F"/>
    <w:rsid w:val="00455273"/>
    <w:rsid w:val="004560E1"/>
    <w:rsid w:val="00456923"/>
    <w:rsid w:val="00456D5D"/>
    <w:rsid w:val="00457467"/>
    <w:rsid w:val="00460905"/>
    <w:rsid w:val="00461E35"/>
    <w:rsid w:val="004621DB"/>
    <w:rsid w:val="00462279"/>
    <w:rsid w:val="0046247E"/>
    <w:rsid w:val="004634A7"/>
    <w:rsid w:val="00463787"/>
    <w:rsid w:val="0046444E"/>
    <w:rsid w:val="00465281"/>
    <w:rsid w:val="004655BE"/>
    <w:rsid w:val="00465A09"/>
    <w:rsid w:val="00465B34"/>
    <w:rsid w:val="00466926"/>
    <w:rsid w:val="00466FDA"/>
    <w:rsid w:val="004671D0"/>
    <w:rsid w:val="004672AD"/>
    <w:rsid w:val="004674D1"/>
    <w:rsid w:val="00470271"/>
    <w:rsid w:val="00470773"/>
    <w:rsid w:val="00470A24"/>
    <w:rsid w:val="00471FF9"/>
    <w:rsid w:val="00473E74"/>
    <w:rsid w:val="00473FEF"/>
    <w:rsid w:val="00474679"/>
    <w:rsid w:val="00475B8E"/>
    <w:rsid w:val="00475FEE"/>
    <w:rsid w:val="00476E6C"/>
    <w:rsid w:val="0048104E"/>
    <w:rsid w:val="00481142"/>
    <w:rsid w:val="004811DC"/>
    <w:rsid w:val="004814BB"/>
    <w:rsid w:val="004815DA"/>
    <w:rsid w:val="00481AD9"/>
    <w:rsid w:val="00482458"/>
    <w:rsid w:val="004837BF"/>
    <w:rsid w:val="004837ED"/>
    <w:rsid w:val="00483942"/>
    <w:rsid w:val="004843CE"/>
    <w:rsid w:val="00484E9D"/>
    <w:rsid w:val="00485142"/>
    <w:rsid w:val="004852A7"/>
    <w:rsid w:val="00486C17"/>
    <w:rsid w:val="00486DE2"/>
    <w:rsid w:val="00487117"/>
    <w:rsid w:val="00487291"/>
    <w:rsid w:val="00487A32"/>
    <w:rsid w:val="00487A91"/>
    <w:rsid w:val="004901E5"/>
    <w:rsid w:val="0049027D"/>
    <w:rsid w:val="004903D4"/>
    <w:rsid w:val="0049052B"/>
    <w:rsid w:val="004909FD"/>
    <w:rsid w:val="00492457"/>
    <w:rsid w:val="004924A8"/>
    <w:rsid w:val="004934E9"/>
    <w:rsid w:val="00493F51"/>
    <w:rsid w:val="00494737"/>
    <w:rsid w:val="00494D5C"/>
    <w:rsid w:val="00495A6A"/>
    <w:rsid w:val="004964F6"/>
    <w:rsid w:val="004965C0"/>
    <w:rsid w:val="00496801"/>
    <w:rsid w:val="00496821"/>
    <w:rsid w:val="00496B07"/>
    <w:rsid w:val="00497750"/>
    <w:rsid w:val="00497B44"/>
    <w:rsid w:val="004A00E5"/>
    <w:rsid w:val="004A01A7"/>
    <w:rsid w:val="004A03FB"/>
    <w:rsid w:val="004A0D09"/>
    <w:rsid w:val="004A116E"/>
    <w:rsid w:val="004A357F"/>
    <w:rsid w:val="004A3DAD"/>
    <w:rsid w:val="004A4AC0"/>
    <w:rsid w:val="004A6CEE"/>
    <w:rsid w:val="004B0335"/>
    <w:rsid w:val="004B0F1C"/>
    <w:rsid w:val="004B1CED"/>
    <w:rsid w:val="004B1D0D"/>
    <w:rsid w:val="004B1E61"/>
    <w:rsid w:val="004B21AB"/>
    <w:rsid w:val="004B23B5"/>
    <w:rsid w:val="004B2F51"/>
    <w:rsid w:val="004B4B4C"/>
    <w:rsid w:val="004B59E0"/>
    <w:rsid w:val="004B5B62"/>
    <w:rsid w:val="004B5C51"/>
    <w:rsid w:val="004B667B"/>
    <w:rsid w:val="004B71C7"/>
    <w:rsid w:val="004B7F44"/>
    <w:rsid w:val="004C0115"/>
    <w:rsid w:val="004C03AA"/>
    <w:rsid w:val="004C0512"/>
    <w:rsid w:val="004C0AC9"/>
    <w:rsid w:val="004C0B9A"/>
    <w:rsid w:val="004C14CC"/>
    <w:rsid w:val="004C14E7"/>
    <w:rsid w:val="004C1D89"/>
    <w:rsid w:val="004C2930"/>
    <w:rsid w:val="004C2A94"/>
    <w:rsid w:val="004C3DAB"/>
    <w:rsid w:val="004C5766"/>
    <w:rsid w:val="004C5F54"/>
    <w:rsid w:val="004C6876"/>
    <w:rsid w:val="004C6E76"/>
    <w:rsid w:val="004C7690"/>
    <w:rsid w:val="004C77DD"/>
    <w:rsid w:val="004C7826"/>
    <w:rsid w:val="004C7B33"/>
    <w:rsid w:val="004D09CA"/>
    <w:rsid w:val="004D1410"/>
    <w:rsid w:val="004D1478"/>
    <w:rsid w:val="004D19EE"/>
    <w:rsid w:val="004D1CF2"/>
    <w:rsid w:val="004D2360"/>
    <w:rsid w:val="004D2D3A"/>
    <w:rsid w:val="004D374D"/>
    <w:rsid w:val="004D3DEC"/>
    <w:rsid w:val="004D42C8"/>
    <w:rsid w:val="004D4EA2"/>
    <w:rsid w:val="004D4F57"/>
    <w:rsid w:val="004D50F6"/>
    <w:rsid w:val="004D5A0D"/>
    <w:rsid w:val="004D7910"/>
    <w:rsid w:val="004D7DEA"/>
    <w:rsid w:val="004E0057"/>
    <w:rsid w:val="004E0919"/>
    <w:rsid w:val="004E0A28"/>
    <w:rsid w:val="004E1A0F"/>
    <w:rsid w:val="004E1DBD"/>
    <w:rsid w:val="004E29C4"/>
    <w:rsid w:val="004E2E89"/>
    <w:rsid w:val="004E33C2"/>
    <w:rsid w:val="004E3B9A"/>
    <w:rsid w:val="004E41FA"/>
    <w:rsid w:val="004E49B0"/>
    <w:rsid w:val="004E612E"/>
    <w:rsid w:val="004E62DE"/>
    <w:rsid w:val="004E6AE4"/>
    <w:rsid w:val="004E6B05"/>
    <w:rsid w:val="004E727D"/>
    <w:rsid w:val="004E76A1"/>
    <w:rsid w:val="004F05DE"/>
    <w:rsid w:val="004F27CB"/>
    <w:rsid w:val="004F2C3D"/>
    <w:rsid w:val="004F527D"/>
    <w:rsid w:val="004F538B"/>
    <w:rsid w:val="004F610E"/>
    <w:rsid w:val="004F6376"/>
    <w:rsid w:val="004F6A93"/>
    <w:rsid w:val="004F6F14"/>
    <w:rsid w:val="004F76D9"/>
    <w:rsid w:val="004F79A6"/>
    <w:rsid w:val="005004C3"/>
    <w:rsid w:val="00501119"/>
    <w:rsid w:val="00501B1F"/>
    <w:rsid w:val="00501BF5"/>
    <w:rsid w:val="00501D8B"/>
    <w:rsid w:val="00501E9C"/>
    <w:rsid w:val="00503A3E"/>
    <w:rsid w:val="00503F59"/>
    <w:rsid w:val="0050415A"/>
    <w:rsid w:val="005049A7"/>
    <w:rsid w:val="00504BD0"/>
    <w:rsid w:val="005051AD"/>
    <w:rsid w:val="005053B2"/>
    <w:rsid w:val="00505E90"/>
    <w:rsid w:val="00506331"/>
    <w:rsid w:val="00506858"/>
    <w:rsid w:val="00506DC5"/>
    <w:rsid w:val="00506DF5"/>
    <w:rsid w:val="0050761F"/>
    <w:rsid w:val="00507B43"/>
    <w:rsid w:val="00507D11"/>
    <w:rsid w:val="00510662"/>
    <w:rsid w:val="005109B7"/>
    <w:rsid w:val="00510A19"/>
    <w:rsid w:val="00511299"/>
    <w:rsid w:val="005115CB"/>
    <w:rsid w:val="00511AAB"/>
    <w:rsid w:val="00511EA4"/>
    <w:rsid w:val="0051220D"/>
    <w:rsid w:val="00513B55"/>
    <w:rsid w:val="00514146"/>
    <w:rsid w:val="00514D10"/>
    <w:rsid w:val="005165B4"/>
    <w:rsid w:val="00516783"/>
    <w:rsid w:val="00517EF8"/>
    <w:rsid w:val="00520083"/>
    <w:rsid w:val="005201BB"/>
    <w:rsid w:val="0052029E"/>
    <w:rsid w:val="0052076A"/>
    <w:rsid w:val="00520A2C"/>
    <w:rsid w:val="00520E25"/>
    <w:rsid w:val="00520E64"/>
    <w:rsid w:val="0052183D"/>
    <w:rsid w:val="00522F44"/>
    <w:rsid w:val="0052360A"/>
    <w:rsid w:val="00523F5D"/>
    <w:rsid w:val="005242BA"/>
    <w:rsid w:val="00524376"/>
    <w:rsid w:val="005243B8"/>
    <w:rsid w:val="005249EE"/>
    <w:rsid w:val="00524B1F"/>
    <w:rsid w:val="005252DD"/>
    <w:rsid w:val="00525ACC"/>
    <w:rsid w:val="00530A8D"/>
    <w:rsid w:val="00531C6D"/>
    <w:rsid w:val="00532EF4"/>
    <w:rsid w:val="005347CE"/>
    <w:rsid w:val="00534F5A"/>
    <w:rsid w:val="00535477"/>
    <w:rsid w:val="00535DEA"/>
    <w:rsid w:val="0053723A"/>
    <w:rsid w:val="00537636"/>
    <w:rsid w:val="00537B1D"/>
    <w:rsid w:val="00537D81"/>
    <w:rsid w:val="00540191"/>
    <w:rsid w:val="00540A2A"/>
    <w:rsid w:val="005412C7"/>
    <w:rsid w:val="00541F27"/>
    <w:rsid w:val="00542094"/>
    <w:rsid w:val="00542297"/>
    <w:rsid w:val="005424BC"/>
    <w:rsid w:val="00542A28"/>
    <w:rsid w:val="00543EBB"/>
    <w:rsid w:val="00543F05"/>
    <w:rsid w:val="005441D4"/>
    <w:rsid w:val="00544B19"/>
    <w:rsid w:val="005450C3"/>
    <w:rsid w:val="00545175"/>
    <w:rsid w:val="005455FB"/>
    <w:rsid w:val="0054672D"/>
    <w:rsid w:val="00550F4E"/>
    <w:rsid w:val="005532B5"/>
    <w:rsid w:val="00554A05"/>
    <w:rsid w:val="00555232"/>
    <w:rsid w:val="00555849"/>
    <w:rsid w:val="005559A8"/>
    <w:rsid w:val="00555D09"/>
    <w:rsid w:val="00557037"/>
    <w:rsid w:val="00557048"/>
    <w:rsid w:val="0055716F"/>
    <w:rsid w:val="0055734F"/>
    <w:rsid w:val="00557F5B"/>
    <w:rsid w:val="00557FB5"/>
    <w:rsid w:val="00560BB6"/>
    <w:rsid w:val="00561AED"/>
    <w:rsid w:val="00563AFC"/>
    <w:rsid w:val="00564085"/>
    <w:rsid w:val="00564112"/>
    <w:rsid w:val="0056453B"/>
    <w:rsid w:val="005648A8"/>
    <w:rsid w:val="00564DE3"/>
    <w:rsid w:val="00564E44"/>
    <w:rsid w:val="00565788"/>
    <w:rsid w:val="00566394"/>
    <w:rsid w:val="0056695B"/>
    <w:rsid w:val="00566C6A"/>
    <w:rsid w:val="00566CE5"/>
    <w:rsid w:val="00566D36"/>
    <w:rsid w:val="00570E32"/>
    <w:rsid w:val="0057189F"/>
    <w:rsid w:val="005731F1"/>
    <w:rsid w:val="00573569"/>
    <w:rsid w:val="00573871"/>
    <w:rsid w:val="0057389E"/>
    <w:rsid w:val="005738DE"/>
    <w:rsid w:val="005741B4"/>
    <w:rsid w:val="005758B6"/>
    <w:rsid w:val="005762EC"/>
    <w:rsid w:val="00576526"/>
    <w:rsid w:val="005765C0"/>
    <w:rsid w:val="00577020"/>
    <w:rsid w:val="005778DE"/>
    <w:rsid w:val="00580B3F"/>
    <w:rsid w:val="005825F2"/>
    <w:rsid w:val="00582A1B"/>
    <w:rsid w:val="00582AAD"/>
    <w:rsid w:val="00582EC2"/>
    <w:rsid w:val="0058336D"/>
    <w:rsid w:val="00585636"/>
    <w:rsid w:val="00585866"/>
    <w:rsid w:val="005860AE"/>
    <w:rsid w:val="005860AF"/>
    <w:rsid w:val="00587F1D"/>
    <w:rsid w:val="00587F93"/>
    <w:rsid w:val="00590348"/>
    <w:rsid w:val="00590E3B"/>
    <w:rsid w:val="00591161"/>
    <w:rsid w:val="00592318"/>
    <w:rsid w:val="00592834"/>
    <w:rsid w:val="00593013"/>
    <w:rsid w:val="00593133"/>
    <w:rsid w:val="00593B94"/>
    <w:rsid w:val="005949D4"/>
    <w:rsid w:val="0059575D"/>
    <w:rsid w:val="00595CB3"/>
    <w:rsid w:val="00596825"/>
    <w:rsid w:val="005A096D"/>
    <w:rsid w:val="005A150A"/>
    <w:rsid w:val="005A1DD3"/>
    <w:rsid w:val="005A268D"/>
    <w:rsid w:val="005A2B3E"/>
    <w:rsid w:val="005A3644"/>
    <w:rsid w:val="005A3DAD"/>
    <w:rsid w:val="005A4087"/>
    <w:rsid w:val="005A49CB"/>
    <w:rsid w:val="005A4B18"/>
    <w:rsid w:val="005A4EC0"/>
    <w:rsid w:val="005A537E"/>
    <w:rsid w:val="005A65AF"/>
    <w:rsid w:val="005A6F43"/>
    <w:rsid w:val="005A767D"/>
    <w:rsid w:val="005A7D26"/>
    <w:rsid w:val="005A7E07"/>
    <w:rsid w:val="005A7FC3"/>
    <w:rsid w:val="005B00F1"/>
    <w:rsid w:val="005B0CE7"/>
    <w:rsid w:val="005B10E2"/>
    <w:rsid w:val="005B1803"/>
    <w:rsid w:val="005B2061"/>
    <w:rsid w:val="005B3B33"/>
    <w:rsid w:val="005B4079"/>
    <w:rsid w:val="005B40F9"/>
    <w:rsid w:val="005B428E"/>
    <w:rsid w:val="005B4F4A"/>
    <w:rsid w:val="005B525C"/>
    <w:rsid w:val="005B5B3C"/>
    <w:rsid w:val="005B64CB"/>
    <w:rsid w:val="005B65C0"/>
    <w:rsid w:val="005B6A9F"/>
    <w:rsid w:val="005B6AAA"/>
    <w:rsid w:val="005B7315"/>
    <w:rsid w:val="005B7554"/>
    <w:rsid w:val="005B7C78"/>
    <w:rsid w:val="005C0FB2"/>
    <w:rsid w:val="005C1169"/>
    <w:rsid w:val="005C16E2"/>
    <w:rsid w:val="005C24EF"/>
    <w:rsid w:val="005C2796"/>
    <w:rsid w:val="005C2AD7"/>
    <w:rsid w:val="005C3C6C"/>
    <w:rsid w:val="005C3F4C"/>
    <w:rsid w:val="005C43AA"/>
    <w:rsid w:val="005C48C8"/>
    <w:rsid w:val="005C4E0E"/>
    <w:rsid w:val="005C5EF8"/>
    <w:rsid w:val="005C6485"/>
    <w:rsid w:val="005C663C"/>
    <w:rsid w:val="005C700A"/>
    <w:rsid w:val="005D0594"/>
    <w:rsid w:val="005D1023"/>
    <w:rsid w:val="005D1152"/>
    <w:rsid w:val="005D148F"/>
    <w:rsid w:val="005D184D"/>
    <w:rsid w:val="005D2AD2"/>
    <w:rsid w:val="005D3228"/>
    <w:rsid w:val="005D34BA"/>
    <w:rsid w:val="005D3769"/>
    <w:rsid w:val="005D3BC6"/>
    <w:rsid w:val="005D4A86"/>
    <w:rsid w:val="005D5D3C"/>
    <w:rsid w:val="005D5EB1"/>
    <w:rsid w:val="005D6A29"/>
    <w:rsid w:val="005D719C"/>
    <w:rsid w:val="005E0481"/>
    <w:rsid w:val="005E10BF"/>
    <w:rsid w:val="005E1834"/>
    <w:rsid w:val="005E270C"/>
    <w:rsid w:val="005E2B17"/>
    <w:rsid w:val="005E3305"/>
    <w:rsid w:val="005E3456"/>
    <w:rsid w:val="005E3802"/>
    <w:rsid w:val="005E49E5"/>
    <w:rsid w:val="005E5481"/>
    <w:rsid w:val="005E55E4"/>
    <w:rsid w:val="005E6C5F"/>
    <w:rsid w:val="005E7636"/>
    <w:rsid w:val="005E7E00"/>
    <w:rsid w:val="005F028E"/>
    <w:rsid w:val="005F030B"/>
    <w:rsid w:val="005F04B4"/>
    <w:rsid w:val="005F11A4"/>
    <w:rsid w:val="005F19F8"/>
    <w:rsid w:val="005F361C"/>
    <w:rsid w:val="005F3A40"/>
    <w:rsid w:val="005F3FB1"/>
    <w:rsid w:val="005F5A0D"/>
    <w:rsid w:val="005F5ACF"/>
    <w:rsid w:val="005F60DC"/>
    <w:rsid w:val="006000DD"/>
    <w:rsid w:val="0060097D"/>
    <w:rsid w:val="00600F63"/>
    <w:rsid w:val="006012E1"/>
    <w:rsid w:val="00602253"/>
    <w:rsid w:val="006022B2"/>
    <w:rsid w:val="00602361"/>
    <w:rsid w:val="006023E1"/>
    <w:rsid w:val="006036BB"/>
    <w:rsid w:val="00603FAC"/>
    <w:rsid w:val="00604EC0"/>
    <w:rsid w:val="0060505A"/>
    <w:rsid w:val="006052DD"/>
    <w:rsid w:val="00605531"/>
    <w:rsid w:val="00605F5E"/>
    <w:rsid w:val="00606240"/>
    <w:rsid w:val="0060674A"/>
    <w:rsid w:val="00607832"/>
    <w:rsid w:val="0060784B"/>
    <w:rsid w:val="00610061"/>
    <w:rsid w:val="00610254"/>
    <w:rsid w:val="006105FB"/>
    <w:rsid w:val="00610F94"/>
    <w:rsid w:val="0061100D"/>
    <w:rsid w:val="00611293"/>
    <w:rsid w:val="0061135E"/>
    <w:rsid w:val="0061263A"/>
    <w:rsid w:val="00612C41"/>
    <w:rsid w:val="006145DE"/>
    <w:rsid w:val="0061478E"/>
    <w:rsid w:val="006149FE"/>
    <w:rsid w:val="00614F25"/>
    <w:rsid w:val="00616A11"/>
    <w:rsid w:val="00616B26"/>
    <w:rsid w:val="00616B9B"/>
    <w:rsid w:val="00617520"/>
    <w:rsid w:val="006176A5"/>
    <w:rsid w:val="00617AD0"/>
    <w:rsid w:val="00620D7C"/>
    <w:rsid w:val="00621089"/>
    <w:rsid w:val="00621E1F"/>
    <w:rsid w:val="00622362"/>
    <w:rsid w:val="006228B2"/>
    <w:rsid w:val="006228E1"/>
    <w:rsid w:val="00622E32"/>
    <w:rsid w:val="00623688"/>
    <w:rsid w:val="006238CD"/>
    <w:rsid w:val="006247E0"/>
    <w:rsid w:val="00625F82"/>
    <w:rsid w:val="00626D23"/>
    <w:rsid w:val="0062796A"/>
    <w:rsid w:val="00627999"/>
    <w:rsid w:val="00630CD7"/>
    <w:rsid w:val="00630FF7"/>
    <w:rsid w:val="0063241D"/>
    <w:rsid w:val="00633433"/>
    <w:rsid w:val="0063408F"/>
    <w:rsid w:val="006341B5"/>
    <w:rsid w:val="006346C9"/>
    <w:rsid w:val="00634727"/>
    <w:rsid w:val="00634B64"/>
    <w:rsid w:val="0063578C"/>
    <w:rsid w:val="00636069"/>
    <w:rsid w:val="0063642C"/>
    <w:rsid w:val="0063681E"/>
    <w:rsid w:val="00636FF9"/>
    <w:rsid w:val="00640975"/>
    <w:rsid w:val="00640DCD"/>
    <w:rsid w:val="00641561"/>
    <w:rsid w:val="00641B82"/>
    <w:rsid w:val="00641DC3"/>
    <w:rsid w:val="0064208D"/>
    <w:rsid w:val="00642972"/>
    <w:rsid w:val="00642EAD"/>
    <w:rsid w:val="00643919"/>
    <w:rsid w:val="00644F4D"/>
    <w:rsid w:val="006452CD"/>
    <w:rsid w:val="006456BD"/>
    <w:rsid w:val="006469B1"/>
    <w:rsid w:val="00646C0D"/>
    <w:rsid w:val="006473D3"/>
    <w:rsid w:val="006476F7"/>
    <w:rsid w:val="0064779E"/>
    <w:rsid w:val="006501FA"/>
    <w:rsid w:val="006509B0"/>
    <w:rsid w:val="006521F3"/>
    <w:rsid w:val="006524D5"/>
    <w:rsid w:val="00652BBD"/>
    <w:rsid w:val="006535D6"/>
    <w:rsid w:val="00653633"/>
    <w:rsid w:val="00653F69"/>
    <w:rsid w:val="006540DA"/>
    <w:rsid w:val="0065435A"/>
    <w:rsid w:val="00654936"/>
    <w:rsid w:val="00655485"/>
    <w:rsid w:val="006558B3"/>
    <w:rsid w:val="0065590E"/>
    <w:rsid w:val="00657CDA"/>
    <w:rsid w:val="00660B0D"/>
    <w:rsid w:val="00660BF0"/>
    <w:rsid w:val="0066189C"/>
    <w:rsid w:val="00661B12"/>
    <w:rsid w:val="00661E8F"/>
    <w:rsid w:val="00662F04"/>
    <w:rsid w:val="006630CF"/>
    <w:rsid w:val="00663EFF"/>
    <w:rsid w:val="00664877"/>
    <w:rsid w:val="006659FA"/>
    <w:rsid w:val="00665AA6"/>
    <w:rsid w:val="00665C19"/>
    <w:rsid w:val="00666B43"/>
    <w:rsid w:val="00666F74"/>
    <w:rsid w:val="00667FEA"/>
    <w:rsid w:val="006710D2"/>
    <w:rsid w:val="00671A8B"/>
    <w:rsid w:val="00671F53"/>
    <w:rsid w:val="006725A0"/>
    <w:rsid w:val="00672F1B"/>
    <w:rsid w:val="006734D4"/>
    <w:rsid w:val="00674897"/>
    <w:rsid w:val="00675407"/>
    <w:rsid w:val="0067555E"/>
    <w:rsid w:val="00675D33"/>
    <w:rsid w:val="00676EBC"/>
    <w:rsid w:val="00677FAD"/>
    <w:rsid w:val="006802DE"/>
    <w:rsid w:val="0068032D"/>
    <w:rsid w:val="0068068C"/>
    <w:rsid w:val="00681115"/>
    <w:rsid w:val="00682137"/>
    <w:rsid w:val="00683920"/>
    <w:rsid w:val="00685147"/>
    <w:rsid w:val="00685653"/>
    <w:rsid w:val="0068589C"/>
    <w:rsid w:val="0068590D"/>
    <w:rsid w:val="00685A89"/>
    <w:rsid w:val="006861B3"/>
    <w:rsid w:val="00686352"/>
    <w:rsid w:val="00686FA2"/>
    <w:rsid w:val="006870C5"/>
    <w:rsid w:val="00690A70"/>
    <w:rsid w:val="00690C6F"/>
    <w:rsid w:val="00690F0E"/>
    <w:rsid w:val="006911C0"/>
    <w:rsid w:val="00691304"/>
    <w:rsid w:val="00691B7C"/>
    <w:rsid w:val="00692098"/>
    <w:rsid w:val="006920C8"/>
    <w:rsid w:val="0069228D"/>
    <w:rsid w:val="006930D6"/>
    <w:rsid w:val="00694B73"/>
    <w:rsid w:val="00694DF2"/>
    <w:rsid w:val="00694F49"/>
    <w:rsid w:val="00695D31"/>
    <w:rsid w:val="00695F80"/>
    <w:rsid w:val="006964FD"/>
    <w:rsid w:val="006966CD"/>
    <w:rsid w:val="00696735"/>
    <w:rsid w:val="0069757E"/>
    <w:rsid w:val="006975D4"/>
    <w:rsid w:val="0069780E"/>
    <w:rsid w:val="00697D13"/>
    <w:rsid w:val="006A1E71"/>
    <w:rsid w:val="006A24D5"/>
    <w:rsid w:val="006A2CA2"/>
    <w:rsid w:val="006A5426"/>
    <w:rsid w:val="006B0164"/>
    <w:rsid w:val="006B02B2"/>
    <w:rsid w:val="006B2D40"/>
    <w:rsid w:val="006B2E52"/>
    <w:rsid w:val="006B302D"/>
    <w:rsid w:val="006B34DF"/>
    <w:rsid w:val="006B39B2"/>
    <w:rsid w:val="006B3AF9"/>
    <w:rsid w:val="006B3C8F"/>
    <w:rsid w:val="006B4352"/>
    <w:rsid w:val="006B45A0"/>
    <w:rsid w:val="006B468F"/>
    <w:rsid w:val="006B5668"/>
    <w:rsid w:val="006B5F71"/>
    <w:rsid w:val="006B6E44"/>
    <w:rsid w:val="006B7059"/>
    <w:rsid w:val="006B7287"/>
    <w:rsid w:val="006B7713"/>
    <w:rsid w:val="006B7F2E"/>
    <w:rsid w:val="006C0586"/>
    <w:rsid w:val="006C0BF8"/>
    <w:rsid w:val="006C0E7F"/>
    <w:rsid w:val="006C2253"/>
    <w:rsid w:val="006C2CCB"/>
    <w:rsid w:val="006C34F3"/>
    <w:rsid w:val="006C3BC6"/>
    <w:rsid w:val="006C3CEC"/>
    <w:rsid w:val="006C4334"/>
    <w:rsid w:val="006C4B0F"/>
    <w:rsid w:val="006C5CE6"/>
    <w:rsid w:val="006C5E96"/>
    <w:rsid w:val="006C655C"/>
    <w:rsid w:val="006C7767"/>
    <w:rsid w:val="006C7E8B"/>
    <w:rsid w:val="006D062A"/>
    <w:rsid w:val="006D11F4"/>
    <w:rsid w:val="006D2BAD"/>
    <w:rsid w:val="006D399F"/>
    <w:rsid w:val="006D4157"/>
    <w:rsid w:val="006D4F0C"/>
    <w:rsid w:val="006D5072"/>
    <w:rsid w:val="006D52A5"/>
    <w:rsid w:val="006D5645"/>
    <w:rsid w:val="006D7220"/>
    <w:rsid w:val="006E0A4F"/>
    <w:rsid w:val="006E0C8A"/>
    <w:rsid w:val="006E15E8"/>
    <w:rsid w:val="006E2A23"/>
    <w:rsid w:val="006E35E5"/>
    <w:rsid w:val="006E3C72"/>
    <w:rsid w:val="006E3D8A"/>
    <w:rsid w:val="006E4F20"/>
    <w:rsid w:val="006E4F38"/>
    <w:rsid w:val="006E649A"/>
    <w:rsid w:val="006E7965"/>
    <w:rsid w:val="006E7ED2"/>
    <w:rsid w:val="006F08DC"/>
    <w:rsid w:val="006F1D42"/>
    <w:rsid w:val="006F3948"/>
    <w:rsid w:val="006F4403"/>
    <w:rsid w:val="006F4535"/>
    <w:rsid w:val="006F45EC"/>
    <w:rsid w:val="006F47B8"/>
    <w:rsid w:val="006F47D2"/>
    <w:rsid w:val="006F4B04"/>
    <w:rsid w:val="006F4BB8"/>
    <w:rsid w:val="006F5456"/>
    <w:rsid w:val="006F57F2"/>
    <w:rsid w:val="006F5E2B"/>
    <w:rsid w:val="006F6468"/>
    <w:rsid w:val="006F6C93"/>
    <w:rsid w:val="006F70B1"/>
    <w:rsid w:val="006F72B6"/>
    <w:rsid w:val="00700247"/>
    <w:rsid w:val="007005FA"/>
    <w:rsid w:val="00701051"/>
    <w:rsid w:val="00701D9A"/>
    <w:rsid w:val="007021C2"/>
    <w:rsid w:val="00702502"/>
    <w:rsid w:val="007033A8"/>
    <w:rsid w:val="00703E9A"/>
    <w:rsid w:val="00704144"/>
    <w:rsid w:val="0070421B"/>
    <w:rsid w:val="007043F0"/>
    <w:rsid w:val="0070482E"/>
    <w:rsid w:val="00704D25"/>
    <w:rsid w:val="00704EED"/>
    <w:rsid w:val="00710519"/>
    <w:rsid w:val="00710F6E"/>
    <w:rsid w:val="00711663"/>
    <w:rsid w:val="007116B4"/>
    <w:rsid w:val="0071224C"/>
    <w:rsid w:val="007122AC"/>
    <w:rsid w:val="00712580"/>
    <w:rsid w:val="007127E0"/>
    <w:rsid w:val="00712A99"/>
    <w:rsid w:val="007133E4"/>
    <w:rsid w:val="00713788"/>
    <w:rsid w:val="00713940"/>
    <w:rsid w:val="007151A2"/>
    <w:rsid w:val="00716272"/>
    <w:rsid w:val="00716774"/>
    <w:rsid w:val="0071687E"/>
    <w:rsid w:val="00716C44"/>
    <w:rsid w:val="007209DD"/>
    <w:rsid w:val="00721D9E"/>
    <w:rsid w:val="00722DDF"/>
    <w:rsid w:val="00722DE8"/>
    <w:rsid w:val="00722E49"/>
    <w:rsid w:val="0072366C"/>
    <w:rsid w:val="00723A08"/>
    <w:rsid w:val="00723B5C"/>
    <w:rsid w:val="007241A8"/>
    <w:rsid w:val="00724391"/>
    <w:rsid w:val="00724562"/>
    <w:rsid w:val="0072466D"/>
    <w:rsid w:val="00724C18"/>
    <w:rsid w:val="00726630"/>
    <w:rsid w:val="00726878"/>
    <w:rsid w:val="00727C46"/>
    <w:rsid w:val="00727F73"/>
    <w:rsid w:val="00730705"/>
    <w:rsid w:val="00730944"/>
    <w:rsid w:val="00730F1E"/>
    <w:rsid w:val="0073248E"/>
    <w:rsid w:val="00733B97"/>
    <w:rsid w:val="00733EE9"/>
    <w:rsid w:val="007351EC"/>
    <w:rsid w:val="00735B8E"/>
    <w:rsid w:val="0073673C"/>
    <w:rsid w:val="00736935"/>
    <w:rsid w:val="007373AD"/>
    <w:rsid w:val="007421BE"/>
    <w:rsid w:val="00742AE4"/>
    <w:rsid w:val="00742FE0"/>
    <w:rsid w:val="0074343B"/>
    <w:rsid w:val="00743A8E"/>
    <w:rsid w:val="00743DE7"/>
    <w:rsid w:val="0074509E"/>
    <w:rsid w:val="00745715"/>
    <w:rsid w:val="00745B9F"/>
    <w:rsid w:val="00746CEE"/>
    <w:rsid w:val="0074726F"/>
    <w:rsid w:val="00747777"/>
    <w:rsid w:val="0075015C"/>
    <w:rsid w:val="00752340"/>
    <w:rsid w:val="0075247A"/>
    <w:rsid w:val="00752767"/>
    <w:rsid w:val="00752D4F"/>
    <w:rsid w:val="00752DC8"/>
    <w:rsid w:val="0075409F"/>
    <w:rsid w:val="00754A9B"/>
    <w:rsid w:val="00754AC4"/>
    <w:rsid w:val="00754BB4"/>
    <w:rsid w:val="00754BD8"/>
    <w:rsid w:val="00755254"/>
    <w:rsid w:val="0075525A"/>
    <w:rsid w:val="00755295"/>
    <w:rsid w:val="007552EA"/>
    <w:rsid w:val="007553DE"/>
    <w:rsid w:val="00755609"/>
    <w:rsid w:val="00755724"/>
    <w:rsid w:val="00755986"/>
    <w:rsid w:val="00755C86"/>
    <w:rsid w:val="00755E19"/>
    <w:rsid w:val="0075648C"/>
    <w:rsid w:val="007564BF"/>
    <w:rsid w:val="00756BFF"/>
    <w:rsid w:val="00756D77"/>
    <w:rsid w:val="00757205"/>
    <w:rsid w:val="00760041"/>
    <w:rsid w:val="007601AE"/>
    <w:rsid w:val="007602C1"/>
    <w:rsid w:val="00760332"/>
    <w:rsid w:val="007603AC"/>
    <w:rsid w:val="007605C7"/>
    <w:rsid w:val="00760830"/>
    <w:rsid w:val="00760B08"/>
    <w:rsid w:val="00760EDA"/>
    <w:rsid w:val="00761CE0"/>
    <w:rsid w:val="00761F4E"/>
    <w:rsid w:val="00762150"/>
    <w:rsid w:val="00762621"/>
    <w:rsid w:val="00762C77"/>
    <w:rsid w:val="00763340"/>
    <w:rsid w:val="007635F0"/>
    <w:rsid w:val="00763B65"/>
    <w:rsid w:val="00763F36"/>
    <w:rsid w:val="00764042"/>
    <w:rsid w:val="00764196"/>
    <w:rsid w:val="007648A0"/>
    <w:rsid w:val="00765431"/>
    <w:rsid w:val="00765E64"/>
    <w:rsid w:val="00766F4D"/>
    <w:rsid w:val="00770268"/>
    <w:rsid w:val="007706B9"/>
    <w:rsid w:val="007707ED"/>
    <w:rsid w:val="00771C3B"/>
    <w:rsid w:val="0077242F"/>
    <w:rsid w:val="007726F9"/>
    <w:rsid w:val="00773950"/>
    <w:rsid w:val="00773B94"/>
    <w:rsid w:val="00773C65"/>
    <w:rsid w:val="00774732"/>
    <w:rsid w:val="00775937"/>
    <w:rsid w:val="00775A4A"/>
    <w:rsid w:val="007769B8"/>
    <w:rsid w:val="00777046"/>
    <w:rsid w:val="007770DA"/>
    <w:rsid w:val="00777ABE"/>
    <w:rsid w:val="007805B9"/>
    <w:rsid w:val="00780C3A"/>
    <w:rsid w:val="0078314D"/>
    <w:rsid w:val="00783305"/>
    <w:rsid w:val="007834A1"/>
    <w:rsid w:val="00783CCB"/>
    <w:rsid w:val="007840B5"/>
    <w:rsid w:val="00786AEC"/>
    <w:rsid w:val="00786BE5"/>
    <w:rsid w:val="00786C79"/>
    <w:rsid w:val="00790040"/>
    <w:rsid w:val="00790D6C"/>
    <w:rsid w:val="00791EB4"/>
    <w:rsid w:val="007928F1"/>
    <w:rsid w:val="0079357D"/>
    <w:rsid w:val="007937CC"/>
    <w:rsid w:val="00793981"/>
    <w:rsid w:val="00793A31"/>
    <w:rsid w:val="007947D2"/>
    <w:rsid w:val="00794979"/>
    <w:rsid w:val="007955B1"/>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5D26"/>
    <w:rsid w:val="007A6F4E"/>
    <w:rsid w:val="007A7678"/>
    <w:rsid w:val="007B0CD8"/>
    <w:rsid w:val="007B0DE0"/>
    <w:rsid w:val="007B21DE"/>
    <w:rsid w:val="007B2A74"/>
    <w:rsid w:val="007B2AEB"/>
    <w:rsid w:val="007B2BB9"/>
    <w:rsid w:val="007B43E8"/>
    <w:rsid w:val="007B4740"/>
    <w:rsid w:val="007B4DD0"/>
    <w:rsid w:val="007B502C"/>
    <w:rsid w:val="007B5F3B"/>
    <w:rsid w:val="007C02B0"/>
    <w:rsid w:val="007C053B"/>
    <w:rsid w:val="007C063E"/>
    <w:rsid w:val="007C1901"/>
    <w:rsid w:val="007C19B6"/>
    <w:rsid w:val="007C3136"/>
    <w:rsid w:val="007C49C0"/>
    <w:rsid w:val="007C55C1"/>
    <w:rsid w:val="007C5738"/>
    <w:rsid w:val="007C5772"/>
    <w:rsid w:val="007C5AC3"/>
    <w:rsid w:val="007C616B"/>
    <w:rsid w:val="007C7233"/>
    <w:rsid w:val="007D10EE"/>
    <w:rsid w:val="007D1193"/>
    <w:rsid w:val="007D1963"/>
    <w:rsid w:val="007D1D0E"/>
    <w:rsid w:val="007D21D5"/>
    <w:rsid w:val="007D280F"/>
    <w:rsid w:val="007D3E8D"/>
    <w:rsid w:val="007D5519"/>
    <w:rsid w:val="007D5915"/>
    <w:rsid w:val="007D5B4F"/>
    <w:rsid w:val="007D5C30"/>
    <w:rsid w:val="007D7C09"/>
    <w:rsid w:val="007E010D"/>
    <w:rsid w:val="007E0660"/>
    <w:rsid w:val="007E0AC6"/>
    <w:rsid w:val="007E1411"/>
    <w:rsid w:val="007E1882"/>
    <w:rsid w:val="007E1BB4"/>
    <w:rsid w:val="007E3514"/>
    <w:rsid w:val="007E4078"/>
    <w:rsid w:val="007E4AAA"/>
    <w:rsid w:val="007E4BD2"/>
    <w:rsid w:val="007E4C29"/>
    <w:rsid w:val="007E58A7"/>
    <w:rsid w:val="007E5E44"/>
    <w:rsid w:val="007E5EC2"/>
    <w:rsid w:val="007E7595"/>
    <w:rsid w:val="007F0D7B"/>
    <w:rsid w:val="007F0DDA"/>
    <w:rsid w:val="007F170C"/>
    <w:rsid w:val="007F1939"/>
    <w:rsid w:val="007F205D"/>
    <w:rsid w:val="007F29D9"/>
    <w:rsid w:val="007F365C"/>
    <w:rsid w:val="007F3DEA"/>
    <w:rsid w:val="007F3E83"/>
    <w:rsid w:val="007F3F49"/>
    <w:rsid w:val="007F4A2A"/>
    <w:rsid w:val="007F5066"/>
    <w:rsid w:val="007F621C"/>
    <w:rsid w:val="007F7155"/>
    <w:rsid w:val="007F7B93"/>
    <w:rsid w:val="00800546"/>
    <w:rsid w:val="00800B0E"/>
    <w:rsid w:val="00800C28"/>
    <w:rsid w:val="0080245E"/>
    <w:rsid w:val="00803480"/>
    <w:rsid w:val="0080359C"/>
    <w:rsid w:val="008037AE"/>
    <w:rsid w:val="008043F4"/>
    <w:rsid w:val="00804418"/>
    <w:rsid w:val="00804BB4"/>
    <w:rsid w:val="00805BE8"/>
    <w:rsid w:val="00805CD9"/>
    <w:rsid w:val="00805D9F"/>
    <w:rsid w:val="00807A4D"/>
    <w:rsid w:val="00807F30"/>
    <w:rsid w:val="008103DC"/>
    <w:rsid w:val="0081119F"/>
    <w:rsid w:val="0081134D"/>
    <w:rsid w:val="00811D2F"/>
    <w:rsid w:val="00811EDA"/>
    <w:rsid w:val="00812403"/>
    <w:rsid w:val="00812FD7"/>
    <w:rsid w:val="008164DA"/>
    <w:rsid w:val="008170FD"/>
    <w:rsid w:val="00820623"/>
    <w:rsid w:val="00820CBA"/>
    <w:rsid w:val="00820D0F"/>
    <w:rsid w:val="00821747"/>
    <w:rsid w:val="008229A3"/>
    <w:rsid w:val="00822DFB"/>
    <w:rsid w:val="00822F64"/>
    <w:rsid w:val="0082484D"/>
    <w:rsid w:val="00824EAF"/>
    <w:rsid w:val="00824EC6"/>
    <w:rsid w:val="008253A6"/>
    <w:rsid w:val="00825A6B"/>
    <w:rsid w:val="00825C50"/>
    <w:rsid w:val="00826577"/>
    <w:rsid w:val="00827439"/>
    <w:rsid w:val="00827C79"/>
    <w:rsid w:val="0083003F"/>
    <w:rsid w:val="00830439"/>
    <w:rsid w:val="00830805"/>
    <w:rsid w:val="00831077"/>
    <w:rsid w:val="00831866"/>
    <w:rsid w:val="00831A4A"/>
    <w:rsid w:val="00832134"/>
    <w:rsid w:val="0083219E"/>
    <w:rsid w:val="00832B8C"/>
    <w:rsid w:val="00832DA3"/>
    <w:rsid w:val="00833566"/>
    <w:rsid w:val="00833B1E"/>
    <w:rsid w:val="00834928"/>
    <w:rsid w:val="0083497C"/>
    <w:rsid w:val="008352A6"/>
    <w:rsid w:val="00835B01"/>
    <w:rsid w:val="00835B5B"/>
    <w:rsid w:val="008360BC"/>
    <w:rsid w:val="008367AE"/>
    <w:rsid w:val="00836E50"/>
    <w:rsid w:val="00840477"/>
    <w:rsid w:val="0084121D"/>
    <w:rsid w:val="008419C1"/>
    <w:rsid w:val="00842737"/>
    <w:rsid w:val="00843573"/>
    <w:rsid w:val="00844515"/>
    <w:rsid w:val="0084465A"/>
    <w:rsid w:val="008448C9"/>
    <w:rsid w:val="00844DFF"/>
    <w:rsid w:val="008451BE"/>
    <w:rsid w:val="00845D87"/>
    <w:rsid w:val="00846C3A"/>
    <w:rsid w:val="0084742E"/>
    <w:rsid w:val="008477BF"/>
    <w:rsid w:val="008503DA"/>
    <w:rsid w:val="0085060A"/>
    <w:rsid w:val="00850B68"/>
    <w:rsid w:val="00850C3B"/>
    <w:rsid w:val="00850D43"/>
    <w:rsid w:val="00850E82"/>
    <w:rsid w:val="0085122D"/>
    <w:rsid w:val="008519E8"/>
    <w:rsid w:val="008525FF"/>
    <w:rsid w:val="00852C03"/>
    <w:rsid w:val="008539D1"/>
    <w:rsid w:val="0085559A"/>
    <w:rsid w:val="0085590C"/>
    <w:rsid w:val="008575EB"/>
    <w:rsid w:val="008607D6"/>
    <w:rsid w:val="008617BA"/>
    <w:rsid w:val="00861C34"/>
    <w:rsid w:val="008621BD"/>
    <w:rsid w:val="008622C2"/>
    <w:rsid w:val="0086255E"/>
    <w:rsid w:val="00862DDD"/>
    <w:rsid w:val="00862FFD"/>
    <w:rsid w:val="0086326D"/>
    <w:rsid w:val="00863CC1"/>
    <w:rsid w:val="00863D27"/>
    <w:rsid w:val="00865B01"/>
    <w:rsid w:val="008668D4"/>
    <w:rsid w:val="00866D7A"/>
    <w:rsid w:val="00866E43"/>
    <w:rsid w:val="00866EE3"/>
    <w:rsid w:val="00867722"/>
    <w:rsid w:val="008701E5"/>
    <w:rsid w:val="008703B7"/>
    <w:rsid w:val="00870602"/>
    <w:rsid w:val="008706C5"/>
    <w:rsid w:val="00871F04"/>
    <w:rsid w:val="00873A5E"/>
    <w:rsid w:val="008746C1"/>
    <w:rsid w:val="00875CE0"/>
    <w:rsid w:val="00877405"/>
    <w:rsid w:val="00877DC2"/>
    <w:rsid w:val="00880224"/>
    <w:rsid w:val="008815BF"/>
    <w:rsid w:val="00881E70"/>
    <w:rsid w:val="0088244C"/>
    <w:rsid w:val="00883367"/>
    <w:rsid w:val="00884C47"/>
    <w:rsid w:val="00884E92"/>
    <w:rsid w:val="00885E6F"/>
    <w:rsid w:val="008861AC"/>
    <w:rsid w:val="008868E4"/>
    <w:rsid w:val="00886A60"/>
    <w:rsid w:val="0088759B"/>
    <w:rsid w:val="00887FE1"/>
    <w:rsid w:val="00890435"/>
    <w:rsid w:val="008909B4"/>
    <w:rsid w:val="00891DC7"/>
    <w:rsid w:val="008922E8"/>
    <w:rsid w:val="00892513"/>
    <w:rsid w:val="00892A71"/>
    <w:rsid w:val="00893916"/>
    <w:rsid w:val="008941B9"/>
    <w:rsid w:val="0089442C"/>
    <w:rsid w:val="00894B71"/>
    <w:rsid w:val="00895818"/>
    <w:rsid w:val="00896FDA"/>
    <w:rsid w:val="008A0D44"/>
    <w:rsid w:val="008A2585"/>
    <w:rsid w:val="008A2718"/>
    <w:rsid w:val="008A2BCE"/>
    <w:rsid w:val="008A4CF6"/>
    <w:rsid w:val="008A4E42"/>
    <w:rsid w:val="008A51AA"/>
    <w:rsid w:val="008A550C"/>
    <w:rsid w:val="008A5920"/>
    <w:rsid w:val="008A6A12"/>
    <w:rsid w:val="008A7714"/>
    <w:rsid w:val="008A77B1"/>
    <w:rsid w:val="008A7D53"/>
    <w:rsid w:val="008B0DC6"/>
    <w:rsid w:val="008B2464"/>
    <w:rsid w:val="008B24B5"/>
    <w:rsid w:val="008B2B9E"/>
    <w:rsid w:val="008B31F5"/>
    <w:rsid w:val="008B44A2"/>
    <w:rsid w:val="008B4C79"/>
    <w:rsid w:val="008B5D2D"/>
    <w:rsid w:val="008B6361"/>
    <w:rsid w:val="008B65F3"/>
    <w:rsid w:val="008C0320"/>
    <w:rsid w:val="008C2A2F"/>
    <w:rsid w:val="008C2A81"/>
    <w:rsid w:val="008C370D"/>
    <w:rsid w:val="008C3863"/>
    <w:rsid w:val="008C3C4A"/>
    <w:rsid w:val="008C4BDC"/>
    <w:rsid w:val="008C50FF"/>
    <w:rsid w:val="008C5213"/>
    <w:rsid w:val="008C5435"/>
    <w:rsid w:val="008C6BD1"/>
    <w:rsid w:val="008D0759"/>
    <w:rsid w:val="008D189B"/>
    <w:rsid w:val="008D1D64"/>
    <w:rsid w:val="008D2DB5"/>
    <w:rsid w:val="008D3F10"/>
    <w:rsid w:val="008D4E73"/>
    <w:rsid w:val="008D5D9C"/>
    <w:rsid w:val="008D604D"/>
    <w:rsid w:val="008D611D"/>
    <w:rsid w:val="008E1B6A"/>
    <w:rsid w:val="008E2DAE"/>
    <w:rsid w:val="008E3054"/>
    <w:rsid w:val="008E32FF"/>
    <w:rsid w:val="008E5625"/>
    <w:rsid w:val="008E5C5B"/>
    <w:rsid w:val="008E6A37"/>
    <w:rsid w:val="008E7840"/>
    <w:rsid w:val="008F0354"/>
    <w:rsid w:val="008F085A"/>
    <w:rsid w:val="008F1462"/>
    <w:rsid w:val="008F2413"/>
    <w:rsid w:val="008F248D"/>
    <w:rsid w:val="008F4B2C"/>
    <w:rsid w:val="008F4C08"/>
    <w:rsid w:val="008F596F"/>
    <w:rsid w:val="008F65D5"/>
    <w:rsid w:val="008F6851"/>
    <w:rsid w:val="008F7BC4"/>
    <w:rsid w:val="00900E7A"/>
    <w:rsid w:val="00901329"/>
    <w:rsid w:val="00902746"/>
    <w:rsid w:val="00903E11"/>
    <w:rsid w:val="00903EBE"/>
    <w:rsid w:val="009041DE"/>
    <w:rsid w:val="00905D59"/>
    <w:rsid w:val="009060C4"/>
    <w:rsid w:val="009060C5"/>
    <w:rsid w:val="009062CA"/>
    <w:rsid w:val="00907631"/>
    <w:rsid w:val="00907776"/>
    <w:rsid w:val="00907F7A"/>
    <w:rsid w:val="0091223B"/>
    <w:rsid w:val="00913362"/>
    <w:rsid w:val="00913401"/>
    <w:rsid w:val="00913567"/>
    <w:rsid w:val="009137B6"/>
    <w:rsid w:val="0091446D"/>
    <w:rsid w:val="00914532"/>
    <w:rsid w:val="00915202"/>
    <w:rsid w:val="00915EBA"/>
    <w:rsid w:val="00917093"/>
    <w:rsid w:val="0092030E"/>
    <w:rsid w:val="009203D0"/>
    <w:rsid w:val="00921596"/>
    <w:rsid w:val="009217B1"/>
    <w:rsid w:val="009219CF"/>
    <w:rsid w:val="00921A42"/>
    <w:rsid w:val="009223BB"/>
    <w:rsid w:val="009223C3"/>
    <w:rsid w:val="00922491"/>
    <w:rsid w:val="00923A8A"/>
    <w:rsid w:val="00923BCF"/>
    <w:rsid w:val="009252EC"/>
    <w:rsid w:val="00925AEC"/>
    <w:rsid w:val="0092605A"/>
    <w:rsid w:val="00926670"/>
    <w:rsid w:val="009267EB"/>
    <w:rsid w:val="0092751A"/>
    <w:rsid w:val="009305C4"/>
    <w:rsid w:val="00931FAF"/>
    <w:rsid w:val="00931FD4"/>
    <w:rsid w:val="009329C8"/>
    <w:rsid w:val="00933C21"/>
    <w:rsid w:val="00933D46"/>
    <w:rsid w:val="00934741"/>
    <w:rsid w:val="009360F6"/>
    <w:rsid w:val="009364A9"/>
    <w:rsid w:val="009371DC"/>
    <w:rsid w:val="0093759D"/>
    <w:rsid w:val="00940239"/>
    <w:rsid w:val="009402F1"/>
    <w:rsid w:val="0094160B"/>
    <w:rsid w:val="009425C7"/>
    <w:rsid w:val="00942BD6"/>
    <w:rsid w:val="00942DED"/>
    <w:rsid w:val="0094401B"/>
    <w:rsid w:val="0094429A"/>
    <w:rsid w:val="00944404"/>
    <w:rsid w:val="009452D7"/>
    <w:rsid w:val="00945FD1"/>
    <w:rsid w:val="0094638A"/>
    <w:rsid w:val="00946CCC"/>
    <w:rsid w:val="00947A5F"/>
    <w:rsid w:val="009502EC"/>
    <w:rsid w:val="009503E5"/>
    <w:rsid w:val="00950C7F"/>
    <w:rsid w:val="00950F29"/>
    <w:rsid w:val="00950F71"/>
    <w:rsid w:val="00951D89"/>
    <w:rsid w:val="00952F2C"/>
    <w:rsid w:val="009532AB"/>
    <w:rsid w:val="009532E3"/>
    <w:rsid w:val="00953615"/>
    <w:rsid w:val="00954A15"/>
    <w:rsid w:val="00954BAF"/>
    <w:rsid w:val="00955767"/>
    <w:rsid w:val="0095584D"/>
    <w:rsid w:val="009558B5"/>
    <w:rsid w:val="00955F48"/>
    <w:rsid w:val="009560B3"/>
    <w:rsid w:val="0095745E"/>
    <w:rsid w:val="00957CE0"/>
    <w:rsid w:val="0096002E"/>
    <w:rsid w:val="0096039E"/>
    <w:rsid w:val="00962CEF"/>
    <w:rsid w:val="00962F60"/>
    <w:rsid w:val="00963766"/>
    <w:rsid w:val="00963D60"/>
    <w:rsid w:val="00963FDF"/>
    <w:rsid w:val="00964780"/>
    <w:rsid w:val="00964C32"/>
    <w:rsid w:val="0096528F"/>
    <w:rsid w:val="009653F2"/>
    <w:rsid w:val="009661DF"/>
    <w:rsid w:val="009667BD"/>
    <w:rsid w:val="00967674"/>
    <w:rsid w:val="0096792B"/>
    <w:rsid w:val="00967CE2"/>
    <w:rsid w:val="00967D08"/>
    <w:rsid w:val="00970354"/>
    <w:rsid w:val="00971DA3"/>
    <w:rsid w:val="00972161"/>
    <w:rsid w:val="0097261B"/>
    <w:rsid w:val="00974881"/>
    <w:rsid w:val="00975EE0"/>
    <w:rsid w:val="0097606C"/>
    <w:rsid w:val="009771D1"/>
    <w:rsid w:val="00977A22"/>
    <w:rsid w:val="00977EEF"/>
    <w:rsid w:val="0098012D"/>
    <w:rsid w:val="00980845"/>
    <w:rsid w:val="00980ED1"/>
    <w:rsid w:val="00981088"/>
    <w:rsid w:val="00981BD9"/>
    <w:rsid w:val="00981CC8"/>
    <w:rsid w:val="0098225F"/>
    <w:rsid w:val="0098241F"/>
    <w:rsid w:val="0098315A"/>
    <w:rsid w:val="0098380B"/>
    <w:rsid w:val="00983A3C"/>
    <w:rsid w:val="00983DAC"/>
    <w:rsid w:val="00983EFA"/>
    <w:rsid w:val="00984673"/>
    <w:rsid w:val="00984C15"/>
    <w:rsid w:val="00987829"/>
    <w:rsid w:val="009903D5"/>
    <w:rsid w:val="0099091A"/>
    <w:rsid w:val="00990BE9"/>
    <w:rsid w:val="00990FA3"/>
    <w:rsid w:val="00991276"/>
    <w:rsid w:val="00991998"/>
    <w:rsid w:val="009923E7"/>
    <w:rsid w:val="00992697"/>
    <w:rsid w:val="00992D4E"/>
    <w:rsid w:val="00993D1B"/>
    <w:rsid w:val="00994621"/>
    <w:rsid w:val="009947FF"/>
    <w:rsid w:val="00994F61"/>
    <w:rsid w:val="0099540A"/>
    <w:rsid w:val="0099544B"/>
    <w:rsid w:val="00996770"/>
    <w:rsid w:val="00996C0C"/>
    <w:rsid w:val="009A053D"/>
    <w:rsid w:val="009A07A6"/>
    <w:rsid w:val="009A0D56"/>
    <w:rsid w:val="009A1A43"/>
    <w:rsid w:val="009A1B0F"/>
    <w:rsid w:val="009A3017"/>
    <w:rsid w:val="009A31B9"/>
    <w:rsid w:val="009A330C"/>
    <w:rsid w:val="009A4152"/>
    <w:rsid w:val="009A4C0D"/>
    <w:rsid w:val="009A4D4F"/>
    <w:rsid w:val="009A53D8"/>
    <w:rsid w:val="009A597F"/>
    <w:rsid w:val="009A5FC2"/>
    <w:rsid w:val="009A7B72"/>
    <w:rsid w:val="009A7F49"/>
    <w:rsid w:val="009B03C4"/>
    <w:rsid w:val="009B0AA2"/>
    <w:rsid w:val="009B1D02"/>
    <w:rsid w:val="009B23A8"/>
    <w:rsid w:val="009B356D"/>
    <w:rsid w:val="009B379D"/>
    <w:rsid w:val="009B44DD"/>
    <w:rsid w:val="009B4B2F"/>
    <w:rsid w:val="009B5DE3"/>
    <w:rsid w:val="009B6297"/>
    <w:rsid w:val="009B6926"/>
    <w:rsid w:val="009B69F0"/>
    <w:rsid w:val="009B709A"/>
    <w:rsid w:val="009B7133"/>
    <w:rsid w:val="009B7658"/>
    <w:rsid w:val="009B7CD1"/>
    <w:rsid w:val="009B7E22"/>
    <w:rsid w:val="009B7E78"/>
    <w:rsid w:val="009C10FE"/>
    <w:rsid w:val="009C13BC"/>
    <w:rsid w:val="009C1CA4"/>
    <w:rsid w:val="009C2532"/>
    <w:rsid w:val="009C275D"/>
    <w:rsid w:val="009C2BA4"/>
    <w:rsid w:val="009C42C5"/>
    <w:rsid w:val="009C432E"/>
    <w:rsid w:val="009C4775"/>
    <w:rsid w:val="009C5702"/>
    <w:rsid w:val="009C6091"/>
    <w:rsid w:val="009C634F"/>
    <w:rsid w:val="009C6C20"/>
    <w:rsid w:val="009D0219"/>
    <w:rsid w:val="009D094D"/>
    <w:rsid w:val="009D0D55"/>
    <w:rsid w:val="009D2295"/>
    <w:rsid w:val="009D2511"/>
    <w:rsid w:val="009D291D"/>
    <w:rsid w:val="009D2D42"/>
    <w:rsid w:val="009D38DD"/>
    <w:rsid w:val="009D3E7C"/>
    <w:rsid w:val="009D496B"/>
    <w:rsid w:val="009D55CA"/>
    <w:rsid w:val="009D5EF0"/>
    <w:rsid w:val="009D6401"/>
    <w:rsid w:val="009D6E11"/>
    <w:rsid w:val="009D75DD"/>
    <w:rsid w:val="009D7955"/>
    <w:rsid w:val="009E0711"/>
    <w:rsid w:val="009E1917"/>
    <w:rsid w:val="009E1924"/>
    <w:rsid w:val="009E2FDB"/>
    <w:rsid w:val="009E3212"/>
    <w:rsid w:val="009E3594"/>
    <w:rsid w:val="009E5536"/>
    <w:rsid w:val="009E6B77"/>
    <w:rsid w:val="009E7724"/>
    <w:rsid w:val="009E7C8B"/>
    <w:rsid w:val="009E7D1F"/>
    <w:rsid w:val="009F1D82"/>
    <w:rsid w:val="009F2338"/>
    <w:rsid w:val="009F2DA1"/>
    <w:rsid w:val="009F37AA"/>
    <w:rsid w:val="009F411A"/>
    <w:rsid w:val="009F448B"/>
    <w:rsid w:val="009F544C"/>
    <w:rsid w:val="009F5731"/>
    <w:rsid w:val="009F6321"/>
    <w:rsid w:val="009F6378"/>
    <w:rsid w:val="009F7669"/>
    <w:rsid w:val="009F7CF0"/>
    <w:rsid w:val="009F7F45"/>
    <w:rsid w:val="009F7FD5"/>
    <w:rsid w:val="00A005D4"/>
    <w:rsid w:val="00A0083C"/>
    <w:rsid w:val="00A01A90"/>
    <w:rsid w:val="00A02370"/>
    <w:rsid w:val="00A02562"/>
    <w:rsid w:val="00A03239"/>
    <w:rsid w:val="00A04685"/>
    <w:rsid w:val="00A04C57"/>
    <w:rsid w:val="00A06340"/>
    <w:rsid w:val="00A0684F"/>
    <w:rsid w:val="00A06867"/>
    <w:rsid w:val="00A0691D"/>
    <w:rsid w:val="00A10148"/>
    <w:rsid w:val="00A104FE"/>
    <w:rsid w:val="00A10776"/>
    <w:rsid w:val="00A10C62"/>
    <w:rsid w:val="00A113FD"/>
    <w:rsid w:val="00A11D87"/>
    <w:rsid w:val="00A11DDE"/>
    <w:rsid w:val="00A12088"/>
    <w:rsid w:val="00A127A7"/>
    <w:rsid w:val="00A129F4"/>
    <w:rsid w:val="00A136F4"/>
    <w:rsid w:val="00A139BA"/>
    <w:rsid w:val="00A14A0E"/>
    <w:rsid w:val="00A150F7"/>
    <w:rsid w:val="00A160D3"/>
    <w:rsid w:val="00A164C2"/>
    <w:rsid w:val="00A16DC9"/>
    <w:rsid w:val="00A171C7"/>
    <w:rsid w:val="00A17A32"/>
    <w:rsid w:val="00A20225"/>
    <w:rsid w:val="00A20453"/>
    <w:rsid w:val="00A21C5A"/>
    <w:rsid w:val="00A22464"/>
    <w:rsid w:val="00A2295E"/>
    <w:rsid w:val="00A2312A"/>
    <w:rsid w:val="00A24269"/>
    <w:rsid w:val="00A243E4"/>
    <w:rsid w:val="00A249EC"/>
    <w:rsid w:val="00A24EB9"/>
    <w:rsid w:val="00A25ED4"/>
    <w:rsid w:val="00A263DA"/>
    <w:rsid w:val="00A26C5C"/>
    <w:rsid w:val="00A27856"/>
    <w:rsid w:val="00A30267"/>
    <w:rsid w:val="00A30BDE"/>
    <w:rsid w:val="00A31146"/>
    <w:rsid w:val="00A3131C"/>
    <w:rsid w:val="00A31F14"/>
    <w:rsid w:val="00A324DC"/>
    <w:rsid w:val="00A32B5A"/>
    <w:rsid w:val="00A33CCC"/>
    <w:rsid w:val="00A33ECB"/>
    <w:rsid w:val="00A34926"/>
    <w:rsid w:val="00A34DE0"/>
    <w:rsid w:val="00A35728"/>
    <w:rsid w:val="00A3599A"/>
    <w:rsid w:val="00A361DF"/>
    <w:rsid w:val="00A36853"/>
    <w:rsid w:val="00A3688F"/>
    <w:rsid w:val="00A36EE3"/>
    <w:rsid w:val="00A37023"/>
    <w:rsid w:val="00A37435"/>
    <w:rsid w:val="00A401F9"/>
    <w:rsid w:val="00A40916"/>
    <w:rsid w:val="00A40DA9"/>
    <w:rsid w:val="00A4173D"/>
    <w:rsid w:val="00A41A95"/>
    <w:rsid w:val="00A4248B"/>
    <w:rsid w:val="00A43020"/>
    <w:rsid w:val="00A43308"/>
    <w:rsid w:val="00A4376E"/>
    <w:rsid w:val="00A43D33"/>
    <w:rsid w:val="00A453FD"/>
    <w:rsid w:val="00A4572B"/>
    <w:rsid w:val="00A46246"/>
    <w:rsid w:val="00A46349"/>
    <w:rsid w:val="00A46854"/>
    <w:rsid w:val="00A4697E"/>
    <w:rsid w:val="00A46D5E"/>
    <w:rsid w:val="00A47A86"/>
    <w:rsid w:val="00A50847"/>
    <w:rsid w:val="00A512C7"/>
    <w:rsid w:val="00A534EB"/>
    <w:rsid w:val="00A539ED"/>
    <w:rsid w:val="00A54BFF"/>
    <w:rsid w:val="00A54C63"/>
    <w:rsid w:val="00A54EFC"/>
    <w:rsid w:val="00A54FBB"/>
    <w:rsid w:val="00A55BB1"/>
    <w:rsid w:val="00A55FD6"/>
    <w:rsid w:val="00A5619C"/>
    <w:rsid w:val="00A564CD"/>
    <w:rsid w:val="00A564CE"/>
    <w:rsid w:val="00A5675F"/>
    <w:rsid w:val="00A5684D"/>
    <w:rsid w:val="00A56C82"/>
    <w:rsid w:val="00A60C37"/>
    <w:rsid w:val="00A60D6F"/>
    <w:rsid w:val="00A61009"/>
    <w:rsid w:val="00A6125E"/>
    <w:rsid w:val="00A61762"/>
    <w:rsid w:val="00A61938"/>
    <w:rsid w:val="00A61A14"/>
    <w:rsid w:val="00A61CFD"/>
    <w:rsid w:val="00A62B86"/>
    <w:rsid w:val="00A63C96"/>
    <w:rsid w:val="00A65805"/>
    <w:rsid w:val="00A66BEE"/>
    <w:rsid w:val="00A671C9"/>
    <w:rsid w:val="00A67DFD"/>
    <w:rsid w:val="00A70EB1"/>
    <w:rsid w:val="00A722F7"/>
    <w:rsid w:val="00A72F9B"/>
    <w:rsid w:val="00A74F9F"/>
    <w:rsid w:val="00A750B3"/>
    <w:rsid w:val="00A75559"/>
    <w:rsid w:val="00A75A5C"/>
    <w:rsid w:val="00A7623D"/>
    <w:rsid w:val="00A816AF"/>
    <w:rsid w:val="00A8224E"/>
    <w:rsid w:val="00A824A7"/>
    <w:rsid w:val="00A83644"/>
    <w:rsid w:val="00A83C07"/>
    <w:rsid w:val="00A83E93"/>
    <w:rsid w:val="00A83F40"/>
    <w:rsid w:val="00A84945"/>
    <w:rsid w:val="00A85226"/>
    <w:rsid w:val="00A85543"/>
    <w:rsid w:val="00A85A33"/>
    <w:rsid w:val="00A8640D"/>
    <w:rsid w:val="00A8728B"/>
    <w:rsid w:val="00A903D3"/>
    <w:rsid w:val="00A91682"/>
    <w:rsid w:val="00A91E16"/>
    <w:rsid w:val="00A91F67"/>
    <w:rsid w:val="00A92669"/>
    <w:rsid w:val="00A9277D"/>
    <w:rsid w:val="00A92D1D"/>
    <w:rsid w:val="00A92E4A"/>
    <w:rsid w:val="00A949A4"/>
    <w:rsid w:val="00A94AFA"/>
    <w:rsid w:val="00A958CA"/>
    <w:rsid w:val="00A966B6"/>
    <w:rsid w:val="00A96B46"/>
    <w:rsid w:val="00A96C55"/>
    <w:rsid w:val="00A97599"/>
    <w:rsid w:val="00AA003B"/>
    <w:rsid w:val="00AA016B"/>
    <w:rsid w:val="00AA091F"/>
    <w:rsid w:val="00AA15DD"/>
    <w:rsid w:val="00AA1A86"/>
    <w:rsid w:val="00AA1C09"/>
    <w:rsid w:val="00AA2F67"/>
    <w:rsid w:val="00AA3569"/>
    <w:rsid w:val="00AA5F4C"/>
    <w:rsid w:val="00AA615C"/>
    <w:rsid w:val="00AA6711"/>
    <w:rsid w:val="00AA7F3C"/>
    <w:rsid w:val="00AB04B1"/>
    <w:rsid w:val="00AB06DF"/>
    <w:rsid w:val="00AB0A08"/>
    <w:rsid w:val="00AB0B20"/>
    <w:rsid w:val="00AB2119"/>
    <w:rsid w:val="00AB2AEC"/>
    <w:rsid w:val="00AB2B28"/>
    <w:rsid w:val="00AB2DC1"/>
    <w:rsid w:val="00AB3102"/>
    <w:rsid w:val="00AB3C42"/>
    <w:rsid w:val="00AB3D9A"/>
    <w:rsid w:val="00AB4B1D"/>
    <w:rsid w:val="00AB4D84"/>
    <w:rsid w:val="00AB6B5E"/>
    <w:rsid w:val="00AC047F"/>
    <w:rsid w:val="00AC06C1"/>
    <w:rsid w:val="00AC24F8"/>
    <w:rsid w:val="00AC2FC2"/>
    <w:rsid w:val="00AC3934"/>
    <w:rsid w:val="00AC4BD4"/>
    <w:rsid w:val="00AC50C8"/>
    <w:rsid w:val="00AC5581"/>
    <w:rsid w:val="00AC56AD"/>
    <w:rsid w:val="00AC5816"/>
    <w:rsid w:val="00AC5E5C"/>
    <w:rsid w:val="00AC61BD"/>
    <w:rsid w:val="00AC61BE"/>
    <w:rsid w:val="00AC6789"/>
    <w:rsid w:val="00AD0CB4"/>
    <w:rsid w:val="00AD0E08"/>
    <w:rsid w:val="00AD11E9"/>
    <w:rsid w:val="00AD1C2C"/>
    <w:rsid w:val="00AD1FF2"/>
    <w:rsid w:val="00AD2A21"/>
    <w:rsid w:val="00AD3B43"/>
    <w:rsid w:val="00AD428D"/>
    <w:rsid w:val="00AD44F1"/>
    <w:rsid w:val="00AD46F9"/>
    <w:rsid w:val="00AD4FF2"/>
    <w:rsid w:val="00AD506C"/>
    <w:rsid w:val="00AD6BE5"/>
    <w:rsid w:val="00AD7675"/>
    <w:rsid w:val="00AD783E"/>
    <w:rsid w:val="00AE0271"/>
    <w:rsid w:val="00AE1393"/>
    <w:rsid w:val="00AE164A"/>
    <w:rsid w:val="00AE1EC4"/>
    <w:rsid w:val="00AE2F3B"/>
    <w:rsid w:val="00AE3BC6"/>
    <w:rsid w:val="00AE3E2F"/>
    <w:rsid w:val="00AE4102"/>
    <w:rsid w:val="00AE44FB"/>
    <w:rsid w:val="00AE4D4F"/>
    <w:rsid w:val="00AE627C"/>
    <w:rsid w:val="00AE62B0"/>
    <w:rsid w:val="00AE68A2"/>
    <w:rsid w:val="00AF0029"/>
    <w:rsid w:val="00AF0354"/>
    <w:rsid w:val="00AF03C1"/>
    <w:rsid w:val="00AF1236"/>
    <w:rsid w:val="00AF19A0"/>
    <w:rsid w:val="00AF3374"/>
    <w:rsid w:val="00AF38AF"/>
    <w:rsid w:val="00AF38C6"/>
    <w:rsid w:val="00AF3C29"/>
    <w:rsid w:val="00AF4401"/>
    <w:rsid w:val="00AF4463"/>
    <w:rsid w:val="00AF53CB"/>
    <w:rsid w:val="00AF5B20"/>
    <w:rsid w:val="00AF65C5"/>
    <w:rsid w:val="00AF79AF"/>
    <w:rsid w:val="00B03CE2"/>
    <w:rsid w:val="00B04326"/>
    <w:rsid w:val="00B056E5"/>
    <w:rsid w:val="00B059A9"/>
    <w:rsid w:val="00B063CF"/>
    <w:rsid w:val="00B06544"/>
    <w:rsid w:val="00B07C39"/>
    <w:rsid w:val="00B105F2"/>
    <w:rsid w:val="00B1070A"/>
    <w:rsid w:val="00B10843"/>
    <w:rsid w:val="00B10991"/>
    <w:rsid w:val="00B116F1"/>
    <w:rsid w:val="00B12128"/>
    <w:rsid w:val="00B1258C"/>
    <w:rsid w:val="00B12945"/>
    <w:rsid w:val="00B12C1E"/>
    <w:rsid w:val="00B12CF0"/>
    <w:rsid w:val="00B12D2A"/>
    <w:rsid w:val="00B12FD1"/>
    <w:rsid w:val="00B14335"/>
    <w:rsid w:val="00B15500"/>
    <w:rsid w:val="00B155DF"/>
    <w:rsid w:val="00B156CF"/>
    <w:rsid w:val="00B1570E"/>
    <w:rsid w:val="00B16E70"/>
    <w:rsid w:val="00B176B9"/>
    <w:rsid w:val="00B17AD5"/>
    <w:rsid w:val="00B17DC8"/>
    <w:rsid w:val="00B17E1E"/>
    <w:rsid w:val="00B2020B"/>
    <w:rsid w:val="00B207F1"/>
    <w:rsid w:val="00B208EE"/>
    <w:rsid w:val="00B20A42"/>
    <w:rsid w:val="00B20BDE"/>
    <w:rsid w:val="00B20C41"/>
    <w:rsid w:val="00B20CD2"/>
    <w:rsid w:val="00B2138D"/>
    <w:rsid w:val="00B21768"/>
    <w:rsid w:val="00B21A64"/>
    <w:rsid w:val="00B23F86"/>
    <w:rsid w:val="00B248A0"/>
    <w:rsid w:val="00B24B42"/>
    <w:rsid w:val="00B24DC6"/>
    <w:rsid w:val="00B24DDD"/>
    <w:rsid w:val="00B24E30"/>
    <w:rsid w:val="00B258F3"/>
    <w:rsid w:val="00B26119"/>
    <w:rsid w:val="00B2659C"/>
    <w:rsid w:val="00B26B13"/>
    <w:rsid w:val="00B26BD2"/>
    <w:rsid w:val="00B26FD7"/>
    <w:rsid w:val="00B270AB"/>
    <w:rsid w:val="00B2725B"/>
    <w:rsid w:val="00B27401"/>
    <w:rsid w:val="00B27D62"/>
    <w:rsid w:val="00B306FC"/>
    <w:rsid w:val="00B309D2"/>
    <w:rsid w:val="00B30E4F"/>
    <w:rsid w:val="00B311EB"/>
    <w:rsid w:val="00B3124F"/>
    <w:rsid w:val="00B3216D"/>
    <w:rsid w:val="00B327E9"/>
    <w:rsid w:val="00B33294"/>
    <w:rsid w:val="00B333F9"/>
    <w:rsid w:val="00B33657"/>
    <w:rsid w:val="00B33D36"/>
    <w:rsid w:val="00B34885"/>
    <w:rsid w:val="00B34B80"/>
    <w:rsid w:val="00B34D68"/>
    <w:rsid w:val="00B353AC"/>
    <w:rsid w:val="00B353D0"/>
    <w:rsid w:val="00B354C0"/>
    <w:rsid w:val="00B35B8C"/>
    <w:rsid w:val="00B36117"/>
    <w:rsid w:val="00B362E3"/>
    <w:rsid w:val="00B37C73"/>
    <w:rsid w:val="00B37E09"/>
    <w:rsid w:val="00B4009B"/>
    <w:rsid w:val="00B400A1"/>
    <w:rsid w:val="00B40534"/>
    <w:rsid w:val="00B40A2B"/>
    <w:rsid w:val="00B41841"/>
    <w:rsid w:val="00B41F59"/>
    <w:rsid w:val="00B420CB"/>
    <w:rsid w:val="00B42568"/>
    <w:rsid w:val="00B428D1"/>
    <w:rsid w:val="00B42C28"/>
    <w:rsid w:val="00B4401C"/>
    <w:rsid w:val="00B44802"/>
    <w:rsid w:val="00B455D1"/>
    <w:rsid w:val="00B46135"/>
    <w:rsid w:val="00B46F0B"/>
    <w:rsid w:val="00B472AB"/>
    <w:rsid w:val="00B47CE4"/>
    <w:rsid w:val="00B503A8"/>
    <w:rsid w:val="00B504C7"/>
    <w:rsid w:val="00B504EB"/>
    <w:rsid w:val="00B5121D"/>
    <w:rsid w:val="00B5147A"/>
    <w:rsid w:val="00B525C0"/>
    <w:rsid w:val="00B52F48"/>
    <w:rsid w:val="00B52FAB"/>
    <w:rsid w:val="00B5319A"/>
    <w:rsid w:val="00B5385B"/>
    <w:rsid w:val="00B539F9"/>
    <w:rsid w:val="00B53E56"/>
    <w:rsid w:val="00B546C3"/>
    <w:rsid w:val="00B5492C"/>
    <w:rsid w:val="00B54BD9"/>
    <w:rsid w:val="00B5503C"/>
    <w:rsid w:val="00B55262"/>
    <w:rsid w:val="00B55640"/>
    <w:rsid w:val="00B57107"/>
    <w:rsid w:val="00B60563"/>
    <w:rsid w:val="00B60D27"/>
    <w:rsid w:val="00B619E4"/>
    <w:rsid w:val="00B61D0B"/>
    <w:rsid w:val="00B63299"/>
    <w:rsid w:val="00B63408"/>
    <w:rsid w:val="00B6439A"/>
    <w:rsid w:val="00B6443B"/>
    <w:rsid w:val="00B6517B"/>
    <w:rsid w:val="00B65E71"/>
    <w:rsid w:val="00B66C26"/>
    <w:rsid w:val="00B66D88"/>
    <w:rsid w:val="00B705C4"/>
    <w:rsid w:val="00B7157E"/>
    <w:rsid w:val="00B71FB3"/>
    <w:rsid w:val="00B72DCF"/>
    <w:rsid w:val="00B73492"/>
    <w:rsid w:val="00B7384C"/>
    <w:rsid w:val="00B73F00"/>
    <w:rsid w:val="00B73F74"/>
    <w:rsid w:val="00B7512A"/>
    <w:rsid w:val="00B76548"/>
    <w:rsid w:val="00B766AB"/>
    <w:rsid w:val="00B76BED"/>
    <w:rsid w:val="00B77C49"/>
    <w:rsid w:val="00B80013"/>
    <w:rsid w:val="00B80495"/>
    <w:rsid w:val="00B806E6"/>
    <w:rsid w:val="00B82DC1"/>
    <w:rsid w:val="00B83288"/>
    <w:rsid w:val="00B835D5"/>
    <w:rsid w:val="00B84028"/>
    <w:rsid w:val="00B8412F"/>
    <w:rsid w:val="00B84307"/>
    <w:rsid w:val="00B8430D"/>
    <w:rsid w:val="00B8452B"/>
    <w:rsid w:val="00B847E1"/>
    <w:rsid w:val="00B85661"/>
    <w:rsid w:val="00B85C8A"/>
    <w:rsid w:val="00B86FBD"/>
    <w:rsid w:val="00B91B86"/>
    <w:rsid w:val="00B927CA"/>
    <w:rsid w:val="00B928AE"/>
    <w:rsid w:val="00B92B63"/>
    <w:rsid w:val="00B93CDA"/>
    <w:rsid w:val="00B94212"/>
    <w:rsid w:val="00B942E9"/>
    <w:rsid w:val="00B9433A"/>
    <w:rsid w:val="00B948EE"/>
    <w:rsid w:val="00B94BF3"/>
    <w:rsid w:val="00B94F90"/>
    <w:rsid w:val="00B95D3A"/>
    <w:rsid w:val="00B95DC5"/>
    <w:rsid w:val="00B96FE6"/>
    <w:rsid w:val="00B9750B"/>
    <w:rsid w:val="00B97E34"/>
    <w:rsid w:val="00B97FEF"/>
    <w:rsid w:val="00BA1354"/>
    <w:rsid w:val="00BA24F8"/>
    <w:rsid w:val="00BA2C75"/>
    <w:rsid w:val="00BA31AA"/>
    <w:rsid w:val="00BA45D8"/>
    <w:rsid w:val="00BA49C5"/>
    <w:rsid w:val="00BA5828"/>
    <w:rsid w:val="00BA5E58"/>
    <w:rsid w:val="00BA5F1B"/>
    <w:rsid w:val="00BA647A"/>
    <w:rsid w:val="00BA64B3"/>
    <w:rsid w:val="00BA754A"/>
    <w:rsid w:val="00BA7820"/>
    <w:rsid w:val="00BA785F"/>
    <w:rsid w:val="00BA794C"/>
    <w:rsid w:val="00BB09FB"/>
    <w:rsid w:val="00BB0EF6"/>
    <w:rsid w:val="00BB1617"/>
    <w:rsid w:val="00BB238D"/>
    <w:rsid w:val="00BB3218"/>
    <w:rsid w:val="00BB37CC"/>
    <w:rsid w:val="00BB48C4"/>
    <w:rsid w:val="00BB5C6F"/>
    <w:rsid w:val="00BB6907"/>
    <w:rsid w:val="00BB6B46"/>
    <w:rsid w:val="00BB7A20"/>
    <w:rsid w:val="00BB7A6E"/>
    <w:rsid w:val="00BC0D1F"/>
    <w:rsid w:val="00BC0F1F"/>
    <w:rsid w:val="00BC15B1"/>
    <w:rsid w:val="00BC16E9"/>
    <w:rsid w:val="00BC3C06"/>
    <w:rsid w:val="00BC4805"/>
    <w:rsid w:val="00BC4E8B"/>
    <w:rsid w:val="00BC5622"/>
    <w:rsid w:val="00BC6060"/>
    <w:rsid w:val="00BC6596"/>
    <w:rsid w:val="00BC6BBD"/>
    <w:rsid w:val="00BC7897"/>
    <w:rsid w:val="00BD099B"/>
    <w:rsid w:val="00BD0F35"/>
    <w:rsid w:val="00BD1242"/>
    <w:rsid w:val="00BD213A"/>
    <w:rsid w:val="00BD3C97"/>
    <w:rsid w:val="00BD3CD4"/>
    <w:rsid w:val="00BD45A4"/>
    <w:rsid w:val="00BD4A5F"/>
    <w:rsid w:val="00BD55AD"/>
    <w:rsid w:val="00BD59AA"/>
    <w:rsid w:val="00BD5A5A"/>
    <w:rsid w:val="00BD65E6"/>
    <w:rsid w:val="00BD6AF7"/>
    <w:rsid w:val="00BD73AE"/>
    <w:rsid w:val="00BE0F88"/>
    <w:rsid w:val="00BE19EF"/>
    <w:rsid w:val="00BE2B5D"/>
    <w:rsid w:val="00BE425B"/>
    <w:rsid w:val="00BE51BB"/>
    <w:rsid w:val="00BE6331"/>
    <w:rsid w:val="00BE7425"/>
    <w:rsid w:val="00BE7595"/>
    <w:rsid w:val="00BE77D3"/>
    <w:rsid w:val="00BE7C87"/>
    <w:rsid w:val="00BE7D67"/>
    <w:rsid w:val="00BF0138"/>
    <w:rsid w:val="00BF087E"/>
    <w:rsid w:val="00BF0EDF"/>
    <w:rsid w:val="00BF114B"/>
    <w:rsid w:val="00BF1620"/>
    <w:rsid w:val="00BF1AC3"/>
    <w:rsid w:val="00BF2856"/>
    <w:rsid w:val="00BF28DA"/>
    <w:rsid w:val="00BF373A"/>
    <w:rsid w:val="00BF46EF"/>
    <w:rsid w:val="00BF4733"/>
    <w:rsid w:val="00BF4C13"/>
    <w:rsid w:val="00BF557C"/>
    <w:rsid w:val="00BF602C"/>
    <w:rsid w:val="00BF62D2"/>
    <w:rsid w:val="00BF6D9E"/>
    <w:rsid w:val="00BF6E3E"/>
    <w:rsid w:val="00BF719B"/>
    <w:rsid w:val="00BF71BB"/>
    <w:rsid w:val="00BF76F7"/>
    <w:rsid w:val="00BF7C9F"/>
    <w:rsid w:val="00C00012"/>
    <w:rsid w:val="00C000A5"/>
    <w:rsid w:val="00C006B4"/>
    <w:rsid w:val="00C00938"/>
    <w:rsid w:val="00C00E2A"/>
    <w:rsid w:val="00C01693"/>
    <w:rsid w:val="00C01CE6"/>
    <w:rsid w:val="00C025B9"/>
    <w:rsid w:val="00C038E4"/>
    <w:rsid w:val="00C03D5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285C"/>
    <w:rsid w:val="00C12C8C"/>
    <w:rsid w:val="00C1330F"/>
    <w:rsid w:val="00C13D7E"/>
    <w:rsid w:val="00C13ED7"/>
    <w:rsid w:val="00C14615"/>
    <w:rsid w:val="00C14AA7"/>
    <w:rsid w:val="00C14DB5"/>
    <w:rsid w:val="00C14F48"/>
    <w:rsid w:val="00C15296"/>
    <w:rsid w:val="00C1534E"/>
    <w:rsid w:val="00C173C5"/>
    <w:rsid w:val="00C17750"/>
    <w:rsid w:val="00C17841"/>
    <w:rsid w:val="00C17C3E"/>
    <w:rsid w:val="00C2045A"/>
    <w:rsid w:val="00C206B6"/>
    <w:rsid w:val="00C2094B"/>
    <w:rsid w:val="00C20DC5"/>
    <w:rsid w:val="00C21BFA"/>
    <w:rsid w:val="00C2294E"/>
    <w:rsid w:val="00C22A5B"/>
    <w:rsid w:val="00C23269"/>
    <w:rsid w:val="00C23412"/>
    <w:rsid w:val="00C243EA"/>
    <w:rsid w:val="00C25058"/>
    <w:rsid w:val="00C264C7"/>
    <w:rsid w:val="00C26B38"/>
    <w:rsid w:val="00C27005"/>
    <w:rsid w:val="00C271C4"/>
    <w:rsid w:val="00C274F3"/>
    <w:rsid w:val="00C30036"/>
    <w:rsid w:val="00C30A54"/>
    <w:rsid w:val="00C316F7"/>
    <w:rsid w:val="00C31DF0"/>
    <w:rsid w:val="00C32578"/>
    <w:rsid w:val="00C3360E"/>
    <w:rsid w:val="00C33916"/>
    <w:rsid w:val="00C33BCF"/>
    <w:rsid w:val="00C345B8"/>
    <w:rsid w:val="00C34D1D"/>
    <w:rsid w:val="00C353A0"/>
    <w:rsid w:val="00C35863"/>
    <w:rsid w:val="00C368D7"/>
    <w:rsid w:val="00C36F2D"/>
    <w:rsid w:val="00C36FD1"/>
    <w:rsid w:val="00C371A5"/>
    <w:rsid w:val="00C37E15"/>
    <w:rsid w:val="00C400B0"/>
    <w:rsid w:val="00C40683"/>
    <w:rsid w:val="00C40F4E"/>
    <w:rsid w:val="00C413FC"/>
    <w:rsid w:val="00C422C5"/>
    <w:rsid w:val="00C43D33"/>
    <w:rsid w:val="00C44170"/>
    <w:rsid w:val="00C44407"/>
    <w:rsid w:val="00C456E8"/>
    <w:rsid w:val="00C46630"/>
    <w:rsid w:val="00C46B6C"/>
    <w:rsid w:val="00C47A2F"/>
    <w:rsid w:val="00C50D18"/>
    <w:rsid w:val="00C51179"/>
    <w:rsid w:val="00C5282C"/>
    <w:rsid w:val="00C52FBE"/>
    <w:rsid w:val="00C5355E"/>
    <w:rsid w:val="00C535E2"/>
    <w:rsid w:val="00C539FF"/>
    <w:rsid w:val="00C53A62"/>
    <w:rsid w:val="00C53FC1"/>
    <w:rsid w:val="00C542C1"/>
    <w:rsid w:val="00C56438"/>
    <w:rsid w:val="00C56D6A"/>
    <w:rsid w:val="00C570B3"/>
    <w:rsid w:val="00C6009F"/>
    <w:rsid w:val="00C60417"/>
    <w:rsid w:val="00C6046F"/>
    <w:rsid w:val="00C60C2D"/>
    <w:rsid w:val="00C61FC0"/>
    <w:rsid w:val="00C629CD"/>
    <w:rsid w:val="00C632B7"/>
    <w:rsid w:val="00C638C2"/>
    <w:rsid w:val="00C651D4"/>
    <w:rsid w:val="00C6669E"/>
    <w:rsid w:val="00C672B0"/>
    <w:rsid w:val="00C729C7"/>
    <w:rsid w:val="00C738D7"/>
    <w:rsid w:val="00C74FF3"/>
    <w:rsid w:val="00C761FA"/>
    <w:rsid w:val="00C77506"/>
    <w:rsid w:val="00C777AD"/>
    <w:rsid w:val="00C80C53"/>
    <w:rsid w:val="00C81195"/>
    <w:rsid w:val="00C827C9"/>
    <w:rsid w:val="00C84E42"/>
    <w:rsid w:val="00C8508C"/>
    <w:rsid w:val="00C85387"/>
    <w:rsid w:val="00C85E52"/>
    <w:rsid w:val="00C86471"/>
    <w:rsid w:val="00C8677B"/>
    <w:rsid w:val="00C86E1C"/>
    <w:rsid w:val="00C86F96"/>
    <w:rsid w:val="00C90928"/>
    <w:rsid w:val="00C909C6"/>
    <w:rsid w:val="00C909CF"/>
    <w:rsid w:val="00C90DA2"/>
    <w:rsid w:val="00C91A55"/>
    <w:rsid w:val="00C923B7"/>
    <w:rsid w:val="00C94D4C"/>
    <w:rsid w:val="00C97B2D"/>
    <w:rsid w:val="00C97C4F"/>
    <w:rsid w:val="00CA012C"/>
    <w:rsid w:val="00CA0AA6"/>
    <w:rsid w:val="00CA2897"/>
    <w:rsid w:val="00CA2C5E"/>
    <w:rsid w:val="00CA44F3"/>
    <w:rsid w:val="00CA4C0E"/>
    <w:rsid w:val="00CA503C"/>
    <w:rsid w:val="00CA51BA"/>
    <w:rsid w:val="00CA582C"/>
    <w:rsid w:val="00CA6077"/>
    <w:rsid w:val="00CA70B0"/>
    <w:rsid w:val="00CA715B"/>
    <w:rsid w:val="00CA74B0"/>
    <w:rsid w:val="00CA7988"/>
    <w:rsid w:val="00CA7BA2"/>
    <w:rsid w:val="00CA7E02"/>
    <w:rsid w:val="00CB0B78"/>
    <w:rsid w:val="00CB12A5"/>
    <w:rsid w:val="00CB17FA"/>
    <w:rsid w:val="00CB1A5B"/>
    <w:rsid w:val="00CB21DB"/>
    <w:rsid w:val="00CB23D8"/>
    <w:rsid w:val="00CB29AE"/>
    <w:rsid w:val="00CB2B53"/>
    <w:rsid w:val="00CB2ED9"/>
    <w:rsid w:val="00CB36A5"/>
    <w:rsid w:val="00CB44EE"/>
    <w:rsid w:val="00CB56B4"/>
    <w:rsid w:val="00CB5A0A"/>
    <w:rsid w:val="00CB66BD"/>
    <w:rsid w:val="00CB7286"/>
    <w:rsid w:val="00CB7553"/>
    <w:rsid w:val="00CB7947"/>
    <w:rsid w:val="00CC1783"/>
    <w:rsid w:val="00CC1883"/>
    <w:rsid w:val="00CC1B74"/>
    <w:rsid w:val="00CC28C3"/>
    <w:rsid w:val="00CC350D"/>
    <w:rsid w:val="00CC38E9"/>
    <w:rsid w:val="00CC3B46"/>
    <w:rsid w:val="00CC3D8B"/>
    <w:rsid w:val="00CC4E27"/>
    <w:rsid w:val="00CC570C"/>
    <w:rsid w:val="00CC62B6"/>
    <w:rsid w:val="00CC6ADE"/>
    <w:rsid w:val="00CC76AA"/>
    <w:rsid w:val="00CC7ADA"/>
    <w:rsid w:val="00CC7C24"/>
    <w:rsid w:val="00CC7CD2"/>
    <w:rsid w:val="00CD0085"/>
    <w:rsid w:val="00CD0596"/>
    <w:rsid w:val="00CD05CF"/>
    <w:rsid w:val="00CD06AB"/>
    <w:rsid w:val="00CD19E5"/>
    <w:rsid w:val="00CD1FAE"/>
    <w:rsid w:val="00CD2260"/>
    <w:rsid w:val="00CD232F"/>
    <w:rsid w:val="00CD279E"/>
    <w:rsid w:val="00CD2F92"/>
    <w:rsid w:val="00CD4EB0"/>
    <w:rsid w:val="00CD512D"/>
    <w:rsid w:val="00CD5831"/>
    <w:rsid w:val="00CD5F03"/>
    <w:rsid w:val="00CD61B6"/>
    <w:rsid w:val="00CD6F6E"/>
    <w:rsid w:val="00CD757B"/>
    <w:rsid w:val="00CE08D1"/>
    <w:rsid w:val="00CE0F2B"/>
    <w:rsid w:val="00CE13B4"/>
    <w:rsid w:val="00CE157F"/>
    <w:rsid w:val="00CE1966"/>
    <w:rsid w:val="00CE1ED4"/>
    <w:rsid w:val="00CE2216"/>
    <w:rsid w:val="00CE3014"/>
    <w:rsid w:val="00CE30E5"/>
    <w:rsid w:val="00CE453A"/>
    <w:rsid w:val="00CE4824"/>
    <w:rsid w:val="00CE4E8E"/>
    <w:rsid w:val="00CE6FC6"/>
    <w:rsid w:val="00CF0E6D"/>
    <w:rsid w:val="00CF1134"/>
    <w:rsid w:val="00CF1CB9"/>
    <w:rsid w:val="00CF2056"/>
    <w:rsid w:val="00CF319B"/>
    <w:rsid w:val="00CF4471"/>
    <w:rsid w:val="00CF44B5"/>
    <w:rsid w:val="00CF51C0"/>
    <w:rsid w:val="00CF5B2A"/>
    <w:rsid w:val="00CF5E77"/>
    <w:rsid w:val="00CF5F57"/>
    <w:rsid w:val="00CF64A7"/>
    <w:rsid w:val="00CF6730"/>
    <w:rsid w:val="00CF68C1"/>
    <w:rsid w:val="00CF7059"/>
    <w:rsid w:val="00CF70E5"/>
    <w:rsid w:val="00CF7CEC"/>
    <w:rsid w:val="00D00B0F"/>
    <w:rsid w:val="00D01BF4"/>
    <w:rsid w:val="00D0272C"/>
    <w:rsid w:val="00D02ABC"/>
    <w:rsid w:val="00D0348A"/>
    <w:rsid w:val="00D045CE"/>
    <w:rsid w:val="00D0478A"/>
    <w:rsid w:val="00D05082"/>
    <w:rsid w:val="00D06163"/>
    <w:rsid w:val="00D07AFD"/>
    <w:rsid w:val="00D11749"/>
    <w:rsid w:val="00D120EF"/>
    <w:rsid w:val="00D124CC"/>
    <w:rsid w:val="00D125EE"/>
    <w:rsid w:val="00D1269F"/>
    <w:rsid w:val="00D12A7D"/>
    <w:rsid w:val="00D12CF1"/>
    <w:rsid w:val="00D12F86"/>
    <w:rsid w:val="00D13AB0"/>
    <w:rsid w:val="00D1519E"/>
    <w:rsid w:val="00D152B7"/>
    <w:rsid w:val="00D16A0B"/>
    <w:rsid w:val="00D16EDC"/>
    <w:rsid w:val="00D17B0A"/>
    <w:rsid w:val="00D17FDE"/>
    <w:rsid w:val="00D201CB"/>
    <w:rsid w:val="00D21134"/>
    <w:rsid w:val="00D22786"/>
    <w:rsid w:val="00D228B4"/>
    <w:rsid w:val="00D23758"/>
    <w:rsid w:val="00D24562"/>
    <w:rsid w:val="00D25AC4"/>
    <w:rsid w:val="00D27590"/>
    <w:rsid w:val="00D305F6"/>
    <w:rsid w:val="00D30B25"/>
    <w:rsid w:val="00D3175A"/>
    <w:rsid w:val="00D31A00"/>
    <w:rsid w:val="00D323E4"/>
    <w:rsid w:val="00D32871"/>
    <w:rsid w:val="00D33881"/>
    <w:rsid w:val="00D34282"/>
    <w:rsid w:val="00D352C2"/>
    <w:rsid w:val="00D35388"/>
    <w:rsid w:val="00D35631"/>
    <w:rsid w:val="00D356E2"/>
    <w:rsid w:val="00D35EE7"/>
    <w:rsid w:val="00D366B1"/>
    <w:rsid w:val="00D37AE0"/>
    <w:rsid w:val="00D416A8"/>
    <w:rsid w:val="00D4217D"/>
    <w:rsid w:val="00D4257C"/>
    <w:rsid w:val="00D425AC"/>
    <w:rsid w:val="00D42823"/>
    <w:rsid w:val="00D42D5E"/>
    <w:rsid w:val="00D42E99"/>
    <w:rsid w:val="00D42F1D"/>
    <w:rsid w:val="00D43F14"/>
    <w:rsid w:val="00D44C18"/>
    <w:rsid w:val="00D4556D"/>
    <w:rsid w:val="00D50C1A"/>
    <w:rsid w:val="00D50D9C"/>
    <w:rsid w:val="00D511C6"/>
    <w:rsid w:val="00D5121D"/>
    <w:rsid w:val="00D516AC"/>
    <w:rsid w:val="00D52164"/>
    <w:rsid w:val="00D521BB"/>
    <w:rsid w:val="00D52875"/>
    <w:rsid w:val="00D54050"/>
    <w:rsid w:val="00D54555"/>
    <w:rsid w:val="00D54C34"/>
    <w:rsid w:val="00D5594A"/>
    <w:rsid w:val="00D56321"/>
    <w:rsid w:val="00D56AC0"/>
    <w:rsid w:val="00D57707"/>
    <w:rsid w:val="00D57775"/>
    <w:rsid w:val="00D6081B"/>
    <w:rsid w:val="00D61A37"/>
    <w:rsid w:val="00D6240A"/>
    <w:rsid w:val="00D63093"/>
    <w:rsid w:val="00D63170"/>
    <w:rsid w:val="00D63599"/>
    <w:rsid w:val="00D6388F"/>
    <w:rsid w:val="00D63EBD"/>
    <w:rsid w:val="00D64015"/>
    <w:rsid w:val="00D64B69"/>
    <w:rsid w:val="00D65C28"/>
    <w:rsid w:val="00D67101"/>
    <w:rsid w:val="00D675B9"/>
    <w:rsid w:val="00D6780A"/>
    <w:rsid w:val="00D67AAD"/>
    <w:rsid w:val="00D7099F"/>
    <w:rsid w:val="00D7106D"/>
    <w:rsid w:val="00D71B45"/>
    <w:rsid w:val="00D71F8A"/>
    <w:rsid w:val="00D724F8"/>
    <w:rsid w:val="00D72ACC"/>
    <w:rsid w:val="00D72E89"/>
    <w:rsid w:val="00D72FC2"/>
    <w:rsid w:val="00D73CF7"/>
    <w:rsid w:val="00D7458A"/>
    <w:rsid w:val="00D75603"/>
    <w:rsid w:val="00D75FEE"/>
    <w:rsid w:val="00D76231"/>
    <w:rsid w:val="00D76933"/>
    <w:rsid w:val="00D76D88"/>
    <w:rsid w:val="00D77C39"/>
    <w:rsid w:val="00D77CC9"/>
    <w:rsid w:val="00D803B5"/>
    <w:rsid w:val="00D8396F"/>
    <w:rsid w:val="00D83D4B"/>
    <w:rsid w:val="00D85FE2"/>
    <w:rsid w:val="00D86D93"/>
    <w:rsid w:val="00D871C6"/>
    <w:rsid w:val="00D87ABE"/>
    <w:rsid w:val="00D87C0B"/>
    <w:rsid w:val="00D87C5F"/>
    <w:rsid w:val="00D87EA5"/>
    <w:rsid w:val="00D91010"/>
    <w:rsid w:val="00D9120E"/>
    <w:rsid w:val="00D92461"/>
    <w:rsid w:val="00D94EB7"/>
    <w:rsid w:val="00D95CB4"/>
    <w:rsid w:val="00DA0FA7"/>
    <w:rsid w:val="00DA12B0"/>
    <w:rsid w:val="00DA16CC"/>
    <w:rsid w:val="00DA2BA0"/>
    <w:rsid w:val="00DA39AD"/>
    <w:rsid w:val="00DA4B09"/>
    <w:rsid w:val="00DA4DD2"/>
    <w:rsid w:val="00DA5174"/>
    <w:rsid w:val="00DA58F0"/>
    <w:rsid w:val="00DA5B13"/>
    <w:rsid w:val="00DA63D2"/>
    <w:rsid w:val="00DA6917"/>
    <w:rsid w:val="00DA6926"/>
    <w:rsid w:val="00DA7616"/>
    <w:rsid w:val="00DA7D16"/>
    <w:rsid w:val="00DA7F18"/>
    <w:rsid w:val="00DB00A7"/>
    <w:rsid w:val="00DB0965"/>
    <w:rsid w:val="00DB0CD4"/>
    <w:rsid w:val="00DB0E47"/>
    <w:rsid w:val="00DB2494"/>
    <w:rsid w:val="00DB2BDD"/>
    <w:rsid w:val="00DB4121"/>
    <w:rsid w:val="00DB46C3"/>
    <w:rsid w:val="00DB5742"/>
    <w:rsid w:val="00DB5AC3"/>
    <w:rsid w:val="00DB5B63"/>
    <w:rsid w:val="00DB5D2D"/>
    <w:rsid w:val="00DB5EDF"/>
    <w:rsid w:val="00DB630F"/>
    <w:rsid w:val="00DB6B08"/>
    <w:rsid w:val="00DB6C46"/>
    <w:rsid w:val="00DB72B8"/>
    <w:rsid w:val="00DC16AF"/>
    <w:rsid w:val="00DC2373"/>
    <w:rsid w:val="00DC2A9A"/>
    <w:rsid w:val="00DC2E2E"/>
    <w:rsid w:val="00DC39CF"/>
    <w:rsid w:val="00DC4D68"/>
    <w:rsid w:val="00DC6463"/>
    <w:rsid w:val="00DC706D"/>
    <w:rsid w:val="00DC70B5"/>
    <w:rsid w:val="00DC7822"/>
    <w:rsid w:val="00DC7AF1"/>
    <w:rsid w:val="00DC7E26"/>
    <w:rsid w:val="00DD0EFB"/>
    <w:rsid w:val="00DD2D92"/>
    <w:rsid w:val="00DD3026"/>
    <w:rsid w:val="00DD33DC"/>
    <w:rsid w:val="00DD3BB0"/>
    <w:rsid w:val="00DD61F5"/>
    <w:rsid w:val="00DD6752"/>
    <w:rsid w:val="00DD6C9D"/>
    <w:rsid w:val="00DD6E9D"/>
    <w:rsid w:val="00DD7356"/>
    <w:rsid w:val="00DD7A76"/>
    <w:rsid w:val="00DD7AC5"/>
    <w:rsid w:val="00DE1605"/>
    <w:rsid w:val="00DE271F"/>
    <w:rsid w:val="00DE3223"/>
    <w:rsid w:val="00DE3275"/>
    <w:rsid w:val="00DE64A6"/>
    <w:rsid w:val="00DE66EB"/>
    <w:rsid w:val="00DE7035"/>
    <w:rsid w:val="00DF0CD1"/>
    <w:rsid w:val="00DF126B"/>
    <w:rsid w:val="00DF12E3"/>
    <w:rsid w:val="00DF1AFE"/>
    <w:rsid w:val="00DF3F1D"/>
    <w:rsid w:val="00DF422D"/>
    <w:rsid w:val="00DF595C"/>
    <w:rsid w:val="00DF66A8"/>
    <w:rsid w:val="00DF7B73"/>
    <w:rsid w:val="00DF7EA7"/>
    <w:rsid w:val="00E011D3"/>
    <w:rsid w:val="00E01605"/>
    <w:rsid w:val="00E04548"/>
    <w:rsid w:val="00E0484E"/>
    <w:rsid w:val="00E051A4"/>
    <w:rsid w:val="00E06148"/>
    <w:rsid w:val="00E063F8"/>
    <w:rsid w:val="00E079AF"/>
    <w:rsid w:val="00E10EB1"/>
    <w:rsid w:val="00E114D6"/>
    <w:rsid w:val="00E1166E"/>
    <w:rsid w:val="00E11D36"/>
    <w:rsid w:val="00E11DBD"/>
    <w:rsid w:val="00E13211"/>
    <w:rsid w:val="00E13EBB"/>
    <w:rsid w:val="00E16FB5"/>
    <w:rsid w:val="00E179D6"/>
    <w:rsid w:val="00E21407"/>
    <w:rsid w:val="00E21807"/>
    <w:rsid w:val="00E22668"/>
    <w:rsid w:val="00E227D3"/>
    <w:rsid w:val="00E22BFF"/>
    <w:rsid w:val="00E22CB0"/>
    <w:rsid w:val="00E23798"/>
    <w:rsid w:val="00E23B1C"/>
    <w:rsid w:val="00E2515D"/>
    <w:rsid w:val="00E2585D"/>
    <w:rsid w:val="00E25DBD"/>
    <w:rsid w:val="00E25FA2"/>
    <w:rsid w:val="00E26FB8"/>
    <w:rsid w:val="00E2723D"/>
    <w:rsid w:val="00E27C77"/>
    <w:rsid w:val="00E27EA4"/>
    <w:rsid w:val="00E30B96"/>
    <w:rsid w:val="00E3179E"/>
    <w:rsid w:val="00E32099"/>
    <w:rsid w:val="00E32276"/>
    <w:rsid w:val="00E325D5"/>
    <w:rsid w:val="00E32792"/>
    <w:rsid w:val="00E32AC9"/>
    <w:rsid w:val="00E3473A"/>
    <w:rsid w:val="00E354DA"/>
    <w:rsid w:val="00E354F5"/>
    <w:rsid w:val="00E3687E"/>
    <w:rsid w:val="00E372DD"/>
    <w:rsid w:val="00E37E36"/>
    <w:rsid w:val="00E40974"/>
    <w:rsid w:val="00E40A5C"/>
    <w:rsid w:val="00E40AAB"/>
    <w:rsid w:val="00E411C2"/>
    <w:rsid w:val="00E41205"/>
    <w:rsid w:val="00E415D9"/>
    <w:rsid w:val="00E41BDA"/>
    <w:rsid w:val="00E41F32"/>
    <w:rsid w:val="00E42608"/>
    <w:rsid w:val="00E42C5B"/>
    <w:rsid w:val="00E42CEA"/>
    <w:rsid w:val="00E42EA0"/>
    <w:rsid w:val="00E43536"/>
    <w:rsid w:val="00E43B05"/>
    <w:rsid w:val="00E43DA3"/>
    <w:rsid w:val="00E44B80"/>
    <w:rsid w:val="00E46B18"/>
    <w:rsid w:val="00E47430"/>
    <w:rsid w:val="00E47EB5"/>
    <w:rsid w:val="00E50FB7"/>
    <w:rsid w:val="00E5198B"/>
    <w:rsid w:val="00E5199F"/>
    <w:rsid w:val="00E526DF"/>
    <w:rsid w:val="00E52AE8"/>
    <w:rsid w:val="00E53624"/>
    <w:rsid w:val="00E53C15"/>
    <w:rsid w:val="00E54EE6"/>
    <w:rsid w:val="00E55F1E"/>
    <w:rsid w:val="00E56715"/>
    <w:rsid w:val="00E56A21"/>
    <w:rsid w:val="00E56A97"/>
    <w:rsid w:val="00E56B15"/>
    <w:rsid w:val="00E56C2C"/>
    <w:rsid w:val="00E57F8E"/>
    <w:rsid w:val="00E60776"/>
    <w:rsid w:val="00E60940"/>
    <w:rsid w:val="00E611C8"/>
    <w:rsid w:val="00E613EB"/>
    <w:rsid w:val="00E61673"/>
    <w:rsid w:val="00E63256"/>
    <w:rsid w:val="00E6344A"/>
    <w:rsid w:val="00E64E69"/>
    <w:rsid w:val="00E64FB7"/>
    <w:rsid w:val="00E65407"/>
    <w:rsid w:val="00E669A1"/>
    <w:rsid w:val="00E671F0"/>
    <w:rsid w:val="00E679BA"/>
    <w:rsid w:val="00E70243"/>
    <w:rsid w:val="00E72CC6"/>
    <w:rsid w:val="00E73D44"/>
    <w:rsid w:val="00E7494A"/>
    <w:rsid w:val="00E74BE2"/>
    <w:rsid w:val="00E74C66"/>
    <w:rsid w:val="00E74FA2"/>
    <w:rsid w:val="00E753BA"/>
    <w:rsid w:val="00E75933"/>
    <w:rsid w:val="00E77478"/>
    <w:rsid w:val="00E77A1B"/>
    <w:rsid w:val="00E808BE"/>
    <w:rsid w:val="00E81E36"/>
    <w:rsid w:val="00E81E40"/>
    <w:rsid w:val="00E8275A"/>
    <w:rsid w:val="00E82ECE"/>
    <w:rsid w:val="00E85497"/>
    <w:rsid w:val="00E8579D"/>
    <w:rsid w:val="00E864B2"/>
    <w:rsid w:val="00E8713B"/>
    <w:rsid w:val="00E87301"/>
    <w:rsid w:val="00E90017"/>
    <w:rsid w:val="00E90C61"/>
    <w:rsid w:val="00E90E4C"/>
    <w:rsid w:val="00E910AC"/>
    <w:rsid w:val="00E9174E"/>
    <w:rsid w:val="00E92A82"/>
    <w:rsid w:val="00E92AA8"/>
    <w:rsid w:val="00E9344E"/>
    <w:rsid w:val="00E93E39"/>
    <w:rsid w:val="00E94391"/>
    <w:rsid w:val="00E9581E"/>
    <w:rsid w:val="00E95BD7"/>
    <w:rsid w:val="00E96869"/>
    <w:rsid w:val="00E97AD7"/>
    <w:rsid w:val="00E97DB9"/>
    <w:rsid w:val="00E97E2B"/>
    <w:rsid w:val="00EA08CA"/>
    <w:rsid w:val="00EA0C0C"/>
    <w:rsid w:val="00EA2AEA"/>
    <w:rsid w:val="00EA2DE1"/>
    <w:rsid w:val="00EA332B"/>
    <w:rsid w:val="00EA3D36"/>
    <w:rsid w:val="00EA40AA"/>
    <w:rsid w:val="00EA456F"/>
    <w:rsid w:val="00EA57E2"/>
    <w:rsid w:val="00EA7186"/>
    <w:rsid w:val="00EB018B"/>
    <w:rsid w:val="00EB1003"/>
    <w:rsid w:val="00EB1132"/>
    <w:rsid w:val="00EB167E"/>
    <w:rsid w:val="00EB1F85"/>
    <w:rsid w:val="00EB24ED"/>
    <w:rsid w:val="00EB2A00"/>
    <w:rsid w:val="00EB2A3F"/>
    <w:rsid w:val="00EB309B"/>
    <w:rsid w:val="00EB3AA2"/>
    <w:rsid w:val="00EB4763"/>
    <w:rsid w:val="00EB5B17"/>
    <w:rsid w:val="00EB6CB7"/>
    <w:rsid w:val="00EC00D8"/>
    <w:rsid w:val="00EC078B"/>
    <w:rsid w:val="00EC07A0"/>
    <w:rsid w:val="00EC07F1"/>
    <w:rsid w:val="00EC08E4"/>
    <w:rsid w:val="00EC1092"/>
    <w:rsid w:val="00EC1154"/>
    <w:rsid w:val="00EC1A23"/>
    <w:rsid w:val="00EC3CB4"/>
    <w:rsid w:val="00EC4328"/>
    <w:rsid w:val="00EC443E"/>
    <w:rsid w:val="00EC4D83"/>
    <w:rsid w:val="00EC4EEE"/>
    <w:rsid w:val="00EC5BB2"/>
    <w:rsid w:val="00EC634F"/>
    <w:rsid w:val="00EC7B97"/>
    <w:rsid w:val="00ED049C"/>
    <w:rsid w:val="00ED07B7"/>
    <w:rsid w:val="00ED0C2B"/>
    <w:rsid w:val="00ED19D7"/>
    <w:rsid w:val="00ED2167"/>
    <w:rsid w:val="00ED271F"/>
    <w:rsid w:val="00ED351E"/>
    <w:rsid w:val="00ED4063"/>
    <w:rsid w:val="00ED4430"/>
    <w:rsid w:val="00ED4B27"/>
    <w:rsid w:val="00ED4BC7"/>
    <w:rsid w:val="00ED543C"/>
    <w:rsid w:val="00ED55BE"/>
    <w:rsid w:val="00ED6BA4"/>
    <w:rsid w:val="00ED7DA7"/>
    <w:rsid w:val="00EE0598"/>
    <w:rsid w:val="00EE1B43"/>
    <w:rsid w:val="00EE2B12"/>
    <w:rsid w:val="00EE311C"/>
    <w:rsid w:val="00EE4904"/>
    <w:rsid w:val="00EE5236"/>
    <w:rsid w:val="00EE56FF"/>
    <w:rsid w:val="00EE5788"/>
    <w:rsid w:val="00EE5886"/>
    <w:rsid w:val="00EE5BC8"/>
    <w:rsid w:val="00EE5FBF"/>
    <w:rsid w:val="00EE628D"/>
    <w:rsid w:val="00EE6472"/>
    <w:rsid w:val="00EE6791"/>
    <w:rsid w:val="00EE68B9"/>
    <w:rsid w:val="00EE76F2"/>
    <w:rsid w:val="00EF0769"/>
    <w:rsid w:val="00EF0D7C"/>
    <w:rsid w:val="00EF1422"/>
    <w:rsid w:val="00EF2AC0"/>
    <w:rsid w:val="00EF3939"/>
    <w:rsid w:val="00EF40E2"/>
    <w:rsid w:val="00EF4488"/>
    <w:rsid w:val="00EF5FB9"/>
    <w:rsid w:val="00EF61C1"/>
    <w:rsid w:val="00EF6E68"/>
    <w:rsid w:val="00EF76DB"/>
    <w:rsid w:val="00F005FD"/>
    <w:rsid w:val="00F024E2"/>
    <w:rsid w:val="00F02C04"/>
    <w:rsid w:val="00F03AF1"/>
    <w:rsid w:val="00F04BCD"/>
    <w:rsid w:val="00F0564B"/>
    <w:rsid w:val="00F05A8C"/>
    <w:rsid w:val="00F06211"/>
    <w:rsid w:val="00F10A54"/>
    <w:rsid w:val="00F123D0"/>
    <w:rsid w:val="00F12B1A"/>
    <w:rsid w:val="00F13200"/>
    <w:rsid w:val="00F13411"/>
    <w:rsid w:val="00F13F33"/>
    <w:rsid w:val="00F143BA"/>
    <w:rsid w:val="00F14D98"/>
    <w:rsid w:val="00F158FD"/>
    <w:rsid w:val="00F1595C"/>
    <w:rsid w:val="00F15E7D"/>
    <w:rsid w:val="00F16AFA"/>
    <w:rsid w:val="00F20596"/>
    <w:rsid w:val="00F2081B"/>
    <w:rsid w:val="00F20A43"/>
    <w:rsid w:val="00F20C51"/>
    <w:rsid w:val="00F21049"/>
    <w:rsid w:val="00F218AE"/>
    <w:rsid w:val="00F22232"/>
    <w:rsid w:val="00F2228E"/>
    <w:rsid w:val="00F22D3C"/>
    <w:rsid w:val="00F23D66"/>
    <w:rsid w:val="00F24E6F"/>
    <w:rsid w:val="00F25BC4"/>
    <w:rsid w:val="00F26069"/>
    <w:rsid w:val="00F261CA"/>
    <w:rsid w:val="00F26B7E"/>
    <w:rsid w:val="00F270DE"/>
    <w:rsid w:val="00F27D7D"/>
    <w:rsid w:val="00F3002B"/>
    <w:rsid w:val="00F30B0D"/>
    <w:rsid w:val="00F30BC9"/>
    <w:rsid w:val="00F31E57"/>
    <w:rsid w:val="00F32462"/>
    <w:rsid w:val="00F32FF7"/>
    <w:rsid w:val="00F33DFB"/>
    <w:rsid w:val="00F33EDE"/>
    <w:rsid w:val="00F3568B"/>
    <w:rsid w:val="00F37766"/>
    <w:rsid w:val="00F377CD"/>
    <w:rsid w:val="00F37FE8"/>
    <w:rsid w:val="00F40466"/>
    <w:rsid w:val="00F40509"/>
    <w:rsid w:val="00F408EB"/>
    <w:rsid w:val="00F40C3B"/>
    <w:rsid w:val="00F40CE0"/>
    <w:rsid w:val="00F41421"/>
    <w:rsid w:val="00F415DF"/>
    <w:rsid w:val="00F41BDD"/>
    <w:rsid w:val="00F42DBC"/>
    <w:rsid w:val="00F4308D"/>
    <w:rsid w:val="00F44012"/>
    <w:rsid w:val="00F44947"/>
    <w:rsid w:val="00F458EF"/>
    <w:rsid w:val="00F45D5C"/>
    <w:rsid w:val="00F47121"/>
    <w:rsid w:val="00F4775D"/>
    <w:rsid w:val="00F5042D"/>
    <w:rsid w:val="00F504DD"/>
    <w:rsid w:val="00F50874"/>
    <w:rsid w:val="00F50AB2"/>
    <w:rsid w:val="00F51313"/>
    <w:rsid w:val="00F516C6"/>
    <w:rsid w:val="00F52221"/>
    <w:rsid w:val="00F525B7"/>
    <w:rsid w:val="00F52B28"/>
    <w:rsid w:val="00F536BB"/>
    <w:rsid w:val="00F53717"/>
    <w:rsid w:val="00F53755"/>
    <w:rsid w:val="00F53E59"/>
    <w:rsid w:val="00F5475B"/>
    <w:rsid w:val="00F551CC"/>
    <w:rsid w:val="00F55D66"/>
    <w:rsid w:val="00F56C85"/>
    <w:rsid w:val="00F56EDE"/>
    <w:rsid w:val="00F5742E"/>
    <w:rsid w:val="00F574D0"/>
    <w:rsid w:val="00F6031F"/>
    <w:rsid w:val="00F60AD4"/>
    <w:rsid w:val="00F61664"/>
    <w:rsid w:val="00F61B99"/>
    <w:rsid w:val="00F61BA8"/>
    <w:rsid w:val="00F64C45"/>
    <w:rsid w:val="00F6502B"/>
    <w:rsid w:val="00F65811"/>
    <w:rsid w:val="00F6612A"/>
    <w:rsid w:val="00F66724"/>
    <w:rsid w:val="00F66C6F"/>
    <w:rsid w:val="00F67F04"/>
    <w:rsid w:val="00F70207"/>
    <w:rsid w:val="00F702CB"/>
    <w:rsid w:val="00F70F4A"/>
    <w:rsid w:val="00F712B0"/>
    <w:rsid w:val="00F71AC2"/>
    <w:rsid w:val="00F72514"/>
    <w:rsid w:val="00F72523"/>
    <w:rsid w:val="00F7255D"/>
    <w:rsid w:val="00F736F1"/>
    <w:rsid w:val="00F739D4"/>
    <w:rsid w:val="00F76A11"/>
    <w:rsid w:val="00F77D43"/>
    <w:rsid w:val="00F806D9"/>
    <w:rsid w:val="00F80953"/>
    <w:rsid w:val="00F811BB"/>
    <w:rsid w:val="00F81312"/>
    <w:rsid w:val="00F81B90"/>
    <w:rsid w:val="00F81DEB"/>
    <w:rsid w:val="00F81E6F"/>
    <w:rsid w:val="00F82FF3"/>
    <w:rsid w:val="00F84383"/>
    <w:rsid w:val="00F844C7"/>
    <w:rsid w:val="00F8453C"/>
    <w:rsid w:val="00F84D4C"/>
    <w:rsid w:val="00F86111"/>
    <w:rsid w:val="00F8657D"/>
    <w:rsid w:val="00F86CB9"/>
    <w:rsid w:val="00F8730F"/>
    <w:rsid w:val="00F87861"/>
    <w:rsid w:val="00F87DA3"/>
    <w:rsid w:val="00F90004"/>
    <w:rsid w:val="00F90EF4"/>
    <w:rsid w:val="00F917BF"/>
    <w:rsid w:val="00F91C63"/>
    <w:rsid w:val="00F91E90"/>
    <w:rsid w:val="00F920B4"/>
    <w:rsid w:val="00F9260D"/>
    <w:rsid w:val="00F92727"/>
    <w:rsid w:val="00F928B9"/>
    <w:rsid w:val="00F933A4"/>
    <w:rsid w:val="00F93CCF"/>
    <w:rsid w:val="00F942C1"/>
    <w:rsid w:val="00F94307"/>
    <w:rsid w:val="00F9580B"/>
    <w:rsid w:val="00F95F15"/>
    <w:rsid w:val="00F970B5"/>
    <w:rsid w:val="00F975CA"/>
    <w:rsid w:val="00FA0B60"/>
    <w:rsid w:val="00FA2528"/>
    <w:rsid w:val="00FA431A"/>
    <w:rsid w:val="00FA4E1C"/>
    <w:rsid w:val="00FA5535"/>
    <w:rsid w:val="00FA625B"/>
    <w:rsid w:val="00FA7206"/>
    <w:rsid w:val="00FA74B6"/>
    <w:rsid w:val="00FA7EFB"/>
    <w:rsid w:val="00FB034F"/>
    <w:rsid w:val="00FB06DF"/>
    <w:rsid w:val="00FB07D7"/>
    <w:rsid w:val="00FB0816"/>
    <w:rsid w:val="00FB0834"/>
    <w:rsid w:val="00FB08C2"/>
    <w:rsid w:val="00FB1EF4"/>
    <w:rsid w:val="00FB259F"/>
    <w:rsid w:val="00FB2E63"/>
    <w:rsid w:val="00FB3DD1"/>
    <w:rsid w:val="00FB4B22"/>
    <w:rsid w:val="00FB51FD"/>
    <w:rsid w:val="00FB5667"/>
    <w:rsid w:val="00FB658E"/>
    <w:rsid w:val="00FB7A97"/>
    <w:rsid w:val="00FC0496"/>
    <w:rsid w:val="00FC1B9B"/>
    <w:rsid w:val="00FC3013"/>
    <w:rsid w:val="00FC3137"/>
    <w:rsid w:val="00FC318D"/>
    <w:rsid w:val="00FC36CF"/>
    <w:rsid w:val="00FC40BC"/>
    <w:rsid w:val="00FC41FC"/>
    <w:rsid w:val="00FC4F6E"/>
    <w:rsid w:val="00FC506C"/>
    <w:rsid w:val="00FC52CA"/>
    <w:rsid w:val="00FC578C"/>
    <w:rsid w:val="00FC5A37"/>
    <w:rsid w:val="00FC6AFD"/>
    <w:rsid w:val="00FC70C2"/>
    <w:rsid w:val="00FC7223"/>
    <w:rsid w:val="00FD05D2"/>
    <w:rsid w:val="00FD06F6"/>
    <w:rsid w:val="00FD0F60"/>
    <w:rsid w:val="00FD13E5"/>
    <w:rsid w:val="00FD13EA"/>
    <w:rsid w:val="00FD1513"/>
    <w:rsid w:val="00FD232F"/>
    <w:rsid w:val="00FD4DB7"/>
    <w:rsid w:val="00FD59AE"/>
    <w:rsid w:val="00FD5C35"/>
    <w:rsid w:val="00FD5EC4"/>
    <w:rsid w:val="00FD7858"/>
    <w:rsid w:val="00FD7A8D"/>
    <w:rsid w:val="00FE1330"/>
    <w:rsid w:val="00FE1CE5"/>
    <w:rsid w:val="00FE2832"/>
    <w:rsid w:val="00FE2D38"/>
    <w:rsid w:val="00FE3929"/>
    <w:rsid w:val="00FF00AB"/>
    <w:rsid w:val="00FF097B"/>
    <w:rsid w:val="00FF0B6E"/>
    <w:rsid w:val="00FF0CF6"/>
    <w:rsid w:val="00FF18BE"/>
    <w:rsid w:val="00FF1C1B"/>
    <w:rsid w:val="00FF1E39"/>
    <w:rsid w:val="00FF2067"/>
    <w:rsid w:val="00FF317D"/>
    <w:rsid w:val="00FF3456"/>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UnresolvedMention">
    <w:name w:val="Unresolved Mention"/>
    <w:basedOn w:val="DefaultParagraphFont"/>
    <w:uiPriority w:val="99"/>
    <w:semiHidden/>
    <w:unhideWhenUsed/>
    <w:rsid w:val="00040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6877152">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05665608">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199972228">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9723371">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52630293">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323478">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sipa.org/wp-content/uploads/Joint-EU-association-letter-27-JULY-2020-Integration-of-sustainability-factors-into-MiFID-II-etc-FINAL.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C6EB9ACD3EC6D45B600F88A1160C7C9" ma:contentTypeVersion="10" ma:contentTypeDescription="Create a new document." ma:contentTypeScope="" ma:versionID="0a41109bad78b093512445a6bd827700">
  <xsd:schema xmlns:xsd="http://www.w3.org/2001/XMLSchema" xmlns:xs="http://www.w3.org/2001/XMLSchema" xmlns:p="http://schemas.microsoft.com/office/2006/metadata/properties" xmlns:ns3="01c8e7f4-2526-4644-a05d-f719ac0c8b42" targetNamespace="http://schemas.microsoft.com/office/2006/metadata/properties" ma:root="true" ma:fieldsID="6f4eaa72d40d8e5f79a65e91cde7425e" ns3:_="">
    <xsd:import namespace="01c8e7f4-2526-4644-a05d-f719ac0c8b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8e7f4-2526-4644-a05d-f719ac0c8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01c8e7f4-2526-4644-a05d-f719ac0c8b42"/>
  </ds:schemaRefs>
</ds:datastoreItem>
</file>

<file path=customXml/itemProps3.xml><?xml version="1.0" encoding="utf-8"?>
<ds:datastoreItem xmlns:ds="http://schemas.openxmlformats.org/officeDocument/2006/customXml" ds:itemID="{329BD8DC-47EA-424B-B6E0-463F10274438}">
  <ds:schemaRefs>
    <ds:schemaRef ds:uri="http://schemas.openxmlformats.org/officeDocument/2006/bibliography"/>
  </ds:schemaRefs>
</ds:datastoreItem>
</file>

<file path=customXml/itemProps4.xml><?xml version="1.0" encoding="utf-8"?>
<ds:datastoreItem xmlns:ds="http://schemas.openxmlformats.org/officeDocument/2006/customXml" ds:itemID="{0A6F8280-8183-4A17-A95B-70C5B3460395}">
  <ds:schemaRefs>
    <ds:schemaRef ds:uri="http://schemas.openxmlformats.org/officeDocument/2006/bibliography"/>
  </ds:schemaRefs>
</ds:datastoreItem>
</file>

<file path=customXml/itemProps5.xml><?xml version="1.0" encoding="utf-8"?>
<ds:datastoreItem xmlns:ds="http://schemas.openxmlformats.org/officeDocument/2006/customXml" ds:itemID="{1C26448C-0383-4264-9F14-33C9CA47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8e7f4-2526-4644-a05d-f719ac0c8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4425</Words>
  <Characters>25227</Characters>
  <Application>Microsoft Office Word</Application>
  <DocSecurity>8</DocSecurity>
  <Lines>210</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
      <vt:lpstr>20110000</vt:lpstr>
      <vt:lpstr>20110000</vt:lpstr>
      <vt:lpstr>20110000</vt:lpstr>
      <vt:lpstr>20110000</vt:lpstr>
    </vt:vector>
  </TitlesOfParts>
  <Company>ESMA</Company>
  <LinksUpToDate>false</LinksUpToDate>
  <CharactersWithSpaces>29593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ESMA</dc:creator>
  <cp:lastModifiedBy>Thomas Wulf - EUSIPA</cp:lastModifiedBy>
  <cp:revision>2</cp:revision>
  <cp:lastPrinted>2015-02-18T11:01:00Z</cp:lastPrinted>
  <dcterms:created xsi:type="dcterms:W3CDTF">2020-08-31T17:30:00Z</dcterms:created>
  <dcterms:modified xsi:type="dcterms:W3CDTF">2020-08-31T17:30:00Z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0x0101002C6EB9ACD3EC6D45B600F88A1160C7C9</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