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hAnsiTheme="minorHAnsi" w:cstheme="minorHAnsi"/>
        </w:rPr>
        <w:id w:val="-973058580"/>
        <w:docPartObj>
          <w:docPartGallery w:val="Cover Pages"/>
          <w:docPartUnique/>
        </w:docPartObj>
      </w:sdtPr>
      <w:sdtEndPr>
        <w:rPr>
          <w:highlight w:val="yellow"/>
        </w:rPr>
      </w:sdtEndPr>
      <w:sdtContent>
        <w:p w14:paraId="213BFFD2" w14:textId="77777777" w:rsidR="00AF2EF7" w:rsidRPr="00B8572C" w:rsidRDefault="00AF2EF7" w:rsidP="00AF2EF7">
          <w:pPr>
            <w:spacing w:line="276" w:lineRule="auto"/>
            <w:rPr>
              <w:rFonts w:asciiTheme="minorHAnsi" w:hAnsiTheme="minorHAnsi" w:cstheme="minorHAnsi"/>
              <w:color w:val="FF0000"/>
            </w:rPr>
          </w:pPr>
        </w:p>
        <w:p w14:paraId="15D1E8B1" w14:textId="77777777" w:rsidR="00AF2EF7" w:rsidRPr="00B8572C" w:rsidRDefault="00AF2EF7" w:rsidP="00AF2EF7">
          <w:pPr>
            <w:spacing w:after="120" w:line="276" w:lineRule="auto"/>
            <w:rPr>
              <w:rFonts w:asciiTheme="minorHAnsi" w:hAnsiTheme="minorHAnsi" w:cstheme="minorHAnsi"/>
            </w:rPr>
          </w:pPr>
        </w:p>
        <w:p w14:paraId="30D89A21" w14:textId="77777777" w:rsidR="00AF2EF7" w:rsidRPr="00B8572C" w:rsidRDefault="00AF2EF7" w:rsidP="00AF2EF7">
          <w:pPr>
            <w:spacing w:line="276" w:lineRule="auto"/>
            <w:rPr>
              <w:rFonts w:asciiTheme="minorHAnsi" w:hAnsiTheme="minorHAnsi" w:cstheme="minorHAnsi"/>
            </w:rPr>
          </w:pPr>
        </w:p>
        <w:p w14:paraId="009DB6F0" w14:textId="77777777" w:rsidR="00AF2EF7" w:rsidRPr="00B8572C" w:rsidRDefault="00AF2EF7" w:rsidP="00AF2EF7">
          <w:pPr>
            <w:spacing w:line="276" w:lineRule="auto"/>
            <w:rPr>
              <w:rFonts w:asciiTheme="minorHAnsi" w:hAnsiTheme="minorHAnsi" w:cstheme="minorHAnsi"/>
            </w:rPr>
          </w:pPr>
        </w:p>
        <w:p w14:paraId="3D7FCB96"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4BDEC98D" w14:textId="77777777" w:rsidTr="00D13661">
            <w:trPr>
              <w:trHeight w:hRule="exact" w:val="1492"/>
            </w:trPr>
            <w:tc>
              <w:tcPr>
                <w:tcW w:w="10490" w:type="dxa"/>
                <w:vAlign w:val="bottom"/>
              </w:tcPr>
              <w:p w14:paraId="6AB20E63" w14:textId="7777777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0439A027" w14:textId="77777777" w:rsidTr="00D13661">
            <w:trPr>
              <w:trHeight w:hRule="exact" w:val="747"/>
            </w:trPr>
            <w:tc>
              <w:tcPr>
                <w:tcW w:w="10490" w:type="dxa"/>
                <w:tcMar>
                  <w:top w:w="142" w:type="dxa"/>
                </w:tcMar>
              </w:tcPr>
              <w:p w14:paraId="3CE6FB0B" w14:textId="36434DF9" w:rsidR="00AB6157" w:rsidRPr="00B8572C" w:rsidRDefault="001F23C9" w:rsidP="001F23C9">
                <w:pPr>
                  <w:pStyle w:val="Heading2"/>
                  <w:numPr>
                    <w:ilvl w:val="0"/>
                    <w:numId w:val="0"/>
                  </w:numPr>
                  <w:spacing w:before="0"/>
                </w:pPr>
                <w:r w:rsidRPr="00FC3F6B">
                  <w:rPr>
                    <w:rFonts w:cs="Arial"/>
                  </w:rPr>
                  <w:t xml:space="preserve">Guidelines on </w:t>
                </w:r>
                <w:r w:rsidR="0034659B">
                  <w:rPr>
                    <w:rFonts w:cs="Arial"/>
                  </w:rPr>
                  <w:t xml:space="preserve">Outsourcing to Cloud Service Providers </w:t>
                </w:r>
              </w:p>
            </w:tc>
          </w:tr>
        </w:tbl>
        <w:p w14:paraId="31C1B2C3" w14:textId="77777777" w:rsidR="00AF2EF7" w:rsidRPr="00B8572C" w:rsidRDefault="00AF2EF7" w:rsidP="00AF2EF7">
          <w:pPr>
            <w:spacing w:line="276" w:lineRule="auto"/>
            <w:rPr>
              <w:rFonts w:asciiTheme="minorHAnsi" w:hAnsiTheme="minorHAnsi" w:cstheme="minorHAnsi"/>
            </w:rPr>
          </w:pPr>
        </w:p>
        <w:p w14:paraId="6EF3BE53"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17D96E0A"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0B5F411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6050BF75" w14:textId="354425A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paper</w:t>
          </w:r>
          <w:r w:rsidR="00D00263">
            <w:rPr>
              <w:rFonts w:asciiTheme="minorHAnsi" w:eastAsiaTheme="minorEastAsia" w:hAnsiTheme="minorHAnsi" w:cstheme="minorBidi"/>
              <w:sz w:val="22"/>
              <w:szCs w:val="20"/>
              <w:lang w:eastAsia="en-US"/>
            </w:rPr>
            <w:t xml:space="preserve"> on guidelines on outsourcing to cloud service providers</w:t>
          </w:r>
          <w:r w:rsidRPr="00AB6157">
            <w:rPr>
              <w:rFonts w:asciiTheme="minorHAnsi" w:eastAsiaTheme="minorEastAsia" w:hAnsiTheme="minorHAnsi" w:cstheme="minorBidi"/>
              <w:sz w:val="22"/>
              <w:szCs w:val="20"/>
              <w:lang w:eastAsia="en-US"/>
            </w:rPr>
            <w:t xml:space="preserve">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w:t>
          </w:r>
          <w:r w:rsidR="00D00263">
            <w:rPr>
              <w:rFonts w:asciiTheme="minorHAnsi" w:eastAsiaTheme="minorEastAsia" w:hAnsiTheme="minorHAnsi" w:cstheme="minorBidi"/>
              <w:sz w:val="22"/>
              <w:szCs w:val="20"/>
              <w:lang w:eastAsia="en-US"/>
            </w:rPr>
            <w:t>ppendix</w:t>
          </w:r>
          <w:r w:rsidRPr="00AB6157">
            <w:rPr>
              <w:rFonts w:asciiTheme="minorHAnsi" w:eastAsiaTheme="minorEastAsia" w:hAnsiTheme="minorHAnsi" w:cstheme="minorBidi"/>
              <w:sz w:val="22"/>
              <w:szCs w:val="20"/>
              <w:lang w:eastAsia="en-US"/>
            </w:rPr>
            <w:t xml:space="preserve">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14CDDCE0"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389F2A0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4D1C58A3"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38135FD"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1F00FD69" w14:textId="478345BE"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5A5590">
            <w:rPr>
              <w:rFonts w:asciiTheme="minorHAnsi" w:eastAsiaTheme="minorEastAsia" w:hAnsiTheme="minorHAnsi" w:cstheme="minorBidi"/>
              <w:b/>
              <w:sz w:val="22"/>
              <w:szCs w:val="20"/>
              <w:lang w:eastAsia="en-US"/>
            </w:rPr>
            <w:t>0</w:t>
          </w:r>
          <w:r w:rsidR="00904B25">
            <w:rPr>
              <w:rFonts w:asciiTheme="minorHAnsi" w:eastAsiaTheme="minorEastAsia" w:hAnsiTheme="minorHAnsi" w:cstheme="minorBidi"/>
              <w:b/>
              <w:sz w:val="22"/>
              <w:szCs w:val="20"/>
              <w:lang w:eastAsia="en-US"/>
            </w:rPr>
            <w:t>1</w:t>
          </w:r>
          <w:r w:rsidR="00D00263">
            <w:rPr>
              <w:rFonts w:asciiTheme="minorHAnsi" w:eastAsiaTheme="minorEastAsia" w:hAnsiTheme="minorHAnsi" w:cstheme="minorBidi"/>
              <w:b/>
              <w:sz w:val="22"/>
              <w:szCs w:val="20"/>
              <w:lang w:eastAsia="en-US"/>
            </w:rPr>
            <w:t xml:space="preserve"> September </w:t>
          </w:r>
          <w:r w:rsidR="001F23C9" w:rsidRPr="007D19EC">
            <w:rPr>
              <w:rFonts w:asciiTheme="minorHAnsi" w:eastAsiaTheme="minorEastAsia" w:hAnsiTheme="minorHAnsi" w:cstheme="minorBidi"/>
              <w:b/>
              <w:sz w:val="22"/>
              <w:szCs w:val="20"/>
              <w:lang w:eastAsia="en-US"/>
            </w:rPr>
            <w:t>20</w:t>
          </w:r>
          <w:r w:rsidR="007D19EC" w:rsidRPr="007D19EC">
            <w:rPr>
              <w:rFonts w:asciiTheme="minorHAnsi" w:eastAsiaTheme="minorEastAsia" w:hAnsiTheme="minorHAnsi" w:cstheme="minorBidi"/>
              <w:b/>
              <w:sz w:val="22"/>
              <w:szCs w:val="20"/>
              <w:lang w:eastAsia="en-US"/>
            </w:rPr>
            <w:t>20</w:t>
          </w:r>
          <w:r w:rsidRPr="007D19EC">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0406581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026E7E58"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63F19F7A"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477FFD4A" w14:textId="77777777" w:rsidR="00C85C8B" w:rsidRPr="00C85C8B" w:rsidRDefault="00C85C8B" w:rsidP="006636E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1424D4EE" w14:textId="6C9E578D"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5A5590">
            <w:rPr>
              <w:rFonts w:eastAsiaTheme="minorEastAsia" w:cstheme="minorBidi"/>
              <w:szCs w:val="20"/>
              <w:lang w:eastAsia="en-US"/>
            </w:rPr>
            <w:t>COGL</w:t>
          </w:r>
          <w:r w:rsidRPr="00C85C8B">
            <w:rPr>
              <w:rFonts w:eastAsiaTheme="minorEastAsia" w:cstheme="minorBidi"/>
              <w:szCs w:val="20"/>
              <w:lang w:eastAsia="en-US"/>
            </w:rPr>
            <w:t>_1&gt;. Your response to each question has to be framed by the two tags corresponding to the question.</w:t>
          </w:r>
        </w:p>
        <w:p w14:paraId="64096827"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57ED9B20" w14:textId="1A3F8E50"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5A5590">
            <w:rPr>
              <w:rFonts w:eastAsiaTheme="minorEastAsia" w:cstheme="minorBidi"/>
              <w:szCs w:val="20"/>
              <w:lang w:eastAsia="en-US"/>
            </w:rPr>
            <w:t>COGL</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5A5590">
            <w:rPr>
              <w:rFonts w:eastAsiaTheme="minorEastAsia" w:cstheme="minorBidi"/>
              <w:szCs w:val="20"/>
              <w:lang w:eastAsia="en-US"/>
            </w:rPr>
            <w:t>COGL</w:t>
          </w:r>
          <w:r w:rsidRPr="00C85C8B">
            <w:rPr>
              <w:rFonts w:eastAsiaTheme="minorEastAsia" w:cstheme="minorBidi"/>
              <w:szCs w:val="20"/>
              <w:lang w:eastAsia="en-US"/>
            </w:rPr>
            <w:t>_ABCD_RESPONSEFORM.</w:t>
          </w:r>
        </w:p>
        <w:p w14:paraId="5164F73C" w14:textId="27F53CC1"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5A5590">
            <w:rPr>
              <w:rFonts w:eastAsiaTheme="minorEastAsia" w:cstheme="minorBidi"/>
              <w:szCs w:val="20"/>
              <w:lang w:eastAsia="en-US"/>
            </w:rPr>
            <w:t>Outsourcing to Cloud Service Providers</w:t>
          </w:r>
          <w:r w:rsidRPr="00C85C8B">
            <w:rPr>
              <w:rFonts w:eastAsiaTheme="minorEastAsia" w:cstheme="minorBidi"/>
              <w:szCs w:val="20"/>
              <w:lang w:eastAsia="en-US"/>
            </w:rPr>
            <w:t>”).</w:t>
          </w:r>
        </w:p>
        <w:p w14:paraId="296DA61E" w14:textId="77777777"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6E8AA742" w14:textId="77777777"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583F916D"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19BAE595"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32063695" w14:textId="5AD4BFE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368C779"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55B94286"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3F39F927"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2E182B48" w14:textId="1E3F907B" w:rsidR="00AF2EF7" w:rsidRPr="00B8572C" w:rsidRDefault="005A5590" w:rsidP="001F23C9">
          <w:pPr>
            <w:spacing w:after="250" w:line="276" w:lineRule="auto"/>
            <w:jc w:val="both"/>
            <w:rPr>
              <w:rFonts w:asciiTheme="minorHAnsi" w:hAnsiTheme="minorHAnsi" w:cstheme="minorHAnsi"/>
            </w:rPr>
          </w:pPr>
          <w:r w:rsidRPr="005A5590">
            <w:rPr>
              <w:rFonts w:asciiTheme="minorHAnsi" w:hAnsiTheme="minorHAnsi" w:cstheme="minorHAnsi"/>
              <w:sz w:val="22"/>
              <w:szCs w:val="22"/>
            </w:rPr>
            <w:t xml:space="preserve">This paper is primarily of interest to national competent authorities and financial market participants. In particular, this paper is of interest to </w:t>
          </w:r>
          <w:bookmarkStart w:id="0" w:name="_Hlk35260102"/>
          <w:r w:rsidRPr="005A5590">
            <w:rPr>
              <w:rFonts w:asciiTheme="minorHAnsi" w:hAnsiTheme="minorHAnsi" w:cstheme="minorHAnsi"/>
              <w:sz w:val="22"/>
              <w:szCs w:val="22"/>
            </w:rPr>
            <w:t>alternative investment fund managers, depositaries of alternative investment funds, undertakings for collective investment in transferable securities (UCITS) management companies, depositaries of UCITS, central counterparties, trade repositories, investment firms and credit institutions which carry out investment services and activities, data reporting services providers, market operators of  trading venues, central securities depositories, credit rating agencies, securitisation repositories and administrators of benchmarks</w:t>
          </w:r>
          <w:bookmarkEnd w:id="0"/>
          <w:r w:rsidRPr="005A5590">
            <w:rPr>
              <w:rFonts w:asciiTheme="minorHAnsi" w:hAnsiTheme="minorHAnsi" w:cstheme="minorHAnsi"/>
              <w:sz w:val="22"/>
              <w:szCs w:val="22"/>
            </w:rPr>
            <w:t xml:space="preserve"> (“firms”), which use cloud services provided by third parties. This paper is also important for cloud service providers, because the draft guidelines seek to ensure that the risks that may arise for firms from the use of cloud services are properly addressed</w:t>
          </w:r>
          <w:r w:rsidR="001F23C9" w:rsidRPr="001F23C9">
            <w:rPr>
              <w:rFonts w:ascii="Arial" w:hAnsi="Arial" w:cs="Arial"/>
              <w:sz w:val="22"/>
              <w:szCs w:val="22"/>
              <w:lang w:eastAsia="it-IT"/>
            </w:rPr>
            <w:t>.</w:t>
          </w:r>
        </w:p>
      </w:sdtContent>
    </w:sdt>
    <w:p w14:paraId="70412206" w14:textId="77777777" w:rsidR="00AF2EF7" w:rsidRPr="00B8572C" w:rsidRDefault="00AF2EF7" w:rsidP="00AF2EF7">
      <w:pPr>
        <w:spacing w:after="120" w:line="276" w:lineRule="auto"/>
        <w:rPr>
          <w:rFonts w:asciiTheme="minorHAnsi" w:hAnsiTheme="minorHAnsi" w:cstheme="minorHAnsi"/>
        </w:rPr>
      </w:pPr>
    </w:p>
    <w:p w14:paraId="0DC33B37" w14:textId="77777777" w:rsidR="00AF2EF7" w:rsidRPr="00B8572C" w:rsidRDefault="00AF2EF7" w:rsidP="00AF2EF7">
      <w:pPr>
        <w:spacing w:after="120" w:line="276" w:lineRule="auto"/>
        <w:rPr>
          <w:rFonts w:asciiTheme="minorHAnsi" w:hAnsiTheme="minorHAnsi" w:cstheme="minorHAnsi"/>
        </w:rPr>
      </w:pPr>
    </w:p>
    <w:p w14:paraId="15C36A5A" w14:textId="77777777"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04D3A91C" w14:textId="77777777" w:rsidR="00C85C8B" w:rsidRDefault="00C85C8B" w:rsidP="00C1698A">
      <w:pPr>
        <w:spacing w:line="276" w:lineRule="auto"/>
        <w:rPr>
          <w:rFonts w:asciiTheme="minorHAnsi" w:hAnsiTheme="minorHAnsi" w:cstheme="minorHAnsi"/>
          <w:b/>
          <w:sz w:val="28"/>
          <w:szCs w:val="28"/>
        </w:rPr>
      </w:pPr>
      <w:bookmarkStart w:id="1" w:name="_Toc515564428"/>
    </w:p>
    <w:p w14:paraId="470B434E" w14:textId="77777777" w:rsidR="00C85C8B" w:rsidRDefault="00C85C8B" w:rsidP="00C1698A">
      <w:pPr>
        <w:spacing w:line="276" w:lineRule="auto"/>
        <w:rPr>
          <w:rFonts w:asciiTheme="minorHAnsi" w:hAnsiTheme="minorHAnsi" w:cstheme="minorHAnsi"/>
          <w:b/>
          <w:sz w:val="28"/>
          <w:szCs w:val="28"/>
        </w:rPr>
      </w:pPr>
    </w:p>
    <w:p w14:paraId="1621E0A7" w14:textId="77777777" w:rsidR="00C85C8B" w:rsidRDefault="00C85C8B" w:rsidP="00C1698A">
      <w:pPr>
        <w:spacing w:line="276" w:lineRule="auto"/>
        <w:rPr>
          <w:rFonts w:asciiTheme="minorHAnsi" w:hAnsiTheme="minorHAnsi" w:cstheme="minorHAnsi"/>
          <w:b/>
          <w:sz w:val="28"/>
          <w:szCs w:val="28"/>
        </w:rPr>
      </w:pPr>
    </w:p>
    <w:p w14:paraId="2CB42DED"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19505BDB" w14:textId="77777777" w:rsidTr="006636EB">
        <w:tc>
          <w:tcPr>
            <w:tcW w:w="3929" w:type="dxa"/>
            <w:shd w:val="clear" w:color="auto" w:fill="auto"/>
          </w:tcPr>
          <w:p w14:paraId="1752ACF9"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Name of the company / organisation</w:t>
            </w:r>
            <w:permStart w:id="1113090576" w:edGrp="everyone"/>
          </w:p>
        </w:tc>
        <w:sdt>
          <w:sdtPr>
            <w:rPr>
              <w:rFonts w:ascii="Arial" w:hAnsi="Arial" w:cs="Arial"/>
              <w:color w:val="808080"/>
              <w:sz w:val="20"/>
              <w:lang w:eastAsia="de-DE"/>
            </w:rPr>
            <w:id w:val="-1905066999"/>
            <w:text/>
          </w:sdtPr>
          <w:sdtEndPr/>
          <w:sdtContent>
            <w:tc>
              <w:tcPr>
                <w:tcW w:w="5595" w:type="dxa"/>
                <w:shd w:val="clear" w:color="auto" w:fill="auto"/>
              </w:tcPr>
              <w:p w14:paraId="59C2980F" w14:textId="1413215D" w:rsidR="00C85C8B" w:rsidRPr="00C85C8B" w:rsidRDefault="00DE0D0B" w:rsidP="00C85C8B">
                <w:pPr>
                  <w:rPr>
                    <w:rFonts w:ascii="Arial" w:hAnsi="Arial" w:cs="Arial"/>
                    <w:color w:val="808080"/>
                    <w:sz w:val="20"/>
                    <w:lang w:eastAsia="de-DE"/>
                  </w:rPr>
                </w:pPr>
                <w:r>
                  <w:rPr>
                    <w:rFonts w:ascii="Arial" w:hAnsi="Arial" w:cs="Arial"/>
                    <w:color w:val="808080"/>
                    <w:sz w:val="20"/>
                    <w:lang w:eastAsia="de-DE"/>
                  </w:rPr>
                  <w:t>European Banking Federation</w:t>
                </w:r>
              </w:p>
            </w:tc>
          </w:sdtContent>
        </w:sdt>
      </w:tr>
      <w:permEnd w:id="1113090576"/>
      <w:tr w:rsidR="00C85C8B" w:rsidRPr="00C85C8B" w14:paraId="5D46CEA2" w14:textId="77777777" w:rsidTr="006636EB">
        <w:tc>
          <w:tcPr>
            <w:tcW w:w="3929" w:type="dxa"/>
            <w:shd w:val="clear" w:color="auto" w:fill="auto"/>
          </w:tcPr>
          <w:p w14:paraId="3AE0A352"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Activity</w:t>
            </w:r>
            <w:permStart w:id="1499889354" w:edGrp="everyone"/>
          </w:p>
        </w:tc>
        <w:tc>
          <w:tcPr>
            <w:tcW w:w="5595" w:type="dxa"/>
            <w:shd w:val="clear" w:color="auto" w:fill="auto"/>
          </w:tcPr>
          <w:p w14:paraId="56E6548F" w14:textId="67E80C90" w:rsidR="00C85C8B" w:rsidRPr="00C85C8B" w:rsidRDefault="00F17428"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DE0D0B">
                  <w:rPr>
                    <w:rFonts w:ascii="Arial" w:hAnsi="Arial" w:cs="Arial"/>
                    <w:sz w:val="20"/>
                    <w:lang w:eastAsia="de-DE"/>
                  </w:rPr>
                  <w:t>Banking sector</w:t>
                </w:r>
              </w:sdtContent>
            </w:sdt>
          </w:p>
        </w:tc>
      </w:tr>
      <w:permEnd w:id="1499889354"/>
      <w:tr w:rsidR="00C85C8B" w:rsidRPr="00C85C8B" w14:paraId="6496EE40" w14:textId="77777777" w:rsidTr="006636EB">
        <w:tc>
          <w:tcPr>
            <w:tcW w:w="3929" w:type="dxa"/>
            <w:shd w:val="clear" w:color="auto" w:fill="auto"/>
          </w:tcPr>
          <w:p w14:paraId="00721125"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Are you representing an association?</w:t>
            </w:r>
            <w:permStart w:id="678441167" w:edGrp="everyone"/>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33086852" w14:textId="71349AF4" w:rsidR="00C85C8B" w:rsidRPr="00C85C8B" w:rsidRDefault="00DE0D0B" w:rsidP="00C85C8B">
                <w:pPr>
                  <w:rPr>
                    <w:rFonts w:ascii="Arial" w:hAnsi="Arial" w:cs="Arial"/>
                    <w:sz w:val="20"/>
                    <w:lang w:eastAsia="de-DE"/>
                  </w:rPr>
                </w:pPr>
                <w:r>
                  <w:rPr>
                    <w:rFonts w:ascii="MS Gothic" w:eastAsia="MS Gothic" w:hAnsi="MS Gothic" w:cs="Arial" w:hint="eastAsia"/>
                    <w:sz w:val="20"/>
                    <w:lang w:eastAsia="de-DE"/>
                  </w:rPr>
                  <w:t>☒</w:t>
                </w:r>
              </w:p>
            </w:tc>
          </w:sdtContent>
        </w:sdt>
      </w:tr>
      <w:permEnd w:id="678441167"/>
      <w:tr w:rsidR="00C85C8B" w:rsidRPr="00C85C8B" w14:paraId="099182FF" w14:textId="77777777" w:rsidTr="006636EB">
        <w:tc>
          <w:tcPr>
            <w:tcW w:w="3929" w:type="dxa"/>
            <w:shd w:val="clear" w:color="auto" w:fill="auto"/>
          </w:tcPr>
          <w:p w14:paraId="0D3EF823"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Country/Region</w:t>
            </w:r>
            <w:permStart w:id="467238700" w:edGrp="everyone"/>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43C221A5" w14:textId="72011314" w:rsidR="00C85C8B" w:rsidRPr="00C85C8B" w:rsidRDefault="00DE0D0B" w:rsidP="00C85C8B">
                <w:pPr>
                  <w:rPr>
                    <w:rFonts w:ascii="Arial" w:hAnsi="Arial" w:cs="Arial"/>
                    <w:sz w:val="20"/>
                    <w:lang w:eastAsia="de-DE"/>
                  </w:rPr>
                </w:pPr>
                <w:r>
                  <w:rPr>
                    <w:rFonts w:ascii="Arial" w:hAnsi="Arial" w:cs="Arial"/>
                    <w:sz w:val="20"/>
                    <w:lang w:eastAsia="de-DE"/>
                  </w:rPr>
                  <w:t>Belgium</w:t>
                </w:r>
              </w:p>
            </w:tc>
          </w:sdtContent>
        </w:sdt>
      </w:tr>
      <w:permEnd w:id="467238700"/>
    </w:tbl>
    <w:p w14:paraId="2E5B3220"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7B9EC605"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151FAA33"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7AD12E15"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45E1C760"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1AA8F83" w14:textId="3A9646E5"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5A5590">
        <w:rPr>
          <w:rFonts w:asciiTheme="minorHAnsi" w:eastAsiaTheme="minorEastAsia" w:hAnsiTheme="minorHAnsi" w:cstheme="minorBidi"/>
          <w:sz w:val="22"/>
          <w:szCs w:val="20"/>
          <w:lang w:eastAsia="en-US"/>
        </w:rPr>
        <w:t>COGL_1</w:t>
      </w:r>
      <w:r w:rsidRPr="00C85C8B">
        <w:rPr>
          <w:rFonts w:asciiTheme="minorHAnsi" w:eastAsiaTheme="minorEastAsia" w:hAnsiTheme="minorHAnsi" w:cstheme="minorBidi"/>
          <w:sz w:val="22"/>
          <w:szCs w:val="20"/>
          <w:lang w:eastAsia="en-US"/>
        </w:rPr>
        <w:t>&gt;</w:t>
      </w:r>
    </w:p>
    <w:p w14:paraId="07503BB5" w14:textId="301BCC34" w:rsidR="00C85C8B" w:rsidRDefault="00DE0D0B" w:rsidP="00C85C8B">
      <w:pPr>
        <w:spacing w:after="250" w:line="276" w:lineRule="auto"/>
        <w:jc w:val="both"/>
        <w:rPr>
          <w:rFonts w:ascii="Arial" w:eastAsiaTheme="minorEastAsia" w:hAnsi="Arial" w:cs="Arial"/>
          <w:sz w:val="22"/>
          <w:szCs w:val="20"/>
          <w:lang w:eastAsia="en-US"/>
        </w:rPr>
      </w:pPr>
      <w:permStart w:id="1853699001" w:edGrp="everyone"/>
      <w:r>
        <w:rPr>
          <w:rFonts w:ascii="Arial" w:eastAsiaTheme="minorEastAsia" w:hAnsi="Arial" w:cs="Arial"/>
          <w:sz w:val="22"/>
          <w:szCs w:val="20"/>
          <w:lang w:eastAsia="en-US"/>
        </w:rPr>
        <w:t>The European Banking Federation (EBF) welcomes the chance to comment on the ESMA Guidelines on Outsourcing to Cloud Service Providers (</w:t>
      </w:r>
      <w:proofErr w:type="spellStart"/>
      <w:r>
        <w:rPr>
          <w:rFonts w:ascii="Arial" w:eastAsiaTheme="minorEastAsia" w:hAnsi="Arial" w:cs="Arial"/>
          <w:sz w:val="22"/>
          <w:szCs w:val="20"/>
          <w:lang w:eastAsia="en-US"/>
        </w:rPr>
        <w:t>herafter</w:t>
      </w:r>
      <w:proofErr w:type="spellEnd"/>
      <w:r>
        <w:rPr>
          <w:rFonts w:ascii="Arial" w:eastAsiaTheme="minorEastAsia" w:hAnsi="Arial" w:cs="Arial"/>
          <w:sz w:val="22"/>
          <w:szCs w:val="20"/>
          <w:lang w:eastAsia="en-US"/>
        </w:rPr>
        <w:t xml:space="preserve"> ESMA GL). </w:t>
      </w:r>
    </w:p>
    <w:p w14:paraId="71C03911" w14:textId="3B84B18B" w:rsidR="00DE0D0B" w:rsidRPr="00AD2879" w:rsidRDefault="00DE0D0B" w:rsidP="00C85C8B">
      <w:pPr>
        <w:spacing w:after="250" w:line="276" w:lineRule="auto"/>
        <w:jc w:val="both"/>
        <w:rPr>
          <w:rFonts w:ascii="Arial" w:eastAsiaTheme="minorEastAsia" w:hAnsi="Arial" w:cs="Arial"/>
          <w:sz w:val="22"/>
          <w:szCs w:val="20"/>
          <w:lang w:val="en-BE" w:eastAsia="en-US"/>
        </w:rPr>
      </w:pPr>
      <w:r>
        <w:rPr>
          <w:rFonts w:ascii="Arial" w:eastAsiaTheme="minorEastAsia" w:hAnsi="Arial" w:cs="Arial"/>
          <w:sz w:val="22"/>
          <w:szCs w:val="20"/>
          <w:lang w:eastAsia="en-US"/>
        </w:rPr>
        <w:t xml:space="preserve">Looking at the already published EBA Guidelines on outsourcing arrangements (hereafter EBA GL) from 25 February 2019, European banks already face a dedicated set of requirements for outsourcing, including cloud computing services. Implementation of the GL by the national competent authorities in European member states provides the framework for banks’ cloud adoption. In turn, we consider it of </w:t>
      </w:r>
      <w:r w:rsidRPr="000744FD">
        <w:rPr>
          <w:rFonts w:ascii="Arial" w:eastAsiaTheme="minorEastAsia" w:hAnsi="Arial" w:cs="Arial"/>
          <w:b/>
          <w:bCs/>
          <w:sz w:val="22"/>
          <w:szCs w:val="20"/>
          <w:lang w:eastAsia="en-US"/>
        </w:rPr>
        <w:t>outmost importance to provide banks with a consistent supervisory framework</w:t>
      </w:r>
      <w:r>
        <w:rPr>
          <w:rFonts w:ascii="Arial" w:eastAsiaTheme="minorEastAsia" w:hAnsi="Arial" w:cs="Arial"/>
          <w:sz w:val="22"/>
          <w:szCs w:val="20"/>
          <w:lang w:eastAsia="en-US"/>
        </w:rPr>
        <w:t xml:space="preserve">, </w:t>
      </w:r>
      <w:proofErr w:type="spellStart"/>
      <w:r w:rsidR="000744FD">
        <w:rPr>
          <w:rFonts w:ascii="Arial" w:eastAsiaTheme="minorEastAsia" w:hAnsi="Arial" w:cs="Arial"/>
          <w:sz w:val="22"/>
          <w:szCs w:val="20"/>
          <w:lang w:eastAsia="en-US"/>
        </w:rPr>
        <w:t>avo</w:t>
      </w:r>
      <w:r w:rsidR="00ED5DEC">
        <w:rPr>
          <w:rFonts w:ascii="Arial" w:eastAsiaTheme="minorEastAsia" w:hAnsi="Arial" w:cs="Arial"/>
          <w:sz w:val="22"/>
          <w:szCs w:val="20"/>
          <w:lang w:val="en-BE" w:eastAsia="en-US"/>
        </w:rPr>
        <w:t>i</w:t>
      </w:r>
      <w:proofErr w:type="spellEnd"/>
      <w:r w:rsidR="000744FD">
        <w:rPr>
          <w:rFonts w:ascii="Arial" w:eastAsiaTheme="minorEastAsia" w:hAnsi="Arial" w:cs="Arial"/>
          <w:sz w:val="22"/>
          <w:szCs w:val="20"/>
          <w:lang w:eastAsia="en-US"/>
        </w:rPr>
        <w:t>ding diverging requirements across the EBA and ESMA GL.</w:t>
      </w:r>
      <w:r>
        <w:rPr>
          <w:rFonts w:ascii="Arial" w:eastAsiaTheme="minorEastAsia" w:hAnsi="Arial" w:cs="Arial"/>
          <w:sz w:val="22"/>
          <w:szCs w:val="20"/>
          <w:lang w:eastAsia="en-US"/>
        </w:rPr>
        <w:t xml:space="preserve"> </w:t>
      </w:r>
      <w:r w:rsidR="00AD7E10">
        <w:rPr>
          <w:rFonts w:ascii="Arial" w:eastAsiaTheme="minorEastAsia" w:hAnsi="Arial" w:cs="Arial"/>
          <w:sz w:val="22"/>
          <w:szCs w:val="20"/>
          <w:lang w:val="en-BE" w:eastAsia="en-US"/>
        </w:rPr>
        <w:t>T</w:t>
      </w:r>
      <w:r w:rsidR="00AD7E10" w:rsidRPr="00AD7E10">
        <w:rPr>
          <w:rFonts w:ascii="Arial" w:eastAsiaTheme="minorEastAsia" w:hAnsi="Arial" w:cs="Arial"/>
          <w:sz w:val="22"/>
          <w:szCs w:val="20"/>
          <w:lang w:eastAsia="en-US"/>
        </w:rPr>
        <w:t xml:space="preserve">here should be </w:t>
      </w:r>
      <w:r w:rsidR="00AD7E10">
        <w:rPr>
          <w:rFonts w:ascii="Arial" w:eastAsiaTheme="minorEastAsia" w:hAnsi="Arial" w:cs="Arial"/>
          <w:sz w:val="22"/>
          <w:szCs w:val="20"/>
          <w:lang w:val="en-BE" w:eastAsia="en-US"/>
        </w:rPr>
        <w:t>one</w:t>
      </w:r>
      <w:r w:rsidR="00AD7E10" w:rsidRPr="00AD7E10">
        <w:rPr>
          <w:rFonts w:ascii="Arial" w:eastAsiaTheme="minorEastAsia" w:hAnsi="Arial" w:cs="Arial"/>
          <w:sz w:val="22"/>
          <w:szCs w:val="20"/>
          <w:lang w:eastAsia="en-US"/>
        </w:rPr>
        <w:t xml:space="preserve"> single set of rules (ESMA and EBA</w:t>
      </w:r>
      <w:r w:rsidR="00AD7E10">
        <w:rPr>
          <w:rFonts w:ascii="Arial" w:eastAsiaTheme="minorEastAsia" w:hAnsi="Arial" w:cs="Arial"/>
          <w:sz w:val="22"/>
          <w:szCs w:val="20"/>
          <w:lang w:val="en-BE" w:eastAsia="en-US"/>
        </w:rPr>
        <w:t>).</w:t>
      </w:r>
      <w:r w:rsidRPr="00AD7E10">
        <w:rPr>
          <w:rFonts w:ascii="Arial" w:eastAsiaTheme="minorEastAsia" w:hAnsi="Arial" w:cs="Arial"/>
          <w:sz w:val="22"/>
          <w:szCs w:val="20"/>
          <w:lang w:eastAsia="en-US"/>
        </w:rPr>
        <w:t xml:space="preserve"> </w:t>
      </w:r>
      <w:r w:rsidR="00C91293" w:rsidRPr="00AD7E10">
        <w:rPr>
          <w:rFonts w:ascii="Arial" w:eastAsiaTheme="minorEastAsia" w:hAnsi="Arial" w:cs="Arial"/>
          <w:sz w:val="22"/>
          <w:szCs w:val="20"/>
          <w:lang w:eastAsia="en-US"/>
        </w:rPr>
        <w:t>To avoid administrative</w:t>
      </w:r>
      <w:r w:rsidR="00C91293" w:rsidRPr="00C91293">
        <w:rPr>
          <w:rFonts w:ascii="Arial" w:eastAsiaTheme="minorEastAsia" w:hAnsi="Arial" w:cs="Arial"/>
          <w:sz w:val="22"/>
          <w:szCs w:val="20"/>
          <w:lang w:eastAsia="en-US"/>
        </w:rPr>
        <w:t xml:space="preserve"> burden</w:t>
      </w:r>
      <w:r w:rsidR="00C91293">
        <w:rPr>
          <w:rFonts w:ascii="Arial" w:eastAsiaTheme="minorEastAsia" w:hAnsi="Arial" w:cs="Arial"/>
          <w:sz w:val="22"/>
          <w:szCs w:val="20"/>
          <w:lang w:val="en-BE" w:eastAsia="en-US"/>
        </w:rPr>
        <w:t xml:space="preserve"> and disproportionate effects on dual regulated firms under both sets of GL</w:t>
      </w:r>
      <w:r w:rsidR="00C91293" w:rsidRPr="00C91293">
        <w:rPr>
          <w:rFonts w:ascii="Arial" w:eastAsiaTheme="minorEastAsia" w:hAnsi="Arial" w:cs="Arial"/>
          <w:sz w:val="22"/>
          <w:szCs w:val="20"/>
          <w:lang w:eastAsia="en-US"/>
        </w:rPr>
        <w:t>, European banks encourage an explicit reference in the ESMA G</w:t>
      </w:r>
      <w:r w:rsidR="00C91293">
        <w:rPr>
          <w:rFonts w:ascii="Arial" w:eastAsiaTheme="minorEastAsia" w:hAnsi="Arial" w:cs="Arial"/>
          <w:sz w:val="22"/>
          <w:szCs w:val="20"/>
          <w:lang w:val="en-BE" w:eastAsia="en-US"/>
        </w:rPr>
        <w:t>L</w:t>
      </w:r>
      <w:r w:rsidR="00C91293" w:rsidRPr="00C91293">
        <w:rPr>
          <w:rFonts w:ascii="Arial" w:eastAsiaTheme="minorEastAsia" w:hAnsi="Arial" w:cs="Arial"/>
          <w:sz w:val="22"/>
          <w:szCs w:val="20"/>
          <w:lang w:eastAsia="en-US"/>
        </w:rPr>
        <w:t xml:space="preserve"> that banks which are compliant with the EBA G</w:t>
      </w:r>
      <w:r w:rsidR="008B4554">
        <w:rPr>
          <w:rFonts w:ascii="Arial" w:eastAsiaTheme="minorEastAsia" w:hAnsi="Arial" w:cs="Arial"/>
          <w:sz w:val="22"/>
          <w:szCs w:val="20"/>
          <w:lang w:val="en-BE" w:eastAsia="en-US"/>
        </w:rPr>
        <w:t>L requirements</w:t>
      </w:r>
      <w:r w:rsidR="00C91293" w:rsidRPr="00C91293">
        <w:rPr>
          <w:rFonts w:ascii="Arial" w:eastAsiaTheme="minorEastAsia" w:hAnsi="Arial" w:cs="Arial"/>
          <w:sz w:val="22"/>
          <w:szCs w:val="20"/>
          <w:lang w:eastAsia="en-US"/>
        </w:rPr>
        <w:t xml:space="preserve"> should also be considered compliant by the national competent authority in regard to the ESMA </w:t>
      </w:r>
      <w:r w:rsidR="008B4554">
        <w:rPr>
          <w:rFonts w:ascii="Arial" w:eastAsiaTheme="minorEastAsia" w:hAnsi="Arial" w:cs="Arial"/>
          <w:sz w:val="22"/>
          <w:szCs w:val="20"/>
          <w:lang w:val="en-BE" w:eastAsia="en-US"/>
        </w:rPr>
        <w:t>GL</w:t>
      </w:r>
      <w:r w:rsidR="00C91293" w:rsidRPr="00C91293">
        <w:rPr>
          <w:rFonts w:ascii="Arial" w:eastAsiaTheme="minorEastAsia" w:hAnsi="Arial" w:cs="Arial"/>
          <w:sz w:val="22"/>
          <w:szCs w:val="20"/>
          <w:lang w:eastAsia="en-US"/>
        </w:rPr>
        <w:t>.</w:t>
      </w:r>
      <w:r w:rsidR="00AD2879">
        <w:rPr>
          <w:rFonts w:ascii="Arial" w:eastAsiaTheme="minorEastAsia" w:hAnsi="Arial" w:cs="Arial"/>
          <w:sz w:val="22"/>
          <w:szCs w:val="20"/>
          <w:lang w:val="en-BE" w:eastAsia="en-US"/>
        </w:rPr>
        <w:t xml:space="preserve"> We invite ESMA to consider the respective example</w:t>
      </w:r>
      <w:r w:rsidR="008B4554">
        <w:rPr>
          <w:rFonts w:ascii="Arial" w:eastAsiaTheme="minorEastAsia" w:hAnsi="Arial" w:cs="Arial"/>
          <w:sz w:val="22"/>
          <w:szCs w:val="20"/>
          <w:lang w:val="en-BE" w:eastAsia="en-US"/>
        </w:rPr>
        <w:t xml:space="preserve"> of a reference</w:t>
      </w:r>
      <w:r w:rsidR="00AD2879">
        <w:rPr>
          <w:rFonts w:ascii="Arial" w:eastAsiaTheme="minorEastAsia" w:hAnsi="Arial" w:cs="Arial"/>
          <w:sz w:val="22"/>
          <w:szCs w:val="20"/>
          <w:lang w:val="en-BE" w:eastAsia="en-US"/>
        </w:rPr>
        <w:t xml:space="preserve"> in EIOPA Guidelines on outsourcing to cloud service provides (February 2020), Introduction para. 4.</w:t>
      </w:r>
    </w:p>
    <w:p w14:paraId="6F1BE3ED" w14:textId="3E600FC9" w:rsidR="00D175C1" w:rsidRDefault="00DE0D0B" w:rsidP="00C85C8B">
      <w:pPr>
        <w:spacing w:after="250" w:line="276" w:lineRule="auto"/>
        <w:jc w:val="both"/>
        <w:rPr>
          <w:rFonts w:ascii="Arial" w:eastAsiaTheme="minorEastAsia" w:hAnsi="Arial" w:cs="Arial"/>
          <w:sz w:val="22"/>
          <w:szCs w:val="20"/>
          <w:lang w:eastAsia="en-US"/>
        </w:rPr>
      </w:pPr>
      <w:r>
        <w:rPr>
          <w:rFonts w:ascii="Arial" w:eastAsiaTheme="minorEastAsia" w:hAnsi="Arial" w:cs="Arial"/>
          <w:sz w:val="22"/>
          <w:szCs w:val="20"/>
          <w:lang w:eastAsia="en-US"/>
        </w:rPr>
        <w:t xml:space="preserve">We welcome ESMA’s understanding that </w:t>
      </w:r>
      <w:r w:rsidRPr="00DE0D0B">
        <w:rPr>
          <w:rFonts w:ascii="Arial" w:eastAsiaTheme="minorEastAsia" w:hAnsi="Arial" w:cs="Arial"/>
          <w:sz w:val="22"/>
          <w:szCs w:val="20"/>
          <w:lang w:eastAsia="en-US"/>
        </w:rPr>
        <w:t>the main risks associated with cloud outsourcing are similar across sectors</w:t>
      </w:r>
      <w:r w:rsidR="000744FD">
        <w:rPr>
          <w:rFonts w:ascii="Arial" w:eastAsiaTheme="minorEastAsia" w:hAnsi="Arial" w:cs="Arial"/>
          <w:sz w:val="22"/>
          <w:szCs w:val="20"/>
          <w:lang w:eastAsia="en-US"/>
        </w:rPr>
        <w:t xml:space="preserve">. </w:t>
      </w:r>
      <w:r w:rsidRPr="00DE0D0B">
        <w:rPr>
          <w:rFonts w:ascii="Arial" w:eastAsiaTheme="minorEastAsia" w:hAnsi="Arial" w:cs="Arial"/>
          <w:sz w:val="22"/>
          <w:szCs w:val="20"/>
          <w:lang w:eastAsia="en-US"/>
        </w:rPr>
        <w:t>ESMA has considered the recent guidelines published by EBA and EIOPA</w:t>
      </w:r>
      <w:r>
        <w:t>.</w:t>
      </w:r>
      <w:r>
        <w:rPr>
          <w:rFonts w:ascii="Arial" w:eastAsiaTheme="minorEastAsia" w:hAnsi="Arial" w:cs="Arial"/>
          <w:sz w:val="22"/>
          <w:szCs w:val="20"/>
          <w:lang w:eastAsia="en-US"/>
        </w:rPr>
        <w:t xml:space="preserve"> </w:t>
      </w:r>
      <w:r w:rsidR="000744FD">
        <w:rPr>
          <w:rFonts w:ascii="Arial" w:eastAsiaTheme="minorEastAsia" w:hAnsi="Arial" w:cs="Arial"/>
          <w:sz w:val="22"/>
          <w:szCs w:val="20"/>
          <w:lang w:eastAsia="en-US"/>
        </w:rPr>
        <w:t xml:space="preserve">However, we have identified </w:t>
      </w:r>
      <w:proofErr w:type="gramStart"/>
      <w:r w:rsidR="000744FD">
        <w:rPr>
          <w:rFonts w:ascii="Arial" w:eastAsiaTheme="minorEastAsia" w:hAnsi="Arial" w:cs="Arial"/>
          <w:sz w:val="22"/>
          <w:szCs w:val="20"/>
          <w:lang w:eastAsia="en-US"/>
        </w:rPr>
        <w:t>a number of</w:t>
      </w:r>
      <w:proofErr w:type="gramEnd"/>
      <w:r w:rsidR="000744FD">
        <w:rPr>
          <w:rFonts w:ascii="Arial" w:eastAsiaTheme="minorEastAsia" w:hAnsi="Arial" w:cs="Arial"/>
          <w:sz w:val="22"/>
          <w:szCs w:val="20"/>
          <w:lang w:eastAsia="en-US"/>
        </w:rPr>
        <w:t xml:space="preserve"> details within the ESMA GL where presentation and/or details of the requirements in question deviate from the established EBA GL. In the following comments, we invite ESMA to reconsider the identified deviations and to stronger align with existing EBA requirements. </w:t>
      </w:r>
      <w:r w:rsidR="00752292" w:rsidRPr="00ED5DEC">
        <w:rPr>
          <w:rFonts w:ascii="Arial" w:eastAsiaTheme="minorEastAsia" w:hAnsi="Arial" w:cs="Arial"/>
          <w:sz w:val="22"/>
          <w:szCs w:val="20"/>
          <w:lang w:val="en-BE" w:eastAsia="en-US"/>
        </w:rPr>
        <w:t xml:space="preserve">Where considered helpful, further </w:t>
      </w:r>
      <w:proofErr w:type="spellStart"/>
      <w:r w:rsidR="00752292" w:rsidRPr="00ED5DEC">
        <w:rPr>
          <w:rFonts w:ascii="Arial" w:eastAsiaTheme="minorEastAsia" w:hAnsi="Arial" w:cs="Arial"/>
          <w:sz w:val="22"/>
          <w:szCs w:val="20"/>
          <w:lang w:val="en-BE" w:eastAsia="en-US"/>
        </w:rPr>
        <w:t>examplaratory</w:t>
      </w:r>
      <w:proofErr w:type="spellEnd"/>
      <w:r w:rsidR="00752292" w:rsidRPr="00ED5DEC">
        <w:rPr>
          <w:rFonts w:ascii="Arial" w:eastAsiaTheme="minorEastAsia" w:hAnsi="Arial" w:cs="Arial"/>
          <w:sz w:val="22"/>
          <w:szCs w:val="20"/>
          <w:lang w:val="en-BE" w:eastAsia="en-US"/>
        </w:rPr>
        <w:t xml:space="preserve"> guidance – in turn required to be aligned with EBA GL – is suggested. </w:t>
      </w:r>
      <w:r w:rsidR="000744FD">
        <w:rPr>
          <w:rFonts w:ascii="Arial" w:eastAsiaTheme="minorEastAsia" w:hAnsi="Arial" w:cs="Arial"/>
          <w:sz w:val="22"/>
          <w:szCs w:val="20"/>
          <w:lang w:eastAsia="en-US"/>
        </w:rPr>
        <w:t>Such alignment will prevent detrimental burdens for banks (</w:t>
      </w:r>
      <w:r w:rsidR="00307C90">
        <w:rPr>
          <w:rFonts w:ascii="Arial" w:eastAsiaTheme="minorEastAsia" w:hAnsi="Arial" w:cs="Arial"/>
          <w:sz w:val="22"/>
          <w:szCs w:val="20"/>
          <w:lang w:val="en-BE" w:eastAsia="en-US"/>
        </w:rPr>
        <w:t xml:space="preserve">e.g. </w:t>
      </w:r>
      <w:r w:rsidR="000744FD">
        <w:rPr>
          <w:rFonts w:ascii="Arial" w:eastAsiaTheme="minorEastAsia" w:hAnsi="Arial" w:cs="Arial"/>
          <w:sz w:val="22"/>
          <w:szCs w:val="20"/>
          <w:lang w:eastAsia="en-US"/>
        </w:rPr>
        <w:t xml:space="preserve">in terms </w:t>
      </w:r>
      <w:r w:rsidR="00307C90">
        <w:rPr>
          <w:rFonts w:ascii="Arial" w:eastAsiaTheme="minorEastAsia" w:hAnsi="Arial" w:cs="Arial"/>
          <w:sz w:val="22"/>
          <w:szCs w:val="20"/>
          <w:lang w:val="en-BE" w:eastAsia="en-US"/>
        </w:rPr>
        <w:t xml:space="preserve">of </w:t>
      </w:r>
      <w:r w:rsidR="000744FD">
        <w:rPr>
          <w:rFonts w:ascii="Arial" w:eastAsiaTheme="minorEastAsia" w:hAnsi="Arial" w:cs="Arial"/>
          <w:sz w:val="22"/>
          <w:szCs w:val="20"/>
          <w:lang w:eastAsia="en-US"/>
        </w:rPr>
        <w:t xml:space="preserve">time and work effort, </w:t>
      </w:r>
      <w:r w:rsidR="000744FD">
        <w:rPr>
          <w:rFonts w:ascii="Arial" w:eastAsiaTheme="minorEastAsia" w:hAnsi="Arial" w:cs="Arial"/>
          <w:sz w:val="22"/>
          <w:szCs w:val="20"/>
          <w:lang w:eastAsia="en-US"/>
        </w:rPr>
        <w:lastRenderedPageBreak/>
        <w:t>respective costs) by allowing a streamlined compliance with both EBA and ESMA supervisory framework. A</w:t>
      </w:r>
      <w:r w:rsidR="000744FD" w:rsidRPr="000744FD">
        <w:rPr>
          <w:rFonts w:ascii="Arial" w:eastAsiaTheme="minorEastAsia" w:hAnsi="Arial" w:cs="Arial"/>
          <w:sz w:val="22"/>
          <w:szCs w:val="20"/>
          <w:lang w:eastAsia="en-US"/>
        </w:rPr>
        <w:t xml:space="preserve"> fragmented approach will </w:t>
      </w:r>
      <w:r w:rsidR="000744FD">
        <w:rPr>
          <w:rFonts w:ascii="Arial" w:eastAsiaTheme="minorEastAsia" w:hAnsi="Arial" w:cs="Arial"/>
          <w:sz w:val="22"/>
          <w:szCs w:val="20"/>
          <w:lang w:eastAsia="en-US"/>
        </w:rPr>
        <w:t xml:space="preserve">otherwise </w:t>
      </w:r>
      <w:r w:rsidR="000744FD" w:rsidRPr="000744FD">
        <w:rPr>
          <w:rFonts w:ascii="Arial" w:eastAsiaTheme="minorEastAsia" w:hAnsi="Arial" w:cs="Arial"/>
          <w:sz w:val="22"/>
          <w:szCs w:val="20"/>
          <w:lang w:eastAsia="en-US"/>
        </w:rPr>
        <w:t>be difficult for firms who are regulated by both the EBA and ESMA</w:t>
      </w:r>
      <w:r w:rsidR="008B4554">
        <w:rPr>
          <w:rFonts w:ascii="Arial" w:eastAsiaTheme="minorEastAsia" w:hAnsi="Arial" w:cs="Arial"/>
          <w:sz w:val="22"/>
          <w:szCs w:val="20"/>
          <w:lang w:val="en-BE" w:eastAsia="en-US"/>
        </w:rPr>
        <w:t xml:space="preserve">, ultimately </w:t>
      </w:r>
      <w:proofErr w:type="spellStart"/>
      <w:r w:rsidR="008B4554">
        <w:rPr>
          <w:rFonts w:ascii="Arial" w:eastAsiaTheme="minorEastAsia" w:hAnsi="Arial" w:cs="Arial"/>
          <w:sz w:val="22"/>
          <w:szCs w:val="20"/>
          <w:lang w:val="en-BE" w:eastAsia="en-US"/>
        </w:rPr>
        <w:t>imparing</w:t>
      </w:r>
      <w:proofErr w:type="spellEnd"/>
      <w:r w:rsidR="008B4554">
        <w:rPr>
          <w:rFonts w:ascii="Arial" w:eastAsiaTheme="minorEastAsia" w:hAnsi="Arial" w:cs="Arial"/>
          <w:sz w:val="22"/>
          <w:szCs w:val="20"/>
          <w:lang w:val="en-BE" w:eastAsia="en-US"/>
        </w:rPr>
        <w:t xml:space="preserve"> on the ability to adopt cloud </w:t>
      </w:r>
      <w:proofErr w:type="spellStart"/>
      <w:r w:rsidR="008B4554">
        <w:rPr>
          <w:rFonts w:ascii="Arial" w:eastAsiaTheme="minorEastAsia" w:hAnsi="Arial" w:cs="Arial"/>
          <w:sz w:val="22"/>
          <w:szCs w:val="20"/>
          <w:lang w:val="en-BE" w:eastAsia="en-US"/>
        </w:rPr>
        <w:t>seamingless</w:t>
      </w:r>
      <w:proofErr w:type="spellEnd"/>
      <w:r w:rsidR="008B4554">
        <w:rPr>
          <w:rFonts w:ascii="Arial" w:eastAsiaTheme="minorEastAsia" w:hAnsi="Arial" w:cs="Arial"/>
          <w:sz w:val="22"/>
          <w:szCs w:val="20"/>
          <w:lang w:val="en-BE" w:eastAsia="en-US"/>
        </w:rPr>
        <w:t xml:space="preserve"> at scale</w:t>
      </w:r>
      <w:r w:rsidR="000744FD" w:rsidRPr="000744FD">
        <w:rPr>
          <w:rFonts w:ascii="Arial" w:eastAsiaTheme="minorEastAsia" w:hAnsi="Arial" w:cs="Arial"/>
          <w:sz w:val="22"/>
          <w:szCs w:val="20"/>
          <w:lang w:eastAsia="en-US"/>
        </w:rPr>
        <w:t xml:space="preserve">. </w:t>
      </w:r>
    </w:p>
    <w:p w14:paraId="5BD15900" w14:textId="12C62520" w:rsidR="000744FD" w:rsidRDefault="00D175C1" w:rsidP="00D83914">
      <w:pPr>
        <w:spacing w:after="250" w:line="276" w:lineRule="auto"/>
        <w:jc w:val="both"/>
        <w:rPr>
          <w:rFonts w:ascii="Arial" w:eastAsiaTheme="minorEastAsia" w:hAnsi="Arial" w:cs="Arial"/>
          <w:sz w:val="22"/>
          <w:szCs w:val="20"/>
          <w:lang w:eastAsia="en-US"/>
        </w:rPr>
      </w:pPr>
      <w:r>
        <w:rPr>
          <w:rFonts w:ascii="Arial" w:eastAsiaTheme="minorEastAsia" w:hAnsi="Arial" w:cs="Arial"/>
          <w:sz w:val="22"/>
          <w:szCs w:val="20"/>
          <w:lang w:eastAsia="en-US"/>
        </w:rPr>
        <w:t>Where</w:t>
      </w:r>
      <w:r w:rsidR="000744FD" w:rsidRPr="000744FD">
        <w:rPr>
          <w:rFonts w:ascii="Arial" w:eastAsiaTheme="minorEastAsia" w:hAnsi="Arial" w:cs="Arial"/>
          <w:sz w:val="22"/>
          <w:szCs w:val="20"/>
          <w:lang w:eastAsia="en-US"/>
        </w:rPr>
        <w:t xml:space="preserve"> </w:t>
      </w:r>
      <w:r>
        <w:rPr>
          <w:rFonts w:ascii="Arial" w:eastAsiaTheme="minorEastAsia" w:hAnsi="Arial" w:cs="Arial"/>
          <w:sz w:val="22"/>
          <w:szCs w:val="20"/>
          <w:lang w:eastAsia="en-US"/>
        </w:rPr>
        <w:t>such alignment</w:t>
      </w:r>
      <w:r w:rsidR="000744FD" w:rsidRPr="000744FD">
        <w:rPr>
          <w:rFonts w:ascii="Arial" w:eastAsiaTheme="minorEastAsia" w:hAnsi="Arial" w:cs="Arial"/>
          <w:sz w:val="22"/>
          <w:szCs w:val="20"/>
          <w:lang w:eastAsia="en-US"/>
        </w:rPr>
        <w:t xml:space="preserve"> </w:t>
      </w:r>
      <w:r>
        <w:rPr>
          <w:rFonts w:ascii="Arial" w:eastAsiaTheme="minorEastAsia" w:hAnsi="Arial" w:cs="Arial"/>
          <w:sz w:val="22"/>
          <w:szCs w:val="20"/>
          <w:lang w:eastAsia="en-US"/>
        </w:rPr>
        <w:t>would n</w:t>
      </w:r>
      <w:r w:rsidR="000744FD" w:rsidRPr="000744FD">
        <w:rPr>
          <w:rFonts w:ascii="Arial" w:eastAsiaTheme="minorEastAsia" w:hAnsi="Arial" w:cs="Arial"/>
          <w:sz w:val="22"/>
          <w:szCs w:val="20"/>
          <w:lang w:eastAsia="en-US"/>
        </w:rPr>
        <w:t xml:space="preserve">ot be </w:t>
      </w:r>
      <w:r>
        <w:rPr>
          <w:rFonts w:ascii="Arial" w:eastAsiaTheme="minorEastAsia" w:hAnsi="Arial" w:cs="Arial"/>
          <w:sz w:val="22"/>
          <w:szCs w:val="20"/>
          <w:lang w:eastAsia="en-US"/>
        </w:rPr>
        <w:t xml:space="preserve">completely </w:t>
      </w:r>
      <w:r w:rsidR="000744FD" w:rsidRPr="000744FD">
        <w:rPr>
          <w:rFonts w:ascii="Arial" w:eastAsiaTheme="minorEastAsia" w:hAnsi="Arial" w:cs="Arial"/>
          <w:sz w:val="22"/>
          <w:szCs w:val="20"/>
          <w:lang w:eastAsia="en-US"/>
        </w:rPr>
        <w:t>achieved, we request confirmation</w:t>
      </w:r>
      <w:r>
        <w:rPr>
          <w:rFonts w:ascii="Arial" w:eastAsiaTheme="minorEastAsia" w:hAnsi="Arial" w:cs="Arial"/>
          <w:sz w:val="22"/>
          <w:szCs w:val="20"/>
          <w:lang w:eastAsia="en-US"/>
        </w:rPr>
        <w:t xml:space="preserve"> by ESMA</w:t>
      </w:r>
      <w:r w:rsidR="000744FD" w:rsidRPr="000744FD">
        <w:rPr>
          <w:rFonts w:ascii="Arial" w:eastAsiaTheme="minorEastAsia" w:hAnsi="Arial" w:cs="Arial"/>
          <w:sz w:val="22"/>
          <w:szCs w:val="20"/>
          <w:lang w:eastAsia="en-US"/>
        </w:rPr>
        <w:t xml:space="preserve"> that (for entities in scope of both EBA and ESMA requirements) compliance with the EBA Guidelines would </w:t>
      </w:r>
      <w:proofErr w:type="gramStart"/>
      <w:r w:rsidR="000744FD" w:rsidRPr="000744FD">
        <w:rPr>
          <w:rFonts w:ascii="Arial" w:eastAsiaTheme="minorEastAsia" w:hAnsi="Arial" w:cs="Arial"/>
          <w:sz w:val="22"/>
          <w:szCs w:val="20"/>
          <w:lang w:eastAsia="en-US"/>
        </w:rPr>
        <w:t>be seen as</w:t>
      </w:r>
      <w:proofErr w:type="gramEnd"/>
      <w:r w:rsidR="000744FD" w:rsidRPr="000744FD">
        <w:rPr>
          <w:rFonts w:ascii="Arial" w:eastAsiaTheme="minorEastAsia" w:hAnsi="Arial" w:cs="Arial"/>
          <w:sz w:val="22"/>
          <w:szCs w:val="20"/>
          <w:lang w:eastAsia="en-US"/>
        </w:rPr>
        <w:t xml:space="preserve"> substituted compliance</w:t>
      </w:r>
      <w:r>
        <w:rPr>
          <w:rFonts w:ascii="Arial" w:eastAsiaTheme="minorEastAsia" w:hAnsi="Arial" w:cs="Arial"/>
          <w:sz w:val="22"/>
          <w:szCs w:val="20"/>
          <w:lang w:eastAsia="en-US"/>
        </w:rPr>
        <w:t>.</w:t>
      </w:r>
    </w:p>
    <w:p w14:paraId="584B6903" w14:textId="49CB9B5A" w:rsidR="00D175C1" w:rsidRDefault="00D175C1" w:rsidP="00D83914">
      <w:pPr>
        <w:spacing w:line="276" w:lineRule="auto"/>
        <w:rPr>
          <w:rFonts w:ascii="Arial" w:eastAsiaTheme="minorEastAsia" w:hAnsi="Arial" w:cs="Arial"/>
          <w:sz w:val="22"/>
          <w:szCs w:val="20"/>
          <w:lang w:val="en-BE" w:eastAsia="en-US"/>
        </w:rPr>
      </w:pPr>
      <w:r w:rsidRPr="00D83914">
        <w:rPr>
          <w:rFonts w:ascii="Arial" w:eastAsiaTheme="minorEastAsia" w:hAnsi="Arial" w:cs="Arial"/>
          <w:sz w:val="22"/>
          <w:szCs w:val="20"/>
          <w:lang w:val="en-BE" w:eastAsia="en-US"/>
        </w:rPr>
        <w:t xml:space="preserve">We encourage ESMA to consider the points made </w:t>
      </w:r>
      <w:r w:rsidR="008B4554">
        <w:rPr>
          <w:rFonts w:ascii="Arial" w:eastAsiaTheme="minorEastAsia" w:hAnsi="Arial" w:cs="Arial"/>
          <w:sz w:val="22"/>
          <w:szCs w:val="20"/>
          <w:lang w:val="en-BE" w:eastAsia="en-US"/>
        </w:rPr>
        <w:t xml:space="preserve">in the following answers </w:t>
      </w:r>
      <w:r w:rsidRPr="00D83914">
        <w:rPr>
          <w:rFonts w:ascii="Arial" w:eastAsiaTheme="minorEastAsia" w:hAnsi="Arial" w:cs="Arial"/>
          <w:sz w:val="22"/>
          <w:szCs w:val="20"/>
          <w:lang w:val="en-BE" w:eastAsia="en-US"/>
        </w:rPr>
        <w:t xml:space="preserve">as a positive contribution </w:t>
      </w:r>
      <w:r w:rsidR="008B4554">
        <w:rPr>
          <w:rFonts w:ascii="Arial" w:eastAsiaTheme="minorEastAsia" w:hAnsi="Arial" w:cs="Arial"/>
          <w:sz w:val="22"/>
          <w:szCs w:val="20"/>
          <w:lang w:val="en-BE" w:eastAsia="en-US"/>
        </w:rPr>
        <w:t>in the spirit of</w:t>
      </w:r>
      <w:r w:rsidRPr="00D83914">
        <w:rPr>
          <w:rFonts w:ascii="Arial" w:eastAsiaTheme="minorEastAsia" w:hAnsi="Arial" w:cs="Arial"/>
          <w:sz w:val="22"/>
          <w:szCs w:val="20"/>
          <w:lang w:val="en-BE" w:eastAsia="en-US"/>
        </w:rPr>
        <w:t xml:space="preserve"> ESMA Regulation 1094/2010, e.g. Art 2(3), stating that “The Authority shall cooperate regularly and closely with the ESRB, as well as with the European Supervisory Authority (European Banking Authority) and the European Supervisory Authority (European Securities and Markets Authority) within the Joint Committee and shall ensure cross-sectoral consistency of work and the establishment of common positions in the area of supervision of financial conglomerates and on other cross-sectoral issues.” </w:t>
      </w:r>
    </w:p>
    <w:p w14:paraId="2313A610" w14:textId="77777777" w:rsidR="008B4554" w:rsidRPr="00D83914" w:rsidRDefault="008B4554" w:rsidP="00D83914">
      <w:pPr>
        <w:spacing w:line="276" w:lineRule="auto"/>
        <w:rPr>
          <w:rFonts w:ascii="Arial" w:eastAsiaTheme="minorEastAsia" w:hAnsi="Arial" w:cs="Arial"/>
          <w:sz w:val="22"/>
          <w:szCs w:val="20"/>
          <w:lang w:val="en-BE" w:eastAsia="en-US"/>
        </w:rPr>
      </w:pPr>
    </w:p>
    <w:p w14:paraId="568AFC2A" w14:textId="51E3B0B2" w:rsidR="00D175C1" w:rsidRPr="00C85C8B" w:rsidRDefault="00D175C1" w:rsidP="008B4554">
      <w:pPr>
        <w:spacing w:line="276" w:lineRule="auto"/>
        <w:rPr>
          <w:rFonts w:ascii="Arial" w:eastAsiaTheme="minorEastAsia" w:hAnsi="Arial" w:cs="Arial"/>
          <w:sz w:val="22"/>
          <w:szCs w:val="20"/>
          <w:lang w:eastAsia="en-US"/>
        </w:rPr>
      </w:pPr>
      <w:r w:rsidRPr="00D83914">
        <w:rPr>
          <w:rFonts w:ascii="Arial" w:eastAsiaTheme="minorEastAsia" w:hAnsi="Arial" w:cs="Arial"/>
          <w:sz w:val="22"/>
          <w:szCs w:val="20"/>
          <w:lang w:val="en-BE" w:eastAsia="en-US"/>
        </w:rPr>
        <w:t>A maximum alignment of ESMA GL to the pre-existing EBA GL will help to support financial institutions covered by both regimes in the complex process of cloud adoption under the strict financial regulatory framework. Serving the consumer demand</w:t>
      </w:r>
      <w:r>
        <w:rPr>
          <w:rFonts w:ascii="Arial" w:eastAsiaTheme="minorEastAsia" w:hAnsi="Arial" w:cs="Arial"/>
          <w:sz w:val="22"/>
          <w:szCs w:val="20"/>
          <w:lang w:val="en-BE" w:eastAsia="en-US"/>
        </w:rPr>
        <w:t>s</w:t>
      </w:r>
      <w:r w:rsidRPr="00D83914">
        <w:rPr>
          <w:rFonts w:ascii="Arial" w:eastAsiaTheme="minorEastAsia" w:hAnsi="Arial" w:cs="Arial"/>
          <w:sz w:val="22"/>
          <w:szCs w:val="20"/>
          <w:lang w:val="en-BE" w:eastAsia="en-US"/>
        </w:rPr>
        <w:t xml:space="preserve"> in times of digital transformation, safety and regulatory compliance are of key importance to European banks. In turn, we appreciate legal certainty </w:t>
      </w:r>
      <w:r>
        <w:rPr>
          <w:rFonts w:ascii="Arial" w:eastAsiaTheme="minorEastAsia" w:hAnsi="Arial" w:cs="Arial"/>
          <w:sz w:val="22"/>
          <w:szCs w:val="20"/>
          <w:lang w:val="en-BE" w:eastAsia="en-US"/>
        </w:rPr>
        <w:t xml:space="preserve">and avoidance of disproportionate burden </w:t>
      </w:r>
      <w:r w:rsidRPr="00D83914">
        <w:rPr>
          <w:rFonts w:ascii="Arial" w:eastAsiaTheme="minorEastAsia" w:hAnsi="Arial" w:cs="Arial"/>
          <w:sz w:val="22"/>
          <w:szCs w:val="20"/>
          <w:lang w:val="en-BE" w:eastAsia="en-US"/>
        </w:rPr>
        <w:t>by means of GL alignment on cloud outsourcing.</w:t>
      </w:r>
    </w:p>
    <w:permEnd w:id="1853699001"/>
    <w:p w14:paraId="35D0D096" w14:textId="7F9BEACC" w:rsidR="00D00263"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5A5590">
        <w:rPr>
          <w:rFonts w:asciiTheme="minorHAnsi" w:eastAsiaTheme="minorEastAsia" w:hAnsiTheme="minorHAnsi" w:cstheme="minorBidi"/>
          <w:sz w:val="22"/>
          <w:szCs w:val="20"/>
          <w:lang w:eastAsia="en-US"/>
        </w:rPr>
        <w:t>COGL_1</w:t>
      </w:r>
      <w:r w:rsidRPr="00C85C8B">
        <w:rPr>
          <w:rFonts w:asciiTheme="minorHAnsi" w:eastAsiaTheme="minorEastAsia" w:hAnsiTheme="minorHAnsi" w:cstheme="minorBidi"/>
          <w:sz w:val="22"/>
          <w:szCs w:val="20"/>
          <w:lang w:eastAsia="en-US"/>
        </w:rPr>
        <w:t>&gt;</w:t>
      </w:r>
    </w:p>
    <w:p w14:paraId="134F9727" w14:textId="77777777" w:rsidR="006D50BA" w:rsidRDefault="006D50BA" w:rsidP="00C85C8B">
      <w:pPr>
        <w:spacing w:after="250" w:line="276" w:lineRule="auto"/>
        <w:jc w:val="both"/>
        <w:rPr>
          <w:rFonts w:asciiTheme="majorHAnsi" w:eastAsiaTheme="minorEastAsia" w:hAnsiTheme="majorHAnsi" w:cstheme="majorHAnsi"/>
          <w:b/>
          <w:bCs/>
          <w:sz w:val="32"/>
          <w:szCs w:val="32"/>
          <w:lang w:eastAsia="en-US"/>
        </w:rPr>
      </w:pPr>
    </w:p>
    <w:p w14:paraId="50B0B9A0" w14:textId="32EB98BF" w:rsidR="00D00263" w:rsidRPr="00D00263" w:rsidRDefault="00D00263" w:rsidP="00C85C8B">
      <w:pPr>
        <w:spacing w:after="250" w:line="276" w:lineRule="auto"/>
        <w:jc w:val="both"/>
        <w:rPr>
          <w:rFonts w:asciiTheme="majorHAnsi" w:eastAsiaTheme="minorEastAsia" w:hAnsiTheme="majorHAnsi" w:cstheme="majorHAnsi"/>
          <w:b/>
          <w:bCs/>
          <w:sz w:val="32"/>
          <w:szCs w:val="32"/>
          <w:lang w:eastAsia="en-US"/>
        </w:rPr>
      </w:pPr>
      <w:r w:rsidRPr="00D00263">
        <w:rPr>
          <w:rFonts w:asciiTheme="majorHAnsi" w:eastAsiaTheme="minorEastAsia" w:hAnsiTheme="majorHAnsi" w:cstheme="majorHAnsi"/>
          <w:b/>
          <w:bCs/>
          <w:sz w:val="32"/>
          <w:szCs w:val="32"/>
          <w:lang w:eastAsia="en-US"/>
        </w:rPr>
        <w:t>Q</w:t>
      </w:r>
      <w:r w:rsidR="003F09BC">
        <w:rPr>
          <w:rFonts w:asciiTheme="majorHAnsi" w:eastAsiaTheme="minorEastAsia" w:hAnsiTheme="majorHAnsi" w:cstheme="majorHAnsi"/>
          <w:b/>
          <w:bCs/>
          <w:sz w:val="32"/>
          <w:szCs w:val="32"/>
          <w:lang w:eastAsia="en-US"/>
        </w:rPr>
        <w:t>uestions</w:t>
      </w:r>
    </w:p>
    <w:p w14:paraId="5F5E8641" w14:textId="77777777" w:rsidR="00C85C8B" w:rsidRDefault="00C85C8B" w:rsidP="00C1698A">
      <w:pPr>
        <w:spacing w:line="276" w:lineRule="auto"/>
        <w:rPr>
          <w:rFonts w:asciiTheme="minorHAnsi" w:hAnsiTheme="minorHAnsi" w:cstheme="minorHAnsi"/>
          <w:b/>
          <w:sz w:val="28"/>
          <w:szCs w:val="28"/>
        </w:rPr>
      </w:pPr>
    </w:p>
    <w:p w14:paraId="5CFE5D80" w14:textId="77777777" w:rsidR="00E33392" w:rsidRDefault="00E33392" w:rsidP="00E33392">
      <w:pPr>
        <w:pStyle w:val="Questionstyle"/>
        <w:numPr>
          <w:ilvl w:val="0"/>
          <w:numId w:val="17"/>
        </w:numPr>
        <w:spacing w:after="250" w:line="276" w:lineRule="auto"/>
      </w:pPr>
      <w:r>
        <w:t xml:space="preserve">: Do you agree with the suggested approach regarding a firm’s governance and oversight in relation to its cloud outsourcing arrangements? Please explain. </w:t>
      </w:r>
    </w:p>
    <w:p w14:paraId="2555EE0A" w14:textId="77777777" w:rsidR="00E33392" w:rsidRDefault="00E33392" w:rsidP="00E33392">
      <w:pPr>
        <w:rPr>
          <w:rFonts w:ascii="Arial" w:hAnsi="Arial" w:cs="Arial"/>
        </w:rPr>
      </w:pPr>
      <w:r>
        <w:rPr>
          <w:rFonts w:ascii="Arial" w:hAnsi="Arial" w:cs="Arial"/>
        </w:rPr>
        <w:t>&lt;ESMA_QUESTION_COGL_1&gt;</w:t>
      </w:r>
    </w:p>
    <w:p w14:paraId="1A1E0943" w14:textId="67E4AFE8" w:rsidR="0003163C" w:rsidRDefault="00D175C1" w:rsidP="00D83914">
      <w:pPr>
        <w:spacing w:line="276" w:lineRule="auto"/>
        <w:ind w:left="360"/>
        <w:rPr>
          <w:rFonts w:ascii="Arial" w:eastAsiaTheme="minorEastAsia" w:hAnsi="Arial" w:cs="Arial"/>
          <w:sz w:val="22"/>
          <w:szCs w:val="20"/>
          <w:lang w:val="en-BE" w:eastAsia="en-US"/>
        </w:rPr>
      </w:pPr>
      <w:permStart w:id="870130210" w:edGrp="everyone"/>
      <w:r>
        <w:rPr>
          <w:rFonts w:ascii="Arial" w:eastAsiaTheme="minorEastAsia" w:hAnsi="Arial" w:cs="Arial"/>
          <w:sz w:val="22"/>
          <w:szCs w:val="20"/>
          <w:lang w:val="en-BE" w:eastAsia="en-US"/>
        </w:rPr>
        <w:t>We encourage a stronger alignment with the EBA GL on the following points.</w:t>
      </w:r>
    </w:p>
    <w:p w14:paraId="4B3D5649" w14:textId="1F0E2908" w:rsidR="0003163C" w:rsidRDefault="0003163C" w:rsidP="00D83914">
      <w:pPr>
        <w:spacing w:line="276" w:lineRule="auto"/>
        <w:ind w:left="360"/>
        <w:rPr>
          <w:rFonts w:ascii="Arial" w:eastAsiaTheme="minorEastAsia" w:hAnsi="Arial" w:cs="Arial"/>
          <w:sz w:val="22"/>
          <w:szCs w:val="20"/>
          <w:lang w:val="en-BE" w:eastAsia="en-US"/>
        </w:rPr>
      </w:pPr>
    </w:p>
    <w:p w14:paraId="380ECEF9" w14:textId="51372496" w:rsidR="0003163C" w:rsidRDefault="0003163C" w:rsidP="00D83914">
      <w:pPr>
        <w:spacing w:line="276" w:lineRule="auto"/>
        <w:ind w:left="360"/>
        <w:rPr>
          <w:rFonts w:ascii="Arial" w:eastAsiaTheme="minorEastAsia" w:hAnsi="Arial" w:cs="Arial"/>
          <w:sz w:val="22"/>
          <w:szCs w:val="20"/>
          <w:lang w:val="en-BE" w:eastAsia="en-US"/>
        </w:rPr>
      </w:pPr>
      <w:r>
        <w:rPr>
          <w:rFonts w:ascii="Arial" w:eastAsiaTheme="minorEastAsia" w:hAnsi="Arial" w:cs="Arial"/>
          <w:sz w:val="22"/>
          <w:szCs w:val="20"/>
          <w:lang w:val="en-BE" w:eastAsia="en-US"/>
        </w:rPr>
        <w:t xml:space="preserve">Structure and focus of the ESMA GL’ segments could leverage stronger the EBA GL, allowing banks to operate within an established set of </w:t>
      </w:r>
      <w:r w:rsidR="008B4554">
        <w:rPr>
          <w:rFonts w:ascii="Arial" w:eastAsiaTheme="minorEastAsia" w:hAnsi="Arial" w:cs="Arial"/>
          <w:sz w:val="22"/>
          <w:szCs w:val="20"/>
          <w:lang w:val="en-BE" w:eastAsia="en-US"/>
        </w:rPr>
        <w:t>GL sections</w:t>
      </w:r>
      <w:r>
        <w:rPr>
          <w:rFonts w:ascii="Arial" w:eastAsiaTheme="minorEastAsia" w:hAnsi="Arial" w:cs="Arial"/>
          <w:sz w:val="22"/>
          <w:szCs w:val="20"/>
          <w:lang w:val="en-BE" w:eastAsia="en-US"/>
        </w:rPr>
        <w:t xml:space="preserve">. </w:t>
      </w:r>
      <w:r w:rsidR="005544A4">
        <w:rPr>
          <w:rFonts w:ascii="Arial" w:eastAsiaTheme="minorEastAsia" w:hAnsi="Arial" w:cs="Arial"/>
          <w:sz w:val="22"/>
          <w:szCs w:val="20"/>
          <w:lang w:val="en-BE" w:eastAsia="en-US"/>
        </w:rPr>
        <w:t>Such simple assistance</w:t>
      </w:r>
      <w:r w:rsidR="00307C90">
        <w:rPr>
          <w:rFonts w:ascii="Arial" w:eastAsiaTheme="minorEastAsia" w:hAnsi="Arial" w:cs="Arial"/>
          <w:sz w:val="22"/>
          <w:szCs w:val="20"/>
          <w:lang w:val="en-BE" w:eastAsia="en-US"/>
        </w:rPr>
        <w:t xml:space="preserve"> for navigation and orientation</w:t>
      </w:r>
      <w:r w:rsidR="005544A4">
        <w:rPr>
          <w:rFonts w:ascii="Arial" w:eastAsiaTheme="minorEastAsia" w:hAnsi="Arial" w:cs="Arial"/>
          <w:sz w:val="22"/>
          <w:szCs w:val="20"/>
          <w:lang w:val="en-BE" w:eastAsia="en-US"/>
        </w:rPr>
        <w:t xml:space="preserve"> would help to limit the workload by the necessary implementation of the requirements into banks’ compliance processes. In respect of </w:t>
      </w:r>
      <w:proofErr w:type="spellStart"/>
      <w:r w:rsidR="005544A4">
        <w:rPr>
          <w:rFonts w:ascii="Arial" w:eastAsiaTheme="minorEastAsia" w:hAnsi="Arial" w:cs="Arial"/>
          <w:sz w:val="22"/>
          <w:szCs w:val="20"/>
          <w:lang w:val="en-BE" w:eastAsia="en-US"/>
        </w:rPr>
        <w:t>ESMA’s</w:t>
      </w:r>
      <w:proofErr w:type="spellEnd"/>
      <w:r w:rsidR="005544A4">
        <w:rPr>
          <w:rFonts w:ascii="Arial" w:eastAsiaTheme="minorEastAsia" w:hAnsi="Arial" w:cs="Arial"/>
          <w:sz w:val="22"/>
          <w:szCs w:val="20"/>
          <w:lang w:val="en-BE" w:eastAsia="en-US"/>
        </w:rPr>
        <w:t xml:space="preserve"> dedication to consider the EBA GL to address “similar main risks across sectors”, we perceive such editorial alignment to be beneficial and without any impairment on </w:t>
      </w:r>
      <w:proofErr w:type="spellStart"/>
      <w:r w:rsidR="005544A4">
        <w:rPr>
          <w:rFonts w:ascii="Arial" w:eastAsiaTheme="minorEastAsia" w:hAnsi="Arial" w:cs="Arial"/>
          <w:sz w:val="22"/>
          <w:szCs w:val="20"/>
          <w:lang w:val="en-BE" w:eastAsia="en-US"/>
        </w:rPr>
        <w:t>ESMA’s</w:t>
      </w:r>
      <w:proofErr w:type="spellEnd"/>
      <w:r w:rsidR="005544A4">
        <w:rPr>
          <w:rFonts w:ascii="Arial" w:eastAsiaTheme="minorEastAsia" w:hAnsi="Arial" w:cs="Arial"/>
          <w:sz w:val="22"/>
          <w:szCs w:val="20"/>
          <w:lang w:val="en-BE" w:eastAsia="en-US"/>
        </w:rPr>
        <w:t xml:space="preserve"> approach. </w:t>
      </w:r>
    </w:p>
    <w:p w14:paraId="71D44BC7" w14:textId="77777777" w:rsidR="00D83914" w:rsidRPr="00D83914" w:rsidRDefault="00D83914" w:rsidP="00D83914">
      <w:pPr>
        <w:spacing w:line="276" w:lineRule="auto"/>
        <w:ind w:left="360"/>
        <w:rPr>
          <w:rFonts w:ascii="Arial" w:eastAsiaTheme="minorEastAsia" w:hAnsi="Arial" w:cs="Arial"/>
          <w:sz w:val="22"/>
          <w:szCs w:val="20"/>
          <w:lang w:val="en-BE" w:eastAsia="en-US"/>
        </w:rPr>
      </w:pPr>
    </w:p>
    <w:p w14:paraId="5C7699D4" w14:textId="6FDCB094" w:rsidR="005544A4" w:rsidRDefault="005544A4" w:rsidP="00D83914">
      <w:pPr>
        <w:spacing w:line="276" w:lineRule="auto"/>
        <w:ind w:left="360"/>
        <w:rPr>
          <w:rFonts w:ascii="Arial" w:eastAsiaTheme="minorEastAsia" w:hAnsi="Arial" w:cs="Arial"/>
          <w:sz w:val="22"/>
          <w:szCs w:val="20"/>
          <w:lang w:val="en-BE" w:eastAsia="en-US"/>
        </w:rPr>
      </w:pPr>
      <w:r>
        <w:rPr>
          <w:rFonts w:ascii="Arial" w:eastAsiaTheme="minorEastAsia" w:hAnsi="Arial" w:cs="Arial"/>
          <w:sz w:val="22"/>
          <w:szCs w:val="20"/>
          <w:lang w:val="en-BE" w:eastAsia="en-US"/>
        </w:rPr>
        <w:t>We recommend an alignment of E</w:t>
      </w:r>
      <w:r w:rsidR="008B4554">
        <w:rPr>
          <w:rFonts w:ascii="Arial" w:eastAsiaTheme="minorEastAsia" w:hAnsi="Arial" w:cs="Arial"/>
          <w:sz w:val="22"/>
          <w:szCs w:val="20"/>
          <w:lang w:val="en-BE" w:eastAsia="en-US"/>
        </w:rPr>
        <w:t>SM</w:t>
      </w:r>
      <w:r>
        <w:rPr>
          <w:rFonts w:ascii="Arial" w:eastAsiaTheme="minorEastAsia" w:hAnsi="Arial" w:cs="Arial"/>
          <w:sz w:val="22"/>
          <w:szCs w:val="20"/>
          <w:lang w:val="en-BE" w:eastAsia="en-US"/>
        </w:rPr>
        <w:t xml:space="preserve">A’s </w:t>
      </w:r>
      <w:r w:rsidR="008B4554">
        <w:rPr>
          <w:rFonts w:ascii="Arial" w:eastAsiaTheme="minorEastAsia" w:hAnsi="Arial" w:cs="Arial"/>
          <w:sz w:val="22"/>
          <w:szCs w:val="20"/>
          <w:lang w:val="en-BE" w:eastAsia="en-US"/>
        </w:rPr>
        <w:t xml:space="preserve">proposed </w:t>
      </w:r>
      <w:r>
        <w:rPr>
          <w:rFonts w:ascii="Arial" w:eastAsiaTheme="minorEastAsia" w:hAnsi="Arial" w:cs="Arial"/>
          <w:sz w:val="22"/>
          <w:szCs w:val="20"/>
          <w:lang w:val="en-BE" w:eastAsia="en-US"/>
        </w:rPr>
        <w:t xml:space="preserve">definition with </w:t>
      </w:r>
      <w:r w:rsidRPr="005544A4">
        <w:rPr>
          <w:rFonts w:ascii="Arial" w:eastAsiaTheme="minorEastAsia" w:hAnsi="Arial" w:cs="Arial"/>
          <w:sz w:val="22"/>
          <w:szCs w:val="20"/>
          <w:lang w:val="en-BE" w:eastAsia="en-US"/>
        </w:rPr>
        <w:t>EBA GL para. 26 to 31</w:t>
      </w:r>
      <w:r>
        <w:rPr>
          <w:rFonts w:ascii="Arial" w:eastAsiaTheme="minorEastAsia" w:hAnsi="Arial" w:cs="Arial"/>
          <w:sz w:val="22"/>
          <w:szCs w:val="20"/>
          <w:lang w:val="en-BE" w:eastAsia="en-US"/>
        </w:rPr>
        <w:t xml:space="preserve">. It is crucial to provide the sectors with an equally clear understanding of the applicable definition of cloud as part of outsourcing. We suggest </w:t>
      </w:r>
      <w:proofErr w:type="gramStart"/>
      <w:r>
        <w:rPr>
          <w:rFonts w:ascii="Arial" w:eastAsiaTheme="minorEastAsia" w:hAnsi="Arial" w:cs="Arial"/>
          <w:sz w:val="22"/>
          <w:szCs w:val="20"/>
          <w:lang w:val="en-BE" w:eastAsia="en-US"/>
        </w:rPr>
        <w:t>to follow</w:t>
      </w:r>
      <w:proofErr w:type="gramEnd"/>
      <w:r>
        <w:rPr>
          <w:rFonts w:ascii="Arial" w:eastAsiaTheme="minorEastAsia" w:hAnsi="Arial" w:cs="Arial"/>
          <w:sz w:val="22"/>
          <w:szCs w:val="20"/>
          <w:lang w:val="en-BE" w:eastAsia="en-US"/>
        </w:rPr>
        <w:t xml:space="preserve"> </w:t>
      </w:r>
      <w:proofErr w:type="spellStart"/>
      <w:r>
        <w:rPr>
          <w:rFonts w:ascii="Arial" w:eastAsiaTheme="minorEastAsia" w:hAnsi="Arial" w:cs="Arial"/>
          <w:sz w:val="22"/>
          <w:szCs w:val="20"/>
          <w:lang w:val="en-BE" w:eastAsia="en-US"/>
        </w:rPr>
        <w:t>EBA’s</w:t>
      </w:r>
      <w:proofErr w:type="spellEnd"/>
      <w:r>
        <w:rPr>
          <w:rFonts w:ascii="Arial" w:eastAsiaTheme="minorEastAsia" w:hAnsi="Arial" w:cs="Arial"/>
          <w:sz w:val="22"/>
          <w:szCs w:val="20"/>
          <w:lang w:val="en-BE" w:eastAsia="en-US"/>
        </w:rPr>
        <w:t xml:space="preserve"> approach of </w:t>
      </w:r>
      <w:r>
        <w:rPr>
          <w:rFonts w:ascii="Arial" w:eastAsiaTheme="minorEastAsia" w:hAnsi="Arial" w:cs="Arial"/>
          <w:sz w:val="22"/>
          <w:szCs w:val="20"/>
          <w:lang w:val="en-BE" w:eastAsia="en-US"/>
        </w:rPr>
        <w:lastRenderedPageBreak/>
        <w:t xml:space="preserve">including list of examples as part of the guidance. </w:t>
      </w:r>
      <w:proofErr w:type="spellStart"/>
      <w:r>
        <w:rPr>
          <w:rFonts w:ascii="Arial" w:eastAsiaTheme="minorEastAsia" w:hAnsi="Arial" w:cs="Arial"/>
          <w:sz w:val="22"/>
          <w:szCs w:val="20"/>
          <w:lang w:val="en-BE" w:eastAsia="en-US"/>
        </w:rPr>
        <w:t>Concretly</w:t>
      </w:r>
      <w:proofErr w:type="spellEnd"/>
      <w:r>
        <w:rPr>
          <w:rFonts w:ascii="Arial" w:eastAsiaTheme="minorEastAsia" w:hAnsi="Arial" w:cs="Arial"/>
          <w:sz w:val="22"/>
          <w:szCs w:val="20"/>
          <w:lang w:val="en-BE" w:eastAsia="en-US"/>
        </w:rPr>
        <w:t xml:space="preserve">, we recommend </w:t>
      </w:r>
      <w:proofErr w:type="gramStart"/>
      <w:r>
        <w:rPr>
          <w:rFonts w:ascii="Arial" w:eastAsiaTheme="minorEastAsia" w:hAnsi="Arial" w:cs="Arial"/>
          <w:sz w:val="22"/>
          <w:szCs w:val="20"/>
          <w:lang w:val="en-BE" w:eastAsia="en-US"/>
        </w:rPr>
        <w:t>to include</w:t>
      </w:r>
      <w:proofErr w:type="gramEnd"/>
      <w:r>
        <w:rPr>
          <w:rFonts w:ascii="Arial" w:eastAsiaTheme="minorEastAsia" w:hAnsi="Arial" w:cs="Arial"/>
          <w:sz w:val="22"/>
          <w:szCs w:val="20"/>
          <w:lang w:val="en-BE" w:eastAsia="en-US"/>
        </w:rPr>
        <w:t xml:space="preserve"> a list of ex</w:t>
      </w:r>
      <w:r w:rsidR="008B4554">
        <w:rPr>
          <w:rFonts w:ascii="Arial" w:eastAsiaTheme="minorEastAsia" w:hAnsi="Arial" w:cs="Arial"/>
          <w:sz w:val="22"/>
          <w:szCs w:val="20"/>
          <w:lang w:val="en-BE" w:eastAsia="en-US"/>
        </w:rPr>
        <w:t>c</w:t>
      </w:r>
      <w:r>
        <w:rPr>
          <w:rFonts w:ascii="Arial" w:eastAsiaTheme="minorEastAsia" w:hAnsi="Arial" w:cs="Arial"/>
          <w:sz w:val="22"/>
          <w:szCs w:val="20"/>
          <w:lang w:val="en-BE" w:eastAsia="en-US"/>
        </w:rPr>
        <w:t xml:space="preserve">eptions of services not being considered cloud outsourcing, as laid out by EBA GL para. 28. </w:t>
      </w:r>
    </w:p>
    <w:p w14:paraId="7FB44ABA" w14:textId="42A3BD80" w:rsidR="005544A4" w:rsidRDefault="005544A4" w:rsidP="00D83914">
      <w:pPr>
        <w:spacing w:line="276" w:lineRule="auto"/>
        <w:ind w:left="360"/>
        <w:rPr>
          <w:rFonts w:ascii="Arial" w:eastAsiaTheme="minorEastAsia" w:hAnsi="Arial" w:cs="Arial"/>
          <w:sz w:val="22"/>
          <w:szCs w:val="20"/>
          <w:lang w:val="en-BE" w:eastAsia="en-US"/>
        </w:rPr>
      </w:pPr>
    </w:p>
    <w:p w14:paraId="1EA9C220" w14:textId="51E73807" w:rsidR="005544A4" w:rsidRPr="00307C90" w:rsidRDefault="005544A4" w:rsidP="00D83914">
      <w:pPr>
        <w:spacing w:line="276" w:lineRule="auto"/>
        <w:ind w:left="360"/>
        <w:rPr>
          <w:rFonts w:ascii="Arial" w:eastAsiaTheme="minorEastAsia" w:hAnsi="Arial" w:cs="Arial"/>
          <w:sz w:val="22"/>
          <w:szCs w:val="20"/>
          <w:lang w:val="en-BE" w:eastAsia="en-US"/>
        </w:rPr>
      </w:pPr>
      <w:r>
        <w:rPr>
          <w:rFonts w:ascii="Arial" w:eastAsiaTheme="minorEastAsia" w:hAnsi="Arial" w:cs="Arial"/>
          <w:sz w:val="22"/>
          <w:szCs w:val="20"/>
          <w:lang w:val="en-BE" w:eastAsia="en-US"/>
        </w:rPr>
        <w:t xml:space="preserve">We suggest </w:t>
      </w:r>
      <w:proofErr w:type="gramStart"/>
      <w:r>
        <w:rPr>
          <w:rFonts w:ascii="Arial" w:eastAsiaTheme="minorEastAsia" w:hAnsi="Arial" w:cs="Arial"/>
          <w:sz w:val="22"/>
          <w:szCs w:val="20"/>
          <w:lang w:val="en-BE" w:eastAsia="en-US"/>
        </w:rPr>
        <w:t xml:space="preserve">to </w:t>
      </w:r>
      <w:r w:rsidR="00C60444">
        <w:rPr>
          <w:rFonts w:ascii="Arial" w:eastAsiaTheme="minorEastAsia" w:hAnsi="Arial" w:cs="Arial"/>
          <w:sz w:val="22"/>
          <w:szCs w:val="20"/>
          <w:lang w:val="en-BE" w:eastAsia="en-US"/>
        </w:rPr>
        <w:t>clarify</w:t>
      </w:r>
      <w:proofErr w:type="gramEnd"/>
      <w:r w:rsidR="00C60444">
        <w:rPr>
          <w:rFonts w:ascii="Arial" w:eastAsiaTheme="minorEastAsia" w:hAnsi="Arial" w:cs="Arial"/>
          <w:sz w:val="22"/>
          <w:szCs w:val="20"/>
          <w:lang w:val="en-BE" w:eastAsia="en-US"/>
        </w:rPr>
        <w:t xml:space="preserve"> within</w:t>
      </w:r>
      <w:r>
        <w:rPr>
          <w:rFonts w:ascii="Arial" w:eastAsiaTheme="minorEastAsia" w:hAnsi="Arial" w:cs="Arial"/>
          <w:sz w:val="22"/>
          <w:szCs w:val="20"/>
          <w:lang w:val="en-BE" w:eastAsia="en-US"/>
        </w:rPr>
        <w:t xml:space="preserve"> the given ESMA definition </w:t>
      </w:r>
      <w:r w:rsidR="00C60444">
        <w:rPr>
          <w:rFonts w:ascii="Arial" w:eastAsiaTheme="minorEastAsia" w:hAnsi="Arial" w:cs="Arial"/>
          <w:sz w:val="22"/>
          <w:szCs w:val="20"/>
          <w:lang w:val="en-BE" w:eastAsia="en-US"/>
        </w:rPr>
        <w:t>of ‘cloud outsourcing arrangement” that rules apply to cloud services in the range of investment services only. It would be helpful if the definition could further clarify that not all C</w:t>
      </w:r>
      <w:r w:rsidR="008B4554">
        <w:rPr>
          <w:rFonts w:ascii="Arial" w:eastAsiaTheme="minorEastAsia" w:hAnsi="Arial" w:cs="Arial"/>
          <w:sz w:val="22"/>
          <w:szCs w:val="20"/>
          <w:lang w:val="en-BE" w:eastAsia="en-US"/>
        </w:rPr>
        <w:t xml:space="preserve">loud </w:t>
      </w:r>
      <w:r w:rsidR="00C60444">
        <w:rPr>
          <w:rFonts w:ascii="Arial" w:eastAsiaTheme="minorEastAsia" w:hAnsi="Arial" w:cs="Arial"/>
          <w:sz w:val="22"/>
          <w:szCs w:val="20"/>
          <w:lang w:val="en-BE" w:eastAsia="en-US"/>
        </w:rPr>
        <w:t>S</w:t>
      </w:r>
      <w:r w:rsidR="008B4554">
        <w:rPr>
          <w:rFonts w:ascii="Arial" w:eastAsiaTheme="minorEastAsia" w:hAnsi="Arial" w:cs="Arial"/>
          <w:sz w:val="22"/>
          <w:szCs w:val="20"/>
          <w:lang w:val="en-BE" w:eastAsia="en-US"/>
        </w:rPr>
        <w:t xml:space="preserve">ervice </w:t>
      </w:r>
      <w:r w:rsidR="00C60444">
        <w:rPr>
          <w:rFonts w:ascii="Arial" w:eastAsiaTheme="minorEastAsia" w:hAnsi="Arial" w:cs="Arial"/>
          <w:sz w:val="22"/>
          <w:szCs w:val="20"/>
          <w:lang w:val="en-BE" w:eastAsia="en-US"/>
        </w:rPr>
        <w:t>P</w:t>
      </w:r>
      <w:r w:rsidR="008B4554">
        <w:rPr>
          <w:rFonts w:ascii="Arial" w:eastAsiaTheme="minorEastAsia" w:hAnsi="Arial" w:cs="Arial"/>
          <w:sz w:val="22"/>
          <w:szCs w:val="20"/>
          <w:lang w:val="en-BE" w:eastAsia="en-US"/>
        </w:rPr>
        <w:t>roviders (</w:t>
      </w:r>
      <w:proofErr w:type="spellStart"/>
      <w:r w:rsidR="008B4554">
        <w:rPr>
          <w:rFonts w:ascii="Arial" w:eastAsiaTheme="minorEastAsia" w:hAnsi="Arial" w:cs="Arial"/>
          <w:sz w:val="22"/>
          <w:szCs w:val="20"/>
          <w:lang w:val="en-BE" w:eastAsia="en-US"/>
        </w:rPr>
        <w:t>CSPs</w:t>
      </w:r>
      <w:proofErr w:type="spellEnd"/>
      <w:r w:rsidR="008B4554">
        <w:rPr>
          <w:rFonts w:ascii="Arial" w:eastAsiaTheme="minorEastAsia" w:hAnsi="Arial" w:cs="Arial"/>
          <w:sz w:val="22"/>
          <w:szCs w:val="20"/>
          <w:lang w:val="en-BE" w:eastAsia="en-US"/>
        </w:rPr>
        <w:t>)</w:t>
      </w:r>
      <w:r w:rsidR="00C60444">
        <w:rPr>
          <w:rFonts w:ascii="Arial" w:eastAsiaTheme="minorEastAsia" w:hAnsi="Arial" w:cs="Arial"/>
          <w:sz w:val="22"/>
          <w:szCs w:val="20"/>
          <w:lang w:val="en-BE" w:eastAsia="en-US"/>
        </w:rPr>
        <w:t xml:space="preserve"> activities are automatically outsourcing, considering the diverse and continuously developing field of activities of </w:t>
      </w:r>
      <w:proofErr w:type="spellStart"/>
      <w:r w:rsidR="00C60444">
        <w:rPr>
          <w:rFonts w:ascii="Arial" w:eastAsiaTheme="minorEastAsia" w:hAnsi="Arial" w:cs="Arial"/>
          <w:sz w:val="22"/>
          <w:szCs w:val="20"/>
          <w:lang w:val="en-BE" w:eastAsia="en-US"/>
        </w:rPr>
        <w:t>BigTech</w:t>
      </w:r>
      <w:proofErr w:type="spellEnd"/>
      <w:r w:rsidR="008B4554">
        <w:rPr>
          <w:rFonts w:ascii="Arial" w:eastAsiaTheme="minorEastAsia" w:hAnsi="Arial" w:cs="Arial"/>
          <w:sz w:val="22"/>
          <w:szCs w:val="20"/>
          <w:lang w:val="en-BE" w:eastAsia="en-US"/>
        </w:rPr>
        <w:t>/</w:t>
      </w:r>
      <w:proofErr w:type="spellStart"/>
      <w:r w:rsidR="00C60444">
        <w:rPr>
          <w:rFonts w:ascii="Arial" w:eastAsiaTheme="minorEastAsia" w:hAnsi="Arial" w:cs="Arial"/>
          <w:sz w:val="22"/>
          <w:szCs w:val="20"/>
          <w:lang w:val="en-BE" w:eastAsia="en-US"/>
        </w:rPr>
        <w:t>CSPs</w:t>
      </w:r>
      <w:proofErr w:type="spellEnd"/>
      <w:r w:rsidR="00C60444">
        <w:rPr>
          <w:rFonts w:ascii="Arial" w:eastAsiaTheme="minorEastAsia" w:hAnsi="Arial" w:cs="Arial"/>
          <w:sz w:val="22"/>
          <w:szCs w:val="20"/>
          <w:lang w:val="en-BE" w:eastAsia="en-US"/>
        </w:rPr>
        <w:t xml:space="preserve">. </w:t>
      </w:r>
      <w:bookmarkStart w:id="2" w:name="_Hlk49789785"/>
      <w:r w:rsidR="00307C90">
        <w:rPr>
          <w:rFonts w:ascii="Arial" w:eastAsiaTheme="minorEastAsia" w:hAnsi="Arial" w:cs="Arial"/>
          <w:sz w:val="22"/>
          <w:szCs w:val="20"/>
          <w:lang w:val="en-BE" w:eastAsia="en-US"/>
        </w:rPr>
        <w:t>For more suggestions regarding definitions please consider the answer to Q.11 below.</w:t>
      </w:r>
      <w:bookmarkEnd w:id="2"/>
    </w:p>
    <w:p w14:paraId="5720AF37" w14:textId="77777777" w:rsidR="005544A4" w:rsidRDefault="005544A4" w:rsidP="00D83914">
      <w:pPr>
        <w:spacing w:line="276" w:lineRule="auto"/>
        <w:rPr>
          <w:rFonts w:ascii="Arial" w:eastAsiaTheme="minorEastAsia" w:hAnsi="Arial" w:cs="Arial"/>
          <w:sz w:val="22"/>
          <w:szCs w:val="20"/>
          <w:lang w:val="en-BE" w:eastAsia="en-US"/>
        </w:rPr>
      </w:pPr>
    </w:p>
    <w:p w14:paraId="0FBF9F5B" w14:textId="714BC9F3" w:rsidR="00A4311A" w:rsidRDefault="00D175C1" w:rsidP="00A4311A">
      <w:pPr>
        <w:spacing w:line="276" w:lineRule="auto"/>
        <w:ind w:left="360"/>
        <w:rPr>
          <w:rFonts w:ascii="Arial" w:eastAsiaTheme="minorEastAsia" w:hAnsi="Arial" w:cs="Arial"/>
          <w:sz w:val="22"/>
          <w:szCs w:val="20"/>
          <w:lang w:val="en-BE" w:eastAsia="en-US"/>
        </w:rPr>
      </w:pPr>
      <w:r>
        <w:rPr>
          <w:rFonts w:ascii="Arial" w:eastAsiaTheme="minorEastAsia" w:hAnsi="Arial" w:cs="Arial"/>
          <w:sz w:val="22"/>
          <w:szCs w:val="20"/>
          <w:lang w:val="en-BE" w:eastAsia="en-US"/>
        </w:rPr>
        <w:t xml:space="preserve">ESMA GL </w:t>
      </w:r>
      <w:r w:rsidRPr="00D175C1">
        <w:rPr>
          <w:rFonts w:ascii="Arial" w:eastAsiaTheme="minorEastAsia" w:hAnsi="Arial" w:cs="Arial"/>
          <w:sz w:val="22"/>
          <w:szCs w:val="20"/>
          <w:lang w:eastAsia="en-US"/>
        </w:rPr>
        <w:t xml:space="preserve">Paragraph 28 states that firms must provide </w:t>
      </w:r>
      <w:proofErr w:type="gramStart"/>
      <w:r w:rsidRPr="00D175C1">
        <w:rPr>
          <w:rFonts w:ascii="Arial" w:eastAsiaTheme="minorEastAsia" w:hAnsi="Arial" w:cs="Arial"/>
          <w:sz w:val="22"/>
          <w:szCs w:val="20"/>
          <w:lang w:eastAsia="en-US"/>
        </w:rPr>
        <w:t>a brief summary</w:t>
      </w:r>
      <w:proofErr w:type="gramEnd"/>
      <w:r w:rsidRPr="00D175C1">
        <w:rPr>
          <w:rFonts w:ascii="Arial" w:eastAsiaTheme="minorEastAsia" w:hAnsi="Arial" w:cs="Arial"/>
          <w:sz w:val="22"/>
          <w:szCs w:val="20"/>
          <w:lang w:eastAsia="en-US"/>
        </w:rPr>
        <w:t xml:space="preserve"> of the reasons why the outsourced function is </w:t>
      </w:r>
      <w:r w:rsidRPr="0003163C">
        <w:rPr>
          <w:rFonts w:ascii="Arial" w:eastAsiaTheme="minorEastAsia" w:hAnsi="Arial" w:cs="Arial"/>
          <w:sz w:val="22"/>
          <w:szCs w:val="20"/>
          <w:u w:val="single"/>
          <w:lang w:eastAsia="en-US"/>
        </w:rPr>
        <w:t>or is not</w:t>
      </w:r>
      <w:r w:rsidRPr="00D175C1">
        <w:rPr>
          <w:rFonts w:ascii="Arial" w:eastAsiaTheme="minorEastAsia" w:hAnsi="Arial" w:cs="Arial"/>
          <w:sz w:val="22"/>
          <w:szCs w:val="20"/>
          <w:lang w:eastAsia="en-US"/>
        </w:rPr>
        <w:t xml:space="preserve"> considered critical or important. </w:t>
      </w:r>
      <w:r w:rsidR="0003163C">
        <w:rPr>
          <w:rFonts w:ascii="Arial" w:eastAsiaTheme="minorEastAsia" w:hAnsi="Arial" w:cs="Arial"/>
          <w:sz w:val="22"/>
          <w:szCs w:val="20"/>
          <w:lang w:val="en-BE" w:eastAsia="en-US"/>
        </w:rPr>
        <w:t xml:space="preserve">EBA GL 54 states that an explanation is required only for why an outsourced function is considered critical or important. Considering the number of foreseen non-critical functions, expected to develop </w:t>
      </w:r>
      <w:r w:rsidR="008B4554">
        <w:rPr>
          <w:rFonts w:ascii="Arial" w:eastAsiaTheme="minorEastAsia" w:hAnsi="Arial" w:cs="Arial"/>
          <w:sz w:val="22"/>
          <w:szCs w:val="20"/>
          <w:lang w:val="en-BE" w:eastAsia="en-US"/>
        </w:rPr>
        <w:t xml:space="preserve">further </w:t>
      </w:r>
      <w:r w:rsidR="0003163C">
        <w:rPr>
          <w:rFonts w:ascii="Arial" w:eastAsiaTheme="minorEastAsia" w:hAnsi="Arial" w:cs="Arial"/>
          <w:sz w:val="22"/>
          <w:szCs w:val="20"/>
          <w:lang w:val="en-BE" w:eastAsia="en-US"/>
        </w:rPr>
        <w:t xml:space="preserve">over time in line with technological innovation, the negative explanation why something is non-critical – rather than critical – appears disproportionally burdensome for financial institutions. In line with the established risk-based approach by both EBA and ESMA, the requested explanation should only focus on why an outsourced function is considered critical or important. </w:t>
      </w:r>
      <w:proofErr w:type="gramStart"/>
      <w:r w:rsidR="0003163C">
        <w:rPr>
          <w:rFonts w:ascii="Arial" w:eastAsiaTheme="minorEastAsia" w:hAnsi="Arial" w:cs="Arial"/>
          <w:sz w:val="22"/>
          <w:szCs w:val="20"/>
          <w:lang w:val="en-BE" w:eastAsia="en-US"/>
        </w:rPr>
        <w:t>Again</w:t>
      </w:r>
      <w:proofErr w:type="gramEnd"/>
      <w:r w:rsidR="0003163C">
        <w:rPr>
          <w:rFonts w:ascii="Arial" w:eastAsiaTheme="minorEastAsia" w:hAnsi="Arial" w:cs="Arial"/>
          <w:sz w:val="22"/>
          <w:szCs w:val="20"/>
          <w:lang w:val="en-BE" w:eastAsia="en-US"/>
        </w:rPr>
        <w:t xml:space="preserve"> applying the principle of proportionality, firms should clarify their respective criteria only once to the regulator, afterwards standing ready to </w:t>
      </w:r>
      <w:proofErr w:type="spellStart"/>
      <w:r w:rsidR="0003163C">
        <w:rPr>
          <w:rFonts w:ascii="Arial" w:eastAsiaTheme="minorEastAsia" w:hAnsi="Arial" w:cs="Arial"/>
          <w:sz w:val="22"/>
          <w:szCs w:val="20"/>
          <w:lang w:val="en-BE" w:eastAsia="en-US"/>
        </w:rPr>
        <w:t>fullfill</w:t>
      </w:r>
      <w:proofErr w:type="spellEnd"/>
      <w:r w:rsidR="0003163C">
        <w:rPr>
          <w:rFonts w:ascii="Arial" w:eastAsiaTheme="minorEastAsia" w:hAnsi="Arial" w:cs="Arial"/>
          <w:sz w:val="22"/>
          <w:szCs w:val="20"/>
          <w:lang w:val="en-BE" w:eastAsia="en-US"/>
        </w:rPr>
        <w:t xml:space="preserve"> later information requests on specific functions on demand.</w:t>
      </w:r>
    </w:p>
    <w:p w14:paraId="0D00214C" w14:textId="7A572C0E" w:rsidR="0003163C" w:rsidRDefault="0003163C" w:rsidP="00D83914">
      <w:pPr>
        <w:spacing w:line="276" w:lineRule="auto"/>
        <w:ind w:left="360"/>
        <w:rPr>
          <w:rFonts w:ascii="Arial" w:eastAsiaTheme="minorEastAsia" w:hAnsi="Arial" w:cs="Arial"/>
          <w:sz w:val="22"/>
          <w:szCs w:val="20"/>
          <w:lang w:val="en-BE" w:eastAsia="en-US"/>
        </w:rPr>
      </w:pPr>
    </w:p>
    <w:p w14:paraId="4771F66D" w14:textId="484A10FD" w:rsidR="00D175C1" w:rsidRDefault="00C60444" w:rsidP="00D83914">
      <w:pPr>
        <w:spacing w:line="276" w:lineRule="auto"/>
        <w:ind w:left="360"/>
        <w:rPr>
          <w:rFonts w:ascii="Arial" w:eastAsiaTheme="minorEastAsia" w:hAnsi="Arial" w:cs="Arial"/>
          <w:sz w:val="22"/>
          <w:szCs w:val="20"/>
          <w:lang w:val="en-BE" w:eastAsia="en-US"/>
        </w:rPr>
      </w:pPr>
      <w:r>
        <w:rPr>
          <w:rFonts w:ascii="Arial" w:eastAsiaTheme="minorEastAsia" w:hAnsi="Arial" w:cs="Arial"/>
          <w:sz w:val="22"/>
          <w:szCs w:val="20"/>
          <w:lang w:val="en-BE" w:eastAsia="en-US"/>
        </w:rPr>
        <w:t xml:space="preserve">We encourage ESMA to include examples under Guideline 1.27, reflecting the monitoring of </w:t>
      </w:r>
      <w:proofErr w:type="spellStart"/>
      <w:r>
        <w:rPr>
          <w:rFonts w:ascii="Arial" w:eastAsiaTheme="minorEastAsia" w:hAnsi="Arial" w:cs="Arial"/>
          <w:sz w:val="22"/>
          <w:szCs w:val="20"/>
          <w:lang w:val="en-BE" w:eastAsia="en-US"/>
        </w:rPr>
        <w:t>CSPs</w:t>
      </w:r>
      <w:proofErr w:type="spellEnd"/>
      <w:r>
        <w:rPr>
          <w:rFonts w:ascii="Arial" w:eastAsiaTheme="minorEastAsia" w:hAnsi="Arial" w:cs="Arial"/>
          <w:sz w:val="22"/>
          <w:szCs w:val="20"/>
          <w:lang w:val="en-BE" w:eastAsia="en-US"/>
        </w:rPr>
        <w:t xml:space="preserve"> by firms via a risk-based approach. Such examples should pick up on security measures and adherences to agreed service levels for outsourcing of critical or important functions. Firms’ organization of monitoring can directly benefit from such additional E</w:t>
      </w:r>
      <w:r w:rsidR="008B4554">
        <w:rPr>
          <w:rFonts w:ascii="Arial" w:eastAsiaTheme="minorEastAsia" w:hAnsi="Arial" w:cs="Arial"/>
          <w:sz w:val="22"/>
          <w:szCs w:val="20"/>
          <w:lang w:val="en-BE" w:eastAsia="en-US"/>
        </w:rPr>
        <w:t>SM</w:t>
      </w:r>
      <w:r>
        <w:rPr>
          <w:rFonts w:ascii="Arial" w:eastAsiaTheme="minorEastAsia" w:hAnsi="Arial" w:cs="Arial"/>
          <w:sz w:val="22"/>
          <w:szCs w:val="20"/>
          <w:lang w:val="en-BE" w:eastAsia="en-US"/>
        </w:rPr>
        <w:t xml:space="preserve">A guidance by examples (enhanced clarity). </w:t>
      </w:r>
    </w:p>
    <w:p w14:paraId="28EF88DB" w14:textId="46A27AC4" w:rsidR="00A4311A" w:rsidRDefault="00A4311A" w:rsidP="00D83914">
      <w:pPr>
        <w:spacing w:line="276" w:lineRule="auto"/>
        <w:ind w:left="360"/>
        <w:rPr>
          <w:rFonts w:ascii="Arial" w:eastAsiaTheme="minorEastAsia" w:hAnsi="Arial" w:cs="Arial"/>
          <w:sz w:val="22"/>
          <w:szCs w:val="20"/>
          <w:lang w:val="en-BE" w:eastAsia="en-US"/>
        </w:rPr>
      </w:pPr>
    </w:p>
    <w:p w14:paraId="3148F365" w14:textId="487FDAAC" w:rsidR="00A4311A" w:rsidRDefault="00A4311A" w:rsidP="00D83914">
      <w:pPr>
        <w:spacing w:line="276" w:lineRule="auto"/>
        <w:ind w:left="360"/>
        <w:rPr>
          <w:rFonts w:ascii="Arial" w:eastAsiaTheme="minorEastAsia" w:hAnsi="Arial" w:cs="Arial"/>
          <w:sz w:val="22"/>
          <w:szCs w:val="20"/>
          <w:lang w:eastAsia="en-US"/>
        </w:rPr>
      </w:pPr>
      <w:proofErr w:type="gramStart"/>
      <w:r>
        <w:rPr>
          <w:rFonts w:ascii="Arial" w:eastAsiaTheme="minorEastAsia" w:hAnsi="Arial" w:cs="Arial"/>
          <w:sz w:val="22"/>
          <w:szCs w:val="20"/>
          <w:lang w:val="en-BE" w:eastAsia="en-US"/>
        </w:rPr>
        <w:t>In order to</w:t>
      </w:r>
      <w:proofErr w:type="gramEnd"/>
      <w:r>
        <w:rPr>
          <w:rFonts w:ascii="Arial" w:eastAsiaTheme="minorEastAsia" w:hAnsi="Arial" w:cs="Arial"/>
          <w:sz w:val="22"/>
          <w:szCs w:val="20"/>
          <w:lang w:val="en-BE" w:eastAsia="en-US"/>
        </w:rPr>
        <w:t xml:space="preserve"> secure a strong alignment of ESMA with the EBA GL, we invite ESMA to consider including a reference to actions in case of material changes</w:t>
      </w:r>
      <w:r w:rsidR="00B84128">
        <w:rPr>
          <w:rFonts w:ascii="Arial" w:eastAsiaTheme="minorEastAsia" w:hAnsi="Arial" w:cs="Arial"/>
          <w:sz w:val="22"/>
          <w:szCs w:val="20"/>
          <w:lang w:val="en-BE" w:eastAsia="en-US"/>
        </w:rPr>
        <w:t>/severe events regarding</w:t>
      </w:r>
      <w:r>
        <w:rPr>
          <w:rFonts w:ascii="Arial" w:eastAsiaTheme="minorEastAsia" w:hAnsi="Arial" w:cs="Arial"/>
          <w:sz w:val="22"/>
          <w:szCs w:val="20"/>
          <w:lang w:val="en-BE" w:eastAsia="en-US"/>
        </w:rPr>
        <w:t xml:space="preserve"> outsourcing arrangements, as lied out by EBA GL para. 59.</w:t>
      </w:r>
    </w:p>
    <w:permEnd w:id="870130210"/>
    <w:p w14:paraId="6004914E" w14:textId="77777777" w:rsidR="00E33392" w:rsidRDefault="00E33392" w:rsidP="00E33392">
      <w:pPr>
        <w:rPr>
          <w:rFonts w:ascii="Arial" w:hAnsi="Arial" w:cs="Arial"/>
        </w:rPr>
      </w:pPr>
      <w:r>
        <w:rPr>
          <w:rFonts w:ascii="Arial" w:hAnsi="Arial" w:cs="Arial"/>
        </w:rPr>
        <w:t>&lt;ESMA_QUESTION_COGL_1&gt;</w:t>
      </w:r>
    </w:p>
    <w:p w14:paraId="2A4747F6" w14:textId="77777777" w:rsidR="00E33392" w:rsidRDefault="00E33392" w:rsidP="00E33392">
      <w:pPr>
        <w:rPr>
          <w:rFonts w:ascii="Arial" w:hAnsi="Arial" w:cs="Arial"/>
        </w:rPr>
      </w:pPr>
    </w:p>
    <w:p w14:paraId="0BA06E0E"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documentation requirements? Please explain. </w:t>
      </w:r>
    </w:p>
    <w:p w14:paraId="24AABFB7" w14:textId="77777777" w:rsidR="00E33392" w:rsidRDefault="00E33392" w:rsidP="00E33392">
      <w:pPr>
        <w:rPr>
          <w:rFonts w:ascii="Arial" w:hAnsi="Arial" w:cs="Arial"/>
        </w:rPr>
      </w:pPr>
      <w:r>
        <w:rPr>
          <w:rFonts w:ascii="Arial" w:hAnsi="Arial" w:cs="Arial"/>
        </w:rPr>
        <w:t>&lt;ESMA_QUESTION_COGL_2&gt;</w:t>
      </w:r>
    </w:p>
    <w:p w14:paraId="5C755FF3" w14:textId="2ADACCBD" w:rsidR="008B2B82" w:rsidRPr="008B2B82" w:rsidRDefault="008B2B82" w:rsidP="00D83914">
      <w:pPr>
        <w:pStyle w:val="ListParagraph"/>
        <w:numPr>
          <w:ilvl w:val="0"/>
          <w:numId w:val="0"/>
        </w:numPr>
        <w:spacing w:line="276" w:lineRule="auto"/>
        <w:ind w:left="720"/>
        <w:rPr>
          <w:b/>
          <w:bCs/>
          <w:lang w:val="en-BE"/>
        </w:rPr>
      </w:pPr>
      <w:permStart w:id="603860191" w:edGrp="everyone"/>
      <w:r w:rsidRPr="008B2B82">
        <w:rPr>
          <w:b/>
          <w:bCs/>
          <w:lang w:val="en-BE"/>
        </w:rPr>
        <w:t xml:space="preserve">1.Register </w:t>
      </w:r>
    </w:p>
    <w:p w14:paraId="2AADF9E4" w14:textId="22C9F1E5" w:rsidR="008B2B82" w:rsidRDefault="008B2B82" w:rsidP="00D83914">
      <w:pPr>
        <w:spacing w:line="276" w:lineRule="auto"/>
        <w:ind w:left="360"/>
        <w:rPr>
          <w:rFonts w:ascii="Arial" w:eastAsiaTheme="minorEastAsia" w:hAnsi="Arial" w:cs="Arial"/>
          <w:sz w:val="22"/>
          <w:szCs w:val="20"/>
          <w:lang w:val="en-BE" w:eastAsia="en-US"/>
        </w:rPr>
      </w:pPr>
      <w:r>
        <w:rPr>
          <w:rFonts w:ascii="Arial" w:eastAsiaTheme="minorEastAsia" w:hAnsi="Arial" w:cs="Arial"/>
          <w:sz w:val="22"/>
          <w:szCs w:val="20"/>
          <w:lang w:val="en-BE" w:eastAsia="en-US"/>
        </w:rPr>
        <w:t>We welcome the acknowledgment of EBA GL para. 53 to 56 regarding an outsourcing register. The importance of such register is reflected by proactive and cross-industry work of the EBF Cloud Banking Forum</w:t>
      </w:r>
      <w:r w:rsidR="00307C90">
        <w:rPr>
          <w:rFonts w:ascii="Arial" w:eastAsiaTheme="minorEastAsia" w:hAnsi="Arial" w:cs="Arial"/>
          <w:sz w:val="22"/>
          <w:szCs w:val="20"/>
          <w:lang w:val="en-BE" w:eastAsia="en-US"/>
        </w:rPr>
        <w:t>,</w:t>
      </w:r>
      <w:r>
        <w:rPr>
          <w:rFonts w:ascii="Arial" w:eastAsiaTheme="minorEastAsia" w:hAnsi="Arial" w:cs="Arial"/>
          <w:sz w:val="22"/>
          <w:szCs w:val="20"/>
          <w:lang w:val="en-BE" w:eastAsia="en-US"/>
        </w:rPr>
        <w:t xml:space="preserve"> based on the EBA GL</w:t>
      </w:r>
      <w:r w:rsidR="008B4554">
        <w:rPr>
          <w:rFonts w:ascii="Arial" w:eastAsiaTheme="minorEastAsia" w:hAnsi="Arial" w:cs="Arial"/>
          <w:sz w:val="22"/>
          <w:szCs w:val="20"/>
          <w:lang w:val="en-BE" w:eastAsia="en-US"/>
        </w:rPr>
        <w:t>. It offers</w:t>
      </w:r>
      <w:r>
        <w:rPr>
          <w:rFonts w:ascii="Arial" w:eastAsiaTheme="minorEastAsia" w:hAnsi="Arial" w:cs="Arial"/>
          <w:sz w:val="22"/>
          <w:szCs w:val="20"/>
          <w:lang w:val="en-BE" w:eastAsia="en-US"/>
        </w:rPr>
        <w:t xml:space="preserve"> technical guidance to national supervisors, </w:t>
      </w:r>
      <w:proofErr w:type="spellStart"/>
      <w:r>
        <w:rPr>
          <w:rFonts w:ascii="Arial" w:eastAsiaTheme="minorEastAsia" w:hAnsi="Arial" w:cs="Arial"/>
          <w:sz w:val="22"/>
          <w:szCs w:val="20"/>
          <w:lang w:val="en-BE" w:eastAsia="en-US"/>
        </w:rPr>
        <w:t>CSPs</w:t>
      </w:r>
      <w:proofErr w:type="spellEnd"/>
      <w:r>
        <w:rPr>
          <w:rFonts w:ascii="Arial" w:eastAsiaTheme="minorEastAsia" w:hAnsi="Arial" w:cs="Arial"/>
          <w:sz w:val="22"/>
          <w:szCs w:val="20"/>
          <w:lang w:val="en-BE" w:eastAsia="en-US"/>
        </w:rPr>
        <w:t xml:space="preserve"> and banks by means of a register template </w:t>
      </w:r>
      <w:r w:rsidRPr="00C60444">
        <w:rPr>
          <w:rFonts w:ascii="Arial" w:eastAsiaTheme="minorEastAsia" w:hAnsi="Arial" w:cs="Arial"/>
          <w:sz w:val="22"/>
          <w:szCs w:val="20"/>
          <w:lang w:val="en-BE" w:eastAsia="en-US"/>
        </w:rPr>
        <w:t>(</w:t>
      </w:r>
      <w:hyperlink r:id="rId20" w:history="1">
        <w:r w:rsidRPr="00C60444">
          <w:rPr>
            <w:rStyle w:val="Hyperlink"/>
            <w:rFonts w:ascii="Arial" w:eastAsiaTheme="minorEastAsia" w:hAnsi="Arial" w:cs="Arial"/>
            <w:sz w:val="22"/>
            <w:szCs w:val="20"/>
            <w:lang w:val="en-BE" w:eastAsia="en-US"/>
          </w:rPr>
          <w:t>download here</w:t>
        </w:r>
      </w:hyperlink>
      <w:r>
        <w:rPr>
          <w:rFonts w:ascii="Arial" w:eastAsiaTheme="minorEastAsia" w:hAnsi="Arial" w:cs="Arial"/>
          <w:sz w:val="22"/>
          <w:szCs w:val="20"/>
          <w:lang w:val="en-BE" w:eastAsia="en-US"/>
        </w:rPr>
        <w:t xml:space="preserve">). However, ESMA now </w:t>
      </w:r>
      <w:r w:rsidR="008B4554">
        <w:rPr>
          <w:rFonts w:ascii="Arial" w:eastAsiaTheme="minorEastAsia" w:hAnsi="Arial" w:cs="Arial"/>
          <w:sz w:val="22"/>
          <w:szCs w:val="20"/>
          <w:lang w:val="en-BE" w:eastAsia="en-US"/>
        </w:rPr>
        <w:t xml:space="preserve">also </w:t>
      </w:r>
      <w:r>
        <w:rPr>
          <w:rFonts w:ascii="Arial" w:eastAsiaTheme="minorEastAsia" w:hAnsi="Arial" w:cs="Arial"/>
          <w:sz w:val="22"/>
          <w:szCs w:val="20"/>
          <w:lang w:val="en-BE" w:eastAsia="en-US"/>
        </w:rPr>
        <w:t xml:space="preserve">aims for a record of terminated cloud outsourcing arrangements for an appropriate </w:t>
      </w:r>
      <w:proofErr w:type="gramStart"/>
      <w:r>
        <w:rPr>
          <w:rFonts w:ascii="Arial" w:eastAsiaTheme="minorEastAsia" w:hAnsi="Arial" w:cs="Arial"/>
          <w:sz w:val="22"/>
          <w:szCs w:val="20"/>
          <w:lang w:val="en-BE" w:eastAsia="en-US"/>
        </w:rPr>
        <w:t>period of time</w:t>
      </w:r>
      <w:proofErr w:type="gramEnd"/>
      <w:r>
        <w:rPr>
          <w:rFonts w:ascii="Arial" w:eastAsiaTheme="minorEastAsia" w:hAnsi="Arial" w:cs="Arial"/>
          <w:sz w:val="22"/>
          <w:szCs w:val="20"/>
          <w:lang w:val="en-BE" w:eastAsia="en-US"/>
        </w:rPr>
        <w:t xml:space="preserve"> in accordance with local law (Guideline 1.28). We encourage ESMA to elaborate on the reason for such additional requirement, considered that terminated arrangements do not play into the actual existing risk under the risk-based approach to cloud adoption and supervision. </w:t>
      </w:r>
    </w:p>
    <w:p w14:paraId="6F585FD0" w14:textId="77777777" w:rsidR="008B2B82" w:rsidRDefault="008B2B82" w:rsidP="00D83914">
      <w:pPr>
        <w:spacing w:line="276" w:lineRule="auto"/>
        <w:ind w:left="360"/>
        <w:rPr>
          <w:rFonts w:ascii="Arial" w:eastAsiaTheme="minorEastAsia" w:hAnsi="Arial" w:cs="Arial"/>
          <w:sz w:val="22"/>
          <w:szCs w:val="20"/>
          <w:lang w:val="en-BE" w:eastAsia="en-US"/>
        </w:rPr>
      </w:pPr>
    </w:p>
    <w:p w14:paraId="2C60B369" w14:textId="2F89671D" w:rsidR="008B2B82" w:rsidRDefault="008B2B82" w:rsidP="00D83914">
      <w:pPr>
        <w:spacing w:line="276" w:lineRule="auto"/>
        <w:ind w:left="360"/>
        <w:rPr>
          <w:rFonts w:ascii="Arial" w:eastAsiaTheme="minorEastAsia" w:hAnsi="Arial" w:cs="Arial"/>
          <w:sz w:val="22"/>
          <w:szCs w:val="20"/>
          <w:lang w:val="en-BE" w:eastAsia="en-US"/>
        </w:rPr>
      </w:pPr>
      <w:r>
        <w:rPr>
          <w:rFonts w:ascii="Arial" w:eastAsiaTheme="minorEastAsia" w:hAnsi="Arial" w:cs="Arial"/>
          <w:sz w:val="22"/>
          <w:szCs w:val="20"/>
          <w:lang w:val="en-BE" w:eastAsia="en-US"/>
        </w:rPr>
        <w:t xml:space="preserve">As reflected by the </w:t>
      </w:r>
      <w:proofErr w:type="spellStart"/>
      <w:r>
        <w:rPr>
          <w:rFonts w:ascii="Arial" w:eastAsiaTheme="minorEastAsia" w:hAnsi="Arial" w:cs="Arial"/>
          <w:sz w:val="22"/>
          <w:szCs w:val="20"/>
          <w:lang w:val="en-BE" w:eastAsia="en-US"/>
        </w:rPr>
        <w:t>EBF’s</w:t>
      </w:r>
      <w:proofErr w:type="spellEnd"/>
      <w:r>
        <w:rPr>
          <w:rFonts w:ascii="Arial" w:eastAsiaTheme="minorEastAsia" w:hAnsi="Arial" w:cs="Arial"/>
          <w:sz w:val="22"/>
          <w:szCs w:val="20"/>
          <w:lang w:val="en-BE" w:eastAsia="en-US"/>
        </w:rPr>
        <w:t xml:space="preserve"> dedication to a harmonized application of the register guidance fields</w:t>
      </w:r>
      <w:r w:rsidR="008B4554">
        <w:rPr>
          <w:rFonts w:ascii="Arial" w:eastAsiaTheme="minorEastAsia" w:hAnsi="Arial" w:cs="Arial"/>
          <w:sz w:val="22"/>
          <w:szCs w:val="20"/>
          <w:lang w:val="en-BE" w:eastAsia="en-US"/>
        </w:rPr>
        <w:t xml:space="preserve"> (see above mentioned template)</w:t>
      </w:r>
      <w:r>
        <w:rPr>
          <w:rFonts w:ascii="Arial" w:eastAsiaTheme="minorEastAsia" w:hAnsi="Arial" w:cs="Arial"/>
          <w:sz w:val="22"/>
          <w:szCs w:val="20"/>
          <w:lang w:val="en-BE" w:eastAsia="en-US"/>
        </w:rPr>
        <w:t>, it is important for financial institutions to face a consistent set of register requirements, allowing to provide the necessary information under a risk-based approach. However, E</w:t>
      </w:r>
      <w:r w:rsidR="008B4554">
        <w:rPr>
          <w:rFonts w:ascii="Arial" w:eastAsiaTheme="minorEastAsia" w:hAnsi="Arial" w:cs="Arial"/>
          <w:sz w:val="22"/>
          <w:szCs w:val="20"/>
          <w:lang w:val="en-BE" w:eastAsia="en-US"/>
        </w:rPr>
        <w:t>SM</w:t>
      </w:r>
      <w:r>
        <w:rPr>
          <w:rFonts w:ascii="Arial" w:eastAsiaTheme="minorEastAsia" w:hAnsi="Arial" w:cs="Arial"/>
          <w:sz w:val="22"/>
          <w:szCs w:val="20"/>
          <w:lang w:val="en-BE" w:eastAsia="en-US"/>
        </w:rPr>
        <w:t xml:space="preserve">A Guideline 1.29 introduces additional fields compared to the EBA GL. Forcing banks to create and maintain different register sets for cloud outsourcing (and </w:t>
      </w:r>
      <w:proofErr w:type="spellStart"/>
      <w:r>
        <w:rPr>
          <w:rFonts w:ascii="Arial" w:eastAsiaTheme="minorEastAsia" w:hAnsi="Arial" w:cs="Arial"/>
          <w:sz w:val="22"/>
          <w:szCs w:val="20"/>
          <w:lang w:val="en-BE" w:eastAsia="en-US"/>
        </w:rPr>
        <w:t>outsouring</w:t>
      </w:r>
      <w:proofErr w:type="spellEnd"/>
      <w:r>
        <w:rPr>
          <w:rFonts w:ascii="Arial" w:eastAsiaTheme="minorEastAsia" w:hAnsi="Arial" w:cs="Arial"/>
          <w:sz w:val="22"/>
          <w:szCs w:val="20"/>
          <w:lang w:val="en-BE" w:eastAsia="en-US"/>
        </w:rPr>
        <w:t xml:space="preserve"> under EBA GL beyond cloud) creates disproportionate burden for the firms. We call upon ESMA to align the register fields with the EBA register. The latter sufficiently reflects the risk-based approach, offering necessary information on cloud outsourcing. A single set of requirements, as established by EBA, serves sufficiently well. Hence, we encourage a close </w:t>
      </w:r>
      <w:r w:rsidR="008B4554">
        <w:rPr>
          <w:rFonts w:ascii="Arial" w:eastAsiaTheme="minorEastAsia" w:hAnsi="Arial" w:cs="Arial"/>
          <w:sz w:val="22"/>
          <w:szCs w:val="20"/>
          <w:lang w:val="en-BE" w:eastAsia="en-US"/>
        </w:rPr>
        <w:t>alignment</w:t>
      </w:r>
      <w:r>
        <w:rPr>
          <w:rFonts w:ascii="Arial" w:eastAsiaTheme="minorEastAsia" w:hAnsi="Arial" w:cs="Arial"/>
          <w:sz w:val="22"/>
          <w:szCs w:val="20"/>
          <w:lang w:val="en-BE" w:eastAsia="en-US"/>
        </w:rPr>
        <w:t>.</w:t>
      </w:r>
    </w:p>
    <w:p w14:paraId="4545816D" w14:textId="77777777" w:rsidR="008B4554" w:rsidRDefault="008B4554" w:rsidP="00D83914">
      <w:pPr>
        <w:spacing w:line="276" w:lineRule="auto"/>
        <w:ind w:left="360"/>
        <w:rPr>
          <w:rFonts w:ascii="Arial" w:eastAsiaTheme="minorEastAsia" w:hAnsi="Arial" w:cs="Arial"/>
          <w:sz w:val="22"/>
          <w:szCs w:val="20"/>
          <w:lang w:val="en-BE" w:eastAsia="en-US"/>
        </w:rPr>
      </w:pPr>
    </w:p>
    <w:p w14:paraId="14CF9EEF" w14:textId="79D489DC" w:rsidR="008B2B82" w:rsidRDefault="008B2B82" w:rsidP="00D83914">
      <w:pPr>
        <w:spacing w:line="276" w:lineRule="auto"/>
        <w:ind w:left="360"/>
        <w:rPr>
          <w:rFonts w:ascii="Arial" w:eastAsiaTheme="minorEastAsia" w:hAnsi="Arial" w:cs="Arial"/>
          <w:sz w:val="22"/>
          <w:szCs w:val="20"/>
          <w:lang w:val="en-BE" w:eastAsia="en-US"/>
        </w:rPr>
      </w:pPr>
      <w:r>
        <w:rPr>
          <w:rFonts w:ascii="Arial" w:eastAsiaTheme="minorEastAsia" w:hAnsi="Arial" w:cs="Arial"/>
          <w:sz w:val="22"/>
          <w:szCs w:val="20"/>
          <w:lang w:val="en-BE" w:eastAsia="en-US"/>
        </w:rPr>
        <w:t xml:space="preserve">Should ESMA nevertheless feel a need for the register deviations, we invite it to provide more clarity – e.g. examples </w:t>
      </w:r>
      <w:r w:rsidR="002849A9">
        <w:rPr>
          <w:rFonts w:ascii="Arial" w:eastAsiaTheme="minorEastAsia" w:hAnsi="Arial" w:cs="Arial"/>
          <w:sz w:val="22"/>
          <w:szCs w:val="20"/>
          <w:lang w:val="en-BE" w:eastAsia="en-US"/>
        </w:rPr>
        <w:t>on the points</w:t>
      </w:r>
      <w:r>
        <w:rPr>
          <w:rFonts w:ascii="Arial" w:eastAsiaTheme="minorEastAsia" w:hAnsi="Arial" w:cs="Arial"/>
          <w:sz w:val="22"/>
          <w:szCs w:val="20"/>
          <w:lang w:val="en-BE" w:eastAsia="en-US"/>
        </w:rPr>
        <w:t xml:space="preserve"> indi</w:t>
      </w:r>
      <w:r w:rsidR="00DB2610">
        <w:rPr>
          <w:rFonts w:ascii="Arial" w:eastAsiaTheme="minorEastAsia" w:hAnsi="Arial" w:cs="Arial"/>
          <w:sz w:val="22"/>
          <w:szCs w:val="20"/>
          <w:lang w:val="en-BE" w:eastAsia="en-US"/>
        </w:rPr>
        <w:t>c</w:t>
      </w:r>
      <w:r>
        <w:rPr>
          <w:rFonts w:ascii="Arial" w:eastAsiaTheme="minorEastAsia" w:hAnsi="Arial" w:cs="Arial"/>
          <w:sz w:val="22"/>
          <w:szCs w:val="20"/>
          <w:lang w:val="en-BE" w:eastAsia="en-US"/>
        </w:rPr>
        <w:t>ated below – on why and how these register fields should be provided additionally to/different from today’s EBA register:</w:t>
      </w:r>
    </w:p>
    <w:p w14:paraId="456E97C8" w14:textId="77777777" w:rsidR="008B2B82" w:rsidRPr="00C91293" w:rsidRDefault="008B2B82" w:rsidP="00D83914">
      <w:pPr>
        <w:pStyle w:val="ListParagraph"/>
        <w:numPr>
          <w:ilvl w:val="1"/>
          <w:numId w:val="21"/>
        </w:numPr>
        <w:spacing w:line="276" w:lineRule="auto"/>
      </w:pPr>
      <w:r w:rsidRPr="00C91293">
        <w:rPr>
          <w:b/>
          <w:bCs/>
        </w:rPr>
        <w:t>Guideline 1. 28:</w:t>
      </w:r>
      <w:r w:rsidRPr="00C91293">
        <w:t>  Brief summary of rationale for critical classification to be included</w:t>
      </w:r>
    </w:p>
    <w:p w14:paraId="50AF4119" w14:textId="02370B53" w:rsidR="00DB2610" w:rsidRPr="00DB2610" w:rsidRDefault="00DB2610" w:rsidP="00D83914">
      <w:pPr>
        <w:pStyle w:val="ListParagraph"/>
        <w:numPr>
          <w:ilvl w:val="1"/>
          <w:numId w:val="21"/>
        </w:numPr>
        <w:spacing w:line="276" w:lineRule="auto"/>
      </w:pPr>
      <w:r>
        <w:rPr>
          <w:b/>
          <w:bCs/>
          <w:lang w:val="en-BE"/>
        </w:rPr>
        <w:t xml:space="preserve">Guideline 1.29 </w:t>
      </w:r>
      <w:proofErr w:type="gramStart"/>
      <w:r w:rsidR="008B2B82" w:rsidRPr="00C56C69">
        <w:rPr>
          <w:b/>
          <w:bCs/>
        </w:rPr>
        <w:t>( e</w:t>
      </w:r>
      <w:proofErr w:type="gramEnd"/>
      <w:r w:rsidR="008B2B82" w:rsidRPr="00C56C69">
        <w:rPr>
          <w:b/>
          <w:bCs/>
        </w:rPr>
        <w:t xml:space="preserve"> ):</w:t>
      </w:r>
      <w:r w:rsidR="008B2B82" w:rsidRPr="00C56C69">
        <w:t xml:space="preserve"> </w:t>
      </w:r>
      <w:r w:rsidR="008B2B82" w:rsidRPr="00C56C69">
        <w:rPr>
          <w:i/>
          <w:iCs/>
        </w:rPr>
        <w:t>‘whether the outsourced critical or important function supports business operations that are time-critical’</w:t>
      </w:r>
      <w:r w:rsidR="008B2B82" w:rsidRPr="00C56C69">
        <w:t>.</w:t>
      </w:r>
      <w:r w:rsidR="008B2B82" w:rsidRPr="00C56C69">
        <w:rPr>
          <w:b/>
          <w:bCs/>
        </w:rPr>
        <w:t xml:space="preserve"> </w:t>
      </w:r>
    </w:p>
    <w:p w14:paraId="7C10FDDA" w14:textId="2CC3054E" w:rsidR="008B2B82" w:rsidRPr="00C56C69" w:rsidRDefault="008B2B82" w:rsidP="00DB2610">
      <w:pPr>
        <w:pStyle w:val="ListParagraph"/>
        <w:numPr>
          <w:ilvl w:val="0"/>
          <w:numId w:val="0"/>
        </w:numPr>
        <w:spacing w:line="276" w:lineRule="auto"/>
        <w:ind w:left="1440"/>
      </w:pPr>
      <w:r w:rsidRPr="00C56C69">
        <w:t>We welcome ESMAs view as to whether a recovery time threshold, criticality rating and or RRP rating would suffice</w:t>
      </w:r>
      <w:r w:rsidRPr="00C56C69">
        <w:rPr>
          <w:lang w:val="en-BE"/>
        </w:rPr>
        <w:t>.</w:t>
      </w:r>
    </w:p>
    <w:p w14:paraId="32E79BE4" w14:textId="3D370749" w:rsidR="008B2B82" w:rsidRPr="00C56C69" w:rsidRDefault="00DB2610" w:rsidP="00D83914">
      <w:pPr>
        <w:pStyle w:val="ListParagraph"/>
        <w:numPr>
          <w:ilvl w:val="1"/>
          <w:numId w:val="21"/>
        </w:numPr>
        <w:spacing w:line="276" w:lineRule="auto"/>
        <w:rPr>
          <w:sz w:val="21"/>
          <w:szCs w:val="21"/>
        </w:rPr>
      </w:pPr>
      <w:r>
        <w:rPr>
          <w:b/>
          <w:bCs/>
          <w:lang w:val="en-BE"/>
        </w:rPr>
        <w:t>Guideline 1.29</w:t>
      </w:r>
      <w:r w:rsidRPr="00C56C69">
        <w:rPr>
          <w:b/>
          <w:bCs/>
          <w:sz w:val="21"/>
          <w:szCs w:val="21"/>
          <w:lang w:val="en-BE"/>
        </w:rPr>
        <w:t xml:space="preserve"> </w:t>
      </w:r>
      <w:r w:rsidR="008B2B82" w:rsidRPr="00C56C69">
        <w:rPr>
          <w:b/>
          <w:bCs/>
          <w:sz w:val="21"/>
          <w:szCs w:val="21"/>
          <w:lang w:val="en-BE"/>
        </w:rPr>
        <w:t>(f)</w:t>
      </w:r>
      <w:r w:rsidR="008B2B82" w:rsidRPr="00C56C69">
        <w:rPr>
          <w:sz w:val="21"/>
          <w:szCs w:val="21"/>
          <w:lang w:val="en-BE"/>
        </w:rPr>
        <w:t xml:space="preserve"> </w:t>
      </w:r>
      <w:r>
        <w:rPr>
          <w:lang w:val="en-BE"/>
        </w:rPr>
        <w:t>“</w:t>
      </w:r>
      <w:r w:rsidR="008B2B82" w:rsidRPr="00DB2610">
        <w:rPr>
          <w:i/>
          <w:iCs/>
          <w:lang w:val="en-US"/>
        </w:rPr>
        <w:t>name and brand name</w:t>
      </w:r>
      <w:r>
        <w:rPr>
          <w:lang w:val="en-BE"/>
        </w:rPr>
        <w:t>”</w:t>
      </w:r>
      <w:r w:rsidR="008B2B82" w:rsidRPr="00C56C69">
        <w:rPr>
          <w:lang w:val="en-US"/>
        </w:rPr>
        <w:t xml:space="preserve"> of provider</w:t>
      </w:r>
    </w:p>
    <w:p w14:paraId="25AE6A42" w14:textId="64D273D1" w:rsidR="00DB2610" w:rsidRPr="00DB2610" w:rsidRDefault="00DB2610" w:rsidP="00D83914">
      <w:pPr>
        <w:pStyle w:val="ListParagraph"/>
        <w:numPr>
          <w:ilvl w:val="1"/>
          <w:numId w:val="21"/>
        </w:numPr>
        <w:spacing w:line="276" w:lineRule="auto"/>
      </w:pPr>
      <w:r>
        <w:rPr>
          <w:b/>
          <w:bCs/>
          <w:lang w:val="en-BE"/>
        </w:rPr>
        <w:t>Guideline 1.29</w:t>
      </w:r>
      <w:r w:rsidRPr="00C56C69">
        <w:rPr>
          <w:b/>
          <w:bCs/>
        </w:rPr>
        <w:t xml:space="preserve"> </w:t>
      </w:r>
      <w:r w:rsidR="008B2B82" w:rsidRPr="00C56C69">
        <w:rPr>
          <w:b/>
          <w:bCs/>
        </w:rPr>
        <w:t>(g):</w:t>
      </w:r>
      <w:r w:rsidR="008B2B82" w:rsidRPr="00C56C69">
        <w:t xml:space="preserve"> </w:t>
      </w:r>
      <w:r w:rsidR="008B2B82" w:rsidRPr="00C56C69">
        <w:rPr>
          <w:i/>
          <w:iCs/>
        </w:rPr>
        <w:t>“the governing law of the cloud outsourcing arrangement and, if any, the choice of jurisdiction.”</w:t>
      </w:r>
      <w:r w:rsidR="008B2B82" w:rsidRPr="00C56C69">
        <w:rPr>
          <w:b/>
          <w:bCs/>
        </w:rPr>
        <w:t xml:space="preserve"> </w:t>
      </w:r>
    </w:p>
    <w:p w14:paraId="7A5451DE" w14:textId="7554B2A6" w:rsidR="008B2B82" w:rsidRPr="00C56C69" w:rsidRDefault="00DB2610" w:rsidP="00DB2610">
      <w:pPr>
        <w:pStyle w:val="ListParagraph"/>
        <w:numPr>
          <w:ilvl w:val="0"/>
          <w:numId w:val="0"/>
        </w:numPr>
        <w:spacing w:line="276" w:lineRule="auto"/>
        <w:ind w:left="1440"/>
      </w:pPr>
      <w:r>
        <w:rPr>
          <w:lang w:val="en-BE"/>
        </w:rPr>
        <w:t>We encourage</w:t>
      </w:r>
      <w:r w:rsidR="008B2B82" w:rsidRPr="00C56C69">
        <w:t xml:space="preserve"> clarity with respect to the choice of jurisdiction, on </w:t>
      </w:r>
      <w:r w:rsidR="008B2B82" w:rsidRPr="00C56C69">
        <w:rPr>
          <w:b/>
          <w:bCs/>
        </w:rPr>
        <w:t>(</w:t>
      </w:r>
      <w:proofErr w:type="spellStart"/>
      <w:r w:rsidR="008B2B82" w:rsidRPr="00C56C69">
        <w:rPr>
          <w:b/>
          <w:bCs/>
        </w:rPr>
        <w:t>i</w:t>
      </w:r>
      <w:proofErr w:type="spellEnd"/>
      <w:r w:rsidR="008B2B82" w:rsidRPr="00C56C69">
        <w:rPr>
          <w:b/>
          <w:bCs/>
        </w:rPr>
        <w:t>)</w:t>
      </w:r>
      <w:r w:rsidR="008B2B82" w:rsidRPr="00C56C69">
        <w:t xml:space="preserve"> how this should be addressed in relation to </w:t>
      </w:r>
      <w:r>
        <w:rPr>
          <w:lang w:val="en-BE"/>
        </w:rPr>
        <w:t>t</w:t>
      </w:r>
      <w:proofErr w:type="spellStart"/>
      <w:r w:rsidR="008B2B82" w:rsidRPr="00C56C69">
        <w:t>hird</w:t>
      </w:r>
      <w:proofErr w:type="spellEnd"/>
      <w:r w:rsidR="008B2B82" w:rsidRPr="00C56C69">
        <w:t xml:space="preserve"> </w:t>
      </w:r>
      <w:r>
        <w:rPr>
          <w:lang w:val="en-BE"/>
        </w:rPr>
        <w:t>c</w:t>
      </w:r>
      <w:proofErr w:type="spellStart"/>
      <w:r w:rsidR="008B2B82" w:rsidRPr="00C56C69">
        <w:t>ountries</w:t>
      </w:r>
      <w:proofErr w:type="spellEnd"/>
      <w:r w:rsidR="008B2B82" w:rsidRPr="00C56C69">
        <w:t xml:space="preserve"> and </w:t>
      </w:r>
      <w:r w:rsidR="008B2B82" w:rsidRPr="00C56C69">
        <w:rPr>
          <w:b/>
          <w:bCs/>
        </w:rPr>
        <w:t>(ii)</w:t>
      </w:r>
      <w:r w:rsidR="008B2B82" w:rsidRPr="00C56C69">
        <w:t xml:space="preserve"> if the EBA </w:t>
      </w:r>
      <w:r w:rsidR="00B67E38">
        <w:rPr>
          <w:lang w:val="en-BE"/>
        </w:rPr>
        <w:t>GL</w:t>
      </w:r>
      <w:r w:rsidR="008B2B82" w:rsidRPr="00C56C69">
        <w:t xml:space="preserve"> </w:t>
      </w:r>
      <w:r>
        <w:rPr>
          <w:lang w:val="en-BE"/>
        </w:rPr>
        <w:t>are intended to</w:t>
      </w:r>
      <w:r w:rsidR="008B2B82" w:rsidRPr="00C56C69">
        <w:t xml:space="preserve"> prevail on this point. </w:t>
      </w:r>
    </w:p>
    <w:p w14:paraId="5938B15D" w14:textId="5E61EA60" w:rsidR="008B2B82" w:rsidRPr="00C91293" w:rsidRDefault="00DB2610" w:rsidP="00D83914">
      <w:pPr>
        <w:pStyle w:val="ListParagraph"/>
        <w:numPr>
          <w:ilvl w:val="1"/>
          <w:numId w:val="21"/>
        </w:numPr>
        <w:spacing w:line="276" w:lineRule="auto"/>
      </w:pPr>
      <w:r>
        <w:rPr>
          <w:b/>
          <w:bCs/>
          <w:lang w:val="en-BE"/>
        </w:rPr>
        <w:t>Guideline 1.29</w:t>
      </w:r>
      <w:r w:rsidRPr="00C91293">
        <w:rPr>
          <w:b/>
          <w:bCs/>
        </w:rPr>
        <w:t xml:space="preserve"> </w:t>
      </w:r>
      <w:r w:rsidR="008B2B82" w:rsidRPr="00C91293">
        <w:rPr>
          <w:b/>
          <w:bCs/>
        </w:rPr>
        <w:t xml:space="preserve">(h): </w:t>
      </w:r>
      <w:r w:rsidR="008B2B82" w:rsidRPr="00C91293">
        <w:t>Confirm data processing location (in addition to data transfer/storage)</w:t>
      </w:r>
    </w:p>
    <w:p w14:paraId="00D2E3A6" w14:textId="77777777" w:rsidR="00DB2610" w:rsidRDefault="00DB2610" w:rsidP="00D83914">
      <w:pPr>
        <w:pStyle w:val="ListParagraph"/>
        <w:numPr>
          <w:ilvl w:val="1"/>
          <w:numId w:val="21"/>
        </w:numPr>
        <w:spacing w:line="276" w:lineRule="auto"/>
        <w:rPr>
          <w:b/>
          <w:bCs/>
        </w:rPr>
      </w:pPr>
      <w:r>
        <w:rPr>
          <w:b/>
          <w:bCs/>
          <w:lang w:val="en-BE"/>
        </w:rPr>
        <w:t>Guideline 1.29</w:t>
      </w:r>
      <w:r w:rsidRPr="00C56C69">
        <w:rPr>
          <w:b/>
          <w:bCs/>
        </w:rPr>
        <w:t xml:space="preserve"> </w:t>
      </w:r>
      <w:r w:rsidR="008B2B82" w:rsidRPr="00C56C69">
        <w:rPr>
          <w:b/>
          <w:bCs/>
        </w:rPr>
        <w:t>(</w:t>
      </w:r>
      <w:proofErr w:type="spellStart"/>
      <w:r w:rsidR="008B2B82" w:rsidRPr="00C56C69">
        <w:rPr>
          <w:b/>
          <w:bCs/>
        </w:rPr>
        <w:t>i</w:t>
      </w:r>
      <w:proofErr w:type="spellEnd"/>
      <w:r w:rsidR="008B2B82" w:rsidRPr="00C56C69">
        <w:rPr>
          <w:b/>
          <w:bCs/>
        </w:rPr>
        <w:t xml:space="preserve">): </w:t>
      </w:r>
      <w:r w:rsidR="008B2B82" w:rsidRPr="00C56C69">
        <w:t>“…names of any sub-outsourcer to which material parts of a critical or important function are sub-outsourced, including the countries where the sub-outsourcers are registered, where the sub-outsourced service will be performed, where the data will be stored and where the data may be processed;”</w:t>
      </w:r>
      <w:r w:rsidR="008B2B82" w:rsidRPr="00C56C69">
        <w:rPr>
          <w:b/>
          <w:bCs/>
        </w:rPr>
        <w:t xml:space="preserve"> </w:t>
      </w:r>
    </w:p>
    <w:p w14:paraId="0FD59BE6" w14:textId="5D7EDA9E" w:rsidR="008B2B82" w:rsidRPr="00C56C69" w:rsidRDefault="00DB2610" w:rsidP="00DB2610">
      <w:pPr>
        <w:pStyle w:val="ListParagraph"/>
        <w:numPr>
          <w:ilvl w:val="0"/>
          <w:numId w:val="0"/>
        </w:numPr>
        <w:spacing w:line="276" w:lineRule="auto"/>
        <w:ind w:left="1440"/>
        <w:rPr>
          <w:b/>
          <w:bCs/>
        </w:rPr>
      </w:pPr>
      <w:r w:rsidRPr="00DB2610">
        <w:rPr>
          <w:lang w:val="en-BE"/>
        </w:rPr>
        <w:t>We invite</w:t>
      </w:r>
      <w:r>
        <w:rPr>
          <w:b/>
          <w:bCs/>
          <w:lang w:val="en-BE"/>
        </w:rPr>
        <w:t xml:space="preserve"> </w:t>
      </w:r>
      <w:r w:rsidR="008B2B82" w:rsidRPr="00C56C69">
        <w:t>ESMA to provide examples</w:t>
      </w:r>
      <w:r w:rsidR="008B2B82" w:rsidRPr="00C56C69">
        <w:rPr>
          <w:lang w:val="en-BE"/>
        </w:rPr>
        <w:t xml:space="preserve">. </w:t>
      </w:r>
    </w:p>
    <w:p w14:paraId="49287DCB" w14:textId="77777777" w:rsidR="00DB2610" w:rsidRPr="00DB2610" w:rsidRDefault="00DB2610" w:rsidP="00D83914">
      <w:pPr>
        <w:pStyle w:val="ListParagraph"/>
        <w:numPr>
          <w:ilvl w:val="1"/>
          <w:numId w:val="21"/>
        </w:numPr>
        <w:spacing w:line="276" w:lineRule="auto"/>
        <w:rPr>
          <w:b/>
          <w:bCs/>
        </w:rPr>
      </w:pPr>
      <w:r>
        <w:rPr>
          <w:b/>
          <w:bCs/>
          <w:lang w:val="en-BE"/>
        </w:rPr>
        <w:t>Guideline 1.29</w:t>
      </w:r>
      <w:r w:rsidRPr="00C56C69">
        <w:rPr>
          <w:b/>
          <w:bCs/>
        </w:rPr>
        <w:t xml:space="preserve"> </w:t>
      </w:r>
      <w:r w:rsidR="008B2B82" w:rsidRPr="00C56C69">
        <w:rPr>
          <w:b/>
          <w:bCs/>
        </w:rPr>
        <w:t>(m)</w:t>
      </w:r>
      <w:r w:rsidR="008B2B82" w:rsidRPr="00C56C69">
        <w:t xml:space="preserve"> </w:t>
      </w:r>
      <w:r w:rsidR="008B2B82" w:rsidRPr="00C56C69">
        <w:rPr>
          <w:i/>
          <w:iCs/>
        </w:rPr>
        <w:t>“the estimated annual budget cost, excluding VAT, of the cloud outsourcing arrangement”</w:t>
      </w:r>
      <w:r w:rsidR="008B2B82" w:rsidRPr="00C56C69">
        <w:t xml:space="preserve">. </w:t>
      </w:r>
    </w:p>
    <w:p w14:paraId="10CA8FEA" w14:textId="556479F7" w:rsidR="008B2B82" w:rsidRPr="00C56C69" w:rsidRDefault="008B2B82" w:rsidP="00DB2610">
      <w:pPr>
        <w:pStyle w:val="ListParagraph"/>
        <w:numPr>
          <w:ilvl w:val="0"/>
          <w:numId w:val="0"/>
        </w:numPr>
        <w:spacing w:line="276" w:lineRule="auto"/>
        <w:ind w:left="1440"/>
        <w:rPr>
          <w:b/>
          <w:bCs/>
        </w:rPr>
      </w:pPr>
      <w:r w:rsidRPr="00C56C69">
        <w:t>EBA GL para. 54, 55</w:t>
      </w:r>
      <w:r w:rsidRPr="00C56C69">
        <w:rPr>
          <w:lang w:val="en-BE"/>
        </w:rPr>
        <w:t xml:space="preserve"> does not explicitly exclude VAT. A </w:t>
      </w:r>
      <w:proofErr w:type="spellStart"/>
      <w:r w:rsidRPr="00C56C69">
        <w:rPr>
          <w:lang w:val="en-BE"/>
        </w:rPr>
        <w:t>diviation</w:t>
      </w:r>
      <w:proofErr w:type="spellEnd"/>
      <w:r w:rsidRPr="00C56C69">
        <w:rPr>
          <w:lang w:val="en-BE"/>
        </w:rPr>
        <w:t xml:space="preserve"> between the different GL creates detrimental burden for firms’ reporting procedure, introducing an unnecessary </w:t>
      </w:r>
      <w:r w:rsidR="00B84128">
        <w:rPr>
          <w:lang w:val="en-BE"/>
        </w:rPr>
        <w:t>chance</w:t>
      </w:r>
      <w:r w:rsidRPr="00C56C69">
        <w:rPr>
          <w:lang w:val="en-BE"/>
        </w:rPr>
        <w:t xml:space="preserve"> for </w:t>
      </w:r>
      <w:r w:rsidR="00B84128">
        <w:rPr>
          <w:lang w:val="en-BE"/>
        </w:rPr>
        <w:t>confusion</w:t>
      </w:r>
      <w:r w:rsidRPr="00C56C69">
        <w:rPr>
          <w:lang w:val="en-BE"/>
        </w:rPr>
        <w:t xml:space="preserve">. At the same time, it introduces complications in the reporting due to changing VAT rates. The current Covid-19 crisis has shown that Member States can use VAT rates to address challenges to the economic situation. The ESMA requirement incorporates these </w:t>
      </w:r>
      <w:r w:rsidR="00B84128">
        <w:rPr>
          <w:lang w:val="en-BE"/>
        </w:rPr>
        <w:t xml:space="preserve">fluctuations and corresponding </w:t>
      </w:r>
      <w:r w:rsidRPr="00C56C69">
        <w:rPr>
          <w:lang w:val="en-BE"/>
        </w:rPr>
        <w:t>complications then in the reporting process without laying out the intended benefit. We invite ESMA to align with EBA, not raising VAT exclusion. At a minimum, we</w:t>
      </w:r>
      <w:r w:rsidR="00DB2610">
        <w:rPr>
          <w:lang w:val="en-BE"/>
        </w:rPr>
        <w:t xml:space="preserve"> kindly</w:t>
      </w:r>
      <w:r w:rsidRPr="00C56C69">
        <w:rPr>
          <w:lang w:val="en-BE"/>
        </w:rPr>
        <w:t xml:space="preserve"> request </w:t>
      </w:r>
      <w:r w:rsidRPr="00C56C69">
        <w:rPr>
          <w:lang w:val="en-BE"/>
        </w:rPr>
        <w:lastRenderedPageBreak/>
        <w:t xml:space="preserve">ESMA to please </w:t>
      </w:r>
      <w:r w:rsidR="00B84128">
        <w:rPr>
          <w:lang w:val="en-BE"/>
        </w:rPr>
        <w:t>share</w:t>
      </w:r>
      <w:r w:rsidRPr="00C56C69">
        <w:rPr>
          <w:lang w:val="en-BE"/>
        </w:rPr>
        <w:t xml:space="preserve"> if it has any objections to receiving data which includes VAT</w:t>
      </w:r>
      <w:r w:rsidR="00B84128">
        <w:rPr>
          <w:lang w:val="en-BE"/>
        </w:rPr>
        <w:t xml:space="preserve">, </w:t>
      </w:r>
      <w:proofErr w:type="gramStart"/>
      <w:r w:rsidR="00DB2610">
        <w:rPr>
          <w:lang w:val="en-BE"/>
        </w:rPr>
        <w:t>as long as</w:t>
      </w:r>
      <w:proofErr w:type="gramEnd"/>
      <w:r w:rsidR="00DB2610">
        <w:rPr>
          <w:lang w:val="en-BE"/>
        </w:rPr>
        <w:t xml:space="preserve"> </w:t>
      </w:r>
      <w:r w:rsidR="00B84128">
        <w:rPr>
          <w:lang w:val="en-BE"/>
        </w:rPr>
        <w:t>this fact</w:t>
      </w:r>
      <w:r w:rsidR="00DB2610">
        <w:rPr>
          <w:lang w:val="en-BE"/>
        </w:rPr>
        <w:t xml:space="preserve"> is indicated</w:t>
      </w:r>
      <w:r w:rsidR="00B84128">
        <w:rPr>
          <w:lang w:val="en-BE"/>
        </w:rPr>
        <w:t xml:space="preserve"> clearly</w:t>
      </w:r>
      <w:r w:rsidRPr="00C56C69">
        <w:rPr>
          <w:lang w:val="en-BE"/>
        </w:rPr>
        <w:t xml:space="preserve"> and demonstrate</w:t>
      </w:r>
      <w:r w:rsidR="00DB2610">
        <w:rPr>
          <w:lang w:val="en-BE"/>
        </w:rPr>
        <w:t>s</w:t>
      </w:r>
      <w:r w:rsidRPr="00C56C69">
        <w:rPr>
          <w:lang w:val="en-BE"/>
        </w:rPr>
        <w:t xml:space="preserve"> the</w:t>
      </w:r>
      <w:r w:rsidRPr="00C56C69">
        <w:t xml:space="preserve"> calculation</w:t>
      </w:r>
      <w:r w:rsidRPr="00C56C69">
        <w:rPr>
          <w:lang w:val="en-BE"/>
        </w:rPr>
        <w:t>.</w:t>
      </w:r>
    </w:p>
    <w:p w14:paraId="68AB878D" w14:textId="77777777" w:rsidR="00C91293" w:rsidRDefault="00C91293" w:rsidP="00D83914">
      <w:pPr>
        <w:spacing w:line="276" w:lineRule="auto"/>
        <w:rPr>
          <w:rFonts w:ascii="Arial" w:hAnsi="Arial" w:cs="Arial"/>
          <w:lang w:val="en-BE"/>
        </w:rPr>
      </w:pPr>
    </w:p>
    <w:p w14:paraId="4589A4E6" w14:textId="691FC32C" w:rsidR="00E33392" w:rsidRDefault="00C91293" w:rsidP="00D83914">
      <w:pPr>
        <w:spacing w:line="276" w:lineRule="auto"/>
        <w:rPr>
          <w:rFonts w:ascii="Arial" w:hAnsi="Arial" w:cs="Arial"/>
          <w:lang w:val="en-BE"/>
        </w:rPr>
      </w:pPr>
      <w:proofErr w:type="spellStart"/>
      <w:proofErr w:type="gramStart"/>
      <w:r>
        <w:rPr>
          <w:rFonts w:ascii="Arial" w:hAnsi="Arial" w:cs="Arial"/>
          <w:lang w:val="en-BE"/>
        </w:rPr>
        <w:t>Additionally,we</w:t>
      </w:r>
      <w:proofErr w:type="spellEnd"/>
      <w:proofErr w:type="gramEnd"/>
      <w:r>
        <w:rPr>
          <w:rFonts w:ascii="Arial" w:hAnsi="Arial" w:cs="Arial"/>
          <w:lang w:val="en-BE"/>
        </w:rPr>
        <w:t xml:space="preserve"> invite ESMA to ensure alignment with EBA</w:t>
      </w:r>
      <w:r w:rsidR="007E31F1">
        <w:rPr>
          <w:rFonts w:ascii="Arial" w:hAnsi="Arial" w:cs="Arial"/>
          <w:lang w:val="en-BE"/>
        </w:rPr>
        <w:t xml:space="preserve"> </w:t>
      </w:r>
      <w:r>
        <w:rPr>
          <w:rFonts w:ascii="Arial" w:hAnsi="Arial" w:cs="Arial"/>
          <w:lang w:val="en-BE"/>
        </w:rPr>
        <w:t xml:space="preserve">register requirements </w:t>
      </w:r>
      <w:r w:rsidR="00DB2610">
        <w:rPr>
          <w:rFonts w:ascii="Arial" w:hAnsi="Arial" w:cs="Arial"/>
          <w:lang w:val="en-BE"/>
        </w:rPr>
        <w:t xml:space="preserve">in </w:t>
      </w:r>
      <w:r>
        <w:rPr>
          <w:rFonts w:ascii="Arial" w:hAnsi="Arial" w:cs="Arial"/>
          <w:lang w:val="en-BE"/>
        </w:rPr>
        <w:t>para. 53 and 54 regarding</w:t>
      </w:r>
      <w:r w:rsidR="007E31F1">
        <w:rPr>
          <w:rFonts w:ascii="Arial" w:hAnsi="Arial" w:cs="Arial"/>
          <w:lang w:val="en-BE"/>
        </w:rPr>
        <w:t xml:space="preserve"> non-critical functi</w:t>
      </w:r>
      <w:r>
        <w:rPr>
          <w:rFonts w:ascii="Arial" w:hAnsi="Arial" w:cs="Arial"/>
          <w:lang w:val="en-BE"/>
        </w:rPr>
        <w:t>ons</w:t>
      </w:r>
      <w:r w:rsidR="007E31F1">
        <w:rPr>
          <w:rFonts w:ascii="Arial" w:hAnsi="Arial" w:cs="Arial"/>
          <w:lang w:val="en-BE"/>
        </w:rPr>
        <w:t xml:space="preserve">. ESMA Guideline 1.29 does only focus on critical or important functions. The resulting lack of guidance for national competent authorities on non-critical functions – different from the EBA approach – creates the danger of </w:t>
      </w:r>
      <w:r w:rsidR="00DB2610">
        <w:rPr>
          <w:rFonts w:ascii="Arial" w:hAnsi="Arial" w:cs="Arial"/>
          <w:lang w:val="en-BE"/>
        </w:rPr>
        <w:t xml:space="preserve">diverging </w:t>
      </w:r>
      <w:r w:rsidR="007E31F1">
        <w:rPr>
          <w:rFonts w:ascii="Arial" w:hAnsi="Arial" w:cs="Arial"/>
          <w:lang w:val="en-BE"/>
        </w:rPr>
        <w:t xml:space="preserve">interpretation and resulting </w:t>
      </w:r>
      <w:proofErr w:type="spellStart"/>
      <w:r w:rsidR="007E31F1">
        <w:rPr>
          <w:rFonts w:ascii="Arial" w:hAnsi="Arial" w:cs="Arial"/>
          <w:lang w:val="en-BE"/>
        </w:rPr>
        <w:t>supverisory</w:t>
      </w:r>
      <w:proofErr w:type="spellEnd"/>
      <w:r w:rsidR="007E31F1">
        <w:rPr>
          <w:rFonts w:ascii="Arial" w:hAnsi="Arial" w:cs="Arial"/>
          <w:lang w:val="en-BE"/>
        </w:rPr>
        <w:t xml:space="preserve"> fragmentation. We recommend a consistent register regime between non-critica</w:t>
      </w:r>
      <w:r>
        <w:rPr>
          <w:rFonts w:ascii="Arial" w:hAnsi="Arial" w:cs="Arial"/>
          <w:lang w:val="en-BE"/>
        </w:rPr>
        <w:t xml:space="preserve">l/important functions and critical/important ones, avoiding legal uncertainty and disproportionate burden for </w:t>
      </w:r>
      <w:r w:rsidR="008B63B5">
        <w:rPr>
          <w:rFonts w:ascii="Arial" w:hAnsi="Arial" w:cs="Arial"/>
          <w:lang w:val="en-BE"/>
        </w:rPr>
        <w:t>double</w:t>
      </w:r>
      <w:r>
        <w:rPr>
          <w:rFonts w:ascii="Arial" w:hAnsi="Arial" w:cs="Arial"/>
          <w:lang w:val="en-BE"/>
        </w:rPr>
        <w:t xml:space="preserve"> regulated firms</w:t>
      </w:r>
      <w:r w:rsidR="008B63B5">
        <w:rPr>
          <w:rFonts w:ascii="Arial" w:hAnsi="Arial" w:cs="Arial"/>
          <w:lang w:val="en-BE"/>
        </w:rPr>
        <w:t xml:space="preserve"> under both EBA and ESMA GL regime</w:t>
      </w:r>
      <w:r>
        <w:rPr>
          <w:rFonts w:ascii="Arial" w:hAnsi="Arial" w:cs="Arial"/>
          <w:lang w:val="en-BE"/>
        </w:rPr>
        <w:t xml:space="preserve">. </w:t>
      </w:r>
    </w:p>
    <w:p w14:paraId="1C93B0DE" w14:textId="68FAD689" w:rsidR="007E31F1" w:rsidRDefault="007E31F1" w:rsidP="00D83914">
      <w:pPr>
        <w:spacing w:line="276" w:lineRule="auto"/>
        <w:rPr>
          <w:rFonts w:ascii="Arial" w:hAnsi="Arial" w:cs="Arial"/>
        </w:rPr>
      </w:pPr>
    </w:p>
    <w:p w14:paraId="7A052E37" w14:textId="10AC1E54" w:rsidR="008B2B82" w:rsidRPr="00B67E38" w:rsidRDefault="008B2B82" w:rsidP="00D83914">
      <w:pPr>
        <w:pStyle w:val="ListParagraph"/>
        <w:numPr>
          <w:ilvl w:val="0"/>
          <w:numId w:val="0"/>
        </w:numPr>
        <w:spacing w:line="276" w:lineRule="auto"/>
        <w:ind w:left="720"/>
        <w:rPr>
          <w:b/>
          <w:bCs/>
          <w:sz w:val="24"/>
          <w:szCs w:val="24"/>
          <w:lang w:val="en-BE"/>
        </w:rPr>
      </w:pPr>
      <w:r w:rsidRPr="00B67E38">
        <w:rPr>
          <w:b/>
          <w:bCs/>
          <w:sz w:val="24"/>
          <w:szCs w:val="24"/>
          <w:lang w:val="en-BE"/>
        </w:rPr>
        <w:t>2.Notification</w:t>
      </w:r>
    </w:p>
    <w:p w14:paraId="1B36401B" w14:textId="3844E931" w:rsidR="008B2B82" w:rsidRPr="00DB2610" w:rsidRDefault="008B2B82" w:rsidP="00D83914">
      <w:pPr>
        <w:spacing w:line="276" w:lineRule="auto"/>
        <w:rPr>
          <w:rFonts w:ascii="Arial" w:hAnsi="Arial" w:cs="Arial"/>
          <w:lang w:val="en-BE"/>
        </w:rPr>
      </w:pPr>
      <w:r w:rsidRPr="00DB2610">
        <w:rPr>
          <w:rFonts w:ascii="Arial" w:hAnsi="Arial" w:cs="Arial"/>
          <w:lang w:val="en-BE"/>
        </w:rPr>
        <w:t xml:space="preserve">We encourage ESMA to align the outsourcing notification to the EBA GL’ approach. A notification requirement to the </w:t>
      </w:r>
      <w:proofErr w:type="spellStart"/>
      <w:r w:rsidRPr="00DB2610">
        <w:rPr>
          <w:rFonts w:ascii="Arial" w:hAnsi="Arial" w:cs="Arial"/>
          <w:lang w:val="en-BE"/>
        </w:rPr>
        <w:t>competnent</w:t>
      </w:r>
      <w:proofErr w:type="spellEnd"/>
      <w:r w:rsidRPr="00DB2610">
        <w:rPr>
          <w:rFonts w:ascii="Arial" w:hAnsi="Arial" w:cs="Arial"/>
          <w:lang w:val="en-BE"/>
        </w:rPr>
        <w:t xml:space="preserve"> authority “in case of planned outsourcing of critical or important functions” in a timely manner appears </w:t>
      </w:r>
      <w:proofErr w:type="spellStart"/>
      <w:r w:rsidRPr="00DB2610">
        <w:rPr>
          <w:rFonts w:ascii="Arial" w:hAnsi="Arial" w:cs="Arial"/>
          <w:lang w:val="en-BE"/>
        </w:rPr>
        <w:t>disproportionaly</w:t>
      </w:r>
      <w:proofErr w:type="spellEnd"/>
      <w:r w:rsidRPr="00DB2610">
        <w:rPr>
          <w:rFonts w:ascii="Arial" w:hAnsi="Arial" w:cs="Arial"/>
          <w:lang w:val="en-BE"/>
        </w:rPr>
        <w:t xml:space="preserve"> burdensome, considering the number of cloud arrangements and the existing outsourcing register. We consider the notification of competent authorities sufficiently covered under the EBA GL, without </w:t>
      </w:r>
      <w:r w:rsidR="00DB2610">
        <w:rPr>
          <w:rFonts w:ascii="Arial" w:hAnsi="Arial" w:cs="Arial"/>
          <w:lang w:val="en-BE"/>
        </w:rPr>
        <w:t xml:space="preserve">a </w:t>
      </w:r>
      <w:r w:rsidRPr="00DB2610">
        <w:rPr>
          <w:rFonts w:ascii="Arial" w:hAnsi="Arial" w:cs="Arial"/>
          <w:lang w:val="en-BE"/>
        </w:rPr>
        <w:t xml:space="preserve">need to introduce additional requirements </w:t>
      </w:r>
      <w:r w:rsidR="00DB2610">
        <w:rPr>
          <w:rFonts w:ascii="Arial" w:hAnsi="Arial" w:cs="Arial"/>
          <w:lang w:val="en-BE"/>
        </w:rPr>
        <w:t>regarding</w:t>
      </w:r>
      <w:r w:rsidRPr="00DB2610">
        <w:rPr>
          <w:rFonts w:ascii="Arial" w:hAnsi="Arial" w:cs="Arial"/>
          <w:lang w:val="en-BE"/>
        </w:rPr>
        <w:t xml:space="preserve"> the timeframe. Rather than providing helpful guidance, this deviation from the EBA GL carries the danger of supervisory fragmentation across Europe on the matter. </w:t>
      </w:r>
    </w:p>
    <w:p w14:paraId="0B460488" w14:textId="77777777" w:rsidR="008B2B82" w:rsidRPr="00DB2610" w:rsidRDefault="008B2B82" w:rsidP="00D83914">
      <w:pPr>
        <w:spacing w:line="276" w:lineRule="auto"/>
        <w:rPr>
          <w:rFonts w:ascii="Arial" w:hAnsi="Arial" w:cs="Arial"/>
          <w:lang w:val="en-BE"/>
        </w:rPr>
      </w:pPr>
    </w:p>
    <w:p w14:paraId="4B7C03E3" w14:textId="7D566488" w:rsidR="007E31F1" w:rsidRDefault="008B2B82" w:rsidP="00D83914">
      <w:pPr>
        <w:spacing w:line="276" w:lineRule="auto"/>
        <w:rPr>
          <w:rFonts w:ascii="Arial" w:hAnsi="Arial" w:cs="Arial"/>
        </w:rPr>
      </w:pPr>
      <w:r w:rsidRPr="00DB2610">
        <w:rPr>
          <w:rFonts w:ascii="Arial" w:hAnsi="Arial" w:cs="Arial"/>
          <w:lang w:val="en-BE"/>
        </w:rPr>
        <w:t xml:space="preserve">We encourage ESMA to amend its written notification requirements under Guideline 8.58 (content to be reported) to reflect only the information maintained within the obligatory register (Guideline 1.29). </w:t>
      </w:r>
      <w:proofErr w:type="gramStart"/>
      <w:r w:rsidRPr="00DB2610">
        <w:rPr>
          <w:rFonts w:ascii="Arial" w:hAnsi="Arial" w:cs="Arial"/>
          <w:lang w:val="en-BE"/>
        </w:rPr>
        <w:t>Taking into account</w:t>
      </w:r>
      <w:proofErr w:type="gramEnd"/>
      <w:r w:rsidRPr="00DB2610">
        <w:rPr>
          <w:rFonts w:ascii="Arial" w:hAnsi="Arial" w:cs="Arial"/>
          <w:lang w:val="en-BE"/>
        </w:rPr>
        <w:t xml:space="preserve"> the risk-based approach, it appears disproportionate to request firms to include two separate lists of information requirements, both to be included – and continuously maintained – within the</w:t>
      </w:r>
      <w:r w:rsidR="00DB2610">
        <w:rPr>
          <w:rFonts w:ascii="Arial" w:hAnsi="Arial" w:cs="Arial"/>
          <w:lang w:val="en-BE"/>
        </w:rPr>
        <w:t>ir</w:t>
      </w:r>
      <w:r w:rsidRPr="00DB2610">
        <w:rPr>
          <w:rFonts w:ascii="Arial" w:hAnsi="Arial" w:cs="Arial"/>
          <w:lang w:val="en-BE"/>
        </w:rPr>
        <w:t xml:space="preserve"> compliance and reporting process</w:t>
      </w:r>
      <w:r w:rsidR="00DB2610">
        <w:rPr>
          <w:rFonts w:ascii="Arial" w:hAnsi="Arial" w:cs="Arial"/>
          <w:lang w:val="en-BE"/>
        </w:rPr>
        <w:t>es</w:t>
      </w:r>
      <w:r>
        <w:rPr>
          <w:rFonts w:ascii="Arial" w:eastAsiaTheme="minorEastAsia" w:hAnsi="Arial" w:cs="Arial"/>
          <w:sz w:val="22"/>
          <w:szCs w:val="20"/>
          <w:lang w:val="en-BE" w:eastAsia="en-US"/>
        </w:rPr>
        <w:t>.</w:t>
      </w:r>
    </w:p>
    <w:permEnd w:id="603860191"/>
    <w:p w14:paraId="4C87E817" w14:textId="77777777" w:rsidR="00E33392" w:rsidRDefault="00E33392" w:rsidP="00E33392">
      <w:pPr>
        <w:rPr>
          <w:rFonts w:ascii="Arial" w:hAnsi="Arial" w:cs="Arial"/>
        </w:rPr>
      </w:pPr>
      <w:r>
        <w:rPr>
          <w:rFonts w:ascii="Arial" w:hAnsi="Arial" w:cs="Arial"/>
        </w:rPr>
        <w:t>&lt;ESMA_QUESTION_COGL_2&gt;</w:t>
      </w:r>
    </w:p>
    <w:p w14:paraId="14DFA0B6" w14:textId="77777777" w:rsidR="00E33392" w:rsidRDefault="00E33392" w:rsidP="00E33392">
      <w:pPr>
        <w:rPr>
          <w:rFonts w:ascii="Arial" w:hAnsi="Arial" w:cs="Arial"/>
        </w:rPr>
      </w:pPr>
    </w:p>
    <w:p w14:paraId="62251E3D"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the pre-outsourcing analysis and due diligence to be undertaken by a firm on its CSP? Please explain.  </w:t>
      </w:r>
    </w:p>
    <w:p w14:paraId="4505E5DF" w14:textId="77777777" w:rsidR="00E33392" w:rsidRDefault="00E33392" w:rsidP="00E33392">
      <w:pPr>
        <w:rPr>
          <w:rFonts w:ascii="Arial" w:hAnsi="Arial" w:cs="Arial"/>
        </w:rPr>
      </w:pPr>
      <w:r>
        <w:rPr>
          <w:rFonts w:ascii="Arial" w:hAnsi="Arial" w:cs="Arial"/>
        </w:rPr>
        <w:t>&lt;ESMA_QUESTION_COGL_3&gt;</w:t>
      </w:r>
    </w:p>
    <w:p w14:paraId="47042A39" w14:textId="5526A85B" w:rsidR="008B2B82" w:rsidRPr="00DB2610" w:rsidRDefault="008B2B82" w:rsidP="00D83914">
      <w:pPr>
        <w:spacing w:after="120" w:line="276" w:lineRule="auto"/>
        <w:rPr>
          <w:rFonts w:ascii="Arial" w:hAnsi="Arial" w:cs="Arial"/>
          <w:lang w:val="en-BE"/>
        </w:rPr>
      </w:pPr>
      <w:permStart w:id="1685610127" w:edGrp="everyone"/>
      <w:r w:rsidRPr="00DB2610">
        <w:rPr>
          <w:rFonts w:ascii="Arial" w:hAnsi="Arial" w:cs="Arial"/>
          <w:lang w:val="en-BE"/>
        </w:rPr>
        <w:t xml:space="preserve">If concentration risk is to be assessed within the sector, we believe that this should be done directly by </w:t>
      </w:r>
      <w:r w:rsidR="00DB2610">
        <w:rPr>
          <w:rFonts w:ascii="Arial" w:hAnsi="Arial" w:cs="Arial"/>
          <w:lang w:val="en-BE"/>
        </w:rPr>
        <w:t xml:space="preserve">competent </w:t>
      </w:r>
      <w:r w:rsidRPr="00DB2610">
        <w:rPr>
          <w:rFonts w:ascii="Arial" w:hAnsi="Arial" w:cs="Arial"/>
          <w:lang w:val="en-BE"/>
        </w:rPr>
        <w:t xml:space="preserve">authorities. For risks of this nature, </w:t>
      </w:r>
      <w:r w:rsidR="00DB2610">
        <w:rPr>
          <w:rFonts w:ascii="Arial" w:hAnsi="Arial" w:cs="Arial"/>
          <w:lang w:val="en-BE"/>
        </w:rPr>
        <w:t xml:space="preserve">these </w:t>
      </w:r>
      <w:r w:rsidRPr="00DB2610">
        <w:rPr>
          <w:rFonts w:ascii="Arial" w:hAnsi="Arial" w:cs="Arial"/>
          <w:lang w:val="en-BE"/>
        </w:rPr>
        <w:t xml:space="preserve">authorities (supervisory bodies) are well positioned to have oversight at an industry level, as compared to </w:t>
      </w:r>
      <w:r w:rsidR="00DB2610">
        <w:rPr>
          <w:rFonts w:ascii="Arial" w:hAnsi="Arial" w:cs="Arial"/>
          <w:lang w:val="en-BE"/>
        </w:rPr>
        <w:t>firms</w:t>
      </w:r>
      <w:r w:rsidRPr="00DB2610">
        <w:rPr>
          <w:rFonts w:ascii="Arial" w:hAnsi="Arial" w:cs="Arial"/>
          <w:lang w:val="en-BE"/>
        </w:rPr>
        <w:t xml:space="preserve"> individually. We believe, however, that any such assessment should not restrict the choice of outsourcing arrangements or providers available to firms. The focus should be on reducing the risks arising from concentration rather than reducing concentration itself which we believe would be difficult and require undesirable sacrifices to security, </w:t>
      </w:r>
      <w:proofErr w:type="gramStart"/>
      <w:r w:rsidRPr="00DB2610">
        <w:rPr>
          <w:rFonts w:ascii="Arial" w:hAnsi="Arial" w:cs="Arial"/>
          <w:lang w:val="en-BE"/>
        </w:rPr>
        <w:t>efficiency</w:t>
      </w:r>
      <w:proofErr w:type="gramEnd"/>
      <w:r w:rsidRPr="00DB2610">
        <w:rPr>
          <w:rFonts w:ascii="Arial" w:hAnsi="Arial" w:cs="Arial"/>
          <w:lang w:val="en-BE"/>
        </w:rPr>
        <w:t xml:space="preserve"> and innovation. </w:t>
      </w:r>
    </w:p>
    <w:p w14:paraId="447F94EC" w14:textId="64190B02" w:rsidR="003D50DE" w:rsidRPr="008B63B5" w:rsidRDefault="008B2B82" w:rsidP="00D83914">
      <w:pPr>
        <w:spacing w:after="120" w:line="276" w:lineRule="auto"/>
        <w:rPr>
          <w:rFonts w:ascii="Arial" w:hAnsi="Arial" w:cs="Arial"/>
          <w:lang w:val="en-BE"/>
        </w:rPr>
      </w:pPr>
      <w:bookmarkStart w:id="3" w:name="_Hlk47512499"/>
      <w:r w:rsidRPr="00DB2610">
        <w:rPr>
          <w:rFonts w:ascii="Arial" w:hAnsi="Arial" w:cs="Arial"/>
          <w:lang w:val="en-BE"/>
        </w:rPr>
        <w:lastRenderedPageBreak/>
        <w:t>In terms of an assessment of possible concentration within the firm caused by multiple cloud outsourcing arrangements with the same CSP, firms should be able to undertake this as an internal assessment, based on risk appetite</w:t>
      </w:r>
      <w:r w:rsidR="00B67E38">
        <w:rPr>
          <w:rFonts w:ascii="Arial" w:hAnsi="Arial" w:cs="Arial"/>
          <w:lang w:val="en-BE"/>
        </w:rPr>
        <w:t>.</w:t>
      </w:r>
      <w:r w:rsidR="008B63B5">
        <w:rPr>
          <w:rFonts w:ascii="Arial" w:hAnsi="Arial" w:cs="Arial"/>
          <w:lang w:val="en-BE"/>
        </w:rPr>
        <w:t xml:space="preserve"> Firms should</w:t>
      </w:r>
      <w:r w:rsidRPr="00DB2610">
        <w:rPr>
          <w:rFonts w:ascii="Arial" w:hAnsi="Arial" w:cs="Arial"/>
          <w:lang w:val="en-BE"/>
        </w:rPr>
        <w:t xml:space="preserve"> not be mandated to assess </w:t>
      </w:r>
      <w:r w:rsidR="00B67E38">
        <w:rPr>
          <w:rFonts w:ascii="Arial" w:hAnsi="Arial" w:cs="Arial"/>
          <w:lang w:val="en-BE"/>
        </w:rPr>
        <w:t>it</w:t>
      </w:r>
      <w:r w:rsidRPr="00DB2610">
        <w:rPr>
          <w:rFonts w:ascii="Arial" w:hAnsi="Arial" w:cs="Arial"/>
          <w:lang w:val="en-BE"/>
        </w:rPr>
        <w:t xml:space="preserve"> on stipulated metrics that are set in regulatory guidance. Any such metrics would struggle to account for the range of business models and outsourcing arrangements across the industry</w:t>
      </w:r>
      <w:r w:rsidR="008B63B5">
        <w:rPr>
          <w:rFonts w:ascii="Arial" w:hAnsi="Arial" w:cs="Arial"/>
          <w:lang w:val="en-BE"/>
        </w:rPr>
        <w:t>.</w:t>
      </w:r>
    </w:p>
    <w:p w14:paraId="21CD8471" w14:textId="56FEC803" w:rsidR="00312506" w:rsidRPr="00312506" w:rsidRDefault="00312506" w:rsidP="00312506">
      <w:pPr>
        <w:spacing w:after="120" w:line="276" w:lineRule="auto"/>
        <w:rPr>
          <w:rFonts w:ascii="Arial" w:hAnsi="Arial" w:cs="Arial"/>
          <w:color w:val="2E74B5" w:themeColor="accent1" w:themeShade="BF"/>
          <w:lang w:val="en-US"/>
        </w:rPr>
      </w:pPr>
      <w:r w:rsidRPr="00BC22EB">
        <w:rPr>
          <w:rFonts w:ascii="Arial" w:hAnsi="Arial" w:cs="Arial"/>
          <w:lang w:val="en-US"/>
        </w:rPr>
        <w:t>In addition, we welcome that ESMA recognized in Guideline 2.35 the possibility for financial institutions to use certifications based on international standards and external or internal audit reports. We believe that being able to use these tools will contribute to making the CSP due diligence process more efficient</w:t>
      </w:r>
      <w:r w:rsidRPr="00312506">
        <w:rPr>
          <w:rFonts w:ascii="Arial" w:hAnsi="Arial" w:cs="Arial"/>
          <w:color w:val="2E74B5" w:themeColor="accent1" w:themeShade="BF"/>
          <w:lang w:val="en-US"/>
        </w:rPr>
        <w:t>.</w:t>
      </w:r>
    </w:p>
    <w:p w14:paraId="75B830BF" w14:textId="3A030B19" w:rsidR="003D50DE" w:rsidRPr="00DB2610" w:rsidRDefault="003D50DE" w:rsidP="00D83914">
      <w:pPr>
        <w:spacing w:line="276" w:lineRule="auto"/>
        <w:rPr>
          <w:rFonts w:ascii="Arial" w:hAnsi="Arial" w:cs="Arial"/>
          <w:lang w:val="en-BE"/>
        </w:rPr>
      </w:pPr>
      <w:r w:rsidRPr="00DB2610">
        <w:rPr>
          <w:rFonts w:ascii="Arial" w:hAnsi="Arial" w:cs="Arial"/>
          <w:lang w:val="en-BE"/>
        </w:rPr>
        <w:t>Looking at the EBA GL, ESMA Guideline 2.33 appears to emphasize ICT and information security risks, and oversight limitations for the firm arising from:</w:t>
      </w:r>
    </w:p>
    <w:p w14:paraId="3633144F" w14:textId="77777777" w:rsidR="003D50DE" w:rsidRPr="00DB2610" w:rsidRDefault="003D50DE" w:rsidP="00D83914">
      <w:pPr>
        <w:pStyle w:val="ListParagraph"/>
        <w:numPr>
          <w:ilvl w:val="1"/>
          <w:numId w:val="25"/>
        </w:numPr>
        <w:tabs>
          <w:tab w:val="clear" w:pos="0"/>
          <w:tab w:val="clear" w:pos="142"/>
          <w:tab w:val="clear" w:pos="284"/>
          <w:tab w:val="clear" w:pos="2552"/>
        </w:tabs>
        <w:autoSpaceDE/>
        <w:autoSpaceDN/>
        <w:adjustRightInd/>
        <w:spacing w:line="276" w:lineRule="auto"/>
        <w:contextualSpacing/>
        <w:jc w:val="left"/>
        <w:rPr>
          <w:rFonts w:ascii="Arial" w:eastAsia="Times New Roman" w:hAnsi="Arial" w:cs="Arial"/>
          <w:sz w:val="24"/>
          <w:szCs w:val="24"/>
          <w:lang w:val="en-BE"/>
        </w:rPr>
      </w:pPr>
      <w:r w:rsidRPr="00DB2610">
        <w:rPr>
          <w:rFonts w:ascii="Arial" w:eastAsia="Times New Roman" w:hAnsi="Arial" w:cs="Arial"/>
          <w:sz w:val="24"/>
          <w:szCs w:val="24"/>
          <w:lang w:val="en-BE"/>
        </w:rPr>
        <w:t>Selected cloud service and proposed deployment models</w:t>
      </w:r>
    </w:p>
    <w:p w14:paraId="609EFD87" w14:textId="77777777" w:rsidR="003D50DE" w:rsidRPr="00DB2610" w:rsidRDefault="003D50DE" w:rsidP="00D83914">
      <w:pPr>
        <w:pStyle w:val="ListParagraph"/>
        <w:numPr>
          <w:ilvl w:val="1"/>
          <w:numId w:val="25"/>
        </w:numPr>
        <w:tabs>
          <w:tab w:val="clear" w:pos="0"/>
          <w:tab w:val="clear" w:pos="142"/>
          <w:tab w:val="clear" w:pos="284"/>
          <w:tab w:val="clear" w:pos="2552"/>
        </w:tabs>
        <w:autoSpaceDE/>
        <w:autoSpaceDN/>
        <w:adjustRightInd/>
        <w:spacing w:line="276" w:lineRule="auto"/>
        <w:contextualSpacing/>
        <w:jc w:val="left"/>
        <w:rPr>
          <w:rFonts w:ascii="Arial" w:eastAsia="Times New Roman" w:hAnsi="Arial" w:cs="Arial"/>
          <w:sz w:val="24"/>
          <w:szCs w:val="24"/>
          <w:lang w:val="en-BE"/>
        </w:rPr>
      </w:pPr>
      <w:r w:rsidRPr="00DB2610">
        <w:rPr>
          <w:rFonts w:ascii="Arial" w:eastAsia="Times New Roman" w:hAnsi="Arial" w:cs="Arial"/>
          <w:sz w:val="24"/>
          <w:szCs w:val="24"/>
          <w:lang w:val="en-BE"/>
        </w:rPr>
        <w:t>Migration and/or implementation processes</w:t>
      </w:r>
    </w:p>
    <w:p w14:paraId="4E711449" w14:textId="77777777" w:rsidR="003D50DE" w:rsidRPr="00DB2610" w:rsidRDefault="003D50DE" w:rsidP="00D83914">
      <w:pPr>
        <w:pStyle w:val="ListParagraph"/>
        <w:numPr>
          <w:ilvl w:val="1"/>
          <w:numId w:val="25"/>
        </w:numPr>
        <w:tabs>
          <w:tab w:val="clear" w:pos="0"/>
          <w:tab w:val="clear" w:pos="142"/>
          <w:tab w:val="clear" w:pos="284"/>
          <w:tab w:val="clear" w:pos="2552"/>
        </w:tabs>
        <w:autoSpaceDE/>
        <w:autoSpaceDN/>
        <w:adjustRightInd/>
        <w:spacing w:line="276" w:lineRule="auto"/>
        <w:contextualSpacing/>
        <w:jc w:val="left"/>
        <w:rPr>
          <w:rFonts w:ascii="Arial" w:eastAsia="Times New Roman" w:hAnsi="Arial" w:cs="Arial"/>
          <w:sz w:val="24"/>
          <w:szCs w:val="24"/>
          <w:lang w:val="en-BE"/>
        </w:rPr>
      </w:pPr>
      <w:r w:rsidRPr="00DB2610">
        <w:rPr>
          <w:rFonts w:ascii="Arial" w:eastAsia="Times New Roman" w:hAnsi="Arial" w:cs="Arial"/>
          <w:sz w:val="24"/>
          <w:szCs w:val="24"/>
          <w:lang w:val="en-BE"/>
        </w:rPr>
        <w:t>Sensitivity of function and related data and security measures</w:t>
      </w:r>
    </w:p>
    <w:p w14:paraId="6324121A" w14:textId="77777777" w:rsidR="003D50DE" w:rsidRPr="00DB2610" w:rsidRDefault="003D50DE" w:rsidP="00D83914">
      <w:pPr>
        <w:pStyle w:val="ListParagraph"/>
        <w:numPr>
          <w:ilvl w:val="1"/>
          <w:numId w:val="25"/>
        </w:numPr>
        <w:tabs>
          <w:tab w:val="clear" w:pos="0"/>
          <w:tab w:val="clear" w:pos="142"/>
          <w:tab w:val="clear" w:pos="284"/>
          <w:tab w:val="clear" w:pos="2552"/>
        </w:tabs>
        <w:autoSpaceDE/>
        <w:autoSpaceDN/>
        <w:adjustRightInd/>
        <w:spacing w:line="276" w:lineRule="auto"/>
        <w:contextualSpacing/>
        <w:jc w:val="left"/>
        <w:rPr>
          <w:rFonts w:ascii="Arial" w:eastAsia="Times New Roman" w:hAnsi="Arial" w:cs="Arial"/>
          <w:sz w:val="24"/>
          <w:szCs w:val="24"/>
          <w:lang w:val="en-BE"/>
        </w:rPr>
      </w:pPr>
      <w:r w:rsidRPr="00DB2610">
        <w:rPr>
          <w:rFonts w:ascii="Arial" w:eastAsia="Times New Roman" w:hAnsi="Arial" w:cs="Arial"/>
          <w:sz w:val="24"/>
          <w:szCs w:val="24"/>
          <w:lang w:val="en-BE"/>
        </w:rPr>
        <w:t>Interoperability of systems and applications of the firm and the CSP</w:t>
      </w:r>
    </w:p>
    <w:p w14:paraId="79D76AA0" w14:textId="77777777" w:rsidR="003D50DE" w:rsidRPr="00DB2610" w:rsidRDefault="003D50DE" w:rsidP="00D83914">
      <w:pPr>
        <w:pStyle w:val="ListParagraph"/>
        <w:numPr>
          <w:ilvl w:val="1"/>
          <w:numId w:val="25"/>
        </w:numPr>
        <w:tabs>
          <w:tab w:val="clear" w:pos="0"/>
          <w:tab w:val="clear" w:pos="142"/>
          <w:tab w:val="clear" w:pos="284"/>
          <w:tab w:val="clear" w:pos="2552"/>
        </w:tabs>
        <w:autoSpaceDE/>
        <w:autoSpaceDN/>
        <w:adjustRightInd/>
        <w:spacing w:line="276" w:lineRule="auto"/>
        <w:contextualSpacing/>
        <w:jc w:val="left"/>
        <w:rPr>
          <w:rFonts w:ascii="Arial" w:eastAsia="Times New Roman" w:hAnsi="Arial" w:cs="Arial"/>
          <w:sz w:val="24"/>
          <w:szCs w:val="24"/>
          <w:lang w:val="en-BE"/>
        </w:rPr>
      </w:pPr>
      <w:r w:rsidRPr="00DB2610">
        <w:rPr>
          <w:rFonts w:ascii="Arial" w:eastAsia="Times New Roman" w:hAnsi="Arial" w:cs="Arial"/>
          <w:sz w:val="24"/>
          <w:szCs w:val="24"/>
          <w:lang w:val="en-BE"/>
        </w:rPr>
        <w:t>Data portability between firm and CSP     </w:t>
      </w:r>
    </w:p>
    <w:p w14:paraId="58226DA4" w14:textId="3228FB3D" w:rsidR="003D50DE" w:rsidRPr="00DB2610" w:rsidRDefault="003D50DE" w:rsidP="00D83914">
      <w:pPr>
        <w:spacing w:line="276" w:lineRule="auto"/>
        <w:contextualSpacing/>
        <w:rPr>
          <w:rFonts w:ascii="Arial" w:hAnsi="Arial" w:cs="Arial"/>
          <w:lang w:val="en-BE"/>
        </w:rPr>
      </w:pPr>
      <w:r w:rsidRPr="00DB2610">
        <w:rPr>
          <w:rFonts w:ascii="Arial" w:hAnsi="Arial" w:cs="Arial"/>
          <w:lang w:val="en-BE"/>
        </w:rPr>
        <w:t xml:space="preserve">We welcome ESMA to provide scenarios/examples on how compliance can be reached in relation to the above. Such additional guidance would help to avoid diverging interpretation in Member States throughout the implementation process of the GL. </w:t>
      </w:r>
    </w:p>
    <w:p w14:paraId="06D8B83E" w14:textId="3BD50D9C" w:rsidR="003D50DE" w:rsidRPr="00DB2610" w:rsidRDefault="003D50DE" w:rsidP="00D83914">
      <w:pPr>
        <w:spacing w:after="120" w:line="276" w:lineRule="auto"/>
        <w:rPr>
          <w:rFonts w:ascii="Arial" w:hAnsi="Arial" w:cs="Arial"/>
          <w:lang w:val="en-BE"/>
        </w:rPr>
      </w:pPr>
    </w:p>
    <w:bookmarkEnd w:id="3"/>
    <w:p w14:paraId="2B2875E4" w14:textId="65AE1ABA" w:rsidR="008B2B82" w:rsidRDefault="003D50DE" w:rsidP="008B63B5">
      <w:pPr>
        <w:pStyle w:val="Default"/>
        <w:spacing w:line="276" w:lineRule="auto"/>
      </w:pPr>
      <w:r w:rsidRPr="00DB2610">
        <w:rPr>
          <w:rFonts w:eastAsia="Times New Roman"/>
          <w:color w:val="auto"/>
          <w:lang w:val="en-BE" w:eastAsia="en-GB"/>
        </w:rPr>
        <w:t>We encourage ESMA to align Guideline 2.36</w:t>
      </w:r>
      <w:r w:rsidR="006636EB" w:rsidRPr="00DB2610">
        <w:rPr>
          <w:rFonts w:eastAsia="Times New Roman"/>
          <w:color w:val="auto"/>
          <w:lang w:val="en-BE" w:eastAsia="en-GB"/>
        </w:rPr>
        <w:t xml:space="preserve"> (</w:t>
      </w:r>
      <w:r w:rsidR="008B63B5">
        <w:rPr>
          <w:rFonts w:eastAsia="Times New Roman"/>
          <w:color w:val="auto"/>
          <w:lang w:val="en-BE" w:eastAsia="en-GB"/>
        </w:rPr>
        <w:t>“</w:t>
      </w:r>
      <w:r w:rsidRPr="008B63B5">
        <w:rPr>
          <w:rFonts w:eastAsia="Times New Roman"/>
          <w:i/>
          <w:iCs/>
          <w:color w:val="auto"/>
          <w:lang w:val="en-BE" w:eastAsia="en-GB"/>
        </w:rPr>
        <w:t xml:space="preserve">A firm should reassess the criticality or importance of a </w:t>
      </w:r>
      <w:r w:rsidRPr="00BC22EB">
        <w:rPr>
          <w:rFonts w:eastAsia="Times New Roman"/>
          <w:i/>
          <w:iCs/>
          <w:color w:val="auto"/>
          <w:lang w:val="en-BE" w:eastAsia="en-GB"/>
        </w:rPr>
        <w:t>function previously outsourced to a CSP periodically</w:t>
      </w:r>
      <w:r w:rsidR="008B63B5" w:rsidRPr="00BC22EB">
        <w:rPr>
          <w:rFonts w:eastAsia="Times New Roman"/>
          <w:color w:val="auto"/>
          <w:lang w:val="en-BE" w:eastAsia="en-GB"/>
        </w:rPr>
        <w:t xml:space="preserve"> [</w:t>
      </w:r>
      <w:r w:rsidRPr="00BC22EB">
        <w:rPr>
          <w:rFonts w:eastAsia="Times New Roman"/>
          <w:color w:val="auto"/>
          <w:lang w:val="en-BE" w:eastAsia="en-GB"/>
        </w:rPr>
        <w:t>.</w:t>
      </w:r>
      <w:r w:rsidR="008B63B5" w:rsidRPr="00BC22EB">
        <w:rPr>
          <w:rFonts w:eastAsia="Times New Roman"/>
          <w:color w:val="auto"/>
          <w:lang w:val="en-BE" w:eastAsia="en-GB"/>
        </w:rPr>
        <w:t>]”</w:t>
      </w:r>
      <w:r w:rsidR="006636EB" w:rsidRPr="00BC22EB">
        <w:rPr>
          <w:rFonts w:eastAsia="Times New Roman"/>
          <w:color w:val="auto"/>
          <w:lang w:val="en-BE" w:eastAsia="en-GB"/>
        </w:rPr>
        <w:t>)</w:t>
      </w:r>
      <w:r w:rsidRPr="00BC22EB">
        <w:rPr>
          <w:rFonts w:eastAsia="Times New Roman"/>
          <w:color w:val="auto"/>
          <w:lang w:val="en-BE" w:eastAsia="en-GB"/>
        </w:rPr>
        <w:t xml:space="preserve"> to the EBA GL Title 2 Section 4</w:t>
      </w:r>
      <w:r w:rsidR="00084EA4" w:rsidRPr="00BC22EB">
        <w:rPr>
          <w:rFonts w:eastAsia="Times New Roman"/>
          <w:color w:val="auto"/>
          <w:lang w:val="en-BE" w:eastAsia="en-GB"/>
        </w:rPr>
        <w:t>.</w:t>
      </w:r>
      <w:r w:rsidR="00312506" w:rsidRPr="00BC22EB">
        <w:rPr>
          <w:rFonts w:eastAsia="Times New Roman"/>
          <w:color w:val="auto"/>
          <w:lang w:val="en-BE" w:eastAsia="en-GB"/>
        </w:rPr>
        <w:t xml:space="preserve"> </w:t>
      </w:r>
      <w:r w:rsidR="00B67E38">
        <w:rPr>
          <w:rFonts w:eastAsia="Times New Roman"/>
          <w:color w:val="auto"/>
          <w:lang w:val="en-BE" w:eastAsia="en-GB"/>
        </w:rPr>
        <w:t>Its p</w:t>
      </w:r>
      <w:proofErr w:type="spellStart"/>
      <w:r w:rsidR="00312506" w:rsidRPr="00BC22EB">
        <w:rPr>
          <w:rFonts w:eastAsia="Times New Roman"/>
          <w:color w:val="auto"/>
          <w:lang w:val="en-BE" w:eastAsia="en-GB"/>
        </w:rPr>
        <w:t>ara</w:t>
      </w:r>
      <w:proofErr w:type="spellEnd"/>
      <w:r w:rsidR="00312506" w:rsidRPr="00BC22EB">
        <w:rPr>
          <w:rFonts w:eastAsia="Times New Roman"/>
          <w:color w:val="auto"/>
          <w:lang w:val="en-BE" w:eastAsia="en-GB"/>
        </w:rPr>
        <w:t>. 31 e)</w:t>
      </w:r>
      <w:r w:rsidR="00084EA4" w:rsidRPr="00BC22EB">
        <w:rPr>
          <w:rFonts w:eastAsia="Times New Roman"/>
          <w:color w:val="auto"/>
          <w:lang w:val="en-BE" w:eastAsia="en-GB"/>
        </w:rPr>
        <w:t xml:space="preserve"> targets the aggregated exposure and potential cumulative impact</w:t>
      </w:r>
      <w:r w:rsidRPr="00BC22EB">
        <w:rPr>
          <w:rFonts w:eastAsia="Times New Roman"/>
          <w:color w:val="auto"/>
          <w:lang w:val="en-BE" w:eastAsia="en-GB"/>
        </w:rPr>
        <w:t xml:space="preserve">. The </w:t>
      </w:r>
      <w:r w:rsidR="006636EB" w:rsidRPr="00BC22EB">
        <w:rPr>
          <w:rFonts w:eastAsia="Times New Roman"/>
          <w:color w:val="auto"/>
          <w:lang w:val="en-BE" w:eastAsia="en-GB"/>
        </w:rPr>
        <w:t xml:space="preserve">introduction of a </w:t>
      </w:r>
      <w:proofErr w:type="spellStart"/>
      <w:r w:rsidR="006636EB" w:rsidRPr="00BC22EB">
        <w:rPr>
          <w:rFonts w:eastAsia="Times New Roman"/>
          <w:color w:val="auto"/>
          <w:lang w:val="en-BE" w:eastAsia="en-GB"/>
        </w:rPr>
        <w:t>peridodical</w:t>
      </w:r>
      <w:proofErr w:type="spellEnd"/>
      <w:r w:rsidR="006636EB" w:rsidRPr="00BC22EB">
        <w:rPr>
          <w:rFonts w:eastAsia="Times New Roman"/>
          <w:color w:val="auto"/>
          <w:lang w:val="en-BE" w:eastAsia="en-GB"/>
        </w:rPr>
        <w:t xml:space="preserve"> review process, </w:t>
      </w:r>
      <w:proofErr w:type="spellStart"/>
      <w:r w:rsidR="006636EB" w:rsidRPr="00BC22EB">
        <w:rPr>
          <w:rFonts w:eastAsia="Times New Roman"/>
          <w:color w:val="auto"/>
          <w:lang w:val="en-BE" w:eastAsia="en-GB"/>
        </w:rPr>
        <w:t>indepent</w:t>
      </w:r>
      <w:proofErr w:type="spellEnd"/>
      <w:r w:rsidR="006636EB" w:rsidRPr="00BC22EB">
        <w:rPr>
          <w:rFonts w:eastAsia="Times New Roman"/>
          <w:color w:val="auto"/>
          <w:lang w:val="en-BE" w:eastAsia="en-GB"/>
        </w:rPr>
        <w:t xml:space="preserve"> from the service in questions and without room for the firms to adjust the interval to the risk-profile of the function, </w:t>
      </w:r>
      <w:r w:rsidR="00084EA4" w:rsidRPr="00BC22EB">
        <w:rPr>
          <w:rFonts w:eastAsia="Times New Roman"/>
          <w:color w:val="auto"/>
          <w:lang w:val="en-BE" w:eastAsia="en-GB"/>
        </w:rPr>
        <w:t>can be</w:t>
      </w:r>
      <w:r w:rsidR="006636EB" w:rsidRPr="00BC22EB">
        <w:rPr>
          <w:rFonts w:eastAsia="Times New Roman"/>
          <w:color w:val="auto"/>
          <w:lang w:val="en-BE" w:eastAsia="en-GB"/>
        </w:rPr>
        <w:t xml:space="preserve"> a disproportionate </w:t>
      </w:r>
      <w:r w:rsidR="006636EB" w:rsidRPr="00DB2610">
        <w:rPr>
          <w:rFonts w:eastAsia="Times New Roman"/>
          <w:color w:val="auto"/>
          <w:lang w:val="en-BE" w:eastAsia="en-GB"/>
        </w:rPr>
        <w:t>burden.</w:t>
      </w:r>
    </w:p>
    <w:permEnd w:id="1685610127"/>
    <w:p w14:paraId="41A8E824" w14:textId="2090F1EB" w:rsidR="00E33392" w:rsidRDefault="00E33392" w:rsidP="00E33392">
      <w:pPr>
        <w:rPr>
          <w:rFonts w:ascii="Arial" w:hAnsi="Arial" w:cs="Arial"/>
        </w:rPr>
      </w:pPr>
      <w:r>
        <w:rPr>
          <w:rFonts w:ascii="Arial" w:hAnsi="Arial" w:cs="Arial"/>
        </w:rPr>
        <w:t>&lt;ESMA_QUESTION_COGL_3&gt;</w:t>
      </w:r>
    </w:p>
    <w:p w14:paraId="07DE84AC" w14:textId="77777777" w:rsidR="00E33392" w:rsidRDefault="00E33392" w:rsidP="00E33392">
      <w:pPr>
        <w:rPr>
          <w:rFonts w:ascii="Arial" w:hAnsi="Arial" w:cs="Arial"/>
        </w:rPr>
      </w:pPr>
    </w:p>
    <w:p w14:paraId="7E947AEB"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proposed contractual requirements? Please explain. </w:t>
      </w:r>
    </w:p>
    <w:p w14:paraId="213C91AB" w14:textId="77777777" w:rsidR="00E33392" w:rsidRDefault="00E33392" w:rsidP="00E33392">
      <w:pPr>
        <w:rPr>
          <w:rFonts w:ascii="Arial" w:hAnsi="Arial" w:cs="Arial"/>
        </w:rPr>
      </w:pPr>
      <w:r>
        <w:rPr>
          <w:rFonts w:ascii="Arial" w:hAnsi="Arial" w:cs="Arial"/>
        </w:rPr>
        <w:t>&lt;ESMA_QUESTION_COGL_4&gt;</w:t>
      </w:r>
    </w:p>
    <w:p w14:paraId="2BAD102F" w14:textId="6DF32918" w:rsidR="00E33392" w:rsidRPr="00C34BB8" w:rsidRDefault="00483B3A" w:rsidP="00D83914">
      <w:pPr>
        <w:spacing w:line="276" w:lineRule="auto"/>
        <w:rPr>
          <w:rFonts w:ascii="Arial" w:hAnsi="Arial" w:cs="Arial"/>
          <w:lang w:val="en-BE"/>
        </w:rPr>
      </w:pPr>
      <w:permStart w:id="792990084" w:edGrp="everyone"/>
      <w:proofErr w:type="gramStart"/>
      <w:r w:rsidRPr="008B63B5">
        <w:rPr>
          <w:rFonts w:ascii="Arial" w:hAnsi="Arial" w:cs="Arial"/>
          <w:lang w:val="en-BE"/>
        </w:rPr>
        <w:t>In order to</w:t>
      </w:r>
      <w:proofErr w:type="gramEnd"/>
      <w:r w:rsidRPr="008B63B5">
        <w:rPr>
          <w:rFonts w:ascii="Arial" w:hAnsi="Arial" w:cs="Arial"/>
          <w:lang w:val="en-BE"/>
        </w:rPr>
        <w:t xml:space="preserve"> facilitate needed harmonization of requirements for </w:t>
      </w:r>
      <w:r w:rsidR="008B63B5">
        <w:rPr>
          <w:rFonts w:ascii="Arial" w:hAnsi="Arial" w:cs="Arial"/>
          <w:lang w:val="en-BE"/>
        </w:rPr>
        <w:t>double</w:t>
      </w:r>
      <w:r w:rsidRPr="008B63B5">
        <w:rPr>
          <w:rFonts w:ascii="Arial" w:hAnsi="Arial" w:cs="Arial"/>
          <w:lang w:val="en-BE"/>
        </w:rPr>
        <w:t xml:space="preserve"> regulated firms, we invite</w:t>
      </w:r>
      <w:r w:rsidR="006636EB" w:rsidRPr="008B63B5">
        <w:rPr>
          <w:rFonts w:ascii="Arial" w:hAnsi="Arial" w:cs="Arial"/>
          <w:lang w:val="en-BE"/>
        </w:rPr>
        <w:t xml:space="preserve"> </w:t>
      </w:r>
      <w:r w:rsidRPr="008B63B5">
        <w:rPr>
          <w:rFonts w:ascii="Arial" w:hAnsi="Arial" w:cs="Arial"/>
          <w:lang w:val="en-BE"/>
        </w:rPr>
        <w:t>ESMA to align Guideline 3.41</w:t>
      </w:r>
      <w:r w:rsidR="006636EB" w:rsidRPr="008B63B5">
        <w:rPr>
          <w:rFonts w:ascii="Arial" w:hAnsi="Arial" w:cs="Arial"/>
          <w:lang w:val="en-BE"/>
        </w:rPr>
        <w:t xml:space="preserve"> with the requirements in the EBA </w:t>
      </w:r>
      <w:r w:rsidRPr="008B63B5">
        <w:rPr>
          <w:rFonts w:ascii="Arial" w:hAnsi="Arial" w:cs="Arial"/>
          <w:lang w:val="en-BE"/>
        </w:rPr>
        <w:t xml:space="preserve">GL </w:t>
      </w:r>
      <w:r w:rsidR="006636EB" w:rsidRPr="008B63B5">
        <w:rPr>
          <w:rFonts w:ascii="Arial" w:hAnsi="Arial" w:cs="Arial"/>
          <w:lang w:val="en-BE"/>
        </w:rPr>
        <w:t>para</w:t>
      </w:r>
      <w:r w:rsidR="00F74DEB">
        <w:rPr>
          <w:rFonts w:ascii="Arial" w:hAnsi="Arial" w:cs="Arial"/>
          <w:lang w:val="en-BE"/>
        </w:rPr>
        <w:t>.</w:t>
      </w:r>
      <w:r w:rsidR="006636EB" w:rsidRPr="008B63B5">
        <w:rPr>
          <w:rFonts w:ascii="Arial" w:hAnsi="Arial" w:cs="Arial"/>
          <w:lang w:val="en-BE"/>
        </w:rPr>
        <w:t xml:space="preserve"> 75.</w:t>
      </w:r>
      <w:r w:rsidRPr="008B63B5">
        <w:rPr>
          <w:rFonts w:ascii="Arial" w:hAnsi="Arial" w:cs="Arial"/>
          <w:lang w:val="en-BE"/>
        </w:rPr>
        <w:t xml:space="preserve"> Even slight </w:t>
      </w:r>
      <w:proofErr w:type="spellStart"/>
      <w:r w:rsidRPr="008B63B5">
        <w:rPr>
          <w:rFonts w:ascii="Arial" w:hAnsi="Arial" w:cs="Arial"/>
          <w:lang w:val="en-BE"/>
        </w:rPr>
        <w:t>diviations</w:t>
      </w:r>
      <w:proofErr w:type="spellEnd"/>
      <w:r w:rsidRPr="008B63B5">
        <w:rPr>
          <w:rFonts w:ascii="Arial" w:hAnsi="Arial" w:cs="Arial"/>
          <w:lang w:val="en-BE"/>
        </w:rPr>
        <w:t xml:space="preserve"> in the wording trigger complex reassessments within dual regulated firms (due diligence and compliance processes) and hence create disproportionate burden. </w:t>
      </w:r>
      <w:r w:rsidR="00C34BB8" w:rsidRPr="00BC22EB">
        <w:rPr>
          <w:rFonts w:ascii="Arial" w:hAnsi="Arial" w:cs="Arial"/>
          <w:lang w:val="en-BE"/>
        </w:rPr>
        <w:t>Where ESMA G</w:t>
      </w:r>
      <w:proofErr w:type="spellStart"/>
      <w:r w:rsidR="00F74DEB">
        <w:rPr>
          <w:rFonts w:ascii="Arial" w:hAnsi="Arial" w:cs="Arial"/>
          <w:lang w:val="en-BE"/>
        </w:rPr>
        <w:t>uideline</w:t>
      </w:r>
      <w:proofErr w:type="spellEnd"/>
      <w:r w:rsidR="00C34BB8" w:rsidRPr="00BC22EB">
        <w:rPr>
          <w:rFonts w:ascii="Arial" w:hAnsi="Arial" w:cs="Arial"/>
          <w:lang w:val="en-BE"/>
        </w:rPr>
        <w:t xml:space="preserve"> 3.31 (c) is calling for inclu</w:t>
      </w:r>
      <w:r w:rsidR="00945411" w:rsidRPr="00BC22EB">
        <w:rPr>
          <w:rFonts w:ascii="Arial" w:hAnsi="Arial" w:cs="Arial"/>
          <w:lang w:val="en-BE"/>
        </w:rPr>
        <w:t>s</w:t>
      </w:r>
      <w:r w:rsidR="00C34BB8" w:rsidRPr="00BC22EB">
        <w:rPr>
          <w:rFonts w:ascii="Arial" w:hAnsi="Arial" w:cs="Arial"/>
          <w:lang w:val="en-BE"/>
        </w:rPr>
        <w:t xml:space="preserve">ion of “the governing law of the agreement and, if any, the choice of </w:t>
      </w:r>
      <w:proofErr w:type="spellStart"/>
      <w:r w:rsidR="00C34BB8" w:rsidRPr="00BC22EB">
        <w:rPr>
          <w:rFonts w:ascii="Arial" w:hAnsi="Arial" w:cs="Arial"/>
          <w:lang w:val="en-BE"/>
        </w:rPr>
        <w:t>jurisdisdition</w:t>
      </w:r>
      <w:proofErr w:type="spellEnd"/>
      <w:r w:rsidR="00C34BB8" w:rsidRPr="00BC22EB">
        <w:rPr>
          <w:rFonts w:ascii="Arial" w:hAnsi="Arial" w:cs="Arial"/>
          <w:lang w:val="en-BE"/>
        </w:rPr>
        <w:t xml:space="preserve">”, we invite ESMA to elaborate on this choice, providing guidance on how financial institutions are expected to include this information in the contract for </w:t>
      </w:r>
      <w:proofErr w:type="spellStart"/>
      <w:r w:rsidR="00C34BB8" w:rsidRPr="00BC22EB">
        <w:rPr>
          <w:rFonts w:ascii="Arial" w:hAnsi="Arial" w:cs="Arial"/>
          <w:lang w:val="en-BE"/>
        </w:rPr>
        <w:t>CSPs</w:t>
      </w:r>
      <w:proofErr w:type="spellEnd"/>
      <w:r w:rsidR="00C34BB8" w:rsidRPr="00BC22EB">
        <w:rPr>
          <w:rFonts w:ascii="Arial" w:hAnsi="Arial" w:cs="Arial"/>
          <w:lang w:val="en-BE"/>
        </w:rPr>
        <w:t>’ – potentially partial – service provision in third countries.</w:t>
      </w:r>
    </w:p>
    <w:p w14:paraId="5BFDBD8E" w14:textId="0B4B23B0" w:rsidR="00483B3A" w:rsidRPr="006636EB" w:rsidRDefault="00483B3A" w:rsidP="00ED5DEC">
      <w:pPr>
        <w:spacing w:line="276" w:lineRule="auto"/>
        <w:rPr>
          <w:rFonts w:ascii="Arial" w:eastAsiaTheme="minorEastAsia" w:hAnsi="Arial" w:cs="Arial"/>
          <w:sz w:val="22"/>
          <w:szCs w:val="20"/>
          <w:lang w:val="en-BE" w:eastAsia="en-US"/>
        </w:rPr>
      </w:pPr>
      <w:r w:rsidRPr="00084EA4">
        <w:rPr>
          <w:rFonts w:ascii="Arial" w:hAnsi="Arial" w:cs="Arial"/>
          <w:lang w:val="en-BE"/>
        </w:rPr>
        <w:lastRenderedPageBreak/>
        <w:t xml:space="preserve">European banks appreciate the explicit clarification under </w:t>
      </w:r>
      <w:r w:rsidR="008B63B5" w:rsidRPr="00084EA4">
        <w:rPr>
          <w:rFonts w:ascii="Arial" w:hAnsi="Arial" w:cs="Arial"/>
          <w:lang w:val="en-BE"/>
        </w:rPr>
        <w:t xml:space="preserve">ESMA GL </w:t>
      </w:r>
      <w:r w:rsidRPr="00084EA4">
        <w:rPr>
          <w:rFonts w:ascii="Arial" w:hAnsi="Arial" w:cs="Arial"/>
          <w:lang w:val="en-BE"/>
        </w:rPr>
        <w:t>3.41 f) regarding data storage and processing (targeting the location of data centres).</w:t>
      </w:r>
      <w:r>
        <w:rPr>
          <w:rFonts w:ascii="Arial" w:eastAsiaTheme="minorEastAsia" w:hAnsi="Arial" w:cs="Arial"/>
          <w:sz w:val="22"/>
          <w:szCs w:val="20"/>
          <w:lang w:val="en-BE" w:eastAsia="en-US"/>
        </w:rPr>
        <w:t xml:space="preserve"> </w:t>
      </w:r>
    </w:p>
    <w:permEnd w:id="792990084"/>
    <w:p w14:paraId="2952A45B" w14:textId="77777777" w:rsidR="00E33392" w:rsidRDefault="00E33392" w:rsidP="00E33392">
      <w:pPr>
        <w:rPr>
          <w:rFonts w:ascii="Arial" w:hAnsi="Arial" w:cs="Arial"/>
        </w:rPr>
      </w:pPr>
      <w:r>
        <w:rPr>
          <w:rFonts w:ascii="Arial" w:hAnsi="Arial" w:cs="Arial"/>
        </w:rPr>
        <w:t>&lt;ESMA_QUESTION_COGL_4&gt;</w:t>
      </w:r>
    </w:p>
    <w:p w14:paraId="62780342" w14:textId="77777777" w:rsidR="00E33392" w:rsidRDefault="00E33392" w:rsidP="00E33392">
      <w:pPr>
        <w:rPr>
          <w:rFonts w:ascii="Arial" w:hAnsi="Arial" w:cs="Arial"/>
        </w:rPr>
      </w:pPr>
    </w:p>
    <w:p w14:paraId="3121F0C4"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information security? Please explain. </w:t>
      </w:r>
    </w:p>
    <w:p w14:paraId="7E1E575B" w14:textId="77777777" w:rsidR="00E33392" w:rsidRDefault="00E33392" w:rsidP="00E33392">
      <w:pPr>
        <w:rPr>
          <w:rFonts w:ascii="Arial" w:hAnsi="Arial" w:cs="Arial"/>
        </w:rPr>
      </w:pPr>
      <w:r>
        <w:rPr>
          <w:rFonts w:ascii="Arial" w:hAnsi="Arial" w:cs="Arial"/>
        </w:rPr>
        <w:t>&lt;ESMA_QUESTION_COGL_5&gt;</w:t>
      </w:r>
    </w:p>
    <w:p w14:paraId="2A495140" w14:textId="4ABB907C" w:rsidR="00DA4ED4" w:rsidRPr="008B63B5" w:rsidRDefault="00DA4ED4" w:rsidP="00D83914">
      <w:pPr>
        <w:spacing w:line="276" w:lineRule="auto"/>
        <w:rPr>
          <w:rFonts w:ascii="Arial" w:hAnsi="Arial" w:cs="Arial"/>
          <w:lang w:val="en-BE"/>
        </w:rPr>
      </w:pPr>
      <w:permStart w:id="1518408103" w:edGrp="everyone"/>
      <w:r w:rsidRPr="008B63B5">
        <w:rPr>
          <w:rFonts w:ascii="Arial" w:hAnsi="Arial" w:cs="Arial"/>
          <w:lang w:val="en-BE"/>
        </w:rPr>
        <w:t xml:space="preserve">We encourage ESMA to align Guideline 4.43 with </w:t>
      </w:r>
      <w:r w:rsidR="004A76E6" w:rsidRPr="008B63B5">
        <w:rPr>
          <w:rFonts w:ascii="Arial" w:hAnsi="Arial" w:cs="Arial"/>
          <w:lang w:val="en-BE"/>
        </w:rPr>
        <w:t xml:space="preserve">requirements under </w:t>
      </w:r>
      <w:r w:rsidRPr="008B63B5">
        <w:rPr>
          <w:rFonts w:ascii="Arial" w:hAnsi="Arial" w:cs="Arial"/>
          <w:lang w:val="en-BE"/>
        </w:rPr>
        <w:t xml:space="preserve">EBG GL section 13.2. </w:t>
      </w:r>
      <w:r w:rsidR="004A76E6" w:rsidRPr="008B63B5">
        <w:rPr>
          <w:rFonts w:ascii="Arial" w:hAnsi="Arial" w:cs="Arial"/>
          <w:lang w:val="en-BE"/>
        </w:rPr>
        <w:t xml:space="preserve">There is no need for additional codification of minimum requirements beyond </w:t>
      </w:r>
      <w:r w:rsidR="008B63B5">
        <w:rPr>
          <w:rFonts w:ascii="Arial" w:hAnsi="Arial" w:cs="Arial"/>
          <w:lang w:val="en-BE"/>
        </w:rPr>
        <w:t xml:space="preserve">the </w:t>
      </w:r>
      <w:proofErr w:type="gramStart"/>
      <w:r w:rsidR="008B63B5">
        <w:rPr>
          <w:rFonts w:ascii="Arial" w:hAnsi="Arial" w:cs="Arial"/>
          <w:lang w:val="en-BE"/>
        </w:rPr>
        <w:t>EBA GL</w:t>
      </w:r>
      <w:r w:rsidR="004A76E6" w:rsidRPr="008B63B5">
        <w:rPr>
          <w:rFonts w:ascii="Arial" w:hAnsi="Arial" w:cs="Arial"/>
          <w:lang w:val="en-BE"/>
        </w:rPr>
        <w:t>, since</w:t>
      </w:r>
      <w:proofErr w:type="gramEnd"/>
      <w:r w:rsidR="004A76E6" w:rsidRPr="008B63B5">
        <w:rPr>
          <w:rFonts w:ascii="Arial" w:hAnsi="Arial" w:cs="Arial"/>
          <w:lang w:val="en-BE"/>
        </w:rPr>
        <w:t xml:space="preserve"> </w:t>
      </w:r>
      <w:r w:rsidR="008B63B5">
        <w:rPr>
          <w:rFonts w:ascii="Arial" w:hAnsi="Arial" w:cs="Arial"/>
          <w:lang w:val="en-BE"/>
        </w:rPr>
        <w:t>such prescriptive requirements would rather</w:t>
      </w:r>
      <w:r w:rsidR="004A76E6" w:rsidRPr="008B63B5">
        <w:rPr>
          <w:rFonts w:ascii="Arial" w:hAnsi="Arial" w:cs="Arial"/>
          <w:lang w:val="en-BE"/>
        </w:rPr>
        <w:t xml:space="preserve"> </w:t>
      </w:r>
      <w:r w:rsidR="008B63B5">
        <w:rPr>
          <w:rFonts w:ascii="Arial" w:hAnsi="Arial" w:cs="Arial"/>
          <w:lang w:val="en-BE"/>
        </w:rPr>
        <w:t>complicate</w:t>
      </w:r>
      <w:r w:rsidR="004A76E6" w:rsidRPr="008B63B5">
        <w:rPr>
          <w:rFonts w:ascii="Arial" w:hAnsi="Arial" w:cs="Arial"/>
          <w:lang w:val="en-BE"/>
        </w:rPr>
        <w:t xml:space="preserve"> the risk-based approach of institutions to assess the criticality of functions. </w:t>
      </w:r>
    </w:p>
    <w:p w14:paraId="0839A875" w14:textId="57408F88" w:rsidR="00A53B55" w:rsidRPr="008B63B5" w:rsidRDefault="00A53B55" w:rsidP="00D83914">
      <w:pPr>
        <w:spacing w:line="276" w:lineRule="auto"/>
        <w:rPr>
          <w:rFonts w:ascii="Arial" w:hAnsi="Arial" w:cs="Arial"/>
          <w:lang w:val="en-BE"/>
        </w:rPr>
      </w:pPr>
    </w:p>
    <w:p w14:paraId="0ABCA5A2" w14:textId="1E1E93BD" w:rsidR="00DA4ED4" w:rsidRPr="008B63B5" w:rsidRDefault="00A53B55" w:rsidP="00D83914">
      <w:pPr>
        <w:spacing w:line="276" w:lineRule="auto"/>
        <w:rPr>
          <w:rFonts w:ascii="Arial" w:hAnsi="Arial" w:cs="Arial"/>
          <w:lang w:val="en-BE"/>
        </w:rPr>
      </w:pPr>
      <w:r w:rsidRPr="008B63B5">
        <w:rPr>
          <w:rFonts w:ascii="Arial" w:hAnsi="Arial" w:cs="Arial"/>
          <w:lang w:val="en-BE"/>
        </w:rPr>
        <w:t>Where ESMA provides additional requirements, we encourage a concretization of the guidance by example</w:t>
      </w:r>
      <w:r w:rsidR="008B63B5">
        <w:rPr>
          <w:rFonts w:ascii="Arial" w:hAnsi="Arial" w:cs="Arial"/>
          <w:lang w:val="en-BE"/>
        </w:rPr>
        <w:t>-</w:t>
      </w:r>
      <w:r w:rsidRPr="008B63B5">
        <w:rPr>
          <w:rFonts w:ascii="Arial" w:hAnsi="Arial" w:cs="Arial"/>
          <w:lang w:val="en-BE"/>
        </w:rPr>
        <w:t xml:space="preserve">scenarios, leaving no room for national fragmentation </w:t>
      </w:r>
      <w:r w:rsidR="008B63B5">
        <w:rPr>
          <w:rFonts w:ascii="Arial" w:hAnsi="Arial" w:cs="Arial"/>
          <w:lang w:val="en-BE"/>
        </w:rPr>
        <w:t>during</w:t>
      </w:r>
      <w:r w:rsidRPr="008B63B5">
        <w:rPr>
          <w:rFonts w:ascii="Arial" w:hAnsi="Arial" w:cs="Arial"/>
          <w:lang w:val="en-BE"/>
        </w:rPr>
        <w:t xml:space="preserve"> the later implementation process. We encourage ESMA to clarify the application of newly introduced and advanced criteria to financial institutions that are already regulated under the EBA GL</w:t>
      </w:r>
      <w:r w:rsidR="00312506" w:rsidRPr="00312506">
        <w:rPr>
          <w:rFonts w:ascii="Arial" w:hAnsi="Arial" w:cs="Arial"/>
          <w:color w:val="FF0000"/>
          <w:lang w:val="en-US"/>
        </w:rPr>
        <w:t xml:space="preserve"> </w:t>
      </w:r>
      <w:r w:rsidR="00312506" w:rsidRPr="00BC22EB">
        <w:rPr>
          <w:rFonts w:ascii="Arial" w:hAnsi="Arial" w:cs="Arial"/>
          <w:lang w:val="en-US"/>
        </w:rPr>
        <w:t>as well as under the EBA guidelines on ICT and security risk management</w:t>
      </w:r>
      <w:r w:rsidRPr="008B63B5">
        <w:rPr>
          <w:rFonts w:ascii="Arial" w:hAnsi="Arial" w:cs="Arial"/>
          <w:lang w:val="en-BE"/>
        </w:rPr>
        <w:t>.</w:t>
      </w:r>
      <w:r w:rsidR="00472DD0" w:rsidRPr="008B63B5">
        <w:rPr>
          <w:rFonts w:ascii="Arial" w:hAnsi="Arial" w:cs="Arial"/>
          <w:lang w:val="en-BE"/>
        </w:rPr>
        <w:t xml:space="preserve"> A diverging regime on information security would establish a disproportionate burden for firms, requiring workload- and cost-intensive procedures. </w:t>
      </w:r>
    </w:p>
    <w:p w14:paraId="78B032A7" w14:textId="18DF6425" w:rsidR="00A53B55" w:rsidRPr="008B63B5" w:rsidRDefault="008B63B5" w:rsidP="00D83914">
      <w:pPr>
        <w:spacing w:line="276" w:lineRule="auto"/>
        <w:rPr>
          <w:rFonts w:ascii="Arial" w:hAnsi="Arial" w:cs="Arial"/>
          <w:lang w:val="en-BE"/>
        </w:rPr>
      </w:pPr>
      <w:r>
        <w:rPr>
          <w:rFonts w:ascii="Arial" w:hAnsi="Arial" w:cs="Arial"/>
          <w:lang w:val="en-BE"/>
        </w:rPr>
        <w:t>Considered a</w:t>
      </w:r>
      <w:r w:rsidR="00A53B55" w:rsidRPr="008B63B5">
        <w:rPr>
          <w:rFonts w:ascii="Arial" w:hAnsi="Arial" w:cs="Arial"/>
          <w:lang w:val="en-BE"/>
        </w:rPr>
        <w:t>dditions</w:t>
      </w:r>
      <w:r>
        <w:rPr>
          <w:rFonts w:ascii="Arial" w:hAnsi="Arial" w:cs="Arial"/>
          <w:lang w:val="en-BE"/>
        </w:rPr>
        <w:t xml:space="preserve"> by ESMA</w:t>
      </w:r>
      <w:r w:rsidR="00A53B55" w:rsidRPr="008B63B5">
        <w:rPr>
          <w:rFonts w:ascii="Arial" w:hAnsi="Arial" w:cs="Arial"/>
          <w:lang w:val="en-BE"/>
        </w:rPr>
        <w:t>:</w:t>
      </w:r>
    </w:p>
    <w:p w14:paraId="2F52741D" w14:textId="66A1A294" w:rsidR="00472DD0" w:rsidRPr="008B63B5" w:rsidRDefault="00472DD0" w:rsidP="00D83914">
      <w:pPr>
        <w:pStyle w:val="ListParagraph"/>
        <w:numPr>
          <w:ilvl w:val="1"/>
          <w:numId w:val="27"/>
        </w:numPr>
        <w:tabs>
          <w:tab w:val="clear" w:pos="0"/>
          <w:tab w:val="clear" w:pos="142"/>
          <w:tab w:val="clear" w:pos="284"/>
          <w:tab w:val="clear" w:pos="2552"/>
        </w:tabs>
        <w:autoSpaceDE/>
        <w:autoSpaceDN/>
        <w:adjustRightInd/>
        <w:spacing w:line="276" w:lineRule="auto"/>
        <w:contextualSpacing/>
        <w:jc w:val="left"/>
        <w:rPr>
          <w:sz w:val="24"/>
          <w:szCs w:val="24"/>
        </w:rPr>
      </w:pPr>
      <w:r w:rsidRPr="008B63B5">
        <w:rPr>
          <w:b/>
          <w:bCs/>
          <w:sz w:val="24"/>
          <w:szCs w:val="24"/>
        </w:rPr>
        <w:t>Guideline 4.</w:t>
      </w:r>
      <w:r w:rsidRPr="008B63B5">
        <w:rPr>
          <w:b/>
          <w:bCs/>
          <w:i/>
          <w:iCs/>
          <w:sz w:val="24"/>
          <w:szCs w:val="24"/>
        </w:rPr>
        <w:t>43</w:t>
      </w:r>
      <w:r w:rsidR="008B63B5">
        <w:rPr>
          <w:b/>
          <w:bCs/>
          <w:i/>
          <w:iCs/>
          <w:sz w:val="24"/>
          <w:szCs w:val="24"/>
          <w:lang w:val="en-BE"/>
        </w:rPr>
        <w:t xml:space="preserve"> </w:t>
      </w:r>
      <w:r w:rsidRPr="008B63B5">
        <w:rPr>
          <w:b/>
          <w:bCs/>
          <w:sz w:val="24"/>
          <w:szCs w:val="24"/>
        </w:rPr>
        <w:t xml:space="preserve">(a): </w:t>
      </w:r>
      <w:r w:rsidRPr="008B63B5">
        <w:rPr>
          <w:i/>
          <w:iCs/>
          <w:sz w:val="24"/>
          <w:szCs w:val="24"/>
        </w:rPr>
        <w:t>Information security organisation</w:t>
      </w:r>
      <w:r w:rsidRPr="008B63B5">
        <w:rPr>
          <w:sz w:val="24"/>
          <w:szCs w:val="24"/>
        </w:rPr>
        <w:t xml:space="preserve"> – clear allocation of information security roles and responsibilities between firm and CSP, </w:t>
      </w:r>
      <w:proofErr w:type="spellStart"/>
      <w:r w:rsidRPr="008B63B5">
        <w:rPr>
          <w:sz w:val="24"/>
          <w:szCs w:val="24"/>
        </w:rPr>
        <w:t>esp</w:t>
      </w:r>
      <w:r w:rsidR="00F74DEB">
        <w:rPr>
          <w:sz w:val="24"/>
          <w:szCs w:val="24"/>
          <w:lang w:val="en-BE"/>
        </w:rPr>
        <w:t>ecially</w:t>
      </w:r>
      <w:proofErr w:type="spellEnd"/>
      <w:r w:rsidRPr="008B63B5">
        <w:rPr>
          <w:sz w:val="24"/>
          <w:szCs w:val="24"/>
        </w:rPr>
        <w:t xml:space="preserve"> </w:t>
      </w:r>
      <w:proofErr w:type="gramStart"/>
      <w:r w:rsidRPr="008B63B5">
        <w:rPr>
          <w:sz w:val="24"/>
          <w:szCs w:val="24"/>
        </w:rPr>
        <w:t>w</w:t>
      </w:r>
      <w:proofErr w:type="spellStart"/>
      <w:r w:rsidR="00F74DEB">
        <w:rPr>
          <w:sz w:val="24"/>
          <w:szCs w:val="24"/>
          <w:lang w:val="en-BE"/>
        </w:rPr>
        <w:t>ith</w:t>
      </w:r>
      <w:proofErr w:type="spellEnd"/>
      <w:r w:rsidR="00F74DEB">
        <w:rPr>
          <w:sz w:val="24"/>
          <w:szCs w:val="24"/>
          <w:lang w:val="en-BE"/>
        </w:rPr>
        <w:t xml:space="preserve"> regard to</w:t>
      </w:r>
      <w:proofErr w:type="gramEnd"/>
      <w:r w:rsidRPr="008B63B5">
        <w:rPr>
          <w:sz w:val="24"/>
          <w:szCs w:val="24"/>
        </w:rPr>
        <w:t xml:space="preserve"> threat detection, incident management and patch management. </w:t>
      </w:r>
    </w:p>
    <w:p w14:paraId="093D5421" w14:textId="7A110AD7" w:rsidR="00472DD0" w:rsidRPr="008B63B5" w:rsidRDefault="00472DD0" w:rsidP="00D83914">
      <w:pPr>
        <w:pStyle w:val="ListParagraph"/>
        <w:numPr>
          <w:ilvl w:val="1"/>
          <w:numId w:val="27"/>
        </w:numPr>
        <w:tabs>
          <w:tab w:val="clear" w:pos="0"/>
          <w:tab w:val="clear" w:pos="142"/>
          <w:tab w:val="clear" w:pos="284"/>
          <w:tab w:val="clear" w:pos="2552"/>
        </w:tabs>
        <w:autoSpaceDE/>
        <w:autoSpaceDN/>
        <w:adjustRightInd/>
        <w:spacing w:line="276" w:lineRule="auto"/>
        <w:contextualSpacing/>
        <w:jc w:val="left"/>
        <w:rPr>
          <w:sz w:val="24"/>
          <w:szCs w:val="24"/>
        </w:rPr>
      </w:pPr>
      <w:r w:rsidRPr="008B63B5">
        <w:rPr>
          <w:b/>
          <w:bCs/>
          <w:sz w:val="24"/>
          <w:szCs w:val="24"/>
        </w:rPr>
        <w:t>Guideline 4.</w:t>
      </w:r>
      <w:r w:rsidRPr="008B63B5">
        <w:rPr>
          <w:b/>
          <w:bCs/>
          <w:i/>
          <w:iCs/>
          <w:sz w:val="24"/>
          <w:szCs w:val="24"/>
        </w:rPr>
        <w:t>43</w:t>
      </w:r>
      <w:r w:rsidR="008B63B5">
        <w:rPr>
          <w:b/>
          <w:bCs/>
          <w:i/>
          <w:iCs/>
          <w:sz w:val="24"/>
          <w:szCs w:val="24"/>
          <w:lang w:val="en-BE"/>
        </w:rPr>
        <w:t xml:space="preserve"> </w:t>
      </w:r>
      <w:r w:rsidRPr="008B63B5">
        <w:rPr>
          <w:b/>
          <w:bCs/>
          <w:sz w:val="24"/>
          <w:szCs w:val="24"/>
        </w:rPr>
        <w:t xml:space="preserve">(b): </w:t>
      </w:r>
      <w:r w:rsidRPr="008B63B5">
        <w:rPr>
          <w:i/>
          <w:iCs/>
          <w:sz w:val="24"/>
          <w:szCs w:val="24"/>
        </w:rPr>
        <w:t>Access management</w:t>
      </w:r>
      <w:r w:rsidRPr="008B63B5">
        <w:rPr>
          <w:sz w:val="24"/>
          <w:szCs w:val="24"/>
        </w:rPr>
        <w:t xml:space="preserve"> – strong authentication mechanisms (e.g. two factor) are implemented and access controls prevent unauthorised access to firm’s data and back-end cloud resources</w:t>
      </w:r>
    </w:p>
    <w:p w14:paraId="10D1366E" w14:textId="3E70A792" w:rsidR="00472DD0" w:rsidRPr="008B63B5" w:rsidRDefault="00472DD0" w:rsidP="00D83914">
      <w:pPr>
        <w:pStyle w:val="ListParagraph"/>
        <w:numPr>
          <w:ilvl w:val="1"/>
          <w:numId w:val="27"/>
        </w:numPr>
        <w:tabs>
          <w:tab w:val="clear" w:pos="0"/>
          <w:tab w:val="clear" w:pos="142"/>
          <w:tab w:val="clear" w:pos="284"/>
          <w:tab w:val="clear" w:pos="2552"/>
        </w:tabs>
        <w:autoSpaceDE/>
        <w:autoSpaceDN/>
        <w:adjustRightInd/>
        <w:spacing w:line="276" w:lineRule="auto"/>
        <w:contextualSpacing/>
        <w:jc w:val="left"/>
        <w:rPr>
          <w:sz w:val="24"/>
          <w:szCs w:val="24"/>
        </w:rPr>
      </w:pPr>
      <w:r w:rsidRPr="008B63B5">
        <w:rPr>
          <w:b/>
          <w:bCs/>
          <w:sz w:val="24"/>
          <w:szCs w:val="24"/>
        </w:rPr>
        <w:t>Guideline 4.</w:t>
      </w:r>
      <w:r w:rsidRPr="008B63B5">
        <w:rPr>
          <w:b/>
          <w:bCs/>
          <w:i/>
          <w:iCs/>
          <w:sz w:val="24"/>
          <w:szCs w:val="24"/>
        </w:rPr>
        <w:t>43</w:t>
      </w:r>
      <w:r w:rsidR="008B63B5">
        <w:rPr>
          <w:b/>
          <w:bCs/>
          <w:i/>
          <w:iCs/>
          <w:sz w:val="24"/>
          <w:szCs w:val="24"/>
          <w:lang w:val="en-BE"/>
        </w:rPr>
        <w:t xml:space="preserve"> </w:t>
      </w:r>
      <w:r w:rsidRPr="008B63B5">
        <w:rPr>
          <w:b/>
          <w:bCs/>
          <w:sz w:val="24"/>
          <w:szCs w:val="24"/>
        </w:rPr>
        <w:t xml:space="preserve">(d): </w:t>
      </w:r>
      <w:r w:rsidRPr="008B63B5">
        <w:rPr>
          <w:i/>
          <w:iCs/>
          <w:sz w:val="24"/>
          <w:szCs w:val="24"/>
        </w:rPr>
        <w:t>Operations and network security</w:t>
      </w:r>
      <w:r w:rsidRPr="008B63B5">
        <w:rPr>
          <w:sz w:val="24"/>
          <w:szCs w:val="24"/>
        </w:rPr>
        <w:t xml:space="preserve"> – consider appropriate levels of segregating networks (e.g. tenant isolation in shared cloud environment) and processing environments (e.g. text, UAT, development, production)</w:t>
      </w:r>
    </w:p>
    <w:p w14:paraId="4521D587" w14:textId="67C78A30" w:rsidR="00472DD0" w:rsidRPr="008B63B5" w:rsidRDefault="00472DD0" w:rsidP="00D83914">
      <w:pPr>
        <w:pStyle w:val="ListParagraph"/>
        <w:numPr>
          <w:ilvl w:val="1"/>
          <w:numId w:val="27"/>
        </w:numPr>
        <w:tabs>
          <w:tab w:val="clear" w:pos="0"/>
          <w:tab w:val="clear" w:pos="142"/>
          <w:tab w:val="clear" w:pos="284"/>
          <w:tab w:val="clear" w:pos="2552"/>
        </w:tabs>
        <w:autoSpaceDE/>
        <w:autoSpaceDN/>
        <w:adjustRightInd/>
        <w:spacing w:line="276" w:lineRule="auto"/>
        <w:contextualSpacing/>
        <w:jc w:val="left"/>
        <w:rPr>
          <w:sz w:val="24"/>
          <w:szCs w:val="24"/>
        </w:rPr>
      </w:pPr>
      <w:r w:rsidRPr="008B63B5">
        <w:rPr>
          <w:b/>
          <w:bCs/>
          <w:sz w:val="24"/>
          <w:szCs w:val="24"/>
        </w:rPr>
        <w:t>Guideline 4.</w:t>
      </w:r>
      <w:r w:rsidRPr="008B63B5">
        <w:rPr>
          <w:b/>
          <w:bCs/>
          <w:i/>
          <w:iCs/>
          <w:sz w:val="24"/>
          <w:szCs w:val="24"/>
        </w:rPr>
        <w:t>43</w:t>
      </w:r>
      <w:r w:rsidR="008B63B5">
        <w:rPr>
          <w:b/>
          <w:bCs/>
          <w:i/>
          <w:iCs/>
          <w:sz w:val="24"/>
          <w:szCs w:val="24"/>
          <w:lang w:val="en-BE"/>
        </w:rPr>
        <w:t xml:space="preserve"> </w:t>
      </w:r>
      <w:r w:rsidRPr="008B63B5">
        <w:rPr>
          <w:b/>
          <w:bCs/>
          <w:sz w:val="24"/>
          <w:szCs w:val="24"/>
        </w:rPr>
        <w:t xml:space="preserve">(e): </w:t>
      </w:r>
      <w:r w:rsidRPr="008B63B5">
        <w:rPr>
          <w:i/>
          <w:iCs/>
          <w:sz w:val="24"/>
          <w:szCs w:val="24"/>
        </w:rPr>
        <w:t>APIs</w:t>
      </w:r>
      <w:r w:rsidRPr="008B63B5">
        <w:rPr>
          <w:sz w:val="24"/>
          <w:szCs w:val="24"/>
        </w:rPr>
        <w:t xml:space="preserve"> – consider integration (CSP to firm system) mechanisms to ensure security of APIs (e.g. Information security policies and procedures for APIs)</w:t>
      </w:r>
    </w:p>
    <w:p w14:paraId="7D187BCD" w14:textId="77777777" w:rsidR="00472DD0" w:rsidRPr="008B63B5" w:rsidRDefault="00472DD0" w:rsidP="00D83914">
      <w:pPr>
        <w:spacing w:line="276" w:lineRule="auto"/>
        <w:rPr>
          <w:rFonts w:ascii="Arial" w:hAnsi="Arial" w:cs="Arial"/>
          <w:lang w:val="en-BE"/>
        </w:rPr>
      </w:pPr>
    </w:p>
    <w:p w14:paraId="32E521AF" w14:textId="699E1ACF" w:rsidR="00A53B55" w:rsidRPr="008B63B5" w:rsidRDefault="008B63B5" w:rsidP="00D83914">
      <w:pPr>
        <w:spacing w:line="276" w:lineRule="auto"/>
        <w:rPr>
          <w:rFonts w:ascii="Arial" w:hAnsi="Arial" w:cs="Arial"/>
          <w:lang w:val="en-BE"/>
        </w:rPr>
      </w:pPr>
      <w:r>
        <w:rPr>
          <w:rFonts w:ascii="Arial" w:hAnsi="Arial" w:cs="Arial"/>
          <w:lang w:val="en-BE"/>
        </w:rPr>
        <w:t>Considered c</w:t>
      </w:r>
      <w:r w:rsidR="00A53B55" w:rsidRPr="008B63B5">
        <w:rPr>
          <w:rFonts w:ascii="Arial" w:hAnsi="Arial" w:cs="Arial"/>
          <w:lang w:val="en-BE"/>
        </w:rPr>
        <w:t>larifications</w:t>
      </w:r>
      <w:r>
        <w:rPr>
          <w:rFonts w:ascii="Arial" w:hAnsi="Arial" w:cs="Arial"/>
          <w:lang w:val="en-BE"/>
        </w:rPr>
        <w:t xml:space="preserve"> by ESMA</w:t>
      </w:r>
      <w:r w:rsidR="00A53B55" w:rsidRPr="008B63B5">
        <w:rPr>
          <w:rFonts w:ascii="Arial" w:hAnsi="Arial" w:cs="Arial"/>
          <w:lang w:val="en-BE"/>
        </w:rPr>
        <w:t>:</w:t>
      </w:r>
    </w:p>
    <w:p w14:paraId="2664C2A9" w14:textId="5A945368" w:rsidR="00472DD0" w:rsidRPr="008B63B5" w:rsidRDefault="00472DD0" w:rsidP="00D83914">
      <w:pPr>
        <w:pStyle w:val="ListParagraph"/>
        <w:numPr>
          <w:ilvl w:val="0"/>
          <w:numId w:val="28"/>
        </w:numPr>
        <w:tabs>
          <w:tab w:val="clear" w:pos="0"/>
          <w:tab w:val="clear" w:pos="142"/>
          <w:tab w:val="clear" w:pos="284"/>
          <w:tab w:val="clear" w:pos="2552"/>
        </w:tabs>
        <w:autoSpaceDE/>
        <w:autoSpaceDN/>
        <w:adjustRightInd/>
        <w:spacing w:line="276" w:lineRule="auto"/>
        <w:contextualSpacing/>
        <w:jc w:val="left"/>
        <w:rPr>
          <w:sz w:val="24"/>
          <w:szCs w:val="24"/>
        </w:rPr>
      </w:pPr>
      <w:r w:rsidRPr="008B63B5">
        <w:rPr>
          <w:b/>
          <w:bCs/>
          <w:sz w:val="24"/>
          <w:szCs w:val="24"/>
        </w:rPr>
        <w:t>Guideline 4.</w:t>
      </w:r>
      <w:r w:rsidRPr="008B63B5">
        <w:rPr>
          <w:b/>
          <w:bCs/>
          <w:i/>
          <w:iCs/>
          <w:sz w:val="24"/>
          <w:szCs w:val="24"/>
        </w:rPr>
        <w:t>43</w:t>
      </w:r>
      <w:r w:rsidR="008B63B5">
        <w:rPr>
          <w:b/>
          <w:bCs/>
          <w:i/>
          <w:iCs/>
          <w:sz w:val="24"/>
          <w:szCs w:val="24"/>
          <w:lang w:val="en-BE"/>
        </w:rPr>
        <w:t xml:space="preserve"> </w:t>
      </w:r>
      <w:r w:rsidRPr="008B63B5">
        <w:rPr>
          <w:b/>
          <w:bCs/>
          <w:sz w:val="24"/>
          <w:szCs w:val="24"/>
        </w:rPr>
        <w:t>(c):</w:t>
      </w:r>
      <w:r w:rsidRPr="008B63B5">
        <w:rPr>
          <w:b/>
          <w:bCs/>
          <w:i/>
          <w:iCs/>
          <w:sz w:val="24"/>
          <w:szCs w:val="24"/>
        </w:rPr>
        <w:t xml:space="preserve"> </w:t>
      </w:r>
      <w:r w:rsidRPr="008B63B5">
        <w:rPr>
          <w:i/>
          <w:iCs/>
          <w:sz w:val="24"/>
          <w:szCs w:val="24"/>
        </w:rPr>
        <w:t>Encryption and key management</w:t>
      </w:r>
      <w:r w:rsidRPr="008B63B5">
        <w:rPr>
          <w:sz w:val="24"/>
          <w:szCs w:val="24"/>
        </w:rPr>
        <w:t xml:space="preserve"> – consider use of encryption technologies where appropriate for data in transit, memory, at rest and back-ups, in combination with appropriate key management solutions to limit non-authorised access to encryption keys</w:t>
      </w:r>
      <w:r w:rsidRPr="008B63B5">
        <w:rPr>
          <w:sz w:val="24"/>
          <w:szCs w:val="24"/>
          <w:u w:val="single"/>
        </w:rPr>
        <w:t xml:space="preserve"> </w:t>
      </w:r>
    </w:p>
    <w:p w14:paraId="028C9794" w14:textId="3CAEA0E7" w:rsidR="00472DD0" w:rsidRPr="008B63B5" w:rsidRDefault="00472DD0" w:rsidP="00D83914">
      <w:pPr>
        <w:pStyle w:val="ListParagraph"/>
        <w:numPr>
          <w:ilvl w:val="0"/>
          <w:numId w:val="28"/>
        </w:numPr>
        <w:tabs>
          <w:tab w:val="clear" w:pos="0"/>
          <w:tab w:val="clear" w:pos="142"/>
          <w:tab w:val="clear" w:pos="284"/>
          <w:tab w:val="clear" w:pos="2552"/>
        </w:tabs>
        <w:autoSpaceDE/>
        <w:autoSpaceDN/>
        <w:adjustRightInd/>
        <w:spacing w:line="276" w:lineRule="auto"/>
        <w:contextualSpacing/>
        <w:jc w:val="left"/>
        <w:rPr>
          <w:sz w:val="24"/>
          <w:szCs w:val="24"/>
        </w:rPr>
      </w:pPr>
      <w:r w:rsidRPr="008B63B5">
        <w:rPr>
          <w:b/>
          <w:bCs/>
          <w:sz w:val="24"/>
          <w:szCs w:val="24"/>
        </w:rPr>
        <w:t>Guideline 4.</w:t>
      </w:r>
      <w:r w:rsidRPr="008B63B5">
        <w:rPr>
          <w:b/>
          <w:bCs/>
          <w:i/>
          <w:iCs/>
          <w:sz w:val="24"/>
          <w:szCs w:val="24"/>
        </w:rPr>
        <w:t>43</w:t>
      </w:r>
      <w:r w:rsidR="008B63B5">
        <w:rPr>
          <w:b/>
          <w:bCs/>
          <w:i/>
          <w:iCs/>
          <w:sz w:val="24"/>
          <w:szCs w:val="24"/>
          <w:lang w:val="en-BE"/>
        </w:rPr>
        <w:t xml:space="preserve"> </w:t>
      </w:r>
      <w:r w:rsidRPr="008B63B5">
        <w:rPr>
          <w:b/>
          <w:bCs/>
          <w:sz w:val="24"/>
          <w:szCs w:val="24"/>
        </w:rPr>
        <w:t xml:space="preserve">(f): </w:t>
      </w:r>
      <w:r w:rsidRPr="008B63B5">
        <w:rPr>
          <w:i/>
          <w:iCs/>
          <w:sz w:val="24"/>
          <w:szCs w:val="24"/>
        </w:rPr>
        <w:t>Business continuity and disaster recovery</w:t>
      </w:r>
      <w:r w:rsidRPr="008B63B5">
        <w:rPr>
          <w:sz w:val="24"/>
          <w:szCs w:val="24"/>
        </w:rPr>
        <w:t xml:space="preserve"> – controls should be in place (e.g. setting minimum capacity requirements, </w:t>
      </w:r>
      <w:r w:rsidRPr="008B63B5">
        <w:rPr>
          <w:sz w:val="24"/>
          <w:szCs w:val="24"/>
        </w:rPr>
        <w:lastRenderedPageBreak/>
        <w:t>selecting hosting options that are geographically spread, replicating machine images to an independent storage location)</w:t>
      </w:r>
    </w:p>
    <w:p w14:paraId="669FB57F" w14:textId="0F0CDD84" w:rsidR="00472DD0" w:rsidRPr="008B63B5" w:rsidRDefault="00472DD0" w:rsidP="00D83914">
      <w:pPr>
        <w:pStyle w:val="ListParagraph"/>
        <w:numPr>
          <w:ilvl w:val="0"/>
          <w:numId w:val="28"/>
        </w:numPr>
        <w:tabs>
          <w:tab w:val="clear" w:pos="0"/>
          <w:tab w:val="clear" w:pos="142"/>
          <w:tab w:val="clear" w:pos="284"/>
          <w:tab w:val="clear" w:pos="2552"/>
        </w:tabs>
        <w:autoSpaceDE/>
        <w:autoSpaceDN/>
        <w:adjustRightInd/>
        <w:spacing w:line="276" w:lineRule="auto"/>
        <w:contextualSpacing/>
        <w:jc w:val="left"/>
        <w:rPr>
          <w:sz w:val="24"/>
          <w:szCs w:val="24"/>
        </w:rPr>
      </w:pPr>
      <w:r w:rsidRPr="008B63B5">
        <w:rPr>
          <w:b/>
          <w:bCs/>
          <w:sz w:val="24"/>
          <w:szCs w:val="24"/>
        </w:rPr>
        <w:t>Guideline 4.</w:t>
      </w:r>
      <w:r w:rsidRPr="008B63B5">
        <w:rPr>
          <w:b/>
          <w:bCs/>
          <w:i/>
          <w:iCs/>
          <w:sz w:val="24"/>
          <w:szCs w:val="24"/>
        </w:rPr>
        <w:t>43</w:t>
      </w:r>
      <w:r w:rsidR="008B63B5">
        <w:rPr>
          <w:b/>
          <w:bCs/>
          <w:i/>
          <w:iCs/>
          <w:sz w:val="24"/>
          <w:szCs w:val="24"/>
          <w:lang w:val="en-BE"/>
        </w:rPr>
        <w:t xml:space="preserve"> </w:t>
      </w:r>
      <w:r w:rsidRPr="008B63B5">
        <w:rPr>
          <w:b/>
          <w:bCs/>
          <w:sz w:val="24"/>
          <w:szCs w:val="24"/>
        </w:rPr>
        <w:t xml:space="preserve">(g): </w:t>
      </w:r>
      <w:r w:rsidRPr="008B63B5">
        <w:rPr>
          <w:i/>
          <w:iCs/>
          <w:sz w:val="24"/>
          <w:szCs w:val="24"/>
        </w:rPr>
        <w:t xml:space="preserve">Data </w:t>
      </w:r>
      <w:proofErr w:type="gramStart"/>
      <w:r w:rsidRPr="008B63B5">
        <w:rPr>
          <w:i/>
          <w:iCs/>
          <w:sz w:val="24"/>
          <w:szCs w:val="24"/>
        </w:rPr>
        <w:t>location</w:t>
      </w:r>
      <w:r w:rsidRPr="008B63B5">
        <w:rPr>
          <w:sz w:val="24"/>
          <w:szCs w:val="24"/>
          <w:u w:val="single"/>
        </w:rPr>
        <w:t xml:space="preserve"> </w:t>
      </w:r>
      <w:r w:rsidRPr="008B63B5">
        <w:rPr>
          <w:sz w:val="24"/>
          <w:szCs w:val="24"/>
        </w:rPr>
        <w:t> -</w:t>
      </w:r>
      <w:proofErr w:type="gramEnd"/>
      <w:r w:rsidRPr="008B63B5">
        <w:rPr>
          <w:sz w:val="24"/>
          <w:szCs w:val="24"/>
        </w:rPr>
        <w:t xml:space="preserve"> adopt risk based approach to data storage and processing (namely country and region)</w:t>
      </w:r>
    </w:p>
    <w:p w14:paraId="1802B3D7" w14:textId="7C6B7640" w:rsidR="00472DD0" w:rsidRPr="008B63B5" w:rsidRDefault="00472DD0" w:rsidP="00D83914">
      <w:pPr>
        <w:pStyle w:val="ListParagraph"/>
        <w:numPr>
          <w:ilvl w:val="0"/>
          <w:numId w:val="28"/>
        </w:numPr>
        <w:tabs>
          <w:tab w:val="clear" w:pos="0"/>
          <w:tab w:val="clear" w:pos="142"/>
          <w:tab w:val="clear" w:pos="284"/>
          <w:tab w:val="clear" w:pos="2552"/>
        </w:tabs>
        <w:autoSpaceDE/>
        <w:autoSpaceDN/>
        <w:adjustRightInd/>
        <w:spacing w:line="276" w:lineRule="auto"/>
        <w:contextualSpacing/>
        <w:jc w:val="left"/>
        <w:rPr>
          <w:sz w:val="24"/>
          <w:szCs w:val="24"/>
        </w:rPr>
      </w:pPr>
      <w:r w:rsidRPr="008B63B5">
        <w:rPr>
          <w:b/>
          <w:bCs/>
          <w:sz w:val="24"/>
          <w:szCs w:val="24"/>
        </w:rPr>
        <w:t>Guideline 4.</w:t>
      </w:r>
      <w:r w:rsidRPr="008B63B5">
        <w:rPr>
          <w:b/>
          <w:bCs/>
          <w:i/>
          <w:iCs/>
          <w:sz w:val="24"/>
          <w:szCs w:val="24"/>
        </w:rPr>
        <w:t>43</w:t>
      </w:r>
      <w:r w:rsidR="008B63B5">
        <w:rPr>
          <w:b/>
          <w:bCs/>
          <w:i/>
          <w:iCs/>
          <w:sz w:val="24"/>
          <w:szCs w:val="24"/>
          <w:lang w:val="en-BE"/>
        </w:rPr>
        <w:t xml:space="preserve"> </w:t>
      </w:r>
      <w:r w:rsidRPr="008B63B5">
        <w:rPr>
          <w:b/>
          <w:bCs/>
          <w:sz w:val="24"/>
          <w:szCs w:val="24"/>
        </w:rPr>
        <w:t xml:space="preserve">(h): </w:t>
      </w:r>
      <w:r w:rsidRPr="008B63B5">
        <w:rPr>
          <w:i/>
          <w:iCs/>
          <w:sz w:val="24"/>
          <w:szCs w:val="24"/>
        </w:rPr>
        <w:t>Compliance and monitoring</w:t>
      </w:r>
      <w:r w:rsidRPr="008B63B5">
        <w:rPr>
          <w:sz w:val="24"/>
          <w:szCs w:val="24"/>
        </w:rPr>
        <w:t xml:space="preserve"> – ensure CSP complies with internationally recognised information security standards and has implemented appropriate security controls (e.g. requesting CSP to provide evidence that it conducts relevant information security reviews and performing regular assessments and tests of CSP information security)</w:t>
      </w:r>
    </w:p>
    <w:permEnd w:id="1518408103"/>
    <w:p w14:paraId="3C8D8777" w14:textId="1628E111" w:rsidR="00E33392" w:rsidRDefault="00E33392" w:rsidP="00E33392">
      <w:pPr>
        <w:rPr>
          <w:rFonts w:ascii="Arial" w:hAnsi="Arial" w:cs="Arial"/>
        </w:rPr>
      </w:pPr>
      <w:r>
        <w:rPr>
          <w:rFonts w:ascii="Arial" w:hAnsi="Arial" w:cs="Arial"/>
        </w:rPr>
        <w:t>&lt;ESMA_QUESTION_COGL_5&gt;</w:t>
      </w:r>
    </w:p>
    <w:p w14:paraId="1C92B0C8" w14:textId="77777777" w:rsidR="00E33392" w:rsidRDefault="00E33392" w:rsidP="00E33392">
      <w:pPr>
        <w:rPr>
          <w:rFonts w:ascii="Arial" w:hAnsi="Arial" w:cs="Arial"/>
        </w:rPr>
      </w:pPr>
    </w:p>
    <w:p w14:paraId="4294A63F"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exit strategies? Please explain. </w:t>
      </w:r>
    </w:p>
    <w:p w14:paraId="5BBAA490" w14:textId="77777777" w:rsidR="00E33392" w:rsidRDefault="00E33392" w:rsidP="00E33392">
      <w:pPr>
        <w:rPr>
          <w:rFonts w:ascii="Arial" w:hAnsi="Arial" w:cs="Arial"/>
        </w:rPr>
      </w:pPr>
      <w:r>
        <w:rPr>
          <w:rFonts w:ascii="Arial" w:hAnsi="Arial" w:cs="Arial"/>
        </w:rPr>
        <w:t>&lt;ESMA_QUESTION_COGL_6&gt;</w:t>
      </w:r>
    </w:p>
    <w:p w14:paraId="224814D0" w14:textId="6DF4F5C2" w:rsidR="00E33392" w:rsidRPr="00B121E5" w:rsidRDefault="00B121E5" w:rsidP="0071665E">
      <w:pPr>
        <w:spacing w:line="276" w:lineRule="auto"/>
        <w:rPr>
          <w:rFonts w:ascii="Arial" w:hAnsi="Arial" w:cs="Arial"/>
          <w:lang w:val="en-BE"/>
        </w:rPr>
      </w:pPr>
      <w:permStart w:id="1998543046" w:edGrp="everyone"/>
      <w:r>
        <w:rPr>
          <w:rFonts w:ascii="Arial" w:hAnsi="Arial" w:cs="Arial"/>
          <w:lang w:val="en-BE"/>
        </w:rPr>
        <w:t>We appreciate an alignment of ESMA Guideline 5 with the EBA GL Section 15 on exit strategies. Regarding the testing of exit plans under ESMA GL 5.44 a), we would like to emphasise the necessary risk-based approach. In terms of recommended testing</w:t>
      </w:r>
      <w:r w:rsidR="009C51EB">
        <w:rPr>
          <w:rFonts w:ascii="Arial" w:hAnsi="Arial" w:cs="Arial"/>
          <w:lang w:val="en-BE"/>
        </w:rPr>
        <w:t xml:space="preserve"> (incl. </w:t>
      </w:r>
      <w:proofErr w:type="spellStart"/>
      <w:r w:rsidR="009C51EB">
        <w:rPr>
          <w:rFonts w:ascii="Arial" w:hAnsi="Arial" w:cs="Arial"/>
          <w:lang w:val="en-BE"/>
        </w:rPr>
        <w:t>considerarions</w:t>
      </w:r>
      <w:proofErr w:type="spellEnd"/>
      <w:r w:rsidR="009C51EB">
        <w:rPr>
          <w:rFonts w:ascii="Arial" w:hAnsi="Arial" w:cs="Arial"/>
          <w:lang w:val="en-BE"/>
        </w:rPr>
        <w:t xml:space="preserve"> of appropriateness) we would like to draw attention to the EBF Cloud Banking Forum</w:t>
      </w:r>
      <w:r w:rsidR="00F74DEB">
        <w:rPr>
          <w:rFonts w:ascii="Arial" w:hAnsi="Arial" w:cs="Arial"/>
          <w:lang w:val="en-BE"/>
        </w:rPr>
        <w:t>’</w:t>
      </w:r>
      <w:r w:rsidR="009C51EB">
        <w:rPr>
          <w:rFonts w:ascii="Arial" w:hAnsi="Arial" w:cs="Arial"/>
          <w:lang w:val="en-BE"/>
        </w:rPr>
        <w:t>s cross-industry technical guidance paper “Cloud exit strategy – testing of exit plans” (</w:t>
      </w:r>
      <w:hyperlink r:id="rId21" w:history="1">
        <w:r w:rsidR="009C51EB" w:rsidRPr="009C51EB">
          <w:rPr>
            <w:rStyle w:val="Hyperlink"/>
            <w:rFonts w:ascii="Arial" w:hAnsi="Arial" w:cs="Arial"/>
            <w:lang w:val="en-BE"/>
          </w:rPr>
          <w:t>download here</w:t>
        </w:r>
      </w:hyperlink>
      <w:r w:rsidR="009C51EB">
        <w:rPr>
          <w:rFonts w:ascii="Arial" w:hAnsi="Arial" w:cs="Arial"/>
          <w:lang w:val="en-BE"/>
        </w:rPr>
        <w:t xml:space="preserve">). </w:t>
      </w:r>
    </w:p>
    <w:permEnd w:id="1998543046"/>
    <w:p w14:paraId="425323A3" w14:textId="77777777" w:rsidR="00E33392" w:rsidRDefault="00E33392" w:rsidP="00E33392">
      <w:pPr>
        <w:rPr>
          <w:rFonts w:ascii="Arial" w:hAnsi="Arial" w:cs="Arial"/>
        </w:rPr>
      </w:pPr>
      <w:r>
        <w:rPr>
          <w:rFonts w:ascii="Arial" w:hAnsi="Arial" w:cs="Arial"/>
        </w:rPr>
        <w:t>&lt;ESMA_QUESTION_COGL_6&gt;</w:t>
      </w:r>
    </w:p>
    <w:p w14:paraId="0A8B0746" w14:textId="77777777" w:rsidR="00E33392" w:rsidRDefault="00E33392" w:rsidP="00E33392">
      <w:pPr>
        <w:rPr>
          <w:rFonts w:ascii="Arial" w:hAnsi="Arial" w:cs="Arial"/>
        </w:rPr>
      </w:pPr>
    </w:p>
    <w:p w14:paraId="12A2C0DB"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access and audit rights? Please explain. </w:t>
      </w:r>
    </w:p>
    <w:p w14:paraId="08CD3C6C" w14:textId="77777777" w:rsidR="00E33392" w:rsidRDefault="00E33392" w:rsidP="00E33392">
      <w:pPr>
        <w:rPr>
          <w:rFonts w:ascii="Arial" w:hAnsi="Arial" w:cs="Arial"/>
        </w:rPr>
      </w:pPr>
      <w:r>
        <w:rPr>
          <w:rFonts w:ascii="Arial" w:hAnsi="Arial" w:cs="Arial"/>
        </w:rPr>
        <w:t>&lt;ESMA_QUESTION_COGL_7&gt;</w:t>
      </w:r>
    </w:p>
    <w:p w14:paraId="4493AAD0" w14:textId="595C72C9" w:rsidR="00E33392" w:rsidRDefault="009C51EB" w:rsidP="00D83914">
      <w:pPr>
        <w:spacing w:line="276" w:lineRule="auto"/>
        <w:rPr>
          <w:rFonts w:ascii="Arial" w:hAnsi="Arial" w:cs="Arial"/>
          <w:lang w:val="en-BE"/>
        </w:rPr>
      </w:pPr>
      <w:permStart w:id="1893742938" w:edGrp="everyone"/>
      <w:r>
        <w:rPr>
          <w:rFonts w:ascii="Arial" w:hAnsi="Arial" w:cs="Arial"/>
          <w:lang w:val="en-BE"/>
        </w:rPr>
        <w:t xml:space="preserve">We encourage ESMA to align Guideline 6 with EBA GL section 13.3 on </w:t>
      </w:r>
      <w:proofErr w:type="gramStart"/>
      <w:r>
        <w:rPr>
          <w:rFonts w:ascii="Arial" w:hAnsi="Arial" w:cs="Arial"/>
          <w:lang w:val="en-BE"/>
        </w:rPr>
        <w:t>access,  information</w:t>
      </w:r>
      <w:proofErr w:type="gramEnd"/>
      <w:r>
        <w:rPr>
          <w:rFonts w:ascii="Arial" w:hAnsi="Arial" w:cs="Arial"/>
          <w:lang w:val="en-BE"/>
        </w:rPr>
        <w:t xml:space="preserve"> and audit. </w:t>
      </w:r>
    </w:p>
    <w:p w14:paraId="28DB863B" w14:textId="6984F39B" w:rsidR="009C51EB" w:rsidRPr="00C34BB8" w:rsidRDefault="00C34BB8" w:rsidP="00D83914">
      <w:pPr>
        <w:spacing w:line="276" w:lineRule="auto"/>
        <w:rPr>
          <w:rFonts w:ascii="Arial" w:hAnsi="Arial" w:cs="Arial"/>
          <w:lang w:val="en-BE"/>
        </w:rPr>
      </w:pPr>
      <w:r w:rsidRPr="00BC22EB">
        <w:rPr>
          <w:rFonts w:ascii="Arial" w:hAnsi="Arial" w:cs="Arial"/>
          <w:lang w:val="en-BE"/>
        </w:rPr>
        <w:t xml:space="preserve">EBA GL para. 87 provides relevant guidance for supervisors to approach the issue of auditing. </w:t>
      </w:r>
      <w:r w:rsidR="00F73F19" w:rsidRPr="00ED5DEC">
        <w:rPr>
          <w:rFonts w:ascii="Arial" w:hAnsi="Arial" w:cs="Arial"/>
          <w:lang w:val="en-BE"/>
        </w:rPr>
        <w:t xml:space="preserve">The EBF welcomes a risk-based approach. </w:t>
      </w:r>
      <w:r w:rsidRPr="00BC22EB">
        <w:rPr>
          <w:rFonts w:ascii="Arial" w:hAnsi="Arial" w:cs="Arial"/>
          <w:lang w:val="en-BE"/>
        </w:rPr>
        <w:t>We do not see a need for additional</w:t>
      </w:r>
      <w:r w:rsidR="00B64FE7" w:rsidRPr="00BC22EB">
        <w:rPr>
          <w:rFonts w:ascii="Arial" w:hAnsi="Arial" w:cs="Arial"/>
          <w:lang w:val="en-BE"/>
        </w:rPr>
        <w:t xml:space="preserve"> </w:t>
      </w:r>
      <w:r w:rsidRPr="00BC22EB">
        <w:rPr>
          <w:rFonts w:ascii="Arial" w:hAnsi="Arial" w:cs="Arial"/>
          <w:lang w:val="en-BE"/>
        </w:rPr>
        <w:t xml:space="preserve">requirements under ESMA 6.51 (a) </w:t>
      </w:r>
      <w:r w:rsidR="00B64FE7" w:rsidRPr="00BC22EB">
        <w:rPr>
          <w:rFonts w:ascii="Arial" w:hAnsi="Arial" w:cs="Arial"/>
          <w:lang w:val="en-BE"/>
        </w:rPr>
        <w:t>(“</w:t>
      </w:r>
      <w:r w:rsidR="00B64FE7" w:rsidRPr="00BC22EB">
        <w:rPr>
          <w:rFonts w:ascii="Arial" w:hAnsi="Arial" w:cs="Arial"/>
          <w:i/>
          <w:iCs/>
          <w:lang w:val="en-BE"/>
        </w:rPr>
        <w:t xml:space="preserve">ensures that the scope of the certifications or the audit reports covers the </w:t>
      </w:r>
      <w:proofErr w:type="spellStart"/>
      <w:r w:rsidR="00B64FE7" w:rsidRPr="00BC22EB">
        <w:rPr>
          <w:rFonts w:ascii="Arial" w:hAnsi="Arial" w:cs="Arial"/>
          <w:i/>
          <w:iCs/>
          <w:lang w:val="en-BE"/>
        </w:rPr>
        <w:t>CSP’s</w:t>
      </w:r>
      <w:proofErr w:type="spellEnd"/>
      <w:r w:rsidR="00B64FE7" w:rsidRPr="00BC22EB">
        <w:rPr>
          <w:rFonts w:ascii="Arial" w:hAnsi="Arial" w:cs="Arial"/>
          <w:i/>
          <w:iCs/>
          <w:lang w:val="en-BE"/>
        </w:rPr>
        <w:t xml:space="preserve"> systems (for example processes, applications, infrastructure, data centres), the key controls identified by the firm and the compliance with the relevant legal requirements</w:t>
      </w:r>
      <w:r w:rsidR="00B64FE7" w:rsidRPr="00BC22EB">
        <w:rPr>
          <w:rFonts w:ascii="Arial" w:hAnsi="Arial" w:cs="Arial"/>
          <w:lang w:val="en-BE"/>
        </w:rPr>
        <w:t xml:space="preserve">”) </w:t>
      </w:r>
      <w:r w:rsidRPr="00BC22EB">
        <w:rPr>
          <w:rFonts w:ascii="Arial" w:hAnsi="Arial" w:cs="Arial"/>
          <w:lang w:val="en-BE"/>
        </w:rPr>
        <w:t>and 6.53</w:t>
      </w:r>
      <w:r w:rsidR="00B64FE7" w:rsidRPr="00BC22EB">
        <w:rPr>
          <w:rFonts w:ascii="Arial" w:hAnsi="Arial" w:cs="Arial"/>
          <w:lang w:val="en-BE"/>
        </w:rPr>
        <w:t xml:space="preserve"> (for prior notification for on</w:t>
      </w:r>
      <w:r w:rsidR="00F74DEB">
        <w:rPr>
          <w:rFonts w:ascii="Arial" w:hAnsi="Arial" w:cs="Arial"/>
          <w:lang w:val="en-BE"/>
        </w:rPr>
        <w:t xml:space="preserve"> </w:t>
      </w:r>
      <w:r w:rsidR="00B64FE7" w:rsidRPr="00BC22EB">
        <w:rPr>
          <w:rFonts w:ascii="Arial" w:hAnsi="Arial" w:cs="Arial"/>
          <w:lang w:val="en-BE"/>
        </w:rPr>
        <w:t>site visits: “</w:t>
      </w:r>
      <w:r w:rsidR="00B64FE7" w:rsidRPr="00BC22EB">
        <w:rPr>
          <w:rFonts w:ascii="Arial" w:hAnsi="Arial" w:cs="Arial"/>
          <w:i/>
          <w:iCs/>
          <w:lang w:val="en-BE"/>
        </w:rPr>
        <w:t>Such notice should include the location, purpose of the visit and the personnel that will participate to the visit.</w:t>
      </w:r>
      <w:r w:rsidR="00B64FE7" w:rsidRPr="00BC22EB">
        <w:rPr>
          <w:rFonts w:ascii="Arial" w:hAnsi="Arial" w:cs="Arial"/>
          <w:lang w:val="en-BE"/>
        </w:rPr>
        <w:t>”)</w:t>
      </w:r>
      <w:r w:rsidRPr="00BC22EB">
        <w:rPr>
          <w:rFonts w:ascii="Arial" w:hAnsi="Arial" w:cs="Arial"/>
          <w:lang w:val="en-BE"/>
        </w:rPr>
        <w:t xml:space="preserve">. </w:t>
      </w:r>
      <w:r w:rsidR="009C51EB">
        <w:rPr>
          <w:rFonts w:ascii="Arial" w:hAnsi="Arial" w:cs="Arial"/>
          <w:lang w:val="en-BE"/>
        </w:rPr>
        <w:t xml:space="preserve">Accordingly, ESMA is invited to </w:t>
      </w:r>
      <w:r>
        <w:rPr>
          <w:rFonts w:ascii="Arial" w:hAnsi="Arial" w:cs="Arial"/>
          <w:lang w:val="en-BE"/>
        </w:rPr>
        <w:t xml:space="preserve">align its considerations and </w:t>
      </w:r>
      <w:r w:rsidR="009C51EB">
        <w:rPr>
          <w:rFonts w:ascii="Arial" w:hAnsi="Arial" w:cs="Arial"/>
          <w:lang w:val="en-BE"/>
        </w:rPr>
        <w:t xml:space="preserve">add the important descriptions of required access to </w:t>
      </w:r>
      <w:proofErr w:type="spellStart"/>
      <w:r w:rsidR="009C51EB">
        <w:rPr>
          <w:rFonts w:ascii="Arial" w:hAnsi="Arial" w:cs="Arial"/>
          <w:lang w:val="en-BE"/>
        </w:rPr>
        <w:t>CSPs</w:t>
      </w:r>
      <w:proofErr w:type="spellEnd"/>
      <w:r w:rsidR="009C51EB">
        <w:rPr>
          <w:rFonts w:ascii="Arial" w:hAnsi="Arial" w:cs="Arial"/>
          <w:lang w:val="en-BE"/>
        </w:rPr>
        <w:t xml:space="preserve"> as being “</w:t>
      </w:r>
      <w:r w:rsidR="009C51EB" w:rsidRPr="0071665E">
        <w:rPr>
          <w:rFonts w:ascii="Arial" w:hAnsi="Arial" w:cs="Arial"/>
          <w:lang w:val="en-BE"/>
        </w:rPr>
        <w:t>ful</w:t>
      </w:r>
      <w:r w:rsidR="009C51EB">
        <w:rPr>
          <w:rFonts w:ascii="Arial" w:hAnsi="Arial" w:cs="Arial"/>
          <w:lang w:val="en-BE"/>
        </w:rPr>
        <w:t>l” and “</w:t>
      </w:r>
      <w:r w:rsidR="009C51EB" w:rsidRPr="0071665E">
        <w:rPr>
          <w:rFonts w:ascii="Arial" w:hAnsi="Arial" w:cs="Arial"/>
          <w:lang w:val="en-BE"/>
        </w:rPr>
        <w:t>unrestricted</w:t>
      </w:r>
      <w:r w:rsidR="009C51EB">
        <w:rPr>
          <w:rFonts w:ascii="Arial" w:hAnsi="Arial" w:cs="Arial"/>
          <w:lang w:val="en-BE"/>
        </w:rPr>
        <w:t xml:space="preserve">”, in line with EBA GL para. 87. </w:t>
      </w:r>
    </w:p>
    <w:p w14:paraId="7CCCB752" w14:textId="0FE39E00" w:rsidR="00E33392" w:rsidRDefault="009C51EB" w:rsidP="00E33392">
      <w:pPr>
        <w:rPr>
          <w:rFonts w:ascii="Arial" w:hAnsi="Arial" w:cs="Arial"/>
        </w:rPr>
      </w:pPr>
      <w:r>
        <w:rPr>
          <w:rFonts w:ascii="Arial" w:hAnsi="Arial" w:cs="Arial"/>
          <w:lang w:val="en-BE"/>
        </w:rPr>
        <w:t>ESMA GL 6.53 should be aligned with EBA GL para. 95, replicating the limitation of notifications for on</w:t>
      </w:r>
      <w:r w:rsidR="00F74DEB">
        <w:rPr>
          <w:rFonts w:ascii="Arial" w:hAnsi="Arial" w:cs="Arial"/>
          <w:lang w:val="en-BE"/>
        </w:rPr>
        <w:t xml:space="preserve"> site </w:t>
      </w:r>
      <w:r>
        <w:rPr>
          <w:rFonts w:ascii="Arial" w:hAnsi="Arial" w:cs="Arial"/>
          <w:lang w:val="en-BE"/>
        </w:rPr>
        <w:t>visits if this “</w:t>
      </w:r>
      <w:r w:rsidRPr="001F7B5E">
        <w:rPr>
          <w:rFonts w:ascii="Arial" w:hAnsi="Arial" w:cs="Arial"/>
          <w:i/>
          <w:iCs/>
          <w:lang w:val="en-BE"/>
        </w:rPr>
        <w:t>would lead to a situation where the audit would no longer be effective</w:t>
      </w:r>
      <w:r w:rsidRPr="009C51EB">
        <w:rPr>
          <w:rFonts w:ascii="Arial" w:hAnsi="Arial" w:cs="Arial"/>
          <w:lang w:val="en-BE"/>
        </w:rPr>
        <w:t>”.</w:t>
      </w:r>
      <w:permEnd w:id="1893742938"/>
    </w:p>
    <w:p w14:paraId="700CD483" w14:textId="77777777" w:rsidR="00E33392" w:rsidRDefault="00E33392" w:rsidP="00E33392">
      <w:pPr>
        <w:rPr>
          <w:rFonts w:ascii="Arial" w:hAnsi="Arial" w:cs="Arial"/>
        </w:rPr>
      </w:pPr>
      <w:r>
        <w:rPr>
          <w:rFonts w:ascii="Arial" w:hAnsi="Arial" w:cs="Arial"/>
        </w:rPr>
        <w:t>&lt;ESMA_QUESTION_COGL_7&gt;</w:t>
      </w:r>
    </w:p>
    <w:p w14:paraId="37419575" w14:textId="77777777" w:rsidR="00E33392" w:rsidRDefault="00E33392" w:rsidP="00E33392">
      <w:pPr>
        <w:rPr>
          <w:rFonts w:ascii="Arial" w:hAnsi="Arial" w:cs="Arial"/>
        </w:rPr>
      </w:pPr>
    </w:p>
    <w:p w14:paraId="6A0F8AAF" w14:textId="77777777" w:rsidR="00E33392" w:rsidRDefault="00E33392" w:rsidP="00E33392">
      <w:pPr>
        <w:pStyle w:val="Questionstyle"/>
        <w:numPr>
          <w:ilvl w:val="0"/>
          <w:numId w:val="17"/>
        </w:numPr>
        <w:spacing w:after="250" w:line="276" w:lineRule="auto"/>
        <w:rPr>
          <w:rFonts w:ascii="Arial" w:hAnsi="Arial" w:cs="Arial"/>
        </w:rPr>
      </w:pPr>
      <w:r>
        <w:lastRenderedPageBreak/>
        <w:t xml:space="preserve">: Do you agree with the suggested approach regarding sub-outsourcing? Please explain. </w:t>
      </w:r>
    </w:p>
    <w:p w14:paraId="71484BF7" w14:textId="77777777" w:rsidR="00E33392" w:rsidRDefault="00E33392" w:rsidP="00E33392">
      <w:pPr>
        <w:rPr>
          <w:rFonts w:ascii="Arial" w:hAnsi="Arial" w:cs="Arial"/>
        </w:rPr>
      </w:pPr>
      <w:r>
        <w:rPr>
          <w:rFonts w:ascii="Arial" w:hAnsi="Arial" w:cs="Arial"/>
        </w:rPr>
        <w:t>&lt;ESMA_QUESTION_COGL_8&gt;</w:t>
      </w:r>
    </w:p>
    <w:p w14:paraId="30C7F13B" w14:textId="7AFEA7FD" w:rsidR="00C56C69" w:rsidRDefault="007E31F1" w:rsidP="0071665E">
      <w:pPr>
        <w:spacing w:line="276" w:lineRule="auto"/>
        <w:rPr>
          <w:rFonts w:ascii="Arial" w:hAnsi="Arial" w:cs="Arial"/>
          <w:lang w:val="en-BE"/>
        </w:rPr>
      </w:pPr>
      <w:permStart w:id="311951876" w:edGrp="everyone"/>
      <w:r w:rsidRPr="00ED497F">
        <w:rPr>
          <w:rFonts w:ascii="Arial" w:hAnsi="Arial" w:cs="Arial"/>
          <w:lang w:val="en-BE"/>
        </w:rPr>
        <w:t>Regarding the information fields under the register (Guideline 1.29)</w:t>
      </w:r>
      <w:r w:rsidR="00D83914" w:rsidRPr="00ED497F">
        <w:rPr>
          <w:rFonts w:ascii="Arial" w:hAnsi="Arial" w:cs="Arial"/>
          <w:lang w:val="en-BE"/>
        </w:rPr>
        <w:t xml:space="preserve"> and notifications</w:t>
      </w:r>
      <w:r w:rsidRPr="00ED497F">
        <w:rPr>
          <w:rFonts w:ascii="Arial" w:hAnsi="Arial" w:cs="Arial"/>
          <w:lang w:val="en-BE"/>
        </w:rPr>
        <w:t>, please see answer to Q</w:t>
      </w:r>
      <w:r w:rsidR="00D83914" w:rsidRPr="00ED497F">
        <w:rPr>
          <w:rFonts w:ascii="Arial" w:hAnsi="Arial" w:cs="Arial"/>
          <w:lang w:val="en-BE"/>
        </w:rPr>
        <w:t>2</w:t>
      </w:r>
      <w:r w:rsidRPr="00ED497F">
        <w:rPr>
          <w:rFonts w:ascii="Arial" w:hAnsi="Arial" w:cs="Arial"/>
          <w:lang w:val="en-BE"/>
        </w:rPr>
        <w:t>.</w:t>
      </w:r>
    </w:p>
    <w:p w14:paraId="167F9F9B" w14:textId="60DDCE3C" w:rsidR="004F148A" w:rsidRDefault="004F148A" w:rsidP="0071665E">
      <w:pPr>
        <w:spacing w:line="276" w:lineRule="auto"/>
        <w:rPr>
          <w:rFonts w:ascii="Arial" w:hAnsi="Arial" w:cs="Arial"/>
          <w:lang w:val="en-BE"/>
        </w:rPr>
      </w:pPr>
    </w:p>
    <w:p w14:paraId="383DBB20" w14:textId="35D431EA" w:rsidR="004F148A" w:rsidRPr="002C2EE6" w:rsidRDefault="004F148A" w:rsidP="0071665E">
      <w:pPr>
        <w:spacing w:line="276" w:lineRule="auto"/>
        <w:rPr>
          <w:rFonts w:ascii="Arial" w:hAnsi="Arial" w:cs="Arial"/>
          <w:lang w:val="en-BE"/>
        </w:rPr>
      </w:pPr>
      <w:r>
        <w:rPr>
          <w:rFonts w:ascii="Arial" w:hAnsi="Arial" w:cs="Arial"/>
          <w:lang w:val="en-BE"/>
        </w:rPr>
        <w:t>We consider it helpful if ESMA could – in alignment with existing EBA GL references – provide firms with further guidance on intra-group outsourcing constellations in case of sub-outsourcing.</w:t>
      </w:r>
      <w:r w:rsidR="002C2EE6">
        <w:rPr>
          <w:rFonts w:ascii="Arial" w:hAnsi="Arial" w:cs="Arial"/>
          <w:lang w:val="en-BE"/>
        </w:rPr>
        <w:t xml:space="preserve"> </w:t>
      </w:r>
      <w:r w:rsidR="002C2EE6" w:rsidRPr="00BC22EB">
        <w:rPr>
          <w:rFonts w:ascii="Arial" w:hAnsi="Arial" w:cs="Arial"/>
          <w:lang w:val="en-BE"/>
        </w:rPr>
        <w:t>The EB</w:t>
      </w:r>
      <w:r w:rsidR="005B44AB">
        <w:rPr>
          <w:rFonts w:ascii="Arial" w:hAnsi="Arial" w:cs="Arial"/>
          <w:lang w:val="en-BE"/>
        </w:rPr>
        <w:t>A</w:t>
      </w:r>
      <w:r w:rsidR="002C2EE6" w:rsidRPr="00BC22EB">
        <w:rPr>
          <w:rFonts w:ascii="Arial" w:hAnsi="Arial" w:cs="Arial"/>
          <w:lang w:val="en-BE"/>
        </w:rPr>
        <w:t xml:space="preserve"> GL include simplifications for groups. These refer, for example, to central exit plans, central business continuity plans, central outsourcing management, central outsourcing </w:t>
      </w:r>
      <w:proofErr w:type="gramStart"/>
      <w:r w:rsidR="002C2EE6" w:rsidRPr="00BC22EB">
        <w:rPr>
          <w:rFonts w:ascii="Arial" w:hAnsi="Arial" w:cs="Arial"/>
          <w:lang w:val="en-BE"/>
        </w:rPr>
        <w:t>register</w:t>
      </w:r>
      <w:proofErr w:type="gramEnd"/>
      <w:r w:rsidR="002C2EE6" w:rsidRPr="00BC22EB">
        <w:rPr>
          <w:rFonts w:ascii="Arial" w:hAnsi="Arial" w:cs="Arial"/>
          <w:lang w:val="en-BE"/>
        </w:rPr>
        <w:t xml:space="preserve"> or existence of a waiver according to Art 7 CRR. We would appreciate it if </w:t>
      </w:r>
      <w:r w:rsidR="0053651A">
        <w:rPr>
          <w:rFonts w:ascii="Arial" w:hAnsi="Arial" w:cs="Arial"/>
          <w:lang w:val="en-BE"/>
        </w:rPr>
        <w:t xml:space="preserve">the </w:t>
      </w:r>
      <w:r w:rsidR="002C2EE6" w:rsidRPr="00BC22EB">
        <w:rPr>
          <w:rFonts w:ascii="Arial" w:hAnsi="Arial" w:cs="Arial"/>
          <w:lang w:val="en-BE"/>
        </w:rPr>
        <w:t xml:space="preserve">ESMA GL would also take this into account, considering the existing supervisory attention and </w:t>
      </w:r>
      <w:proofErr w:type="spellStart"/>
      <w:r w:rsidR="002C2EE6" w:rsidRPr="00BC22EB">
        <w:rPr>
          <w:rFonts w:ascii="Arial" w:hAnsi="Arial" w:cs="Arial"/>
          <w:lang w:val="en-BE"/>
        </w:rPr>
        <w:t>responsibitlities</w:t>
      </w:r>
      <w:proofErr w:type="spellEnd"/>
      <w:r w:rsidR="002C2EE6" w:rsidRPr="00BC22EB">
        <w:rPr>
          <w:rFonts w:ascii="Arial" w:hAnsi="Arial" w:cs="Arial"/>
          <w:lang w:val="en-BE"/>
        </w:rPr>
        <w:t xml:space="preserve"> for intra-group constellations.</w:t>
      </w:r>
    </w:p>
    <w:permEnd w:id="311951876"/>
    <w:p w14:paraId="2BD64044" w14:textId="77777777" w:rsidR="00E33392" w:rsidRDefault="00E33392" w:rsidP="00E33392">
      <w:pPr>
        <w:rPr>
          <w:rFonts w:ascii="Arial" w:hAnsi="Arial" w:cs="Arial"/>
        </w:rPr>
      </w:pPr>
      <w:r>
        <w:rPr>
          <w:rFonts w:ascii="Arial" w:hAnsi="Arial" w:cs="Arial"/>
        </w:rPr>
        <w:t>&lt;ESMA_QUESTION_COGL_8&gt;</w:t>
      </w:r>
    </w:p>
    <w:p w14:paraId="556C43A6" w14:textId="77777777" w:rsidR="00E33392" w:rsidRDefault="00E33392" w:rsidP="00E33392">
      <w:pPr>
        <w:rPr>
          <w:rFonts w:ascii="Arial" w:hAnsi="Arial" w:cs="Arial"/>
        </w:rPr>
      </w:pPr>
    </w:p>
    <w:p w14:paraId="356C1411"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notification requirements to competent authorities? Please explain. </w:t>
      </w:r>
    </w:p>
    <w:p w14:paraId="0E4AA513" w14:textId="77777777" w:rsidR="00E33392" w:rsidRDefault="00E33392" w:rsidP="00E33392">
      <w:pPr>
        <w:rPr>
          <w:rFonts w:ascii="Arial" w:hAnsi="Arial" w:cs="Arial"/>
        </w:rPr>
      </w:pPr>
      <w:r>
        <w:rPr>
          <w:rFonts w:ascii="Arial" w:hAnsi="Arial" w:cs="Arial"/>
        </w:rPr>
        <w:t>&lt;ESMA_QUESTION_COGL_9&gt;</w:t>
      </w:r>
    </w:p>
    <w:p w14:paraId="60AB75A9" w14:textId="1E95440C" w:rsidR="00E33392" w:rsidRDefault="00D83914" w:rsidP="0071665E">
      <w:pPr>
        <w:spacing w:line="276" w:lineRule="auto"/>
        <w:rPr>
          <w:rFonts w:ascii="Arial" w:hAnsi="Arial" w:cs="Arial"/>
          <w:lang w:val="en-BE"/>
        </w:rPr>
      </w:pPr>
      <w:permStart w:id="943999632" w:edGrp="everyone"/>
      <w:r>
        <w:rPr>
          <w:rFonts w:ascii="Arial" w:hAnsi="Arial" w:cs="Arial"/>
          <w:lang w:val="en-BE"/>
        </w:rPr>
        <w:t xml:space="preserve">For comments on notification requirements please </w:t>
      </w:r>
      <w:proofErr w:type="gramStart"/>
      <w:r>
        <w:rPr>
          <w:rFonts w:ascii="Arial" w:hAnsi="Arial" w:cs="Arial"/>
          <w:lang w:val="en-BE"/>
        </w:rPr>
        <w:t xml:space="preserve">consult </w:t>
      </w:r>
      <w:r w:rsidR="001F7B5E">
        <w:rPr>
          <w:rFonts w:ascii="Arial" w:hAnsi="Arial" w:cs="Arial"/>
          <w:lang w:val="en-BE"/>
        </w:rPr>
        <w:t>also</w:t>
      </w:r>
      <w:proofErr w:type="gramEnd"/>
      <w:r w:rsidR="001F7B5E">
        <w:rPr>
          <w:rFonts w:ascii="Arial" w:hAnsi="Arial" w:cs="Arial"/>
          <w:lang w:val="en-BE"/>
        </w:rPr>
        <w:t xml:space="preserve"> </w:t>
      </w:r>
      <w:r>
        <w:rPr>
          <w:rFonts w:ascii="Arial" w:hAnsi="Arial" w:cs="Arial"/>
          <w:lang w:val="en-BE"/>
        </w:rPr>
        <w:t>the answer to Q2.</w:t>
      </w:r>
    </w:p>
    <w:p w14:paraId="6FBC4B96" w14:textId="2196E2E9" w:rsidR="00D83914" w:rsidRDefault="00D83914" w:rsidP="0071665E">
      <w:pPr>
        <w:spacing w:line="276" w:lineRule="auto"/>
        <w:rPr>
          <w:rFonts w:ascii="Arial" w:hAnsi="Arial" w:cs="Arial"/>
          <w:lang w:val="en-BE"/>
        </w:rPr>
      </w:pPr>
    </w:p>
    <w:p w14:paraId="348BC29C" w14:textId="6D42E121" w:rsidR="00D83914" w:rsidRPr="00D83914" w:rsidRDefault="00D83914" w:rsidP="0071665E">
      <w:pPr>
        <w:spacing w:line="276" w:lineRule="auto"/>
        <w:rPr>
          <w:rFonts w:ascii="Arial" w:hAnsi="Arial" w:cs="Arial"/>
          <w:lang w:val="en-BE"/>
        </w:rPr>
      </w:pPr>
      <w:r w:rsidRPr="00ED497F">
        <w:rPr>
          <w:rFonts w:ascii="Arial" w:hAnsi="Arial" w:cs="Arial"/>
          <w:lang w:val="en-BE"/>
        </w:rPr>
        <w:t xml:space="preserve">Additionally, we invite ESMA to clarify in Guideline 9 that the actions and targeted satisfaction of national competent authorities is </w:t>
      </w:r>
      <w:r w:rsidRPr="0071665E">
        <w:rPr>
          <w:rFonts w:ascii="Arial" w:hAnsi="Arial" w:cs="Arial"/>
          <w:lang w:val="en-BE"/>
        </w:rPr>
        <w:t>not</w:t>
      </w:r>
      <w:r w:rsidRPr="00ED497F">
        <w:rPr>
          <w:rFonts w:ascii="Arial" w:hAnsi="Arial" w:cs="Arial"/>
          <w:lang w:val="en-BE"/>
        </w:rPr>
        <w:t xml:space="preserve"> </w:t>
      </w:r>
      <w:r w:rsidRPr="0071665E">
        <w:rPr>
          <w:rFonts w:ascii="Arial" w:hAnsi="Arial" w:cs="Arial"/>
          <w:lang w:val="en-BE"/>
        </w:rPr>
        <w:t xml:space="preserve">an invitation </w:t>
      </w:r>
      <w:r w:rsidR="00ED497F" w:rsidRPr="0071665E">
        <w:rPr>
          <w:rFonts w:ascii="Arial" w:hAnsi="Arial" w:cs="Arial"/>
          <w:lang w:val="en-BE"/>
        </w:rPr>
        <w:t>for pre-approval requirements in the individual jurisdiction</w:t>
      </w:r>
      <w:r w:rsidR="00ED497F" w:rsidRPr="00ED497F">
        <w:rPr>
          <w:rFonts w:ascii="Arial" w:hAnsi="Arial" w:cs="Arial"/>
          <w:lang w:val="en-BE"/>
        </w:rPr>
        <w:t xml:space="preserve">. A formalized pre-approval process </w:t>
      </w:r>
      <w:r w:rsidR="00ED497F">
        <w:rPr>
          <w:rFonts w:ascii="Arial" w:hAnsi="Arial" w:cs="Arial"/>
          <w:lang w:val="en-BE"/>
        </w:rPr>
        <w:t>proves to</w:t>
      </w:r>
      <w:r w:rsidR="00ED497F" w:rsidRPr="00ED497F">
        <w:rPr>
          <w:rFonts w:ascii="Arial" w:hAnsi="Arial" w:cs="Arial"/>
          <w:lang w:val="en-BE"/>
        </w:rPr>
        <w:t xml:space="preserve"> be a barrier to fast adoption of innovative technology. Driven by competition</w:t>
      </w:r>
      <w:r w:rsidR="001F7B5E">
        <w:rPr>
          <w:rFonts w:ascii="Arial" w:hAnsi="Arial" w:cs="Arial"/>
          <w:lang w:val="en-BE"/>
        </w:rPr>
        <w:t xml:space="preserve"> – </w:t>
      </w:r>
      <w:r w:rsidR="00ED497F" w:rsidRPr="00ED497F">
        <w:rPr>
          <w:rFonts w:ascii="Arial" w:hAnsi="Arial" w:cs="Arial"/>
          <w:lang w:val="en-BE"/>
        </w:rPr>
        <w:t xml:space="preserve">increasingly cross-sectorial </w:t>
      </w:r>
      <w:r w:rsidR="00ED497F">
        <w:rPr>
          <w:rFonts w:ascii="Arial" w:hAnsi="Arial" w:cs="Arial"/>
          <w:lang w:val="en-BE"/>
        </w:rPr>
        <w:t>as shown by</w:t>
      </w:r>
      <w:r w:rsidR="00ED497F" w:rsidRPr="00ED497F">
        <w:rPr>
          <w:rFonts w:ascii="Arial" w:hAnsi="Arial" w:cs="Arial"/>
          <w:lang w:val="en-BE"/>
        </w:rPr>
        <w:t xml:space="preserve"> large online platforms and their respective data and infrastructure advantages</w:t>
      </w:r>
      <w:r w:rsidR="001F7B5E">
        <w:rPr>
          <w:rFonts w:ascii="Arial" w:hAnsi="Arial" w:cs="Arial"/>
          <w:lang w:val="en-BE"/>
        </w:rPr>
        <w:t xml:space="preserve"> – </w:t>
      </w:r>
      <w:r w:rsidR="00ED497F" w:rsidRPr="00ED497F">
        <w:rPr>
          <w:rFonts w:ascii="Arial" w:hAnsi="Arial" w:cs="Arial"/>
          <w:lang w:val="en-BE"/>
        </w:rPr>
        <w:t>the required speed of innovative tech applications in financial institutions has been increased. European banks remain dedicated to serve both their customers’ expectations (</w:t>
      </w:r>
      <w:r w:rsidR="00ED497F">
        <w:rPr>
          <w:rFonts w:ascii="Arial" w:hAnsi="Arial" w:cs="Arial"/>
          <w:lang w:val="en-BE"/>
        </w:rPr>
        <w:t xml:space="preserve">of </w:t>
      </w:r>
      <w:r w:rsidR="00ED497F" w:rsidRPr="00ED497F">
        <w:rPr>
          <w:rFonts w:ascii="Arial" w:hAnsi="Arial" w:cs="Arial"/>
          <w:lang w:val="en-BE"/>
        </w:rPr>
        <w:t>increasingly fast tech solutions) and their responsibilities under the financial regulatory framework. Additional pre-approval processes</w:t>
      </w:r>
      <w:r w:rsidR="001F7B5E">
        <w:rPr>
          <w:rFonts w:ascii="Arial" w:hAnsi="Arial" w:cs="Arial"/>
          <w:lang w:val="en-BE"/>
        </w:rPr>
        <w:t xml:space="preserve"> for cloud outsourcing</w:t>
      </w:r>
      <w:r w:rsidR="00ED497F" w:rsidRPr="00ED497F">
        <w:rPr>
          <w:rFonts w:ascii="Arial" w:hAnsi="Arial" w:cs="Arial"/>
          <w:lang w:val="en-BE"/>
        </w:rPr>
        <w:t xml:space="preserve">, making the innovative tech adoption dependent on external workstreams </w:t>
      </w:r>
      <w:r w:rsidR="00F74DEB">
        <w:rPr>
          <w:rFonts w:ascii="Arial" w:hAnsi="Arial" w:cs="Arial"/>
          <w:lang w:val="en-BE"/>
        </w:rPr>
        <w:t>by</w:t>
      </w:r>
      <w:r w:rsidR="00ED497F" w:rsidRPr="00ED497F">
        <w:rPr>
          <w:rFonts w:ascii="Arial" w:hAnsi="Arial" w:cs="Arial"/>
          <w:lang w:val="en-BE"/>
        </w:rPr>
        <w:t xml:space="preserve"> different public authorities, significantly slow this ad</w:t>
      </w:r>
      <w:r w:rsidR="00ED497F">
        <w:rPr>
          <w:rFonts w:ascii="Arial" w:hAnsi="Arial" w:cs="Arial"/>
          <w:lang w:val="en-BE"/>
        </w:rPr>
        <w:t>o</w:t>
      </w:r>
      <w:r w:rsidR="00ED497F" w:rsidRPr="00ED497F">
        <w:rPr>
          <w:rFonts w:ascii="Arial" w:hAnsi="Arial" w:cs="Arial"/>
          <w:lang w:val="en-BE"/>
        </w:rPr>
        <w:t>ption</w:t>
      </w:r>
      <w:r w:rsidR="00ED497F">
        <w:rPr>
          <w:rFonts w:ascii="Arial" w:hAnsi="Arial" w:cs="Arial"/>
          <w:lang w:val="en-BE"/>
        </w:rPr>
        <w:t>.</w:t>
      </w:r>
      <w:r w:rsidR="00ED497F" w:rsidRPr="00ED497F">
        <w:rPr>
          <w:rFonts w:ascii="Arial" w:hAnsi="Arial" w:cs="Arial"/>
          <w:lang w:val="en-BE"/>
        </w:rPr>
        <w:t xml:space="preserve"> Furthermore, different procedural rules of such pre-approval across European jurisdiction</w:t>
      </w:r>
      <w:r w:rsidR="00F74DEB">
        <w:rPr>
          <w:rFonts w:ascii="Arial" w:hAnsi="Arial" w:cs="Arial"/>
          <w:lang w:val="en-BE"/>
        </w:rPr>
        <w:t>s</w:t>
      </w:r>
      <w:r w:rsidR="00ED497F">
        <w:rPr>
          <w:rFonts w:ascii="Arial" w:hAnsi="Arial" w:cs="Arial"/>
          <w:lang w:val="en-BE"/>
        </w:rPr>
        <w:t xml:space="preserve"> would</w:t>
      </w:r>
      <w:r w:rsidR="00ED497F" w:rsidRPr="00ED497F">
        <w:rPr>
          <w:rFonts w:ascii="Arial" w:hAnsi="Arial" w:cs="Arial"/>
          <w:lang w:val="en-BE"/>
        </w:rPr>
        <w:t xml:space="preserve"> create a significant fragmentation of </w:t>
      </w:r>
      <w:r w:rsidR="00ED497F">
        <w:rPr>
          <w:rFonts w:ascii="Arial" w:hAnsi="Arial" w:cs="Arial"/>
          <w:lang w:val="en-BE"/>
        </w:rPr>
        <w:t xml:space="preserve">supervisory </w:t>
      </w:r>
      <w:r w:rsidR="00ED497F" w:rsidRPr="00ED497F">
        <w:rPr>
          <w:rFonts w:ascii="Arial" w:hAnsi="Arial" w:cs="Arial"/>
          <w:lang w:val="en-BE"/>
        </w:rPr>
        <w:t xml:space="preserve">requirements and </w:t>
      </w:r>
      <w:r w:rsidR="00CF73D6">
        <w:rPr>
          <w:rFonts w:ascii="Arial" w:hAnsi="Arial" w:cs="Arial"/>
          <w:lang w:val="en-BE"/>
        </w:rPr>
        <w:t xml:space="preserve">corresponding </w:t>
      </w:r>
      <w:r w:rsidR="00ED497F" w:rsidRPr="00ED497F">
        <w:rPr>
          <w:rFonts w:ascii="Arial" w:hAnsi="Arial" w:cs="Arial"/>
          <w:lang w:val="en-BE"/>
        </w:rPr>
        <w:t>reaction times. Ultimately, the inherently cross-border cloud potential would be seriously undermined. We believe that the ESMA Guideline 9 provides for the right opportunity to clarify that pre-</w:t>
      </w:r>
      <w:proofErr w:type="spellStart"/>
      <w:r w:rsidR="00ED497F" w:rsidRPr="00ED497F">
        <w:rPr>
          <w:rFonts w:ascii="Arial" w:hAnsi="Arial" w:cs="Arial"/>
          <w:lang w:val="en-BE"/>
        </w:rPr>
        <w:t>arrpoval</w:t>
      </w:r>
      <w:proofErr w:type="spellEnd"/>
      <w:r w:rsidR="00ED497F" w:rsidRPr="00ED497F">
        <w:rPr>
          <w:rFonts w:ascii="Arial" w:hAnsi="Arial" w:cs="Arial"/>
          <w:lang w:val="en-BE"/>
        </w:rPr>
        <w:t xml:space="preserve"> is not expected. Following a risk-based approach</w:t>
      </w:r>
      <w:r w:rsidR="00CF73D6">
        <w:rPr>
          <w:rFonts w:ascii="Arial" w:hAnsi="Arial" w:cs="Arial"/>
          <w:lang w:val="en-BE"/>
        </w:rPr>
        <w:t xml:space="preserve"> under</w:t>
      </w:r>
      <w:r w:rsidR="00ED497F" w:rsidRPr="00ED497F">
        <w:rPr>
          <w:rFonts w:ascii="Arial" w:hAnsi="Arial" w:cs="Arial"/>
          <w:lang w:val="en-BE"/>
        </w:rPr>
        <w:t xml:space="preserve"> </w:t>
      </w:r>
      <w:r w:rsidR="00CF73D6">
        <w:rPr>
          <w:rFonts w:ascii="Arial" w:hAnsi="Arial" w:cs="Arial"/>
          <w:lang w:val="en-BE"/>
        </w:rPr>
        <w:t xml:space="preserve">the </w:t>
      </w:r>
      <w:r w:rsidR="00ED497F" w:rsidRPr="00ED497F">
        <w:rPr>
          <w:rFonts w:ascii="Arial" w:hAnsi="Arial" w:cs="Arial"/>
          <w:lang w:val="en-BE"/>
        </w:rPr>
        <w:t>ESMA GL</w:t>
      </w:r>
      <w:r w:rsidR="00CF73D6">
        <w:rPr>
          <w:rFonts w:ascii="Arial" w:hAnsi="Arial" w:cs="Arial"/>
          <w:lang w:val="en-BE"/>
        </w:rPr>
        <w:t xml:space="preserve"> </w:t>
      </w:r>
      <w:r w:rsidR="001F7B5E">
        <w:rPr>
          <w:rFonts w:ascii="Arial" w:hAnsi="Arial" w:cs="Arial"/>
          <w:lang w:val="en-BE"/>
        </w:rPr>
        <w:t xml:space="preserve">(same </w:t>
      </w:r>
      <w:r w:rsidR="00CF73D6">
        <w:rPr>
          <w:rFonts w:ascii="Arial" w:hAnsi="Arial" w:cs="Arial"/>
          <w:lang w:val="en-BE"/>
        </w:rPr>
        <w:t xml:space="preserve">as </w:t>
      </w:r>
      <w:r w:rsidR="001F7B5E">
        <w:rPr>
          <w:rFonts w:ascii="Arial" w:hAnsi="Arial" w:cs="Arial"/>
          <w:lang w:val="en-BE"/>
        </w:rPr>
        <w:t xml:space="preserve">under the </w:t>
      </w:r>
      <w:r w:rsidR="00CF73D6">
        <w:rPr>
          <w:rFonts w:ascii="Arial" w:hAnsi="Arial" w:cs="Arial"/>
          <w:lang w:val="en-BE"/>
        </w:rPr>
        <w:t>EBA GL</w:t>
      </w:r>
      <w:r w:rsidR="001F7B5E">
        <w:rPr>
          <w:rFonts w:ascii="Arial" w:hAnsi="Arial" w:cs="Arial"/>
          <w:lang w:val="en-BE"/>
        </w:rPr>
        <w:t>)</w:t>
      </w:r>
      <w:r w:rsidR="00CF73D6">
        <w:rPr>
          <w:rFonts w:ascii="Arial" w:hAnsi="Arial" w:cs="Arial"/>
          <w:lang w:val="en-BE"/>
        </w:rPr>
        <w:t xml:space="preserve">, </w:t>
      </w:r>
      <w:r w:rsidR="00ED497F" w:rsidRPr="00ED497F">
        <w:rPr>
          <w:rFonts w:ascii="Arial" w:hAnsi="Arial" w:cs="Arial"/>
          <w:lang w:val="en-BE"/>
        </w:rPr>
        <w:t>protection of financial stability and accountability</w:t>
      </w:r>
      <w:r w:rsidR="00CF73D6">
        <w:rPr>
          <w:rFonts w:ascii="Arial" w:hAnsi="Arial" w:cs="Arial"/>
          <w:lang w:val="en-BE"/>
        </w:rPr>
        <w:t xml:space="preserve"> remains nevertheless secured in the sectors</w:t>
      </w:r>
      <w:r w:rsidR="00ED497F" w:rsidRPr="0071665E">
        <w:rPr>
          <w:rFonts w:ascii="Arial" w:hAnsi="Arial" w:cs="Arial"/>
          <w:lang w:val="en-BE"/>
        </w:rPr>
        <w:t>.</w:t>
      </w:r>
    </w:p>
    <w:permEnd w:id="943999632"/>
    <w:p w14:paraId="2CCDB13B" w14:textId="77777777" w:rsidR="00E33392" w:rsidRDefault="00E33392" w:rsidP="00E33392">
      <w:pPr>
        <w:rPr>
          <w:rFonts w:ascii="Arial" w:hAnsi="Arial" w:cs="Arial"/>
        </w:rPr>
      </w:pPr>
      <w:r>
        <w:rPr>
          <w:rFonts w:ascii="Arial" w:hAnsi="Arial" w:cs="Arial"/>
        </w:rPr>
        <w:t>&lt;ESMA_QUESTION_COGL_9&gt;</w:t>
      </w:r>
    </w:p>
    <w:p w14:paraId="6A15004B" w14:textId="77777777" w:rsidR="00E33392" w:rsidRDefault="00E33392" w:rsidP="00E33392">
      <w:pPr>
        <w:rPr>
          <w:rFonts w:ascii="Arial" w:hAnsi="Arial" w:cs="Arial"/>
        </w:rPr>
      </w:pPr>
    </w:p>
    <w:p w14:paraId="42B9319C" w14:textId="77777777" w:rsidR="00E33392" w:rsidRDefault="00E33392" w:rsidP="00E33392">
      <w:pPr>
        <w:pStyle w:val="Questionstyle"/>
        <w:numPr>
          <w:ilvl w:val="0"/>
          <w:numId w:val="17"/>
        </w:numPr>
        <w:spacing w:after="250" w:line="276" w:lineRule="auto"/>
        <w:rPr>
          <w:rFonts w:ascii="Arial" w:hAnsi="Arial" w:cs="Arial"/>
        </w:rPr>
      </w:pPr>
      <w:r>
        <w:lastRenderedPageBreak/>
        <w:t xml:space="preserve">: Do you agree with the suggested approach regarding the supervision of cloud outsourcing arrangements by competent authorities? Please explain. </w:t>
      </w:r>
    </w:p>
    <w:p w14:paraId="55B10AE2" w14:textId="77777777" w:rsidR="00E33392" w:rsidRDefault="00E33392" w:rsidP="00E33392">
      <w:pPr>
        <w:rPr>
          <w:rFonts w:ascii="Arial" w:hAnsi="Arial" w:cs="Arial"/>
        </w:rPr>
      </w:pPr>
      <w:r>
        <w:rPr>
          <w:rFonts w:ascii="Arial" w:hAnsi="Arial" w:cs="Arial"/>
        </w:rPr>
        <w:t>&lt;ESMA_QUESTION_COGL_10&gt;</w:t>
      </w:r>
    </w:p>
    <w:p w14:paraId="45B499C0" w14:textId="54E718F7" w:rsidR="008F53D5" w:rsidRDefault="0063656F" w:rsidP="00E33392">
      <w:pPr>
        <w:rPr>
          <w:rFonts w:ascii="Arial" w:hAnsi="Arial" w:cs="Arial"/>
          <w:lang w:val="en-BE"/>
        </w:rPr>
      </w:pPr>
      <w:permStart w:id="1987337014" w:edGrp="everyone"/>
      <w:r>
        <w:rPr>
          <w:rFonts w:ascii="Arial" w:hAnsi="Arial" w:cs="Arial"/>
          <w:lang w:val="en-BE"/>
        </w:rPr>
        <w:t xml:space="preserve">Acknowledging ESMA Guideline </w:t>
      </w:r>
      <w:r w:rsidR="008F53D5">
        <w:rPr>
          <w:rFonts w:ascii="Arial" w:hAnsi="Arial" w:cs="Arial"/>
          <w:lang w:val="en-BE"/>
        </w:rPr>
        <w:t>9</w:t>
      </w:r>
      <w:r>
        <w:rPr>
          <w:rFonts w:ascii="Arial" w:hAnsi="Arial" w:cs="Arial"/>
          <w:lang w:val="en-BE"/>
        </w:rPr>
        <w:t xml:space="preserve"> on </w:t>
      </w:r>
      <w:proofErr w:type="spellStart"/>
      <w:r>
        <w:rPr>
          <w:rFonts w:ascii="Arial" w:hAnsi="Arial" w:cs="Arial"/>
          <w:lang w:val="en-BE"/>
        </w:rPr>
        <w:t>supverision</w:t>
      </w:r>
      <w:proofErr w:type="spellEnd"/>
      <w:r>
        <w:rPr>
          <w:rFonts w:ascii="Arial" w:hAnsi="Arial" w:cs="Arial"/>
          <w:lang w:val="en-BE"/>
        </w:rPr>
        <w:t>, we invite ESMA to provide further guidance on Guid</w:t>
      </w:r>
      <w:r w:rsidR="008F53D5">
        <w:rPr>
          <w:rFonts w:ascii="Arial" w:hAnsi="Arial" w:cs="Arial"/>
          <w:lang w:val="en-BE"/>
        </w:rPr>
        <w:t>el</w:t>
      </w:r>
      <w:r>
        <w:rPr>
          <w:rFonts w:ascii="Arial" w:hAnsi="Arial" w:cs="Arial"/>
          <w:lang w:val="en-BE"/>
        </w:rPr>
        <w:t xml:space="preserve">ine 9.61 a) and b) regarding the details of the processes to be put in place by firms. End-to-end examples could help demonstrating how this should be looked at by </w:t>
      </w:r>
      <w:proofErr w:type="spellStart"/>
      <w:r>
        <w:rPr>
          <w:rFonts w:ascii="Arial" w:hAnsi="Arial" w:cs="Arial"/>
          <w:lang w:val="en-BE"/>
        </w:rPr>
        <w:t>NCAs</w:t>
      </w:r>
      <w:proofErr w:type="spellEnd"/>
      <w:r>
        <w:rPr>
          <w:rFonts w:ascii="Arial" w:hAnsi="Arial" w:cs="Arial"/>
          <w:lang w:val="en-BE"/>
        </w:rPr>
        <w:t xml:space="preserve"> and firms</w:t>
      </w:r>
      <w:r w:rsidR="008F53D5">
        <w:rPr>
          <w:rFonts w:ascii="Arial" w:hAnsi="Arial" w:cs="Arial"/>
          <w:lang w:val="en-BE"/>
        </w:rPr>
        <w:t xml:space="preserve"> (examples of relevant governance, expected </w:t>
      </w:r>
      <w:proofErr w:type="spellStart"/>
      <w:r w:rsidR="008F53D5">
        <w:rPr>
          <w:rFonts w:ascii="Arial" w:hAnsi="Arial" w:cs="Arial"/>
          <w:lang w:val="en-BE"/>
        </w:rPr>
        <w:t>ressources</w:t>
      </w:r>
      <w:proofErr w:type="spellEnd"/>
      <w:r w:rsidR="008F53D5">
        <w:rPr>
          <w:rFonts w:ascii="Arial" w:hAnsi="Arial" w:cs="Arial"/>
          <w:lang w:val="en-BE"/>
        </w:rPr>
        <w:t>, operational processes)</w:t>
      </w:r>
    </w:p>
    <w:p w14:paraId="40B5A814" w14:textId="1430F50A" w:rsidR="008F53D5" w:rsidRDefault="008F53D5" w:rsidP="00E33392">
      <w:pPr>
        <w:rPr>
          <w:rFonts w:ascii="Arial" w:hAnsi="Arial" w:cs="Arial"/>
          <w:lang w:val="en-BE"/>
        </w:rPr>
      </w:pPr>
    </w:p>
    <w:p w14:paraId="06E6915E" w14:textId="22A36272" w:rsidR="0063656F" w:rsidRPr="0063656F" w:rsidRDefault="008F53D5" w:rsidP="00E33392">
      <w:pPr>
        <w:rPr>
          <w:rFonts w:ascii="Arial" w:hAnsi="Arial" w:cs="Arial"/>
          <w:lang w:val="en-BE"/>
        </w:rPr>
      </w:pPr>
      <w:r>
        <w:rPr>
          <w:rFonts w:ascii="Arial" w:hAnsi="Arial" w:cs="Arial"/>
          <w:lang w:val="en-BE"/>
        </w:rPr>
        <w:t xml:space="preserve">Guideline 9.62 introduces monitoring in case of identified concentration risk. We invite ESMA to provide further </w:t>
      </w:r>
      <w:proofErr w:type="spellStart"/>
      <w:r>
        <w:rPr>
          <w:rFonts w:ascii="Arial" w:hAnsi="Arial" w:cs="Arial"/>
          <w:lang w:val="en-BE"/>
        </w:rPr>
        <w:t>gu</w:t>
      </w:r>
      <w:r w:rsidR="00F74DEB">
        <w:rPr>
          <w:rFonts w:ascii="Arial" w:hAnsi="Arial" w:cs="Arial"/>
          <w:lang w:val="en-BE"/>
        </w:rPr>
        <w:t>i</w:t>
      </w:r>
      <w:proofErr w:type="spellEnd"/>
      <w:r>
        <w:rPr>
          <w:rFonts w:ascii="Arial" w:hAnsi="Arial" w:cs="Arial"/>
          <w:lang w:val="en-BE"/>
        </w:rPr>
        <w:t xml:space="preserve">dance on how </w:t>
      </w:r>
      <w:proofErr w:type="spellStart"/>
      <w:r>
        <w:rPr>
          <w:rFonts w:ascii="Arial" w:hAnsi="Arial" w:cs="Arial"/>
          <w:lang w:val="en-BE"/>
        </w:rPr>
        <w:t>comptent</w:t>
      </w:r>
      <w:proofErr w:type="spellEnd"/>
      <w:r>
        <w:rPr>
          <w:rFonts w:ascii="Arial" w:hAnsi="Arial" w:cs="Arial"/>
          <w:lang w:val="en-BE"/>
        </w:rPr>
        <w:t xml:space="preserve"> authorities should approach firms within this monitoring process and to what extent the authority could share their findings with firms in return. An enhanced information access for firms on the concentration risk assessment by the </w:t>
      </w:r>
      <w:proofErr w:type="spellStart"/>
      <w:r>
        <w:rPr>
          <w:rFonts w:ascii="Arial" w:hAnsi="Arial" w:cs="Arial"/>
          <w:lang w:val="en-BE"/>
        </w:rPr>
        <w:t>comptenent</w:t>
      </w:r>
      <w:proofErr w:type="spellEnd"/>
      <w:r>
        <w:rPr>
          <w:rFonts w:ascii="Arial" w:hAnsi="Arial" w:cs="Arial"/>
          <w:lang w:val="en-BE"/>
        </w:rPr>
        <w:t xml:space="preserve"> authority would provide valuable under the firms’ risk-based approach to cloud outsourcing. </w:t>
      </w:r>
    </w:p>
    <w:permEnd w:id="1987337014"/>
    <w:p w14:paraId="5C7CC6CF" w14:textId="77777777" w:rsidR="00E33392" w:rsidRDefault="00E33392" w:rsidP="00E33392">
      <w:pPr>
        <w:rPr>
          <w:rFonts w:ascii="Arial" w:hAnsi="Arial" w:cs="Arial"/>
        </w:rPr>
      </w:pPr>
      <w:r>
        <w:rPr>
          <w:rFonts w:ascii="Arial" w:hAnsi="Arial" w:cs="Arial"/>
        </w:rPr>
        <w:t>&lt;ESMA_QUESTION_COGL_10&gt;</w:t>
      </w:r>
    </w:p>
    <w:p w14:paraId="39E3D249" w14:textId="77777777" w:rsidR="00E33392" w:rsidRDefault="00E33392" w:rsidP="00E33392">
      <w:pPr>
        <w:rPr>
          <w:rFonts w:ascii="Arial" w:hAnsi="Arial" w:cs="Arial"/>
        </w:rPr>
      </w:pPr>
    </w:p>
    <w:p w14:paraId="74070140" w14:textId="77777777" w:rsidR="00E33392" w:rsidRDefault="00E33392" w:rsidP="00E33392">
      <w:pPr>
        <w:pStyle w:val="Questionstyle"/>
        <w:numPr>
          <w:ilvl w:val="0"/>
          <w:numId w:val="17"/>
        </w:numPr>
        <w:spacing w:after="250" w:line="276" w:lineRule="auto"/>
        <w:rPr>
          <w:rFonts w:ascii="Arial" w:hAnsi="Arial" w:cs="Arial"/>
        </w:rPr>
      </w:pPr>
      <w:r>
        <w:t xml:space="preserve">: Do you have any further comment or suggestion on the draft guidelines? Please explain. </w:t>
      </w:r>
    </w:p>
    <w:p w14:paraId="4BC7E012" w14:textId="77777777" w:rsidR="00E33392" w:rsidRDefault="00E33392" w:rsidP="00E33392">
      <w:pPr>
        <w:rPr>
          <w:rFonts w:ascii="Arial" w:hAnsi="Arial" w:cs="Arial"/>
        </w:rPr>
      </w:pPr>
      <w:r>
        <w:rPr>
          <w:rFonts w:ascii="Arial" w:hAnsi="Arial" w:cs="Arial"/>
        </w:rPr>
        <w:t>&lt;ESMA_QUESTION_COGL_11&gt;</w:t>
      </w:r>
    </w:p>
    <w:p w14:paraId="296ABEE5" w14:textId="6088B7BD" w:rsidR="00152B48" w:rsidRDefault="00152B48" w:rsidP="00E33392">
      <w:pPr>
        <w:rPr>
          <w:rFonts w:ascii="Arial" w:hAnsi="Arial" w:cs="Arial"/>
          <w:lang w:val="en-BE"/>
        </w:rPr>
      </w:pPr>
      <w:permStart w:id="2023358740" w:edGrp="everyone"/>
      <w:r>
        <w:rPr>
          <w:rFonts w:ascii="Arial" w:hAnsi="Arial" w:cs="Arial"/>
          <w:lang w:val="en-BE"/>
        </w:rPr>
        <w:t>We encourage ESMA to align the proposed definition with definitions included under the EBA GL para. 12.</w:t>
      </w:r>
    </w:p>
    <w:p w14:paraId="77FDAF70" w14:textId="1367BB77" w:rsidR="00152B48" w:rsidRDefault="00152B48" w:rsidP="00E33392">
      <w:pPr>
        <w:rPr>
          <w:rFonts w:ascii="Arial" w:hAnsi="Arial" w:cs="Arial"/>
          <w:lang w:val="en-BE"/>
        </w:rPr>
      </w:pPr>
    </w:p>
    <w:p w14:paraId="710B7D8F" w14:textId="6DEAA98F" w:rsidR="00E33392" w:rsidRDefault="00152B48" w:rsidP="00E33392">
      <w:pPr>
        <w:rPr>
          <w:rFonts w:ascii="Arial" w:hAnsi="Arial" w:cs="Arial"/>
        </w:rPr>
      </w:pPr>
      <w:r>
        <w:rPr>
          <w:rFonts w:ascii="Arial" w:hAnsi="Arial" w:cs="Arial"/>
          <w:lang w:val="en-BE"/>
        </w:rPr>
        <w:t xml:space="preserve">Specifically, we recommend </w:t>
      </w:r>
      <w:proofErr w:type="gramStart"/>
      <w:r>
        <w:rPr>
          <w:rFonts w:ascii="Arial" w:hAnsi="Arial" w:cs="Arial"/>
          <w:lang w:val="en-BE"/>
        </w:rPr>
        <w:t>to include</w:t>
      </w:r>
      <w:proofErr w:type="gramEnd"/>
      <w:r>
        <w:rPr>
          <w:rFonts w:ascii="Arial" w:hAnsi="Arial" w:cs="Arial"/>
          <w:lang w:val="en-BE"/>
        </w:rPr>
        <w:t xml:space="preserve"> the definition of “Private Cloud” as proposed by EBA. By use of the wording “cloud service customer”</w:t>
      </w:r>
      <w:r w:rsidR="0063656F">
        <w:rPr>
          <w:rFonts w:ascii="Arial" w:hAnsi="Arial" w:cs="Arial"/>
          <w:lang w:val="en-BE"/>
        </w:rPr>
        <w:t xml:space="preserve"> (ESMA)</w:t>
      </w:r>
      <w:r>
        <w:rPr>
          <w:rFonts w:ascii="Arial" w:hAnsi="Arial" w:cs="Arial"/>
          <w:lang w:val="en-BE"/>
        </w:rPr>
        <w:t xml:space="preserve"> </w:t>
      </w:r>
      <w:r w:rsidR="0063656F">
        <w:rPr>
          <w:rFonts w:ascii="Arial" w:hAnsi="Arial" w:cs="Arial"/>
          <w:lang w:val="en-BE"/>
        </w:rPr>
        <w:t xml:space="preserve">instead of “use by single institution” (EBA), the status of a private cloud provider appears to implicate a third-party relationship. Different from public cloud solutions, the private cloud model can be operated by a </w:t>
      </w:r>
      <w:r w:rsidR="001F7B5E">
        <w:rPr>
          <w:rFonts w:ascii="Arial" w:hAnsi="Arial" w:cs="Arial"/>
          <w:lang w:val="en-BE"/>
        </w:rPr>
        <w:t xml:space="preserve">single </w:t>
      </w:r>
      <w:r w:rsidR="0063656F">
        <w:rPr>
          <w:rFonts w:ascii="Arial" w:hAnsi="Arial" w:cs="Arial"/>
          <w:lang w:val="en-BE"/>
        </w:rPr>
        <w:t>fi</w:t>
      </w:r>
      <w:r w:rsidR="001F7B5E">
        <w:rPr>
          <w:rFonts w:ascii="Arial" w:hAnsi="Arial" w:cs="Arial"/>
          <w:lang w:val="en-BE"/>
        </w:rPr>
        <w:t>r</w:t>
      </w:r>
      <w:r w:rsidR="0063656F">
        <w:rPr>
          <w:rFonts w:ascii="Arial" w:hAnsi="Arial" w:cs="Arial"/>
          <w:lang w:val="en-BE"/>
        </w:rPr>
        <w:t xml:space="preserve">m entirely, excluding third parties. </w:t>
      </w:r>
      <w:r w:rsidR="001F7B5E">
        <w:rPr>
          <w:rFonts w:ascii="Arial" w:hAnsi="Arial" w:cs="Arial"/>
          <w:lang w:val="en-BE"/>
        </w:rPr>
        <w:t>In fact, p</w:t>
      </w:r>
      <w:r w:rsidR="0063656F">
        <w:rPr>
          <w:rFonts w:ascii="Arial" w:hAnsi="Arial" w:cs="Arial"/>
          <w:lang w:val="en-BE"/>
        </w:rPr>
        <w:t xml:space="preserve">rivate cloud deployment models can provide a range of possibilities and should operate under an equally flexible definition. The EBA definition reflects possibilities more easily, avoiding possible confusion in later implementation processes. Additionally, EBA does not include the term “controlled by”, which could also trigger misleading – because too narrow – interpretations of </w:t>
      </w:r>
      <w:proofErr w:type="spellStart"/>
      <w:r w:rsidR="0063656F">
        <w:rPr>
          <w:rFonts w:ascii="Arial" w:hAnsi="Arial" w:cs="Arial"/>
          <w:lang w:val="en-BE"/>
        </w:rPr>
        <w:t>privat</w:t>
      </w:r>
      <w:proofErr w:type="spellEnd"/>
      <w:r w:rsidR="0063656F">
        <w:rPr>
          <w:rFonts w:ascii="Arial" w:hAnsi="Arial" w:cs="Arial"/>
          <w:lang w:val="en-BE"/>
        </w:rPr>
        <w:t xml:space="preserve"> cloud constellations. </w:t>
      </w:r>
      <w:permEnd w:id="2023358740"/>
      <w:r w:rsidR="00E33392">
        <w:rPr>
          <w:rFonts w:ascii="Arial" w:hAnsi="Arial" w:cs="Arial"/>
        </w:rPr>
        <w:t>&lt;ESMA_QUESTION_COGL_11&gt;</w:t>
      </w:r>
    </w:p>
    <w:p w14:paraId="60DCD49A" w14:textId="77777777" w:rsidR="00E33392" w:rsidRDefault="00E33392" w:rsidP="00E33392">
      <w:pPr>
        <w:rPr>
          <w:rFonts w:ascii="Arial" w:hAnsi="Arial" w:cs="Arial"/>
        </w:rPr>
      </w:pPr>
    </w:p>
    <w:p w14:paraId="12D50951" w14:textId="77777777" w:rsidR="00E33392" w:rsidRDefault="00E33392" w:rsidP="00E33392">
      <w:pPr>
        <w:pStyle w:val="Questionstyle"/>
        <w:numPr>
          <w:ilvl w:val="0"/>
          <w:numId w:val="17"/>
        </w:numPr>
        <w:spacing w:after="250" w:line="276" w:lineRule="auto"/>
        <w:rPr>
          <w:rFonts w:ascii="Arial" w:hAnsi="Arial" w:cs="Arial"/>
        </w:rPr>
      </w:pPr>
      <w:r>
        <w:t xml:space="preserve">: What level of resources (financial and other) would be required to implement and comply with the guidelines and for which related cost (please distinguish between one off and ongoing costs)? When responding to this question, please provide information on the size, internal set-up and the nature, scale and complexity of the activities of your organization, where relevant. </w:t>
      </w:r>
    </w:p>
    <w:p w14:paraId="11D31516" w14:textId="77777777" w:rsidR="00E33392" w:rsidRDefault="00E33392" w:rsidP="00E33392">
      <w:pPr>
        <w:rPr>
          <w:rFonts w:ascii="Arial" w:hAnsi="Arial" w:cs="Arial"/>
        </w:rPr>
      </w:pPr>
      <w:r>
        <w:rPr>
          <w:rFonts w:ascii="Arial" w:hAnsi="Arial" w:cs="Arial"/>
        </w:rPr>
        <w:t>&lt;ESMA_QUESTION_COGL_12&gt;</w:t>
      </w:r>
    </w:p>
    <w:p w14:paraId="69DCAA5B" w14:textId="77777777" w:rsidR="00E33392" w:rsidRDefault="00E33392" w:rsidP="00E33392">
      <w:pPr>
        <w:rPr>
          <w:rFonts w:ascii="Arial" w:hAnsi="Arial" w:cs="Arial"/>
        </w:rPr>
      </w:pPr>
      <w:permStart w:id="752842500" w:edGrp="everyone"/>
      <w:r>
        <w:rPr>
          <w:rFonts w:ascii="Arial" w:hAnsi="Arial" w:cs="Arial"/>
        </w:rPr>
        <w:t>TYPE YOUR TEXT HERE</w:t>
      </w:r>
    </w:p>
    <w:permEnd w:id="752842500"/>
    <w:p w14:paraId="51805C32" w14:textId="77777777" w:rsidR="00E33392" w:rsidRDefault="00E33392" w:rsidP="00E33392">
      <w:pPr>
        <w:rPr>
          <w:rFonts w:ascii="Arial" w:hAnsi="Arial" w:cs="Arial"/>
        </w:rPr>
      </w:pPr>
      <w:r>
        <w:rPr>
          <w:rFonts w:ascii="Arial" w:hAnsi="Arial" w:cs="Arial"/>
        </w:rPr>
        <w:t>&lt;ESMA_QUESTION_COGL_12&gt;</w:t>
      </w:r>
    </w:p>
    <w:p w14:paraId="445DBCA9" w14:textId="77777777" w:rsidR="00E33392" w:rsidRDefault="00E33392" w:rsidP="00E33392">
      <w:pPr>
        <w:rPr>
          <w:rFonts w:ascii="Arial" w:hAnsi="Arial" w:cs="Arial"/>
        </w:rPr>
      </w:pPr>
    </w:p>
    <w:p w14:paraId="485156CC" w14:textId="77777777" w:rsidR="00C85C8B" w:rsidRDefault="00C85C8B" w:rsidP="00C1698A">
      <w:pPr>
        <w:spacing w:line="276" w:lineRule="auto"/>
        <w:rPr>
          <w:rFonts w:asciiTheme="minorHAnsi" w:hAnsiTheme="minorHAnsi" w:cstheme="minorHAnsi"/>
          <w:b/>
          <w:sz w:val="28"/>
          <w:szCs w:val="28"/>
        </w:rPr>
      </w:pPr>
    </w:p>
    <w:p w14:paraId="737BB6E8" w14:textId="77777777" w:rsidR="00C85C8B" w:rsidRDefault="00C85C8B" w:rsidP="00C1698A">
      <w:pPr>
        <w:spacing w:line="276" w:lineRule="auto"/>
        <w:rPr>
          <w:rFonts w:asciiTheme="minorHAnsi" w:hAnsiTheme="minorHAnsi" w:cstheme="minorHAnsi"/>
          <w:b/>
          <w:sz w:val="28"/>
          <w:szCs w:val="28"/>
        </w:rPr>
      </w:pPr>
    </w:p>
    <w:p w14:paraId="6C24EA93" w14:textId="77777777" w:rsidR="00C85C8B" w:rsidRDefault="00C85C8B" w:rsidP="00C1698A">
      <w:pPr>
        <w:spacing w:line="276" w:lineRule="auto"/>
        <w:rPr>
          <w:rFonts w:asciiTheme="minorHAnsi" w:hAnsiTheme="minorHAnsi" w:cstheme="minorHAnsi"/>
          <w:b/>
          <w:sz w:val="28"/>
          <w:szCs w:val="28"/>
        </w:rPr>
      </w:pPr>
    </w:p>
    <w:p w14:paraId="5F47F2D3" w14:textId="77777777" w:rsidR="00C85C8B" w:rsidRDefault="00C85C8B" w:rsidP="00C1698A">
      <w:pPr>
        <w:spacing w:line="276" w:lineRule="auto"/>
        <w:rPr>
          <w:rFonts w:asciiTheme="minorHAnsi" w:hAnsiTheme="minorHAnsi" w:cstheme="minorHAnsi"/>
          <w:b/>
          <w:sz w:val="28"/>
          <w:szCs w:val="28"/>
        </w:rPr>
      </w:pPr>
    </w:p>
    <w:bookmarkEnd w:id="1"/>
    <w:p w14:paraId="141C1406" w14:textId="2DCBE16C" w:rsidR="002156A3" w:rsidRDefault="002156A3" w:rsidP="00804656">
      <w:pPr>
        <w:spacing w:after="120" w:line="264" w:lineRule="auto"/>
        <w:rPr>
          <w:rFonts w:asciiTheme="minorHAnsi" w:hAnsiTheme="minorHAnsi" w:cstheme="minorHAnsi"/>
          <w:b/>
          <w:sz w:val="28"/>
          <w:szCs w:val="28"/>
        </w:rPr>
      </w:pPr>
    </w:p>
    <w:sectPr w:rsidR="002156A3" w:rsidSect="00C85C8B">
      <w:headerReference w:type="default" r:id="rId22"/>
      <w:footerReference w:type="default"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94DD4" w14:textId="77777777" w:rsidR="006636EB" w:rsidRDefault="006636EB" w:rsidP="007E7997">
      <w:r>
        <w:separator/>
      </w:r>
    </w:p>
  </w:endnote>
  <w:endnote w:type="continuationSeparator" w:id="0">
    <w:p w14:paraId="1065DD88" w14:textId="77777777" w:rsidR="006636EB" w:rsidRDefault="006636EB" w:rsidP="007E7997">
      <w:r>
        <w:continuationSeparator/>
      </w:r>
    </w:p>
  </w:endnote>
  <w:endnote w:type="continuationNotice" w:id="1">
    <w:p w14:paraId="563779CF" w14:textId="77777777" w:rsidR="006636EB" w:rsidRDefault="006636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4752671"/>
      <w:docPartObj>
        <w:docPartGallery w:val="Page Numbers (Bottom of Page)"/>
        <w:docPartUnique/>
      </w:docPartObj>
    </w:sdtPr>
    <w:sdtEndPr>
      <w:rPr>
        <w:noProof/>
      </w:rPr>
    </w:sdtEndPr>
    <w:sdtContent>
      <w:p w14:paraId="2A4B306C" w14:textId="77777777" w:rsidR="006636EB" w:rsidRDefault="006636EB">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218D6479" w14:textId="77777777" w:rsidR="006636EB" w:rsidRDefault="006636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79FFC" w14:textId="7301BD04" w:rsidR="006636EB" w:rsidRDefault="006636EB" w:rsidP="007A160F">
    <w:pPr>
      <w:pStyle w:val="Footer"/>
    </w:pPr>
    <w:r>
      <w:rPr>
        <w:rFonts w:asciiTheme="majorHAnsi" w:hAnsiTheme="majorHAnsi"/>
        <w:color w:val="FFFFFF" w:themeColor="background1"/>
      </w:rPr>
      <w:tab/>
    </w:r>
    <w:r>
      <w:rPr>
        <w:rFonts w:asciiTheme="majorHAnsi" w:hAnsiTheme="majorHAnsi"/>
        <w:color w:val="FFFFFF" w:themeColor="background1"/>
      </w:rPr>
      <w:tab/>
      <w:t xml:space="preserve">03 June 2020 </w:t>
    </w:r>
    <w:r w:rsidRPr="005B467C">
      <w:rPr>
        <w:rFonts w:asciiTheme="majorHAnsi" w:hAnsiTheme="majorHAnsi"/>
        <w:color w:val="FFFFFF" w:themeColor="background1"/>
      </w:rPr>
      <w:t>ESMA</w:t>
    </w:r>
    <w:r>
      <w:rPr>
        <w:rFonts w:asciiTheme="majorHAnsi" w:hAnsiTheme="majorHAnsi"/>
        <w:color w:val="FFFFFF" w:themeColor="background1"/>
      </w:rPr>
      <w:t>-XX-XXX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752247"/>
      <w:docPartObj>
        <w:docPartGallery w:val="Page Numbers (Bottom of Page)"/>
        <w:docPartUnique/>
      </w:docPartObj>
    </w:sdtPr>
    <w:sdtEndPr>
      <w:rPr>
        <w:noProof/>
      </w:rPr>
    </w:sdtEndPr>
    <w:sdtContent>
      <w:p w14:paraId="031F2ED0" w14:textId="77777777" w:rsidR="006636EB" w:rsidRDefault="006636E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E539303" w14:textId="77777777" w:rsidR="006636EB" w:rsidRDefault="006636EB"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F68C0E" w14:textId="77777777" w:rsidR="006636EB" w:rsidRDefault="006636EB" w:rsidP="007E7997">
      <w:r>
        <w:separator/>
      </w:r>
    </w:p>
  </w:footnote>
  <w:footnote w:type="continuationSeparator" w:id="0">
    <w:p w14:paraId="5A4467C7" w14:textId="77777777" w:rsidR="006636EB" w:rsidRDefault="006636EB" w:rsidP="007E7997">
      <w:r>
        <w:continuationSeparator/>
      </w:r>
    </w:p>
  </w:footnote>
  <w:footnote w:type="continuationNotice" w:id="1">
    <w:p w14:paraId="06E31026" w14:textId="77777777" w:rsidR="006636EB" w:rsidRDefault="006636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2A73A" w14:textId="77777777" w:rsidR="006636EB" w:rsidRDefault="006636EB">
    <w:pPr>
      <w:pStyle w:val="Header"/>
    </w:pPr>
  </w:p>
  <w:p w14:paraId="4C660DBF" w14:textId="77777777" w:rsidR="006636EB" w:rsidRDefault="006636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75C28" w14:textId="77777777" w:rsidR="006636EB" w:rsidRDefault="006636EB">
    <w:pPr>
      <w:pStyle w:val="Header"/>
    </w:pPr>
    <w:r>
      <w:rPr>
        <w:noProof/>
      </w:rPr>
      <w:drawing>
        <wp:anchor distT="0" distB="0" distL="114300" distR="114300" simplePos="0" relativeHeight="251658752" behindDoc="0" locked="0" layoutInCell="1" allowOverlap="1" wp14:anchorId="73E2F79D" wp14:editId="65424755">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3AB7671D" wp14:editId="28FB983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A1CE8" w14:textId="77777777" w:rsidR="006636EB" w:rsidRDefault="006636EB"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62336" behindDoc="0" locked="0" layoutInCell="1" allowOverlap="1" wp14:anchorId="570AE678" wp14:editId="583872CB">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E6BE9"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4F73A687" w14:textId="77777777" w:rsidR="006636EB" w:rsidRPr="00D13661" w:rsidRDefault="006636EB"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7216" behindDoc="0" locked="0" layoutInCell="1" allowOverlap="1" wp14:anchorId="0898B07D" wp14:editId="64B75D9C">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2C8765E" w14:textId="77777777" w:rsidR="006636EB" w:rsidRPr="00C3170E" w:rsidRDefault="006636EB" w:rsidP="00B50534">
    <w:pPr>
      <w:pStyle w:val="Header"/>
      <w:jc w:val="right"/>
      <w:rPr>
        <w:color w:val="2F5496" w:themeColor="accent5" w:themeShade="BF"/>
        <w:sz w:val="20"/>
      </w:rPr>
    </w:pPr>
  </w:p>
  <w:p w14:paraId="7F71A825" w14:textId="77777777" w:rsidR="006636EB" w:rsidRPr="00B50534" w:rsidRDefault="006636EB"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DF1087"/>
    <w:multiLevelType w:val="hybridMultilevel"/>
    <w:tmpl w:val="D534B376"/>
    <w:lvl w:ilvl="0" w:tplc="C1EC1B98">
      <w:start w:val="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8806DE5"/>
    <w:multiLevelType w:val="multilevel"/>
    <w:tmpl w:val="7F2AD2EE"/>
    <w:lvl w:ilvl="0">
      <w:start w:val="1"/>
      <w:numFmt w:val="decimal"/>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E65C95"/>
    <w:multiLevelType w:val="hybridMultilevel"/>
    <w:tmpl w:val="A4362CBA"/>
    <w:lvl w:ilvl="0" w:tplc="21CE411E">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465E4925"/>
    <w:multiLevelType w:val="hybridMultilevel"/>
    <w:tmpl w:val="83A0FD0A"/>
    <w:lvl w:ilvl="0" w:tplc="634CB406">
      <w:start w:val="1"/>
      <w:numFmt w:val="decimal"/>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2090A6C0">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B16444B"/>
    <w:multiLevelType w:val="hybridMultilevel"/>
    <w:tmpl w:val="83A0FD0A"/>
    <w:lvl w:ilvl="0" w:tplc="634CB406">
      <w:start w:val="1"/>
      <w:numFmt w:val="decimal"/>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2090A6C0">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C674731"/>
    <w:multiLevelType w:val="hybridMultilevel"/>
    <w:tmpl w:val="B6685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0BB5A3D"/>
    <w:multiLevelType w:val="hybridMultilevel"/>
    <w:tmpl w:val="8826BAC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C2A0C41"/>
    <w:multiLevelType w:val="hybridMultilevel"/>
    <w:tmpl w:val="78363B24"/>
    <w:lvl w:ilvl="0" w:tplc="08090019">
      <w:start w:val="1"/>
      <w:numFmt w:val="lowerLetter"/>
      <w:lvlText w:val="%1."/>
      <w:lvlJc w:val="left"/>
      <w:pPr>
        <w:ind w:left="144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37B3334"/>
    <w:multiLevelType w:val="hybridMultilevel"/>
    <w:tmpl w:val="C32E610C"/>
    <w:lvl w:ilvl="0" w:tplc="634CB406">
      <w:start w:val="1"/>
      <w:numFmt w:val="decimal"/>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6B241F00"/>
    <w:multiLevelType w:val="hybridMultilevel"/>
    <w:tmpl w:val="83A0FD0A"/>
    <w:lvl w:ilvl="0" w:tplc="634CB406">
      <w:start w:val="1"/>
      <w:numFmt w:val="decimal"/>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2090A6C0">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70135721"/>
    <w:multiLevelType w:val="hybridMultilevel"/>
    <w:tmpl w:val="B750233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9283606"/>
    <w:multiLevelType w:val="hybridMultilevel"/>
    <w:tmpl w:val="83A0FD0A"/>
    <w:lvl w:ilvl="0" w:tplc="634CB406">
      <w:start w:val="1"/>
      <w:numFmt w:val="decimal"/>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2090A6C0">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79DA644F"/>
    <w:multiLevelType w:val="hybridMultilevel"/>
    <w:tmpl w:val="447EE1D2"/>
    <w:lvl w:ilvl="0" w:tplc="634CB406">
      <w:start w:val="1"/>
      <w:numFmt w:val="decimal"/>
      <w:lvlText w:val="%1."/>
      <w:lvlJc w:val="left"/>
      <w:pPr>
        <w:ind w:left="720" w:hanging="360"/>
      </w:pPr>
      <w:rPr>
        <w:color w:val="000000"/>
      </w:rPr>
    </w:lvl>
    <w:lvl w:ilvl="1" w:tplc="C8A636C6">
      <w:start w:val="1"/>
      <w:numFmt w:val="lowerLetter"/>
      <w:lvlText w:val="%2."/>
      <w:lvlJc w:val="left"/>
      <w:pPr>
        <w:ind w:left="1440" w:hanging="360"/>
      </w:pPr>
      <w:rPr>
        <w:b w:val="0"/>
        <w:bCs w:val="0"/>
      </w:rPr>
    </w:lvl>
    <w:lvl w:ilvl="2" w:tplc="0809001B">
      <w:start w:val="1"/>
      <w:numFmt w:val="lowerRoman"/>
      <w:lvlText w:val="%3."/>
      <w:lvlJc w:val="right"/>
      <w:pPr>
        <w:ind w:left="2160" w:hanging="180"/>
      </w:pPr>
    </w:lvl>
    <w:lvl w:ilvl="3" w:tplc="2090A6C0">
      <w:start w:val="1"/>
      <w:numFmt w:val="decimal"/>
      <w:pStyle w:val="ListParagraph"/>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7F7B720A"/>
    <w:multiLevelType w:val="hybridMultilevel"/>
    <w:tmpl w:val="6FC084A2"/>
    <w:lvl w:ilvl="0" w:tplc="6B203398">
      <w:start w:val="5"/>
      <w:numFmt w:val="bullet"/>
      <w:lvlText w:val="-"/>
      <w:lvlJc w:val="left"/>
      <w:pPr>
        <w:ind w:left="360" w:hanging="360"/>
      </w:pPr>
      <w:rPr>
        <w:rFonts w:ascii="Calibri" w:eastAsia="Calibri" w:hAnsi="Calibri" w:cs="Times New Roman" w:hint="default"/>
      </w:rPr>
    </w:lvl>
    <w:lvl w:ilvl="1" w:tplc="08090019">
      <w:start w:val="1"/>
      <w:numFmt w:val="lowerLetter"/>
      <w:lvlText w:val="%2."/>
      <w:lvlJc w:val="left"/>
      <w:pPr>
        <w:ind w:left="1080" w:hanging="360"/>
      </w:p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
  </w:num>
  <w:num w:numId="2">
    <w:abstractNumId w:val="1"/>
  </w:num>
  <w:num w:numId="3">
    <w:abstractNumId w:val="18"/>
  </w:num>
  <w:num w:numId="4">
    <w:abstractNumId w:val="2"/>
  </w:num>
  <w:num w:numId="5">
    <w:abstractNumId w:val="9"/>
  </w:num>
  <w:num w:numId="6">
    <w:abstractNumId w:val="21"/>
  </w:num>
  <w:num w:numId="7">
    <w:abstractNumId w:val="8"/>
  </w:num>
  <w:num w:numId="8">
    <w:abstractNumId w:val="3"/>
  </w:num>
  <w:num w:numId="9">
    <w:abstractNumId w:val="6"/>
  </w:num>
  <w:num w:numId="10">
    <w:abstractNumId w:val="5"/>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5"/>
  </w:num>
  <w:num w:numId="16">
    <w:abstractNumId w:val="20"/>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3"/>
  </w:num>
  <w:num w:numId="20">
    <w:abstractNumId w:val="12"/>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6"/>
  </w:num>
  <w:num w:numId="24">
    <w:abstractNumId w:val="24"/>
  </w:num>
  <w:num w:numId="25">
    <w:abstractNumId w:val="23"/>
  </w:num>
  <w:num w:numId="26">
    <w:abstractNumId w:val="11"/>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0"/>
  </w:num>
  <w:num w:numId="30">
    <w:abstractNumId w:val="25"/>
    <w:lvlOverride w:ilvl="0"/>
    <w:lvlOverride w:ilvl="1">
      <w:startOverride w:val="1"/>
    </w:lvlOverride>
    <w:lvlOverride w:ilvl="2"/>
    <w:lvlOverride w:ilvl="3"/>
    <w:lvlOverride w:ilvl="4"/>
    <w:lvlOverride w:ilvl="5"/>
    <w:lvlOverride w:ilvl="6"/>
    <w:lvlOverride w:ilvl="7"/>
    <w:lvlOverride w:ilvl="8"/>
  </w:num>
  <w:num w:numId="31">
    <w:abstractNumId w:val="10"/>
  </w:num>
  <w:num w:numId="32">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en-BE" w:vendorID="64" w:dllVersion="0" w:nlCheck="1" w:checkStyle="0"/>
  <w:activeWritingStyle w:appName="MSWord" w:lang="en-BE" w:vendorID="64" w:dllVersion="0" w:nlCheck="1" w:checkStyle="0"/>
  <w:proofState w:spelling="clean" w:grammar="clean"/>
  <w:documentProtection w:edit="readOnly" w:enforcement="1" w:cryptProviderType="rsaAES" w:cryptAlgorithmClass="hash" w:cryptAlgorithmType="typeAny" w:cryptAlgorithmSid="14" w:cryptSpinCount="100000" w:hash="+XAgd11iZRHotn1lq6k0czGKbP7UjSZGc3qO5PW9YgqveF5WLhwuC9kWhrRSNh/x3g0wET2HrpyHtUkBvyFJ+Q==" w:salt="/iWRCmYLf1jZlddrEC3FTQ=="/>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163C"/>
    <w:rsid w:val="00033934"/>
    <w:rsid w:val="00036C09"/>
    <w:rsid w:val="000372BF"/>
    <w:rsid w:val="00040A52"/>
    <w:rsid w:val="00042195"/>
    <w:rsid w:val="00044C5A"/>
    <w:rsid w:val="00044E0A"/>
    <w:rsid w:val="00054E00"/>
    <w:rsid w:val="00061B2B"/>
    <w:rsid w:val="0006448C"/>
    <w:rsid w:val="0006449B"/>
    <w:rsid w:val="000655AD"/>
    <w:rsid w:val="00066FD1"/>
    <w:rsid w:val="00072BF9"/>
    <w:rsid w:val="00073DF9"/>
    <w:rsid w:val="000744FD"/>
    <w:rsid w:val="0007767E"/>
    <w:rsid w:val="0007796D"/>
    <w:rsid w:val="000830DA"/>
    <w:rsid w:val="00083FBB"/>
    <w:rsid w:val="00084EA4"/>
    <w:rsid w:val="000921E6"/>
    <w:rsid w:val="00093239"/>
    <w:rsid w:val="000974EF"/>
    <w:rsid w:val="000A03C9"/>
    <w:rsid w:val="000A12CC"/>
    <w:rsid w:val="000A2738"/>
    <w:rsid w:val="000A2DF1"/>
    <w:rsid w:val="000A3D10"/>
    <w:rsid w:val="000A409B"/>
    <w:rsid w:val="000A66FC"/>
    <w:rsid w:val="000A741E"/>
    <w:rsid w:val="000B1615"/>
    <w:rsid w:val="000B29A1"/>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E3DD2"/>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5BE2"/>
    <w:rsid w:val="0014624E"/>
    <w:rsid w:val="00152B48"/>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2BCB"/>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2A84"/>
    <w:rsid w:val="001E3E0D"/>
    <w:rsid w:val="001E4A45"/>
    <w:rsid w:val="001E5E30"/>
    <w:rsid w:val="001F0479"/>
    <w:rsid w:val="001F1F10"/>
    <w:rsid w:val="001F23C9"/>
    <w:rsid w:val="001F275F"/>
    <w:rsid w:val="001F3999"/>
    <w:rsid w:val="001F3D9D"/>
    <w:rsid w:val="001F4AC8"/>
    <w:rsid w:val="001F7B5E"/>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36822"/>
    <w:rsid w:val="0024299F"/>
    <w:rsid w:val="002449D8"/>
    <w:rsid w:val="00244B86"/>
    <w:rsid w:val="00244C97"/>
    <w:rsid w:val="0024512F"/>
    <w:rsid w:val="00245406"/>
    <w:rsid w:val="002455D7"/>
    <w:rsid w:val="00245D2E"/>
    <w:rsid w:val="00246E1D"/>
    <w:rsid w:val="002472F6"/>
    <w:rsid w:val="0025020D"/>
    <w:rsid w:val="00254CC2"/>
    <w:rsid w:val="002562DC"/>
    <w:rsid w:val="002574D1"/>
    <w:rsid w:val="00261CCB"/>
    <w:rsid w:val="0026245F"/>
    <w:rsid w:val="002630C0"/>
    <w:rsid w:val="0026332A"/>
    <w:rsid w:val="002645A8"/>
    <w:rsid w:val="0026493B"/>
    <w:rsid w:val="00265566"/>
    <w:rsid w:val="00265F44"/>
    <w:rsid w:val="002665E3"/>
    <w:rsid w:val="0027199C"/>
    <w:rsid w:val="00272C4E"/>
    <w:rsid w:val="002751FC"/>
    <w:rsid w:val="002753BD"/>
    <w:rsid w:val="00282D38"/>
    <w:rsid w:val="00282FBE"/>
    <w:rsid w:val="002849A9"/>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2EE6"/>
    <w:rsid w:val="002C3048"/>
    <w:rsid w:val="002D2992"/>
    <w:rsid w:val="002D37A0"/>
    <w:rsid w:val="002D5AB5"/>
    <w:rsid w:val="002D6667"/>
    <w:rsid w:val="002D79F3"/>
    <w:rsid w:val="002E1C11"/>
    <w:rsid w:val="002E399D"/>
    <w:rsid w:val="002E3D0B"/>
    <w:rsid w:val="002E3E7D"/>
    <w:rsid w:val="002E6909"/>
    <w:rsid w:val="002F3640"/>
    <w:rsid w:val="002F6279"/>
    <w:rsid w:val="003013B7"/>
    <w:rsid w:val="00301993"/>
    <w:rsid w:val="00301E55"/>
    <w:rsid w:val="00307397"/>
    <w:rsid w:val="00307C90"/>
    <w:rsid w:val="003101EF"/>
    <w:rsid w:val="00312506"/>
    <w:rsid w:val="00312BDD"/>
    <w:rsid w:val="00314117"/>
    <w:rsid w:val="00317EDF"/>
    <w:rsid w:val="00326D79"/>
    <w:rsid w:val="003279E7"/>
    <w:rsid w:val="00327B62"/>
    <w:rsid w:val="00331FE9"/>
    <w:rsid w:val="0033324D"/>
    <w:rsid w:val="00334B85"/>
    <w:rsid w:val="0033587C"/>
    <w:rsid w:val="00336BF9"/>
    <w:rsid w:val="003371E8"/>
    <w:rsid w:val="00337471"/>
    <w:rsid w:val="0034151D"/>
    <w:rsid w:val="00342B5B"/>
    <w:rsid w:val="00343532"/>
    <w:rsid w:val="00345469"/>
    <w:rsid w:val="003454ED"/>
    <w:rsid w:val="00345EB9"/>
    <w:rsid w:val="0034659B"/>
    <w:rsid w:val="0035030F"/>
    <w:rsid w:val="003519DD"/>
    <w:rsid w:val="00353C4B"/>
    <w:rsid w:val="003545A6"/>
    <w:rsid w:val="00356C60"/>
    <w:rsid w:val="003578D1"/>
    <w:rsid w:val="00363639"/>
    <w:rsid w:val="00366D42"/>
    <w:rsid w:val="0036748C"/>
    <w:rsid w:val="00372615"/>
    <w:rsid w:val="00372EA3"/>
    <w:rsid w:val="00373A3C"/>
    <w:rsid w:val="00376233"/>
    <w:rsid w:val="00380B30"/>
    <w:rsid w:val="00381784"/>
    <w:rsid w:val="00381EB0"/>
    <w:rsid w:val="00382A72"/>
    <w:rsid w:val="00382EBA"/>
    <w:rsid w:val="0038331A"/>
    <w:rsid w:val="0039135B"/>
    <w:rsid w:val="00392F3A"/>
    <w:rsid w:val="003A34E7"/>
    <w:rsid w:val="003A3CB1"/>
    <w:rsid w:val="003A3D55"/>
    <w:rsid w:val="003A73A4"/>
    <w:rsid w:val="003B102E"/>
    <w:rsid w:val="003B2132"/>
    <w:rsid w:val="003B4E3D"/>
    <w:rsid w:val="003C167E"/>
    <w:rsid w:val="003C481D"/>
    <w:rsid w:val="003C4EB5"/>
    <w:rsid w:val="003D2CED"/>
    <w:rsid w:val="003D344A"/>
    <w:rsid w:val="003D3BB8"/>
    <w:rsid w:val="003D50DE"/>
    <w:rsid w:val="003D7C07"/>
    <w:rsid w:val="003E13FD"/>
    <w:rsid w:val="003E1C24"/>
    <w:rsid w:val="003E61FC"/>
    <w:rsid w:val="003E77BC"/>
    <w:rsid w:val="003F09BC"/>
    <w:rsid w:val="003F0EDF"/>
    <w:rsid w:val="003F20C7"/>
    <w:rsid w:val="003F39B1"/>
    <w:rsid w:val="003F66B7"/>
    <w:rsid w:val="003F72A7"/>
    <w:rsid w:val="00400D9C"/>
    <w:rsid w:val="00400FBE"/>
    <w:rsid w:val="004022CF"/>
    <w:rsid w:val="004029B1"/>
    <w:rsid w:val="004038F1"/>
    <w:rsid w:val="00404282"/>
    <w:rsid w:val="0040743A"/>
    <w:rsid w:val="00407623"/>
    <w:rsid w:val="00407A74"/>
    <w:rsid w:val="004114D5"/>
    <w:rsid w:val="004132A8"/>
    <w:rsid w:val="00414210"/>
    <w:rsid w:val="004159DB"/>
    <w:rsid w:val="00420A23"/>
    <w:rsid w:val="00420FD4"/>
    <w:rsid w:val="004242B3"/>
    <w:rsid w:val="00426D62"/>
    <w:rsid w:val="00427A89"/>
    <w:rsid w:val="00430C5B"/>
    <w:rsid w:val="004315C0"/>
    <w:rsid w:val="00431968"/>
    <w:rsid w:val="00433936"/>
    <w:rsid w:val="004346B0"/>
    <w:rsid w:val="0043475E"/>
    <w:rsid w:val="00435FE9"/>
    <w:rsid w:val="00436279"/>
    <w:rsid w:val="0044199E"/>
    <w:rsid w:val="0044206D"/>
    <w:rsid w:val="00444803"/>
    <w:rsid w:val="00445696"/>
    <w:rsid w:val="00446E5F"/>
    <w:rsid w:val="004479DE"/>
    <w:rsid w:val="00450C4E"/>
    <w:rsid w:val="00455577"/>
    <w:rsid w:val="00456795"/>
    <w:rsid w:val="0046150E"/>
    <w:rsid w:val="00461CC8"/>
    <w:rsid w:val="00462B2F"/>
    <w:rsid w:val="00465EAA"/>
    <w:rsid w:val="004708CA"/>
    <w:rsid w:val="004709E7"/>
    <w:rsid w:val="00470ADE"/>
    <w:rsid w:val="004712C7"/>
    <w:rsid w:val="00472DD0"/>
    <w:rsid w:val="004759EB"/>
    <w:rsid w:val="00477919"/>
    <w:rsid w:val="00482611"/>
    <w:rsid w:val="00482A27"/>
    <w:rsid w:val="00483B3A"/>
    <w:rsid w:val="00487DCE"/>
    <w:rsid w:val="004950B7"/>
    <w:rsid w:val="00497FEA"/>
    <w:rsid w:val="004A76E6"/>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148A"/>
    <w:rsid w:val="004F2128"/>
    <w:rsid w:val="004F5740"/>
    <w:rsid w:val="004F58C9"/>
    <w:rsid w:val="005028B9"/>
    <w:rsid w:val="00505E17"/>
    <w:rsid w:val="00511A59"/>
    <w:rsid w:val="00511C3B"/>
    <w:rsid w:val="00514440"/>
    <w:rsid w:val="005166C3"/>
    <w:rsid w:val="00520F7C"/>
    <w:rsid w:val="00523974"/>
    <w:rsid w:val="00526E5D"/>
    <w:rsid w:val="00531432"/>
    <w:rsid w:val="00532921"/>
    <w:rsid w:val="00532BC8"/>
    <w:rsid w:val="005333E8"/>
    <w:rsid w:val="00534912"/>
    <w:rsid w:val="0053651A"/>
    <w:rsid w:val="005370E7"/>
    <w:rsid w:val="005409B7"/>
    <w:rsid w:val="00545E62"/>
    <w:rsid w:val="00551070"/>
    <w:rsid w:val="00552C8A"/>
    <w:rsid w:val="005544A4"/>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A5590"/>
    <w:rsid w:val="005B169D"/>
    <w:rsid w:val="005B44AB"/>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4295"/>
    <w:rsid w:val="006255EC"/>
    <w:rsid w:val="00625A25"/>
    <w:rsid w:val="0062736A"/>
    <w:rsid w:val="0063565E"/>
    <w:rsid w:val="0063656F"/>
    <w:rsid w:val="00636E02"/>
    <w:rsid w:val="00641DB1"/>
    <w:rsid w:val="00642297"/>
    <w:rsid w:val="0064354D"/>
    <w:rsid w:val="00644A34"/>
    <w:rsid w:val="0065440E"/>
    <w:rsid w:val="00654824"/>
    <w:rsid w:val="00661766"/>
    <w:rsid w:val="00662882"/>
    <w:rsid w:val="0066298C"/>
    <w:rsid w:val="00663008"/>
    <w:rsid w:val="00663093"/>
    <w:rsid w:val="006636EB"/>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4804"/>
    <w:rsid w:val="006C5BF8"/>
    <w:rsid w:val="006C7CCB"/>
    <w:rsid w:val="006D50BA"/>
    <w:rsid w:val="006D6009"/>
    <w:rsid w:val="006D7D41"/>
    <w:rsid w:val="006E2F4D"/>
    <w:rsid w:val="006E3FDD"/>
    <w:rsid w:val="006E58FB"/>
    <w:rsid w:val="006E5D82"/>
    <w:rsid w:val="006E66B2"/>
    <w:rsid w:val="006E6C50"/>
    <w:rsid w:val="006E7184"/>
    <w:rsid w:val="006E7A69"/>
    <w:rsid w:val="006E7DE4"/>
    <w:rsid w:val="006F53E8"/>
    <w:rsid w:val="006F5FB8"/>
    <w:rsid w:val="0070017B"/>
    <w:rsid w:val="0070427E"/>
    <w:rsid w:val="00704D53"/>
    <w:rsid w:val="007056C3"/>
    <w:rsid w:val="00706072"/>
    <w:rsid w:val="00713644"/>
    <w:rsid w:val="0071665E"/>
    <w:rsid w:val="00721256"/>
    <w:rsid w:val="007217AD"/>
    <w:rsid w:val="00723BA1"/>
    <w:rsid w:val="00724A1B"/>
    <w:rsid w:val="00730F57"/>
    <w:rsid w:val="0073173E"/>
    <w:rsid w:val="007319C3"/>
    <w:rsid w:val="0073454F"/>
    <w:rsid w:val="00735C00"/>
    <w:rsid w:val="007364C6"/>
    <w:rsid w:val="00740BF3"/>
    <w:rsid w:val="00741D5C"/>
    <w:rsid w:val="0074352F"/>
    <w:rsid w:val="00745C42"/>
    <w:rsid w:val="00747C5E"/>
    <w:rsid w:val="00750210"/>
    <w:rsid w:val="00752292"/>
    <w:rsid w:val="00754B57"/>
    <w:rsid w:val="0075671D"/>
    <w:rsid w:val="0076002F"/>
    <w:rsid w:val="0076038B"/>
    <w:rsid w:val="00761744"/>
    <w:rsid w:val="00764582"/>
    <w:rsid w:val="00765FA3"/>
    <w:rsid w:val="00766961"/>
    <w:rsid w:val="00766B5A"/>
    <w:rsid w:val="00770C33"/>
    <w:rsid w:val="007741C3"/>
    <w:rsid w:val="00777BE0"/>
    <w:rsid w:val="007805B5"/>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1C7D"/>
    <w:rsid w:val="007C2A2C"/>
    <w:rsid w:val="007C3577"/>
    <w:rsid w:val="007C5E08"/>
    <w:rsid w:val="007D0002"/>
    <w:rsid w:val="007D19EC"/>
    <w:rsid w:val="007D7A59"/>
    <w:rsid w:val="007E0E75"/>
    <w:rsid w:val="007E31F1"/>
    <w:rsid w:val="007E390E"/>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4656"/>
    <w:rsid w:val="0081028F"/>
    <w:rsid w:val="008107D9"/>
    <w:rsid w:val="0081093B"/>
    <w:rsid w:val="00810EA3"/>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2B82"/>
    <w:rsid w:val="008B4554"/>
    <w:rsid w:val="008B4FD5"/>
    <w:rsid w:val="008B5191"/>
    <w:rsid w:val="008B63B5"/>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1993"/>
    <w:rsid w:val="008F3386"/>
    <w:rsid w:val="008F3AD9"/>
    <w:rsid w:val="008F4642"/>
    <w:rsid w:val="008F4E00"/>
    <w:rsid w:val="008F53D5"/>
    <w:rsid w:val="008F761D"/>
    <w:rsid w:val="00900D44"/>
    <w:rsid w:val="00902520"/>
    <w:rsid w:val="00904B25"/>
    <w:rsid w:val="00906DC4"/>
    <w:rsid w:val="0091457F"/>
    <w:rsid w:val="0091729E"/>
    <w:rsid w:val="0093261E"/>
    <w:rsid w:val="0094008E"/>
    <w:rsid w:val="00941C0C"/>
    <w:rsid w:val="009437F2"/>
    <w:rsid w:val="0094528B"/>
    <w:rsid w:val="00945411"/>
    <w:rsid w:val="00960A8B"/>
    <w:rsid w:val="00965128"/>
    <w:rsid w:val="00973F43"/>
    <w:rsid w:val="0097785D"/>
    <w:rsid w:val="0098011D"/>
    <w:rsid w:val="00981912"/>
    <w:rsid w:val="009819C0"/>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51EB"/>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11A"/>
    <w:rsid w:val="00A433DC"/>
    <w:rsid w:val="00A460CD"/>
    <w:rsid w:val="00A50761"/>
    <w:rsid w:val="00A51DF2"/>
    <w:rsid w:val="00A53AF0"/>
    <w:rsid w:val="00A53B55"/>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2879"/>
    <w:rsid w:val="00AD32CE"/>
    <w:rsid w:val="00AD5187"/>
    <w:rsid w:val="00AD6B11"/>
    <w:rsid w:val="00AD6B34"/>
    <w:rsid w:val="00AD6F90"/>
    <w:rsid w:val="00AD7E1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21E5"/>
    <w:rsid w:val="00B14F01"/>
    <w:rsid w:val="00B15525"/>
    <w:rsid w:val="00B15C0B"/>
    <w:rsid w:val="00B174BA"/>
    <w:rsid w:val="00B17AF3"/>
    <w:rsid w:val="00B2061D"/>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082E"/>
    <w:rsid w:val="00B51FCB"/>
    <w:rsid w:val="00B5289B"/>
    <w:rsid w:val="00B52E10"/>
    <w:rsid w:val="00B5331D"/>
    <w:rsid w:val="00B543D6"/>
    <w:rsid w:val="00B556B0"/>
    <w:rsid w:val="00B57687"/>
    <w:rsid w:val="00B578E3"/>
    <w:rsid w:val="00B57CE5"/>
    <w:rsid w:val="00B648F2"/>
    <w:rsid w:val="00B64FE7"/>
    <w:rsid w:val="00B655D1"/>
    <w:rsid w:val="00B67E38"/>
    <w:rsid w:val="00B73FF2"/>
    <w:rsid w:val="00B74CBA"/>
    <w:rsid w:val="00B74ED3"/>
    <w:rsid w:val="00B768CF"/>
    <w:rsid w:val="00B81A44"/>
    <w:rsid w:val="00B84128"/>
    <w:rsid w:val="00B86BB5"/>
    <w:rsid w:val="00B91072"/>
    <w:rsid w:val="00B91B6E"/>
    <w:rsid w:val="00B94B2C"/>
    <w:rsid w:val="00B96F7D"/>
    <w:rsid w:val="00B970D0"/>
    <w:rsid w:val="00BA49F4"/>
    <w:rsid w:val="00BA5C41"/>
    <w:rsid w:val="00BA6ACA"/>
    <w:rsid w:val="00BA7232"/>
    <w:rsid w:val="00BA7809"/>
    <w:rsid w:val="00BB449C"/>
    <w:rsid w:val="00BB44D7"/>
    <w:rsid w:val="00BC22EB"/>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34BB8"/>
    <w:rsid w:val="00C40053"/>
    <w:rsid w:val="00C4294D"/>
    <w:rsid w:val="00C444C8"/>
    <w:rsid w:val="00C452DD"/>
    <w:rsid w:val="00C45856"/>
    <w:rsid w:val="00C46603"/>
    <w:rsid w:val="00C54316"/>
    <w:rsid w:val="00C55208"/>
    <w:rsid w:val="00C5527D"/>
    <w:rsid w:val="00C56C69"/>
    <w:rsid w:val="00C60444"/>
    <w:rsid w:val="00C61B1A"/>
    <w:rsid w:val="00C62A53"/>
    <w:rsid w:val="00C709F9"/>
    <w:rsid w:val="00C73A70"/>
    <w:rsid w:val="00C76054"/>
    <w:rsid w:val="00C779A2"/>
    <w:rsid w:val="00C80546"/>
    <w:rsid w:val="00C83CAD"/>
    <w:rsid w:val="00C8419E"/>
    <w:rsid w:val="00C851D7"/>
    <w:rsid w:val="00C85C8B"/>
    <w:rsid w:val="00C867AD"/>
    <w:rsid w:val="00C87F9F"/>
    <w:rsid w:val="00C91293"/>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56A5"/>
    <w:rsid w:val="00CE66B5"/>
    <w:rsid w:val="00CF52DF"/>
    <w:rsid w:val="00CF5832"/>
    <w:rsid w:val="00CF5911"/>
    <w:rsid w:val="00CF7221"/>
    <w:rsid w:val="00CF724E"/>
    <w:rsid w:val="00CF73D6"/>
    <w:rsid w:val="00D00263"/>
    <w:rsid w:val="00D059F5"/>
    <w:rsid w:val="00D05FC4"/>
    <w:rsid w:val="00D117F5"/>
    <w:rsid w:val="00D13661"/>
    <w:rsid w:val="00D142BD"/>
    <w:rsid w:val="00D146DE"/>
    <w:rsid w:val="00D175C1"/>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BD5"/>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3914"/>
    <w:rsid w:val="00D84C2A"/>
    <w:rsid w:val="00D9064B"/>
    <w:rsid w:val="00D93B68"/>
    <w:rsid w:val="00D978C6"/>
    <w:rsid w:val="00DA03F6"/>
    <w:rsid w:val="00DA134A"/>
    <w:rsid w:val="00DA1A2E"/>
    <w:rsid w:val="00DA3413"/>
    <w:rsid w:val="00DA426E"/>
    <w:rsid w:val="00DA4339"/>
    <w:rsid w:val="00DA4B1B"/>
    <w:rsid w:val="00DA4ED4"/>
    <w:rsid w:val="00DA4EFC"/>
    <w:rsid w:val="00DA648D"/>
    <w:rsid w:val="00DA726D"/>
    <w:rsid w:val="00DB2610"/>
    <w:rsid w:val="00DB3DEA"/>
    <w:rsid w:val="00DB40BD"/>
    <w:rsid w:val="00DB4B8E"/>
    <w:rsid w:val="00DB4F4B"/>
    <w:rsid w:val="00DC070F"/>
    <w:rsid w:val="00DC3858"/>
    <w:rsid w:val="00DC3A57"/>
    <w:rsid w:val="00DC7A95"/>
    <w:rsid w:val="00DD55C2"/>
    <w:rsid w:val="00DD759E"/>
    <w:rsid w:val="00DE0D0B"/>
    <w:rsid w:val="00DE314E"/>
    <w:rsid w:val="00DE4CFB"/>
    <w:rsid w:val="00DF045B"/>
    <w:rsid w:val="00DF1ED8"/>
    <w:rsid w:val="00DF3785"/>
    <w:rsid w:val="00DF3D27"/>
    <w:rsid w:val="00DF6074"/>
    <w:rsid w:val="00E02239"/>
    <w:rsid w:val="00E047EC"/>
    <w:rsid w:val="00E07D42"/>
    <w:rsid w:val="00E163E9"/>
    <w:rsid w:val="00E240F5"/>
    <w:rsid w:val="00E30004"/>
    <w:rsid w:val="00E33392"/>
    <w:rsid w:val="00E333AC"/>
    <w:rsid w:val="00E3456B"/>
    <w:rsid w:val="00E35C16"/>
    <w:rsid w:val="00E36085"/>
    <w:rsid w:val="00E36813"/>
    <w:rsid w:val="00E42382"/>
    <w:rsid w:val="00E5117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48A4"/>
    <w:rsid w:val="00E95FD8"/>
    <w:rsid w:val="00EA0283"/>
    <w:rsid w:val="00EA5941"/>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497F"/>
    <w:rsid w:val="00ED56BE"/>
    <w:rsid w:val="00ED5DEC"/>
    <w:rsid w:val="00ED74D7"/>
    <w:rsid w:val="00EE40F8"/>
    <w:rsid w:val="00EE6DD6"/>
    <w:rsid w:val="00EF0867"/>
    <w:rsid w:val="00EF1A10"/>
    <w:rsid w:val="00EF1A9F"/>
    <w:rsid w:val="00EF1B27"/>
    <w:rsid w:val="00EF4370"/>
    <w:rsid w:val="00EF5AD7"/>
    <w:rsid w:val="00F03FA7"/>
    <w:rsid w:val="00F048EF"/>
    <w:rsid w:val="00F06AAD"/>
    <w:rsid w:val="00F146BE"/>
    <w:rsid w:val="00F17428"/>
    <w:rsid w:val="00F22013"/>
    <w:rsid w:val="00F22356"/>
    <w:rsid w:val="00F226E0"/>
    <w:rsid w:val="00F2522F"/>
    <w:rsid w:val="00F30180"/>
    <w:rsid w:val="00F31A29"/>
    <w:rsid w:val="00F3279A"/>
    <w:rsid w:val="00F37236"/>
    <w:rsid w:val="00F44634"/>
    <w:rsid w:val="00F5012F"/>
    <w:rsid w:val="00F505EC"/>
    <w:rsid w:val="00F5088F"/>
    <w:rsid w:val="00F51657"/>
    <w:rsid w:val="00F5223C"/>
    <w:rsid w:val="00F57787"/>
    <w:rsid w:val="00F61E82"/>
    <w:rsid w:val="00F6243A"/>
    <w:rsid w:val="00F63323"/>
    <w:rsid w:val="00F636FE"/>
    <w:rsid w:val="00F648B2"/>
    <w:rsid w:val="00F67EBD"/>
    <w:rsid w:val="00F70EA4"/>
    <w:rsid w:val="00F73F19"/>
    <w:rsid w:val="00F74DEB"/>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28B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ilvl w:val="0"/>
        <w:numId w:val="0"/>
      </w:numPr>
      <w:ind w:left="1728" w:hanging="648"/>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8B2B82"/>
    <w:pPr>
      <w:numPr>
        <w:ilvl w:val="3"/>
        <w:numId w:val="22"/>
      </w:numPr>
      <w:tabs>
        <w:tab w:val="left" w:pos="0"/>
        <w:tab w:val="left" w:pos="142"/>
        <w:tab w:val="left" w:pos="284"/>
        <w:tab w:val="left" w:pos="2552"/>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8B2B8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C60444"/>
    <w:pPr>
      <w:autoSpaceDE w:val="0"/>
      <w:autoSpaceDN w:val="0"/>
    </w:pPr>
    <w:rPr>
      <w:rFonts w:ascii="Arial" w:eastAsiaTheme="minorHAnsi" w:hAnsi="Arial" w:cs="Arial"/>
      <w:color w:val="000000"/>
      <w:lang w:eastAsia="en-US"/>
    </w:rPr>
  </w:style>
  <w:style w:type="character" w:styleId="UnresolvedMention">
    <w:name w:val="Unresolved Mention"/>
    <w:basedOn w:val="DefaultParagraphFont"/>
    <w:uiPriority w:val="99"/>
    <w:semiHidden/>
    <w:unhideWhenUsed/>
    <w:rsid w:val="00C604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99575">
      <w:bodyDiv w:val="1"/>
      <w:marLeft w:val="0"/>
      <w:marRight w:val="0"/>
      <w:marTop w:val="0"/>
      <w:marBottom w:val="0"/>
      <w:divBdr>
        <w:top w:val="none" w:sz="0" w:space="0" w:color="auto"/>
        <w:left w:val="none" w:sz="0" w:space="0" w:color="auto"/>
        <w:bottom w:val="none" w:sz="0" w:space="0" w:color="auto"/>
        <w:right w:val="none" w:sz="0" w:space="0" w:color="auto"/>
      </w:divBdr>
    </w:div>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448013411">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581719252">
      <w:bodyDiv w:val="1"/>
      <w:marLeft w:val="0"/>
      <w:marRight w:val="0"/>
      <w:marTop w:val="0"/>
      <w:marBottom w:val="0"/>
      <w:divBdr>
        <w:top w:val="none" w:sz="0" w:space="0" w:color="auto"/>
        <w:left w:val="none" w:sz="0" w:space="0" w:color="auto"/>
        <w:bottom w:val="none" w:sz="0" w:space="0" w:color="auto"/>
        <w:right w:val="none" w:sz="0" w:space="0" w:color="auto"/>
      </w:divBdr>
    </w:div>
    <w:div w:id="60276262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79131672">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4399390">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23857800">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698583694">
      <w:bodyDiv w:val="1"/>
      <w:marLeft w:val="0"/>
      <w:marRight w:val="0"/>
      <w:marTop w:val="0"/>
      <w:marBottom w:val="0"/>
      <w:divBdr>
        <w:top w:val="none" w:sz="0" w:space="0" w:color="auto"/>
        <w:left w:val="none" w:sz="0" w:space="0" w:color="auto"/>
        <w:bottom w:val="none" w:sz="0" w:space="0" w:color="auto"/>
        <w:right w:val="none" w:sz="0" w:space="0" w:color="auto"/>
      </w:divBdr>
    </w:div>
    <w:div w:id="2057241034">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yperlink" Target="https://www.ebf.eu/wp-content/uploads/2020/06/EBF-Cloud-Banking-Forum_Cloud-exit-strategy-testing-of-exit-plans.pdf"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yperlink" Target="https://www.ebf.eu/priorities/cybersecurity-innovation/cloudbankin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B6560E9A24C3B4882DC62FF61E31B11" ma:contentTypeVersion="3" ma:contentTypeDescription="Create a new document." ma:contentTypeScope="" ma:versionID="353d26400937ca566966251df31cd836">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090d947-cb5a-4e71-a094-4f979ca4aec0">ESMA33-5-790</_dlc_DocId>
    <_dlc_DocIdUrl xmlns="a090d947-cb5a-4e71-a094-4f979ca4aec0">
      <Url>https://sherpa.esma.europa.eu/sites/INICRA/_layouts/15/DocIdRedir.aspx?ID=ESMA33-5-790</Url>
      <Description>ESMA33-5-790</Description>
    </_dlc_DocIdUrl>
  </documentManagement>
</p:properties>
</file>

<file path=customXml/itemProps1.xml><?xml version="1.0" encoding="utf-8"?>
<ds:datastoreItem xmlns:ds="http://schemas.openxmlformats.org/officeDocument/2006/customXml" ds:itemID="{0C4709F1-D735-476B-8E7D-9D79551CFC13}">
  <ds:schemaRefs>
    <ds:schemaRef ds:uri="http://schemas.openxmlformats.org/officeDocument/2006/bibliography"/>
  </ds:schemaRefs>
</ds:datastoreItem>
</file>

<file path=customXml/itemProps2.xml><?xml version="1.0" encoding="utf-8"?>
<ds:datastoreItem xmlns:ds="http://schemas.openxmlformats.org/officeDocument/2006/customXml" ds:itemID="{970698CD-90C4-493F-84B6-44A99DC91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06DDCF-67A8-4146-BE6F-A11A0B2EA36E}">
  <ds:schemaRefs>
    <ds:schemaRef ds:uri="http://schemas.microsoft.com/sharepoint/events"/>
  </ds:schemaRefs>
</ds:datastoreItem>
</file>

<file path=customXml/itemProps4.xml><?xml version="1.0" encoding="utf-8"?>
<ds:datastoreItem xmlns:ds="http://schemas.openxmlformats.org/officeDocument/2006/customXml" ds:itemID="{8F7F3439-3E9D-49C4-9C3C-12CD53E9FA53}">
  <ds:schemaRefs>
    <ds:schemaRef ds:uri="http://schemas.microsoft.com/sharepoint/v3/contenttype/forms"/>
  </ds:schemaRefs>
</ds:datastoreItem>
</file>

<file path=customXml/itemProps5.xml><?xml version="1.0" encoding="utf-8"?>
<ds:datastoreItem xmlns:ds="http://schemas.openxmlformats.org/officeDocument/2006/customXml" ds:itemID="{F50BB32D-1D6C-4FEC-883B-66709530BE9F}">
  <ds:schemaRefs>
    <ds:schemaRef ds:uri="http://purl.org/dc/elements/1.1/"/>
    <ds:schemaRef ds:uri="http://schemas.microsoft.com/office/infopath/2007/PartnerControls"/>
    <ds:schemaRef ds:uri="http://purl.org/dc/dcmitype/"/>
    <ds:schemaRef ds:uri="http://schemas.microsoft.com/office/2006/documentManagement/types"/>
    <ds:schemaRef ds:uri="http://schemas.microsoft.com/office/2006/metadata/properties"/>
    <ds:schemaRef ds:uri="http://www.w3.org/XML/1998/namespace"/>
    <ds:schemaRef ds:uri="http://purl.org/dc/terms/"/>
    <ds:schemaRef ds:uri="http://schemas.openxmlformats.org/package/2006/metadata/core-properties"/>
    <ds:schemaRef ds:uri="a090d947-cb5a-4e71-a094-4f979ca4aec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4554</Words>
  <Characters>25964</Characters>
  <Application>Microsoft Office Word</Application>
  <DocSecurity>8</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2020-08-31T09:18:00Z</dcterms:created>
  <dcterms:modified xsi:type="dcterms:W3CDTF">2020-08-31T16:34:00Z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ebe96076533d4a3ebf64abfb595c8cab">
    <vt:lpwstr/>
  </property>
  <property fmtid="{D5CDD505-2E9C-101B-9397-08002B2CF9AE}" pid="4" name="Topic">
    <vt:lpwstr/>
  </property>
  <property fmtid="{D5CDD505-2E9C-101B-9397-08002B2CF9AE}" pid="5" name="TeamName">
    <vt:lpwstr>70;#Investment Management|9630b78b-e81c-4ffd-baef-5f8b4aeb7ac5</vt:lpwstr>
  </property>
  <property fmtid="{D5CDD505-2E9C-101B-9397-08002B2CF9AE}" pid="6" name="Document Language">
    <vt:lpwstr/>
  </property>
  <property fmtid="{D5CDD505-2E9C-101B-9397-08002B2CF9AE}" pid="7" name="LegalInstrument">
    <vt:lpwstr>27;#Guidelines|5e144655-8ff3-49e5-b82a-b036da8a9173</vt:lpwstr>
  </property>
  <property fmtid="{D5CDD505-2E9C-101B-9397-08002B2CF9AE}" pid="8" name="MemberState">
    <vt:lpwstr/>
  </property>
  <property fmtid="{D5CDD505-2E9C-101B-9397-08002B2CF9AE}" pid="9" name="ConfidentialityLevel">
    <vt:lpwstr>2;#Regular|07f1e362-856b-423d-bea6-a14079762141</vt:lpwstr>
  </property>
  <property fmtid="{D5CDD505-2E9C-101B-9397-08002B2CF9AE}" pid="10" name="ContentTypeId">
    <vt:lpwstr>0x0101008B6560E9A24C3B4882DC62FF61E31B11</vt:lpwstr>
  </property>
  <property fmtid="{D5CDD505-2E9C-101B-9397-08002B2CF9AE}" pid="11" name="k2a4e0e239ca426ba867042d07636a92">
    <vt:lpwstr>Report|78753201-1e9e-4a21-a088-6ff602b5c999</vt:lpwstr>
  </property>
  <property fmtid="{D5CDD505-2E9C-101B-9397-08002B2CF9AE}" pid="12" name="TaxCatchAll">
    <vt:lpwstr>117;#Other Work|f1a52b52-917d-42ef-9667-945839604bb2;#32;#Report|78753201-1e9e-4a21-a088-6ff602b5c999;#2;#Regular|07f1e362-856b-423d-bea6-a14079762141;#70;#Investment Management|9630b78b-e81c-4ffd-baef-5f8b4aeb7ac5</vt:lpwstr>
  </property>
  <property fmtid="{D5CDD505-2E9C-101B-9397-08002B2CF9AE}" pid="13" name="_docset_NoMedatataSyncRequired">
    <vt:lpwstr>False</vt:lpwstr>
  </property>
  <property fmtid="{D5CDD505-2E9C-101B-9397-08002B2CF9AE}" pid="14" name="Stakeholder">
    <vt:lpwstr/>
  </property>
  <property fmtid="{D5CDD505-2E9C-101B-9397-08002B2CF9AE}" pid="15" name="ec60598a2cb14c5fbb15899e6f9fdcae">
    <vt:lpwstr/>
  </property>
  <property fmtid="{D5CDD505-2E9C-101B-9397-08002B2CF9AE}" pid="16" name="f73b170dc53b40b9aa315b795e235780">
    <vt:lpwstr>Investment Management|9630b78b-e81c-4ffd-baef-5f8b4aeb7ac5</vt:lpwstr>
  </property>
  <property fmtid="{D5CDD505-2E9C-101B-9397-08002B2CF9AE}" pid="17" name="LegalAct">
    <vt:lpwstr>30;#ESMA Regulation|1f6010a2-1a2c-44cf-adf8-f8fd9b166bb1</vt:lpwstr>
  </property>
  <property fmtid="{D5CDD505-2E9C-101B-9397-08002B2CF9AE}" pid="18" name="_dlc_DocIdItemGuid">
    <vt:lpwstr>61cf4b8f-7f41-468e-a0cd-282adafdf398</vt:lpwstr>
  </property>
  <property fmtid="{D5CDD505-2E9C-101B-9397-08002B2CF9AE}" pid="19" name="Related Legal Acts">
    <vt:lpwstr/>
  </property>
  <property fmtid="{D5CDD505-2E9C-101B-9397-08002B2CF9AE}" pid="20" name="SubTopic">
    <vt:lpwstr>83;#CSDR Guidelines|3766e6b8-c718-4d18-ace1-7788cb47febc</vt:lpwstr>
  </property>
  <property fmtid="{D5CDD505-2E9C-101B-9397-08002B2CF9AE}" pid="21" name="l41428f617fd44458265420e00c85298">
    <vt:lpwstr>Regular|07f1e362-856b-423d-bea6-a14079762141</vt:lpwstr>
  </property>
  <property fmtid="{D5CDD505-2E9C-101B-9397-08002B2CF9AE}" pid="22" name="DocumentType">
    <vt:lpwstr>32;#Report|78753201-1e9e-4a21-a088-6ff602b5c999</vt:lpwstr>
  </property>
  <property fmtid="{D5CDD505-2E9C-101B-9397-08002B2CF9AE}" pid="23" name="i256cac3f7524ea2b856c0098c0c8641">
    <vt:lpwstr>Other Work|f1a52b52-917d-42ef-9667-945839604bb2</vt:lpwstr>
  </property>
  <property fmtid="{D5CDD505-2E9C-101B-9397-08002B2CF9AE}" pid="24" name="TeamTopic">
    <vt:lpwstr>117;#Other Work|f1a52b52-917d-42ef-9667-945839604bb2</vt:lpwstr>
  </property>
</Properties>
</file>