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1"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1"/>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2"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0FD1D237" w:rsidR="00C85C8B" w:rsidRPr="00C85C8B" w:rsidRDefault="00151736" w:rsidP="00151736">
                <w:pPr>
                  <w:rPr>
                    <w:rFonts w:ascii="Arial" w:hAnsi="Arial" w:cs="Arial"/>
                    <w:color w:val="808080"/>
                    <w:sz w:val="20"/>
                    <w:lang w:eastAsia="de-DE"/>
                  </w:rPr>
                </w:pPr>
                <w:r>
                  <w:rPr>
                    <w:rFonts w:ascii="Arial" w:hAnsi="Arial" w:cs="Arial"/>
                    <w:color w:val="808080"/>
                    <w:sz w:val="20"/>
                    <w:lang w:eastAsia="de-DE"/>
                  </w:rPr>
                  <w:t>European Association of Co-operative Banks(EACB)</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3E415FCF" w:rsidR="00C85C8B" w:rsidRPr="00C85C8B" w:rsidRDefault="00DA0D0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51736">
                  <w:rPr>
                    <w:rFonts w:ascii="Arial" w:hAnsi="Arial" w:cs="Arial"/>
                    <w:sz w:val="20"/>
                    <w:lang w:eastAsia="de-DE"/>
                  </w:rPr>
                  <w:t>Banking sector</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2209C066" w:rsidR="00C85C8B" w:rsidRPr="00C85C8B" w:rsidRDefault="00151736"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3DF72D22" w:rsidR="00C85C8B" w:rsidRPr="00C85C8B" w:rsidRDefault="00151736" w:rsidP="00C85C8B">
                <w:pPr>
                  <w:rPr>
                    <w:rFonts w:ascii="Arial" w:hAnsi="Arial" w:cs="Arial"/>
                    <w:sz w:val="20"/>
                    <w:lang w:eastAsia="de-DE"/>
                  </w:rPr>
                </w:pPr>
                <w:r>
                  <w:rPr>
                    <w:rFonts w:ascii="Arial" w:hAnsi="Arial" w:cs="Arial"/>
                    <w:sz w:val="20"/>
                    <w:lang w:eastAsia="de-DE"/>
                  </w:rPr>
                  <w:t>Europe</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0A7B19BF" w14:textId="77777777" w:rsidR="0035172D" w:rsidRPr="00151736" w:rsidRDefault="006D15A3" w:rsidP="00151736">
      <w:pPr>
        <w:spacing w:after="250" w:line="276" w:lineRule="auto"/>
        <w:jc w:val="both"/>
        <w:rPr>
          <w:rFonts w:ascii="Arial" w:eastAsiaTheme="minorEastAsia" w:hAnsi="Arial" w:cs="Arial"/>
          <w:sz w:val="22"/>
          <w:szCs w:val="20"/>
          <w:lang w:val="en-US" w:eastAsia="en-US"/>
        </w:rPr>
      </w:pPr>
      <w:permStart w:id="1853699001" w:edGrp="everyone"/>
      <w:r w:rsidRPr="00151736">
        <w:rPr>
          <w:rFonts w:ascii="Arial" w:eastAsiaTheme="minorEastAsia" w:hAnsi="Arial" w:cs="Arial"/>
          <w:sz w:val="22"/>
          <w:szCs w:val="20"/>
          <w:lang w:val="en-US" w:eastAsia="en-US"/>
        </w:rPr>
        <w:t>In general, the guidelines are acceptable, but some issues should be aligned to the reality of CSP. A general requirement on “access-to-premises” is outdated regarding cloud outsourcing. We support the idea that it should be re-defined e.g. as access to the systems, but not physical access to the infrastructure. Also, CSP is a highly standardized approach - technically, commercial and concerning contractual clauses. Individual negotiations and changes to standard agreements are state-of-the-art.</w:t>
      </w:r>
    </w:p>
    <w:p w14:paraId="07503BB5" w14:textId="42C7EA7A" w:rsidR="00C85C8B" w:rsidRPr="00151736" w:rsidRDefault="00366D49" w:rsidP="00151736">
      <w:pPr>
        <w:spacing w:after="250" w:line="276" w:lineRule="auto"/>
        <w:jc w:val="both"/>
        <w:rPr>
          <w:rFonts w:ascii="Arial" w:eastAsiaTheme="minorEastAsia" w:hAnsi="Arial" w:cs="Arial"/>
          <w:sz w:val="22"/>
          <w:szCs w:val="20"/>
          <w:lang w:val="en-US" w:eastAsia="en-US"/>
        </w:rPr>
      </w:pPr>
      <w:r w:rsidRPr="00151736">
        <w:rPr>
          <w:rFonts w:ascii="Arial" w:eastAsiaTheme="minorEastAsia" w:hAnsi="Arial" w:cs="Arial"/>
          <w:sz w:val="22"/>
          <w:szCs w:val="20"/>
          <w:lang w:val="en-US" w:eastAsia="en-US"/>
        </w:rPr>
        <w:t>Additionally a general comment on the decision 2016/1250 of the European Court of Justice of 16.7.2020 should be made, as the decision invalidates the EU-US Data Protection Shield agreement and raises a number of question marks concerning "cloud" depending where a cloud services provider (CSP) processes the "outsourced" data (see also Q6.54). However, the ECJ decision is quite new and possible consequences are unclear.</w:t>
      </w:r>
    </w:p>
    <w:p w14:paraId="0A44FE98" w14:textId="426CF5BE" w:rsidR="00366D49" w:rsidRPr="00BD07AF" w:rsidRDefault="00366D49" w:rsidP="00151736">
      <w:pPr>
        <w:spacing w:after="250" w:line="276" w:lineRule="auto"/>
        <w:jc w:val="both"/>
        <w:rPr>
          <w:rFonts w:ascii="Arial" w:eastAsiaTheme="minorEastAsia" w:hAnsi="Arial" w:cs="Arial"/>
          <w:color w:val="FF0000"/>
          <w:sz w:val="22"/>
          <w:szCs w:val="20"/>
          <w:lang w:val="en-US" w:eastAsia="en-US"/>
        </w:rPr>
      </w:pPr>
      <w:r w:rsidRPr="00151736">
        <w:rPr>
          <w:rFonts w:ascii="Arial" w:eastAsiaTheme="minorEastAsia" w:hAnsi="Arial" w:cs="Arial"/>
          <w:sz w:val="22"/>
          <w:szCs w:val="20"/>
          <w:lang w:val="en-US" w:eastAsia="en-US"/>
        </w:rPr>
        <w:t>For co-operative banks in Europe, Guideline 6.50 is important, as it mentions (i) usage of third-party certifications and (ii) pooled audits performed jointly with other clients of the same CSP, which helps the model of co-operative banks using "cloud" services of centralized datacenters owned by the co-operative banks together. EACB wants to emphasise this issue, as our “internal” clouds within the co-operative sector are an essential element of the co-operative operating model.</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7834BB99" w14:textId="5A83FE16" w:rsidR="00BD07AF" w:rsidRDefault="00E21671" w:rsidP="00151736">
      <w:pPr>
        <w:jc w:val="both"/>
        <w:rPr>
          <w:rFonts w:asciiTheme="minorHAnsi" w:hAnsiTheme="minorHAnsi" w:cstheme="minorHAnsi"/>
          <w:bCs/>
          <w:sz w:val="22"/>
          <w:szCs w:val="22"/>
        </w:rPr>
      </w:pPr>
      <w:permStart w:id="870130210" w:edGrp="everyone"/>
      <w:r w:rsidRPr="0020545F">
        <w:rPr>
          <w:rFonts w:asciiTheme="minorHAnsi" w:hAnsiTheme="minorHAnsi" w:cstheme="minorHAnsi"/>
          <w:bCs/>
          <w:sz w:val="22"/>
          <w:szCs w:val="22"/>
        </w:rPr>
        <w:t>Yes. However, in 27) a risk-based approach for monitoring is mentioned, but not further specified. If the primary focus should be on the outsourcing of critical and important functions, which risk-based approach would be expected for the rest</w:t>
      </w:r>
      <w:r>
        <w:rPr>
          <w:rFonts w:asciiTheme="minorHAnsi" w:hAnsiTheme="minorHAnsi" w:cstheme="minorHAnsi"/>
          <w:bCs/>
          <w:sz w:val="22"/>
          <w:szCs w:val="22"/>
        </w:rPr>
        <w:t>?</w:t>
      </w:r>
    </w:p>
    <w:permEnd w:id="870130210"/>
    <w:p w14:paraId="6004914E" w14:textId="48F2026D"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1DCBA0BA" w14:textId="57FC510D" w:rsidR="00E21671" w:rsidRPr="0020545F" w:rsidRDefault="00E21671" w:rsidP="00151736">
      <w:pPr>
        <w:pStyle w:val="Default"/>
        <w:spacing w:after="120"/>
        <w:jc w:val="both"/>
        <w:rPr>
          <w:rFonts w:asciiTheme="minorHAnsi" w:hAnsiTheme="minorHAnsi" w:cstheme="minorHAnsi"/>
          <w:bCs/>
          <w:sz w:val="22"/>
          <w:szCs w:val="22"/>
          <w:lang w:val="en-GB"/>
        </w:rPr>
      </w:pPr>
      <w:permStart w:id="603860191" w:edGrp="everyone"/>
      <w:r w:rsidRPr="0020545F">
        <w:rPr>
          <w:rFonts w:asciiTheme="minorHAnsi" w:hAnsiTheme="minorHAnsi" w:cstheme="minorHAnsi"/>
          <w:bCs/>
          <w:sz w:val="22"/>
          <w:szCs w:val="22"/>
          <w:lang w:val="en-GB"/>
        </w:rPr>
        <w:t xml:space="preserve">Ad 28 &amp; 29) the register should contain the same information as for Outsourcing for </w:t>
      </w:r>
      <w:r>
        <w:rPr>
          <w:rFonts w:asciiTheme="minorHAnsi" w:hAnsiTheme="minorHAnsi" w:cstheme="minorHAnsi"/>
          <w:bCs/>
          <w:sz w:val="22"/>
          <w:szCs w:val="22"/>
          <w:lang w:val="en-GB"/>
        </w:rPr>
        <w:t>banking</w:t>
      </w:r>
      <w:r w:rsidRPr="0020545F">
        <w:rPr>
          <w:rFonts w:asciiTheme="minorHAnsi" w:hAnsiTheme="minorHAnsi" w:cstheme="minorHAnsi"/>
          <w:bCs/>
          <w:sz w:val="22"/>
          <w:szCs w:val="22"/>
          <w:lang w:val="en-GB"/>
        </w:rPr>
        <w:t xml:space="preserve"> institutions as per the EBA Outsourcing Guidelines. </w:t>
      </w:r>
      <w:r>
        <w:rPr>
          <w:rFonts w:asciiTheme="minorHAnsi" w:hAnsiTheme="minorHAnsi" w:cstheme="minorHAnsi"/>
          <w:bCs/>
          <w:sz w:val="22"/>
          <w:szCs w:val="22"/>
          <w:lang w:val="en-GB"/>
        </w:rPr>
        <w:t>Banks</w:t>
      </w:r>
      <w:r w:rsidRPr="0020545F">
        <w:rPr>
          <w:rFonts w:asciiTheme="minorHAnsi" w:hAnsiTheme="minorHAnsi" w:cstheme="minorHAnsi"/>
          <w:bCs/>
          <w:sz w:val="22"/>
          <w:szCs w:val="22"/>
          <w:lang w:val="en-GB"/>
        </w:rPr>
        <w:t xml:space="preserve"> / banking groups have invested and migrated heavily in the past months and</w:t>
      </w:r>
      <w:r>
        <w:rPr>
          <w:rFonts w:asciiTheme="minorHAnsi" w:hAnsiTheme="minorHAnsi" w:cstheme="minorHAnsi"/>
          <w:bCs/>
          <w:sz w:val="22"/>
          <w:szCs w:val="22"/>
          <w:lang w:val="en-GB"/>
        </w:rPr>
        <w:t>, respectively,</w:t>
      </w:r>
      <w:r w:rsidRPr="0020545F">
        <w:rPr>
          <w:rFonts w:asciiTheme="minorHAnsi" w:hAnsiTheme="minorHAnsi" w:cstheme="minorHAnsi"/>
          <w:bCs/>
          <w:sz w:val="22"/>
          <w:szCs w:val="22"/>
          <w:lang w:val="en-GB"/>
        </w:rPr>
        <w:t xml:space="preserve"> re-using </w:t>
      </w:r>
      <w:r>
        <w:rPr>
          <w:rFonts w:asciiTheme="minorHAnsi" w:hAnsiTheme="minorHAnsi" w:cstheme="minorHAnsi"/>
          <w:bCs/>
          <w:sz w:val="22"/>
          <w:szCs w:val="22"/>
          <w:lang w:val="en-GB"/>
        </w:rPr>
        <w:t>these developments</w:t>
      </w:r>
      <w:r w:rsidRPr="0020545F">
        <w:rPr>
          <w:rFonts w:asciiTheme="minorHAnsi" w:hAnsiTheme="minorHAnsi" w:cstheme="minorHAnsi"/>
          <w:bCs/>
          <w:sz w:val="22"/>
          <w:szCs w:val="22"/>
          <w:lang w:val="en-GB"/>
        </w:rPr>
        <w:t xml:space="preserve"> for </w:t>
      </w:r>
      <w:r>
        <w:rPr>
          <w:rFonts w:asciiTheme="minorHAnsi" w:hAnsiTheme="minorHAnsi" w:cstheme="minorHAnsi"/>
          <w:bCs/>
          <w:sz w:val="22"/>
          <w:szCs w:val="22"/>
          <w:lang w:val="en-GB"/>
        </w:rPr>
        <w:t xml:space="preserve">the sector of </w:t>
      </w:r>
      <w:r w:rsidRPr="0020545F">
        <w:rPr>
          <w:rFonts w:asciiTheme="minorHAnsi" w:hAnsiTheme="minorHAnsi" w:cstheme="minorHAnsi"/>
          <w:bCs/>
          <w:sz w:val="22"/>
          <w:szCs w:val="22"/>
          <w:lang w:val="en-GB"/>
        </w:rPr>
        <w:t>securit</w:t>
      </w:r>
      <w:r>
        <w:rPr>
          <w:rFonts w:asciiTheme="minorHAnsi" w:hAnsiTheme="minorHAnsi" w:cstheme="minorHAnsi"/>
          <w:bCs/>
          <w:sz w:val="22"/>
          <w:szCs w:val="22"/>
          <w:lang w:val="en-GB"/>
        </w:rPr>
        <w:t xml:space="preserve">ies operations </w:t>
      </w:r>
      <w:r w:rsidRPr="0020545F">
        <w:rPr>
          <w:rFonts w:asciiTheme="minorHAnsi" w:hAnsiTheme="minorHAnsi" w:cstheme="minorHAnsi"/>
          <w:bCs/>
          <w:sz w:val="22"/>
          <w:szCs w:val="22"/>
          <w:lang w:val="en-GB"/>
        </w:rPr>
        <w:t xml:space="preserve">would be beneficial. A simple reference to the EBA Outsourcing Guidelines for </w:t>
      </w:r>
      <w:r>
        <w:rPr>
          <w:rFonts w:asciiTheme="minorHAnsi" w:hAnsiTheme="minorHAnsi" w:cstheme="minorHAnsi"/>
          <w:bCs/>
          <w:sz w:val="22"/>
          <w:szCs w:val="22"/>
          <w:lang w:val="en-GB"/>
        </w:rPr>
        <w:t>banking</w:t>
      </w:r>
      <w:r w:rsidRPr="0020545F">
        <w:rPr>
          <w:rFonts w:asciiTheme="minorHAnsi" w:hAnsiTheme="minorHAnsi" w:cstheme="minorHAnsi"/>
          <w:bCs/>
          <w:sz w:val="22"/>
          <w:szCs w:val="22"/>
          <w:lang w:val="en-GB"/>
        </w:rPr>
        <w:t xml:space="preserve"> institutions would suffice.</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6C7F88D2" w14:textId="77777777" w:rsidR="00E21671" w:rsidRPr="00257775" w:rsidRDefault="00E21671" w:rsidP="00151736">
      <w:pPr>
        <w:pStyle w:val="Default"/>
        <w:spacing w:after="120"/>
        <w:jc w:val="both"/>
        <w:rPr>
          <w:rFonts w:asciiTheme="minorHAnsi" w:hAnsiTheme="minorHAnsi" w:cstheme="minorHAnsi"/>
          <w:bCs/>
          <w:color w:val="auto"/>
          <w:sz w:val="22"/>
          <w:szCs w:val="22"/>
          <w:lang w:val="en-GB"/>
        </w:rPr>
      </w:pPr>
      <w:permStart w:id="1685610127" w:edGrp="everyone"/>
      <w:r w:rsidRPr="00257775">
        <w:rPr>
          <w:rFonts w:asciiTheme="minorHAnsi" w:hAnsiTheme="minorHAnsi" w:cstheme="minorHAnsi"/>
          <w:bCs/>
          <w:color w:val="auto"/>
          <w:sz w:val="22"/>
          <w:szCs w:val="22"/>
          <w:lang w:val="en-GB"/>
        </w:rPr>
        <w:t>Yes. However, 35) needs to be specified in terms of which certifications would be deemed appropriate.</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5E0454A3" w14:textId="77777777" w:rsidR="00E21671" w:rsidRDefault="00E21671" w:rsidP="00151736">
      <w:pPr>
        <w:pStyle w:val="Default"/>
        <w:spacing w:after="120"/>
        <w:jc w:val="both"/>
        <w:rPr>
          <w:rFonts w:asciiTheme="minorHAnsi" w:hAnsiTheme="minorHAnsi" w:cstheme="minorHAnsi"/>
          <w:sz w:val="22"/>
          <w:szCs w:val="22"/>
          <w:lang w:val="en-GB"/>
        </w:rPr>
      </w:pPr>
      <w:permStart w:id="792990084" w:edGrp="everyone"/>
      <w:r>
        <w:rPr>
          <w:rFonts w:asciiTheme="minorHAnsi" w:hAnsiTheme="minorHAnsi" w:cstheme="minorHAnsi"/>
          <w:sz w:val="22"/>
          <w:szCs w:val="22"/>
          <w:lang w:val="en-GB"/>
        </w:rPr>
        <w:t>Generally, we believe that instead of providing a prescriptive set of what needs to be included in a contract, SCCs would have been a better approach for CSPs and firms.</w:t>
      </w:r>
    </w:p>
    <w:p w14:paraId="672FD0F9" w14:textId="79441A46" w:rsidR="00E21671" w:rsidRDefault="00E21671" w:rsidP="00151736">
      <w:pPr>
        <w:pStyle w:val="Default"/>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Concerning point 41.f) we would like to point out that listing the countries where the CPSs’ data centres reside will not be sufficient to cover the complete process of ‘storing and processing’ of data.</w:t>
      </w:r>
    </w:p>
    <w:p w14:paraId="3070BF8B" w14:textId="77777777" w:rsidR="00E21671" w:rsidRPr="00DD055B" w:rsidRDefault="00E21671" w:rsidP="00151736">
      <w:pPr>
        <w:pStyle w:val="Default"/>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On a more general note, the requirements of</w:t>
      </w:r>
      <w:r w:rsidRPr="00257775">
        <w:rPr>
          <w:rFonts w:asciiTheme="minorHAnsi" w:hAnsiTheme="minorHAnsi" w:cstheme="minorHAnsi"/>
          <w:sz w:val="22"/>
          <w:szCs w:val="22"/>
          <w:lang w:val="en-GB"/>
        </w:rPr>
        <w:t xml:space="preserve"> Guideline 3 </w:t>
      </w:r>
      <w:r>
        <w:rPr>
          <w:rFonts w:asciiTheme="minorHAnsi" w:hAnsiTheme="minorHAnsi" w:cstheme="minorHAnsi"/>
          <w:sz w:val="22"/>
          <w:szCs w:val="22"/>
          <w:lang w:val="en-GB"/>
        </w:rPr>
        <w:t>might be</w:t>
      </w:r>
      <w:r w:rsidRPr="00257775">
        <w:rPr>
          <w:rFonts w:asciiTheme="minorHAnsi" w:hAnsiTheme="minorHAnsi" w:cstheme="minorHAnsi"/>
          <w:sz w:val="22"/>
          <w:szCs w:val="22"/>
          <w:lang w:val="en-GB"/>
        </w:rPr>
        <w:t xml:space="preserve"> </w:t>
      </w:r>
      <w:r>
        <w:rPr>
          <w:rFonts w:asciiTheme="minorHAnsi" w:hAnsiTheme="minorHAnsi" w:cstheme="minorHAnsi"/>
          <w:sz w:val="22"/>
          <w:szCs w:val="22"/>
          <w:lang w:val="en-GB"/>
        </w:rPr>
        <w:t>quite hard</w:t>
      </w:r>
      <w:r w:rsidRPr="00257775">
        <w:rPr>
          <w:rFonts w:asciiTheme="minorHAnsi" w:hAnsiTheme="minorHAnsi" w:cstheme="minorHAnsi"/>
          <w:sz w:val="22"/>
          <w:szCs w:val="22"/>
          <w:lang w:val="en-GB"/>
        </w:rPr>
        <w:t xml:space="preserve"> to implement</w:t>
      </w:r>
      <w:r>
        <w:rPr>
          <w:rFonts w:asciiTheme="minorHAnsi" w:hAnsiTheme="minorHAnsi" w:cstheme="minorHAnsi"/>
          <w:sz w:val="22"/>
          <w:szCs w:val="22"/>
          <w:lang w:val="en-GB"/>
        </w:rPr>
        <w:t xml:space="preserve"> for certain outsourcing activities</w:t>
      </w:r>
      <w:r w:rsidRPr="00257775">
        <w:rPr>
          <w:rFonts w:asciiTheme="minorHAnsi" w:hAnsiTheme="minorHAnsi" w:cstheme="minorHAnsi"/>
          <w:sz w:val="22"/>
          <w:szCs w:val="22"/>
          <w:lang w:val="en-GB"/>
        </w:rPr>
        <w:t xml:space="preserve">. </w:t>
      </w:r>
      <w:r>
        <w:rPr>
          <w:rFonts w:asciiTheme="minorHAnsi" w:hAnsiTheme="minorHAnsi" w:cstheme="minorHAnsi"/>
          <w:sz w:val="22"/>
          <w:szCs w:val="22"/>
          <w:lang w:val="en-GB"/>
        </w:rPr>
        <w:t>Especially large CSP</w:t>
      </w:r>
      <w:r w:rsidRPr="00257775">
        <w:rPr>
          <w:rFonts w:asciiTheme="minorHAnsi" w:hAnsiTheme="minorHAnsi" w:cstheme="minorHAnsi"/>
          <w:sz w:val="22"/>
          <w:szCs w:val="22"/>
          <w:lang w:val="en-GB"/>
        </w:rPr>
        <w:t xml:space="preserve"> like AWS</w:t>
      </w:r>
      <w:r>
        <w:rPr>
          <w:rFonts w:asciiTheme="minorHAnsi" w:hAnsiTheme="minorHAnsi" w:cstheme="minorHAnsi"/>
          <w:sz w:val="22"/>
          <w:szCs w:val="22"/>
          <w:lang w:val="en-GB"/>
        </w:rPr>
        <w:t xml:space="preserve">, Microsoft </w:t>
      </w:r>
      <w:r w:rsidRPr="00257775">
        <w:rPr>
          <w:rFonts w:asciiTheme="minorHAnsi" w:hAnsiTheme="minorHAnsi" w:cstheme="minorHAnsi"/>
          <w:sz w:val="22"/>
          <w:szCs w:val="22"/>
          <w:lang w:val="en-GB"/>
        </w:rPr>
        <w:t>Azure</w:t>
      </w:r>
      <w:r>
        <w:rPr>
          <w:rFonts w:asciiTheme="minorHAnsi" w:hAnsiTheme="minorHAnsi" w:cstheme="minorHAnsi"/>
          <w:sz w:val="22"/>
          <w:szCs w:val="22"/>
          <w:lang w:val="en-GB"/>
        </w:rPr>
        <w:t xml:space="preserve">, or Google Cloud </w:t>
      </w:r>
      <w:r w:rsidRPr="00257775">
        <w:rPr>
          <w:rFonts w:asciiTheme="minorHAnsi" w:hAnsiTheme="minorHAnsi" w:cstheme="minorHAnsi"/>
          <w:sz w:val="22"/>
          <w:szCs w:val="22"/>
          <w:lang w:val="en-GB"/>
        </w:rPr>
        <w:t xml:space="preserve">offer standard services </w:t>
      </w:r>
      <w:r>
        <w:rPr>
          <w:rFonts w:asciiTheme="minorHAnsi" w:hAnsiTheme="minorHAnsi" w:cstheme="minorHAnsi"/>
          <w:sz w:val="22"/>
          <w:szCs w:val="22"/>
          <w:lang w:val="en-GB"/>
        </w:rPr>
        <w:t xml:space="preserve">and might not always </w:t>
      </w:r>
      <w:r w:rsidRPr="00257775">
        <w:rPr>
          <w:rFonts w:asciiTheme="minorHAnsi" w:hAnsiTheme="minorHAnsi" w:cstheme="minorHAnsi"/>
          <w:sz w:val="22"/>
          <w:szCs w:val="22"/>
          <w:lang w:val="en-GB"/>
        </w:rPr>
        <w:t xml:space="preserve">enter </w:t>
      </w:r>
      <w:r>
        <w:rPr>
          <w:rFonts w:asciiTheme="minorHAnsi" w:hAnsiTheme="minorHAnsi" w:cstheme="minorHAnsi"/>
          <w:sz w:val="22"/>
          <w:szCs w:val="22"/>
          <w:lang w:val="en-GB"/>
        </w:rPr>
        <w:t>in</w:t>
      </w:r>
      <w:r w:rsidRPr="00257775">
        <w:rPr>
          <w:rFonts w:asciiTheme="minorHAnsi" w:hAnsiTheme="minorHAnsi" w:cstheme="minorHAnsi"/>
          <w:sz w:val="22"/>
          <w:szCs w:val="22"/>
          <w:lang w:val="en-GB"/>
        </w:rPr>
        <w:t xml:space="preserve">to details and negotiate every aspect of the service. Even though the standard service covers most of the aspects expected by the Guideline 3, they are not tailored to the needs of the </w:t>
      </w:r>
      <w:r>
        <w:rPr>
          <w:rFonts w:asciiTheme="minorHAnsi" w:hAnsiTheme="minorHAnsi" w:cstheme="minorHAnsi"/>
          <w:sz w:val="22"/>
          <w:szCs w:val="22"/>
          <w:lang w:val="en-GB"/>
        </w:rPr>
        <w:t>firm</w:t>
      </w:r>
      <w:r w:rsidRPr="00257775">
        <w:rPr>
          <w:rFonts w:asciiTheme="minorHAnsi" w:hAnsiTheme="minorHAnsi" w:cstheme="minorHAnsi"/>
          <w:sz w:val="22"/>
          <w:szCs w:val="22"/>
          <w:lang w:val="en-GB"/>
        </w:rPr>
        <w:t xml:space="preserve"> outsourcing the service.</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51E0574B" w14:textId="77777777" w:rsidR="00E21671" w:rsidRPr="00DD52B3" w:rsidRDefault="00E21671" w:rsidP="00151736">
      <w:pPr>
        <w:pStyle w:val="Default"/>
        <w:spacing w:after="120"/>
        <w:jc w:val="both"/>
        <w:rPr>
          <w:rFonts w:asciiTheme="minorHAnsi" w:hAnsiTheme="minorHAnsi" w:cstheme="minorHAnsi"/>
          <w:color w:val="auto"/>
          <w:sz w:val="22"/>
          <w:szCs w:val="22"/>
          <w:lang w:val="en-GB"/>
        </w:rPr>
      </w:pPr>
      <w:permStart w:id="1518408103" w:edGrp="everyone"/>
      <w:r w:rsidRPr="00DD52B3">
        <w:rPr>
          <w:rFonts w:asciiTheme="minorHAnsi" w:hAnsiTheme="minorHAnsi" w:cstheme="minorHAnsi"/>
          <w:color w:val="auto"/>
          <w:sz w:val="22"/>
          <w:szCs w:val="22"/>
          <w:lang w:val="en-GB"/>
        </w:rPr>
        <w:lastRenderedPageBreak/>
        <w:t xml:space="preserve">Ad 43.c) Please provide more examples for appropriate key management solutions. Preventing the CSP from storing and managing encryption keys is not covering all types of cloud solutions nor is it probable that </w:t>
      </w:r>
      <w:r>
        <w:rPr>
          <w:rFonts w:asciiTheme="minorHAnsi" w:hAnsiTheme="minorHAnsi" w:cstheme="minorHAnsi"/>
          <w:color w:val="auto"/>
          <w:sz w:val="22"/>
          <w:szCs w:val="22"/>
          <w:lang w:val="en-GB"/>
        </w:rPr>
        <w:t>large</w:t>
      </w:r>
      <w:r w:rsidRPr="00DD52B3">
        <w:rPr>
          <w:rFonts w:asciiTheme="minorHAnsi" w:hAnsiTheme="minorHAnsi" w:cstheme="minorHAnsi"/>
          <w:color w:val="auto"/>
          <w:sz w:val="22"/>
          <w:szCs w:val="22"/>
          <w:lang w:val="en-GB"/>
        </w:rPr>
        <w:t xml:space="preserve"> CSPs would accept additional contractual conditions for separation of duties between key management and operations, if these aren’t already covered by their standard contractual templates for standardized cloud solutions (e.g. within public clouds).</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71E776" w14:textId="77777777" w:rsidR="00E21671" w:rsidRDefault="00E21671" w:rsidP="00151736">
      <w:pPr>
        <w:pStyle w:val="Default"/>
        <w:spacing w:after="120"/>
        <w:jc w:val="both"/>
        <w:rPr>
          <w:rFonts w:asciiTheme="minorHAnsi" w:hAnsiTheme="minorHAnsi" w:cstheme="minorHAnsi"/>
          <w:color w:val="auto"/>
          <w:sz w:val="22"/>
          <w:szCs w:val="22"/>
          <w:lang w:val="en-GB"/>
        </w:rPr>
      </w:pPr>
      <w:permStart w:id="1998543046" w:edGrp="everyone"/>
      <w:r>
        <w:rPr>
          <w:rFonts w:asciiTheme="minorHAnsi" w:hAnsiTheme="minorHAnsi" w:cstheme="minorHAnsi"/>
          <w:color w:val="auto"/>
          <w:sz w:val="22"/>
          <w:szCs w:val="22"/>
          <w:lang w:val="en-GB"/>
        </w:rPr>
        <w:t xml:space="preserve">Generally, yes. </w:t>
      </w:r>
    </w:p>
    <w:p w14:paraId="06C961E1" w14:textId="77777777" w:rsidR="00E21671" w:rsidRDefault="00E21671" w:rsidP="00151736">
      <w:pPr>
        <w:pStyle w:val="Default"/>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Ad 44.a) “Testing” an Exit Plan will not work in many cases. Such a “testing” is also not required in other outsourcing guidelines or supervisory requirements.</w:t>
      </w:r>
    </w:p>
    <w:p w14:paraId="76BC9734" w14:textId="249BB007" w:rsidR="00E21671" w:rsidRDefault="00E21671" w:rsidP="00151736">
      <w:pPr>
        <w:pStyle w:val="Default"/>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Ad</w:t>
      </w:r>
      <w:r w:rsidRPr="00736745">
        <w:rPr>
          <w:rFonts w:asciiTheme="minorHAnsi" w:hAnsiTheme="minorHAnsi" w:cstheme="minorHAnsi"/>
          <w:sz w:val="22"/>
          <w:szCs w:val="22"/>
          <w:lang w:val="en-GB"/>
        </w:rPr>
        <w:t xml:space="preserve"> 44.c</w:t>
      </w:r>
      <w:r>
        <w:rPr>
          <w:rFonts w:asciiTheme="minorHAnsi" w:hAnsiTheme="minorHAnsi" w:cstheme="minorHAnsi"/>
          <w:sz w:val="22"/>
          <w:szCs w:val="22"/>
          <w:lang w:val="en-GB"/>
        </w:rPr>
        <w:t>)</w:t>
      </w:r>
      <w:r w:rsidRPr="00736745">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This </w:t>
      </w:r>
      <w:r w:rsidRPr="00736745">
        <w:rPr>
          <w:rFonts w:asciiTheme="minorHAnsi" w:hAnsiTheme="minorHAnsi" w:cstheme="minorHAnsi"/>
          <w:sz w:val="22"/>
          <w:szCs w:val="22"/>
          <w:lang w:val="en-GB"/>
        </w:rPr>
        <w:t>is</w:t>
      </w:r>
      <w:r>
        <w:rPr>
          <w:rFonts w:asciiTheme="minorHAnsi" w:hAnsiTheme="minorHAnsi" w:cstheme="minorHAnsi"/>
          <w:sz w:val="22"/>
          <w:szCs w:val="22"/>
          <w:lang w:val="en-GB"/>
        </w:rPr>
        <w:t xml:space="preserve"> generally</w:t>
      </w:r>
      <w:r w:rsidRPr="00736745">
        <w:rPr>
          <w:rFonts w:asciiTheme="minorHAnsi" w:hAnsiTheme="minorHAnsi" w:cstheme="minorHAnsi"/>
          <w:sz w:val="22"/>
          <w:szCs w:val="22"/>
          <w:lang w:val="en-GB"/>
        </w:rPr>
        <w:t xml:space="preserve"> not part of the standard service of </w:t>
      </w:r>
      <w:r>
        <w:rPr>
          <w:rFonts w:asciiTheme="minorHAnsi" w:hAnsiTheme="minorHAnsi" w:cstheme="minorHAnsi"/>
          <w:sz w:val="22"/>
          <w:szCs w:val="22"/>
          <w:lang w:val="en-GB"/>
        </w:rPr>
        <w:t xml:space="preserve">e.g. </w:t>
      </w:r>
      <w:r w:rsidRPr="00736745">
        <w:rPr>
          <w:rFonts w:asciiTheme="minorHAnsi" w:hAnsiTheme="minorHAnsi" w:cstheme="minorHAnsi"/>
          <w:sz w:val="22"/>
          <w:szCs w:val="22"/>
          <w:lang w:val="en-GB"/>
        </w:rPr>
        <w:t>AWS</w:t>
      </w:r>
      <w:r>
        <w:rPr>
          <w:rFonts w:asciiTheme="minorHAnsi" w:hAnsiTheme="minorHAnsi" w:cstheme="minorHAnsi"/>
          <w:sz w:val="22"/>
          <w:szCs w:val="22"/>
          <w:lang w:val="en-GB"/>
        </w:rPr>
        <w:t xml:space="preserve">, Microsoft </w:t>
      </w:r>
      <w:r w:rsidRPr="00736745">
        <w:rPr>
          <w:rFonts w:asciiTheme="minorHAnsi" w:hAnsiTheme="minorHAnsi" w:cstheme="minorHAnsi"/>
          <w:sz w:val="22"/>
          <w:szCs w:val="22"/>
          <w:lang w:val="en-GB"/>
        </w:rPr>
        <w:t>Azure</w:t>
      </w:r>
      <w:r>
        <w:rPr>
          <w:rFonts w:asciiTheme="minorHAnsi" w:hAnsiTheme="minorHAnsi" w:cstheme="minorHAnsi"/>
          <w:sz w:val="22"/>
          <w:szCs w:val="22"/>
          <w:lang w:val="en-GB"/>
        </w:rPr>
        <w:t>, or Google Cloud and might be</w:t>
      </w:r>
      <w:r w:rsidRPr="00736745">
        <w:rPr>
          <w:rFonts w:asciiTheme="minorHAnsi" w:hAnsiTheme="minorHAnsi" w:cstheme="minorHAnsi"/>
          <w:sz w:val="22"/>
          <w:szCs w:val="22"/>
          <w:lang w:val="en-GB"/>
        </w:rPr>
        <w:t xml:space="preserve"> hard to impose.</w:t>
      </w:r>
      <w:r>
        <w:rPr>
          <w:rFonts w:asciiTheme="minorHAnsi" w:hAnsiTheme="minorHAnsi" w:cstheme="minorHAnsi"/>
          <w:sz w:val="22"/>
          <w:szCs w:val="22"/>
          <w:lang w:val="en-GB"/>
        </w:rPr>
        <w:t xml:space="preserve"> </w:t>
      </w:r>
      <w:r w:rsidR="00535A74" w:rsidRPr="00535A74">
        <w:rPr>
          <w:rFonts w:asciiTheme="minorHAnsi" w:hAnsiTheme="minorHAnsi" w:cstheme="minorHAnsi"/>
          <w:sz w:val="22"/>
          <w:szCs w:val="22"/>
          <w:lang w:val="en-GB"/>
        </w:rPr>
        <w:t>Operators like AWS, MS Azure and Google Cloud Platform cannot perform the exit on behalf of the customer</w:t>
      </w:r>
      <w:r w:rsidR="00535A74">
        <w:rPr>
          <w:rFonts w:asciiTheme="minorHAnsi" w:hAnsiTheme="minorHAnsi" w:cstheme="minorHAnsi"/>
          <w:sz w:val="22"/>
          <w:szCs w:val="22"/>
          <w:lang w:val="en-GB"/>
        </w:rPr>
        <w:t>, because they have no contractual arrangement with any other CSP. Realistically, any obligations can only concern a transfer of the data back to the customer (and to proceed with 44 b).</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7DC4793D" w14:textId="0C51FB0B" w:rsidR="00E21671" w:rsidRPr="00F46F23" w:rsidRDefault="00E21671" w:rsidP="00151736">
      <w:pPr>
        <w:pStyle w:val="Default"/>
        <w:spacing w:after="120"/>
        <w:jc w:val="both"/>
        <w:rPr>
          <w:rFonts w:asciiTheme="minorHAnsi" w:hAnsiTheme="minorHAnsi" w:cstheme="minorHAnsi"/>
          <w:color w:val="auto"/>
          <w:sz w:val="22"/>
          <w:szCs w:val="22"/>
          <w:lang w:val="en-GB"/>
        </w:rPr>
      </w:pPr>
      <w:permStart w:id="1893742938" w:edGrp="everyone"/>
      <w:r w:rsidRPr="00F46F23">
        <w:rPr>
          <w:rFonts w:asciiTheme="minorHAnsi" w:hAnsiTheme="minorHAnsi" w:cstheme="minorHAnsi"/>
          <w:color w:val="auto"/>
          <w:sz w:val="22"/>
          <w:szCs w:val="22"/>
          <w:lang w:val="en-GB"/>
        </w:rPr>
        <w:t>The differentiation between “access” and “audit” is unclear. Access without audit right makes no sense and vice versa. Instead state that any “audit right” includes “access right”.</w:t>
      </w:r>
      <w:r w:rsidR="00535A74">
        <w:rPr>
          <w:rFonts w:asciiTheme="minorHAnsi" w:hAnsiTheme="minorHAnsi" w:cstheme="minorHAnsi"/>
          <w:color w:val="auto"/>
          <w:sz w:val="22"/>
          <w:szCs w:val="22"/>
          <w:lang w:val="en-GB"/>
        </w:rPr>
        <w:t xml:space="preserve"> A</w:t>
      </w:r>
      <w:r w:rsidR="00535A74" w:rsidRPr="00535A74">
        <w:rPr>
          <w:rFonts w:asciiTheme="minorHAnsi" w:hAnsiTheme="minorHAnsi" w:cstheme="minorHAnsi"/>
          <w:color w:val="auto"/>
          <w:sz w:val="22"/>
          <w:szCs w:val="22"/>
          <w:lang w:val="en-GB"/>
        </w:rPr>
        <w:t xml:space="preserve"> general requirement on “access-to-premises” is outdated regarding </w:t>
      </w:r>
      <w:r w:rsidR="00535A74">
        <w:rPr>
          <w:rFonts w:asciiTheme="minorHAnsi" w:hAnsiTheme="minorHAnsi" w:cstheme="minorHAnsi"/>
          <w:color w:val="auto"/>
          <w:sz w:val="22"/>
          <w:szCs w:val="22"/>
          <w:lang w:val="en-GB"/>
        </w:rPr>
        <w:t>CSP</w:t>
      </w:r>
      <w:r w:rsidR="00535A74" w:rsidRPr="00535A74">
        <w:rPr>
          <w:rFonts w:asciiTheme="minorHAnsi" w:hAnsiTheme="minorHAnsi" w:cstheme="minorHAnsi"/>
          <w:color w:val="auto"/>
          <w:sz w:val="22"/>
          <w:szCs w:val="22"/>
          <w:lang w:val="en-GB"/>
        </w:rPr>
        <w:t xml:space="preserve">. We support the idea that </w:t>
      </w:r>
      <w:r w:rsidR="00535A74">
        <w:rPr>
          <w:rFonts w:asciiTheme="minorHAnsi" w:hAnsiTheme="minorHAnsi" w:cstheme="minorHAnsi"/>
          <w:color w:val="auto"/>
          <w:sz w:val="22"/>
          <w:szCs w:val="22"/>
          <w:lang w:val="en-GB"/>
        </w:rPr>
        <w:t>“access”</w:t>
      </w:r>
      <w:r w:rsidR="00535A74" w:rsidRPr="00535A74">
        <w:rPr>
          <w:rFonts w:asciiTheme="minorHAnsi" w:hAnsiTheme="minorHAnsi" w:cstheme="minorHAnsi"/>
          <w:color w:val="auto"/>
          <w:sz w:val="22"/>
          <w:szCs w:val="22"/>
          <w:lang w:val="en-GB"/>
        </w:rPr>
        <w:t xml:space="preserve"> should be defined e.g. as access to the systems</w:t>
      </w:r>
      <w:r w:rsidR="00535A74">
        <w:rPr>
          <w:rFonts w:asciiTheme="minorHAnsi" w:hAnsiTheme="minorHAnsi" w:cstheme="minorHAnsi"/>
          <w:color w:val="auto"/>
          <w:sz w:val="22"/>
          <w:szCs w:val="22"/>
          <w:lang w:val="en-GB"/>
        </w:rPr>
        <w:t xml:space="preserve"> or services, but</w:t>
      </w:r>
      <w:r w:rsidR="00535A74" w:rsidRPr="00535A74">
        <w:rPr>
          <w:rFonts w:asciiTheme="minorHAnsi" w:hAnsiTheme="minorHAnsi" w:cstheme="minorHAnsi"/>
          <w:color w:val="auto"/>
          <w:sz w:val="22"/>
          <w:szCs w:val="22"/>
          <w:lang w:val="en-GB"/>
        </w:rPr>
        <w:t xml:space="preserve"> not physical access to the infrastructure.</w:t>
      </w:r>
    </w:p>
    <w:p w14:paraId="756C0EF2" w14:textId="77777777" w:rsidR="00E21671" w:rsidRPr="00F46F23" w:rsidRDefault="00E21671" w:rsidP="00151736">
      <w:pPr>
        <w:pStyle w:val="Default"/>
        <w:spacing w:after="120"/>
        <w:jc w:val="both"/>
        <w:rPr>
          <w:rFonts w:asciiTheme="minorHAnsi" w:hAnsiTheme="minorHAnsi" w:cstheme="minorHAnsi"/>
          <w:color w:val="auto"/>
          <w:sz w:val="22"/>
          <w:szCs w:val="22"/>
          <w:lang w:val="en-GB"/>
        </w:rPr>
      </w:pPr>
      <w:r w:rsidRPr="00F46F23">
        <w:rPr>
          <w:rFonts w:asciiTheme="minorHAnsi" w:hAnsiTheme="minorHAnsi" w:cstheme="minorHAnsi"/>
          <w:color w:val="auto"/>
          <w:sz w:val="22"/>
          <w:szCs w:val="22"/>
          <w:lang w:val="en-GB"/>
        </w:rPr>
        <w:t xml:space="preserve">Points 50) ff in principle </w:t>
      </w:r>
      <w:r>
        <w:rPr>
          <w:rFonts w:asciiTheme="minorHAnsi" w:hAnsiTheme="minorHAnsi" w:cstheme="minorHAnsi"/>
          <w:color w:val="auto"/>
          <w:sz w:val="22"/>
          <w:szCs w:val="22"/>
          <w:lang w:val="en-GB"/>
        </w:rPr>
        <w:t>put</w:t>
      </w:r>
      <w:r w:rsidRPr="00F46F23">
        <w:rPr>
          <w:rFonts w:asciiTheme="minorHAnsi" w:hAnsiTheme="minorHAnsi" w:cstheme="minorHAnsi"/>
          <w:color w:val="auto"/>
          <w:sz w:val="22"/>
          <w:szCs w:val="22"/>
          <w:lang w:val="en-GB"/>
        </w:rPr>
        <w:t xml:space="preserve"> the whole responsibility to every company </w:t>
      </w:r>
      <w:r>
        <w:rPr>
          <w:rFonts w:asciiTheme="minorHAnsi" w:hAnsiTheme="minorHAnsi" w:cstheme="minorHAnsi"/>
          <w:color w:val="auto"/>
          <w:sz w:val="22"/>
          <w:szCs w:val="22"/>
          <w:lang w:val="en-GB"/>
        </w:rPr>
        <w:t xml:space="preserve">individually </w:t>
      </w:r>
      <w:r w:rsidRPr="00F46F23">
        <w:rPr>
          <w:rFonts w:asciiTheme="minorHAnsi" w:hAnsiTheme="minorHAnsi" w:cstheme="minorHAnsi"/>
          <w:color w:val="auto"/>
          <w:sz w:val="22"/>
          <w:szCs w:val="22"/>
          <w:lang w:val="en-GB"/>
        </w:rPr>
        <w:t>to assess</w:t>
      </w:r>
      <w:r>
        <w:rPr>
          <w:rFonts w:asciiTheme="minorHAnsi" w:hAnsiTheme="minorHAnsi" w:cstheme="minorHAnsi"/>
          <w:color w:val="auto"/>
          <w:sz w:val="22"/>
          <w:szCs w:val="22"/>
          <w:lang w:val="en-GB"/>
        </w:rPr>
        <w:t>,</w:t>
      </w:r>
      <w:r w:rsidRPr="00F46F23">
        <w:rPr>
          <w:rFonts w:asciiTheme="minorHAnsi" w:hAnsiTheme="minorHAnsi" w:cstheme="minorHAnsi"/>
          <w:color w:val="auto"/>
          <w:sz w:val="22"/>
          <w:szCs w:val="22"/>
          <w:lang w:val="en-GB"/>
        </w:rPr>
        <w:t xml:space="preserve"> if provided certifications, etc. are appropriate to ensure proper auditing. As outlined above and regarding point 35), the Guidelines should provide a list of international certificates that are deemed proper to cover processes, applications, infrastructure, data centers.</w:t>
      </w:r>
    </w:p>
    <w:p w14:paraId="4D86486F" w14:textId="77777777" w:rsidR="00E21671" w:rsidRPr="00F46F23" w:rsidRDefault="00E21671" w:rsidP="00151736">
      <w:pPr>
        <w:pStyle w:val="Default"/>
        <w:spacing w:after="120"/>
        <w:jc w:val="both"/>
        <w:rPr>
          <w:rFonts w:asciiTheme="minorHAnsi" w:hAnsiTheme="minorHAnsi" w:cstheme="minorHAnsi"/>
          <w:color w:val="auto"/>
          <w:sz w:val="22"/>
          <w:szCs w:val="22"/>
          <w:lang w:val="en-GB"/>
        </w:rPr>
      </w:pPr>
      <w:r w:rsidRPr="00F46F23">
        <w:rPr>
          <w:rFonts w:asciiTheme="minorHAnsi" w:hAnsiTheme="minorHAnsi" w:cstheme="minorHAnsi"/>
          <w:color w:val="auto"/>
          <w:sz w:val="22"/>
          <w:szCs w:val="22"/>
          <w:lang w:val="en-GB"/>
        </w:rPr>
        <w:t xml:space="preserve">In point 50a) the wording “may use” (certifications etc) for non-critical outsourcings: does that mean certifications etc will </w:t>
      </w:r>
      <w:r w:rsidRPr="00F46F23">
        <w:rPr>
          <w:rFonts w:asciiTheme="minorHAnsi" w:hAnsiTheme="minorHAnsi" w:cstheme="minorHAnsi"/>
          <w:i/>
          <w:iCs/>
          <w:color w:val="auto"/>
          <w:sz w:val="22"/>
          <w:szCs w:val="22"/>
          <w:lang w:val="en-GB"/>
        </w:rPr>
        <w:t>replace</w:t>
      </w:r>
      <w:r w:rsidRPr="00F46F23">
        <w:rPr>
          <w:rFonts w:asciiTheme="minorHAnsi" w:hAnsiTheme="minorHAnsi" w:cstheme="minorHAnsi"/>
          <w:color w:val="auto"/>
          <w:sz w:val="22"/>
          <w:szCs w:val="22"/>
          <w:lang w:val="en-GB"/>
        </w:rPr>
        <w:t xml:space="preserve"> further audit activities? </w:t>
      </w:r>
    </w:p>
    <w:p w14:paraId="3395A12B" w14:textId="77777777" w:rsidR="00E21671" w:rsidRPr="00F46F23" w:rsidRDefault="00E21671" w:rsidP="00151736">
      <w:pPr>
        <w:pStyle w:val="Default"/>
        <w:spacing w:after="120"/>
        <w:jc w:val="both"/>
        <w:rPr>
          <w:rFonts w:asciiTheme="minorHAnsi" w:hAnsiTheme="minorHAnsi" w:cstheme="minorHAnsi"/>
          <w:color w:val="auto"/>
          <w:sz w:val="22"/>
          <w:szCs w:val="22"/>
          <w:lang w:val="en-GB"/>
        </w:rPr>
      </w:pPr>
      <w:r w:rsidRPr="00F46F23">
        <w:rPr>
          <w:rFonts w:asciiTheme="minorHAnsi" w:hAnsiTheme="minorHAnsi" w:cstheme="minorHAnsi"/>
          <w:color w:val="auto"/>
          <w:sz w:val="22"/>
          <w:szCs w:val="22"/>
          <w:lang w:val="en-GB"/>
        </w:rPr>
        <w:t>51f) seems not feasible to be handled with on the individual company level.</w:t>
      </w:r>
    </w:p>
    <w:permEnd w:id="1893742938"/>
    <w:p w14:paraId="4493AAD0" w14:textId="281237D2"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5166413F" w14:textId="51D9FF06" w:rsidR="00E21671" w:rsidRDefault="00E21671" w:rsidP="00151736">
      <w:pPr>
        <w:pStyle w:val="Default"/>
        <w:spacing w:after="120"/>
        <w:jc w:val="both"/>
        <w:rPr>
          <w:rFonts w:asciiTheme="minorHAnsi" w:hAnsiTheme="minorHAnsi" w:cstheme="minorHAnsi"/>
          <w:sz w:val="22"/>
          <w:szCs w:val="22"/>
          <w:lang w:val="en-GB"/>
        </w:rPr>
      </w:pPr>
      <w:permStart w:id="311951876" w:edGrp="everyone"/>
      <w:r>
        <w:rPr>
          <w:rFonts w:asciiTheme="minorHAnsi" w:hAnsiTheme="minorHAnsi" w:cstheme="minorHAnsi"/>
          <w:sz w:val="22"/>
          <w:szCs w:val="22"/>
          <w:lang w:val="en-GB"/>
        </w:rPr>
        <w:t xml:space="preserve">As regards point 55.3, having the right to object a material subcontractor does not reflect </w:t>
      </w:r>
      <w:r w:rsidR="00535A74">
        <w:rPr>
          <w:rFonts w:asciiTheme="minorHAnsi" w:hAnsiTheme="minorHAnsi" w:cstheme="minorHAnsi"/>
          <w:sz w:val="22"/>
          <w:szCs w:val="22"/>
          <w:lang w:val="en-GB"/>
        </w:rPr>
        <w:t>“</w:t>
      </w:r>
      <w:r>
        <w:rPr>
          <w:rFonts w:asciiTheme="minorHAnsi" w:hAnsiTheme="minorHAnsi" w:cstheme="minorHAnsi"/>
          <w:sz w:val="22"/>
          <w:szCs w:val="22"/>
          <w:lang w:val="en-GB"/>
        </w:rPr>
        <w:t>real life</w:t>
      </w:r>
      <w:r w:rsidR="00535A74">
        <w:rPr>
          <w:rFonts w:asciiTheme="minorHAnsi" w:hAnsiTheme="minorHAnsi" w:cstheme="minorHAnsi"/>
          <w:sz w:val="22"/>
          <w:szCs w:val="22"/>
          <w:lang w:val="en-GB"/>
        </w:rPr>
        <w:t>”</w:t>
      </w:r>
      <w:r>
        <w:rPr>
          <w:rFonts w:asciiTheme="minorHAnsi" w:hAnsiTheme="minorHAnsi" w:cstheme="minorHAnsi"/>
          <w:sz w:val="22"/>
          <w:szCs w:val="22"/>
          <w:lang w:val="en-GB"/>
        </w:rPr>
        <w:t xml:space="preserve"> commercial agreements. None of the CSPs could grant this right without jeopardizing their business. Instead of objecting, the cloud service user should be informed in time and have the right to terminate the contract.</w:t>
      </w:r>
    </w:p>
    <w:permEnd w:id="311951876"/>
    <w:p w14:paraId="2BD64044" w14:textId="77777777" w:rsidR="00E33392" w:rsidRDefault="00E33392" w:rsidP="00E33392">
      <w:pPr>
        <w:rPr>
          <w:rFonts w:ascii="Arial" w:hAnsi="Arial" w:cs="Arial"/>
        </w:rPr>
      </w:pPr>
      <w:r>
        <w:rPr>
          <w:rFonts w:ascii="Arial" w:hAnsi="Arial" w:cs="Arial"/>
        </w:rPr>
        <w:lastRenderedPageBreak/>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73728E3A" w14:textId="77777777" w:rsidR="00E21671" w:rsidRPr="00C57FC6" w:rsidRDefault="00E21671" w:rsidP="00151736">
      <w:pPr>
        <w:pStyle w:val="Default"/>
        <w:spacing w:after="120"/>
        <w:jc w:val="both"/>
        <w:rPr>
          <w:rFonts w:asciiTheme="minorHAnsi" w:hAnsiTheme="minorHAnsi" w:cstheme="minorHAnsi"/>
          <w:sz w:val="22"/>
          <w:szCs w:val="22"/>
          <w:lang w:val="en-GB"/>
        </w:rPr>
      </w:pPr>
      <w:permStart w:id="943999632" w:edGrp="everyone"/>
      <w:r w:rsidRPr="00F46F23">
        <w:rPr>
          <w:rFonts w:asciiTheme="minorHAnsi" w:hAnsiTheme="minorHAnsi" w:cstheme="minorHAnsi"/>
          <w:color w:val="auto"/>
          <w:sz w:val="22"/>
          <w:szCs w:val="22"/>
          <w:lang w:val="en-GB"/>
        </w:rPr>
        <w:t xml:space="preserve">Generally, yes. However, we believe that Guideline </w:t>
      </w:r>
      <w:r>
        <w:rPr>
          <w:rFonts w:asciiTheme="minorHAnsi" w:hAnsiTheme="minorHAnsi" w:cstheme="minorHAnsi"/>
          <w:sz w:val="22"/>
          <w:szCs w:val="22"/>
          <w:lang w:val="en-GB"/>
        </w:rPr>
        <w:t>8 should also be addressed to competent authorities as the CA should set the provisions for notifications, provide the templates etc.</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2DD8A21B" w:rsidR="00E33392" w:rsidRPr="00E21671" w:rsidRDefault="00E21671" w:rsidP="00E33392">
      <w:pPr>
        <w:rPr>
          <w:rFonts w:ascii="Arial" w:hAnsi="Arial" w:cs="Arial"/>
          <w:sz w:val="22"/>
          <w:szCs w:val="22"/>
        </w:rPr>
      </w:pPr>
      <w:permStart w:id="1987337014" w:edGrp="everyone"/>
      <w:r w:rsidRPr="00E21671">
        <w:rPr>
          <w:rFonts w:ascii="Arial" w:hAnsi="Arial" w:cs="Arial"/>
          <w:sz w:val="22"/>
          <w:szCs w:val="22"/>
        </w:rPr>
        <w:t>Yes.</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32C6B2E1" w14:textId="77777777" w:rsidR="00E21671" w:rsidRDefault="00E21671" w:rsidP="00151736">
      <w:pPr>
        <w:pStyle w:val="Default"/>
        <w:spacing w:after="120"/>
        <w:jc w:val="both"/>
        <w:rPr>
          <w:rFonts w:asciiTheme="minorHAnsi" w:hAnsiTheme="minorHAnsi" w:cstheme="minorHAnsi"/>
          <w:sz w:val="22"/>
          <w:szCs w:val="22"/>
          <w:lang w:val="en-GB"/>
        </w:rPr>
      </w:pPr>
      <w:permStart w:id="2023358740" w:edGrp="everyone"/>
      <w:r>
        <w:rPr>
          <w:rFonts w:asciiTheme="minorHAnsi" w:hAnsiTheme="minorHAnsi" w:cstheme="minorHAnsi"/>
          <w:sz w:val="22"/>
          <w:szCs w:val="22"/>
          <w:lang w:val="en-GB"/>
        </w:rPr>
        <w:t>Yes, we do have general concerns about the approach.</w:t>
      </w:r>
    </w:p>
    <w:p w14:paraId="0BC93895" w14:textId="77777777" w:rsidR="00E21671" w:rsidRDefault="00E21671" w:rsidP="00151736">
      <w:pPr>
        <w:pStyle w:val="Default"/>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First, it is unclear why the guidelines are narrowed down to </w:t>
      </w:r>
      <w:r>
        <w:rPr>
          <w:rFonts w:asciiTheme="minorHAnsi" w:hAnsiTheme="minorHAnsi" w:cstheme="minorHAnsi"/>
          <w:i/>
          <w:iCs/>
          <w:sz w:val="22"/>
          <w:szCs w:val="22"/>
          <w:lang w:val="en-GB"/>
        </w:rPr>
        <w:t>Cloud</w:t>
      </w:r>
      <w:r>
        <w:rPr>
          <w:rFonts w:asciiTheme="minorHAnsi" w:hAnsiTheme="minorHAnsi" w:cstheme="minorHAnsi"/>
          <w:sz w:val="22"/>
          <w:szCs w:val="22"/>
          <w:lang w:val="en-GB"/>
        </w:rPr>
        <w:t xml:space="preserve"> Outsourcing and not Outsourcing (incl. Cloud) in general. For banking institutions, Outsourcing and Cloud was combined already (since the EBA Outsourcing Guidelines explicitly include cloud outsourcing activities). </w:t>
      </w:r>
    </w:p>
    <w:p w14:paraId="418C739C" w14:textId="77777777" w:rsidR="00E21671" w:rsidRDefault="00E21671" w:rsidP="00151736">
      <w:pPr>
        <w:pStyle w:val="Default"/>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Second, it seems that Outsourcing raises the same risks for credit institutions as for investment firms or any other financial institutions. If so, there should be the same rules for all of them (e.g. by a Joint Guideline on Outsourcing from ESMA &amp; EBA). The current approach (Outsourcing Guidelines incl Cloud for banking institutions, slightly different Cloud Outsourcing Guidelines for securities firms) will lead to complexity and additional bureaucracy.</w:t>
      </w:r>
    </w:p>
    <w:p w14:paraId="443C0C73" w14:textId="77777777" w:rsidR="00E21671" w:rsidRPr="003B6DC6" w:rsidRDefault="00E21671" w:rsidP="00151736">
      <w:pPr>
        <w:pStyle w:val="Default"/>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Additionally, we observed that even the definitions used in the ESMA draft Guidelines seem to deviate (slightly) compared to the recent EBA Guidelines (critical / important function; cloud), which does not provide for a consistent approach. </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02C458EE" w14:textId="77777777" w:rsidR="00E21671" w:rsidRPr="00F46F23" w:rsidRDefault="00E21671" w:rsidP="00151736">
      <w:pPr>
        <w:pStyle w:val="Default"/>
        <w:spacing w:after="120"/>
        <w:jc w:val="both"/>
        <w:rPr>
          <w:rFonts w:asciiTheme="minorHAnsi" w:hAnsiTheme="minorHAnsi" w:cstheme="minorHAnsi"/>
          <w:color w:val="auto"/>
          <w:sz w:val="22"/>
          <w:szCs w:val="22"/>
          <w:lang w:val="en-GB"/>
        </w:rPr>
      </w:pPr>
      <w:permStart w:id="752842500" w:edGrp="everyone"/>
      <w:r w:rsidRPr="00F46F23">
        <w:rPr>
          <w:rFonts w:asciiTheme="minorHAnsi" w:hAnsiTheme="minorHAnsi" w:cstheme="minorHAnsi"/>
          <w:color w:val="auto"/>
          <w:sz w:val="22"/>
          <w:szCs w:val="22"/>
          <w:lang w:val="en-GB"/>
        </w:rPr>
        <w:t>The answer depends on the specification of above outlined unclear topics (e.g. risk-based approach, contractual requirements, audit, etc.). Depending on specification, additional resources in overall governance as well as in the specific functions (IT, Security, Procurement / Outsourcing, Legal, etc.) may be needed to comply</w:t>
      </w:r>
      <w:r>
        <w:rPr>
          <w:rFonts w:asciiTheme="minorHAnsi" w:hAnsiTheme="minorHAnsi" w:cstheme="minorHAnsi"/>
          <w:color w:val="auto"/>
          <w:sz w:val="22"/>
          <w:szCs w:val="22"/>
          <w:lang w:val="en-GB"/>
        </w:rPr>
        <w:t xml:space="preserve"> with the Guidelines. </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2"/>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A28F7" w14:textId="77777777" w:rsidR="002C3759" w:rsidRDefault="002C3759" w:rsidP="007E7997">
      <w:r>
        <w:separator/>
      </w:r>
    </w:p>
  </w:endnote>
  <w:endnote w:type="continuationSeparator" w:id="0">
    <w:p w14:paraId="7EEEE314" w14:textId="77777777" w:rsidR="002C3759" w:rsidRDefault="002C3759" w:rsidP="007E7997">
      <w:r>
        <w:continuationSeparator/>
      </w:r>
    </w:p>
  </w:endnote>
  <w:endnote w:type="continuationNotice" w:id="1">
    <w:p w14:paraId="31C7C42C" w14:textId="77777777" w:rsidR="002C3759" w:rsidRDefault="002C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031F2ED0" w14:textId="5D7679D7" w:rsidR="00E36813" w:rsidRDefault="00E36813">
        <w:pPr>
          <w:pStyle w:val="Footer"/>
          <w:jc w:val="center"/>
        </w:pPr>
        <w:r>
          <w:fldChar w:fldCharType="begin"/>
        </w:r>
        <w:r>
          <w:instrText xml:space="preserve"> PAGE   \* MERGEFORMAT </w:instrText>
        </w:r>
        <w:r>
          <w:fldChar w:fldCharType="separate"/>
        </w:r>
        <w:r w:rsidR="00DA0D01">
          <w:rPr>
            <w:noProof/>
          </w:rPr>
          <w:t>7</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785CA" w14:textId="77777777" w:rsidR="002C3759" w:rsidRDefault="002C3759" w:rsidP="007E7997">
      <w:r>
        <w:separator/>
      </w:r>
    </w:p>
  </w:footnote>
  <w:footnote w:type="continuationSeparator" w:id="0">
    <w:p w14:paraId="45A8B63A" w14:textId="77777777" w:rsidR="002C3759" w:rsidRDefault="002C3759" w:rsidP="007E7997">
      <w:r>
        <w:continuationSeparator/>
      </w:r>
    </w:p>
  </w:footnote>
  <w:footnote w:type="continuationNotice" w:id="1">
    <w:p w14:paraId="2C2BDD26" w14:textId="77777777" w:rsidR="002C3759" w:rsidRDefault="002C37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51736"/>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3759"/>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72D"/>
    <w:rsid w:val="003519DD"/>
    <w:rsid w:val="00353C4B"/>
    <w:rsid w:val="003545A6"/>
    <w:rsid w:val="00356C60"/>
    <w:rsid w:val="003578D1"/>
    <w:rsid w:val="00363639"/>
    <w:rsid w:val="00366D42"/>
    <w:rsid w:val="00366D49"/>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5A74"/>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15A3"/>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877EE"/>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07AF"/>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102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2E7C"/>
    <w:rsid w:val="00D73338"/>
    <w:rsid w:val="00D775F3"/>
    <w:rsid w:val="00D77868"/>
    <w:rsid w:val="00D77F25"/>
    <w:rsid w:val="00D84C2A"/>
    <w:rsid w:val="00D9064B"/>
    <w:rsid w:val="00D978C6"/>
    <w:rsid w:val="00DA03F6"/>
    <w:rsid w:val="00DA0D01"/>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1671"/>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02E7"/>
    <w:rsid w:val="00EE40F8"/>
    <w:rsid w:val="00EE6DD6"/>
    <w:rsid w:val="00EF0867"/>
    <w:rsid w:val="00EF1A10"/>
    <w:rsid w:val="00EF1A9F"/>
    <w:rsid w:val="00EF1B27"/>
    <w:rsid w:val="00EF4370"/>
    <w:rsid w:val="00EF5AD7"/>
    <w:rsid w:val="00F018AF"/>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1671"/>
    <w:pPr>
      <w:autoSpaceDE w:val="0"/>
      <w:autoSpaceDN w:val="0"/>
      <w:adjustRightInd w:val="0"/>
      <w:spacing w:after="0" w:line="240" w:lineRule="auto"/>
    </w:pPr>
    <w:rPr>
      <w:rFonts w:ascii="Arial" w:eastAsiaTheme="minorHAnsi"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BB32D-1D6C-4FEC-883B-66709530BE9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090d947-cb5a-4e71-a094-4f979ca4aec0"/>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5.xml><?xml version="1.0" encoding="utf-8"?>
<ds:datastoreItem xmlns:ds="http://schemas.openxmlformats.org/officeDocument/2006/customXml" ds:itemID="{1BEF7096-1BC8-4AF0-A86A-BBC6A783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1937</Words>
  <Characters>11043</Characters>
  <Application>Microsoft Office Word</Application>
  <DocSecurity>12</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2020-08-31T08:07:00Z</dcterms:created>
  <dcterms:modified xsi:type="dcterms:W3CDTF">2020-08-31T08:07:00Z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