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Accentuationlgre"/>
          <w:b w:val="0"/>
          <w:bCs/>
          <w:sz w:val="22"/>
        </w:rPr>
      </w:pPr>
      <w:r w:rsidRPr="00754AC4">
        <w:rPr>
          <w:rStyle w:val="Accentuationlgre"/>
          <w:b w:val="0"/>
          <w:bCs/>
          <w:sz w:val="22"/>
        </w:rPr>
        <w:t>The European Supervisory Authorities (ESAs) invite comments on all matters in this consultation paper</w:t>
      </w:r>
      <w:r>
        <w:rPr>
          <w:rStyle w:val="Accentuationlgre"/>
          <w:b w:val="0"/>
          <w:bCs/>
          <w:sz w:val="22"/>
        </w:rPr>
        <w:t xml:space="preserve"> on ESG disclosures under Regulation (EU) 2019/2088</w:t>
      </w:r>
      <w:r w:rsidRPr="00754AC4">
        <w:rPr>
          <w:rStyle w:val="Accentuationlgre"/>
          <w:b w:val="0"/>
          <w:bCs/>
          <w:sz w:val="22"/>
        </w:rPr>
        <w:t xml:space="preserve"> </w:t>
      </w:r>
      <w:r>
        <w:rPr>
          <w:rStyle w:val="Accentuationlgre"/>
          <w:b w:val="0"/>
          <w:bCs/>
          <w:sz w:val="22"/>
        </w:rPr>
        <w:t xml:space="preserve">on sustainability-related </w:t>
      </w:r>
      <w:r w:rsidR="00BE7C87">
        <w:rPr>
          <w:rStyle w:val="Accentuationlgre"/>
          <w:b w:val="0"/>
          <w:bCs/>
          <w:sz w:val="22"/>
        </w:rPr>
        <w:t>disclosures</w:t>
      </w:r>
      <w:r>
        <w:rPr>
          <w:rStyle w:val="Accentuationlgre"/>
          <w:b w:val="0"/>
          <w:bCs/>
          <w:sz w:val="22"/>
        </w:rPr>
        <w:t xml:space="preserve"> in the financial sector (hereinafter “SFDR”) </w:t>
      </w:r>
      <w:r w:rsidRPr="00754AC4">
        <w:rPr>
          <w:rStyle w:val="Accentuationlgre"/>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Accentuationlgre"/>
          <w:b w:val="0"/>
          <w:bCs/>
          <w:sz w:val="22"/>
        </w:rPr>
      </w:pPr>
      <w:r w:rsidRPr="00754AC4">
        <w:rPr>
          <w:rStyle w:val="Accentuationlgre"/>
          <w:b w:val="0"/>
          <w:bCs/>
          <w:sz w:val="22"/>
        </w:rPr>
        <w:t>Comments are most helpful if they:</w:t>
      </w:r>
    </w:p>
    <w:p w14:paraId="443F1C2C" w14:textId="77777777" w:rsidR="00754AC4" w:rsidRPr="00754AC4" w:rsidRDefault="00754AC4" w:rsidP="00754AC4">
      <w:pPr>
        <w:pStyle w:val="Paragraphedeliste"/>
        <w:numPr>
          <w:ilvl w:val="0"/>
          <w:numId w:val="43"/>
        </w:numPr>
        <w:spacing w:after="240"/>
        <w:jc w:val="both"/>
        <w:rPr>
          <w:rStyle w:val="Accentuationlgre"/>
          <w:b w:val="0"/>
          <w:bCs/>
          <w:sz w:val="22"/>
        </w:rPr>
      </w:pPr>
      <w:r w:rsidRPr="00754AC4">
        <w:rPr>
          <w:rStyle w:val="Accentuationlgre"/>
          <w:b w:val="0"/>
          <w:bCs/>
          <w:sz w:val="22"/>
        </w:rPr>
        <w:t>contain a clear rationale; and</w:t>
      </w:r>
    </w:p>
    <w:p w14:paraId="44288AF1" w14:textId="77777777" w:rsidR="00754AC4" w:rsidRPr="00754AC4" w:rsidRDefault="00754AC4" w:rsidP="00754AC4">
      <w:pPr>
        <w:pStyle w:val="Paragraphedeliste"/>
        <w:numPr>
          <w:ilvl w:val="0"/>
          <w:numId w:val="43"/>
        </w:numPr>
        <w:spacing w:after="240"/>
        <w:jc w:val="both"/>
        <w:rPr>
          <w:rStyle w:val="Accentuationlgre"/>
          <w:b w:val="0"/>
          <w:bCs/>
          <w:sz w:val="22"/>
        </w:rPr>
      </w:pPr>
      <w:r w:rsidRPr="00754AC4">
        <w:rPr>
          <w:rStyle w:val="Accentuationlgre"/>
          <w:b w:val="0"/>
          <w:bCs/>
          <w:sz w:val="22"/>
        </w:rPr>
        <w:t>describe any alternatives the ESAs should consider.</w:t>
      </w:r>
    </w:p>
    <w:p w14:paraId="122FDDB2" w14:textId="5647B0AF" w:rsidR="00C86E1C" w:rsidRDefault="00C86E1C" w:rsidP="00754AC4">
      <w:pPr>
        <w:spacing w:after="240"/>
        <w:jc w:val="both"/>
        <w:rPr>
          <w:rStyle w:val="Accentuationlgre"/>
          <w:b w:val="0"/>
          <w:bCs/>
          <w:sz w:val="22"/>
        </w:rPr>
      </w:pPr>
      <w:r>
        <w:rPr>
          <w:rStyle w:val="Accentuationlgre"/>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Accentuationlgre"/>
          <w:b w:val="0"/>
          <w:sz w:val="22"/>
        </w:rPr>
      </w:pPr>
    </w:p>
    <w:p w14:paraId="6A3CB03F" w14:textId="77777777" w:rsidR="009A3017" w:rsidRPr="00E40A5C" w:rsidRDefault="009A3017" w:rsidP="009A3017">
      <w:pPr>
        <w:spacing w:after="120"/>
        <w:jc w:val="both"/>
        <w:rPr>
          <w:rStyle w:val="Accentuationlgre"/>
          <w:sz w:val="22"/>
        </w:rPr>
      </w:pPr>
      <w:r w:rsidRPr="00E40A5C">
        <w:rPr>
          <w:rStyle w:val="Accentuationlgre"/>
          <w:sz w:val="22"/>
        </w:rPr>
        <w:t>Instructions</w:t>
      </w:r>
    </w:p>
    <w:p w14:paraId="6A3CB040" w14:textId="77777777" w:rsidR="009A3017" w:rsidRPr="00E40A5C" w:rsidRDefault="009A3017" w:rsidP="009A3017">
      <w:pPr>
        <w:spacing w:after="240"/>
        <w:jc w:val="both"/>
        <w:rPr>
          <w:rStyle w:val="Accentuationlgre"/>
          <w:b w:val="0"/>
          <w:sz w:val="22"/>
        </w:rPr>
      </w:pPr>
      <w:r w:rsidRPr="00E40A5C">
        <w:rPr>
          <w:rStyle w:val="Accentuationlgr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 xml:space="preserve">Insert your responses to the questions in the Consultation Paper in </w:t>
      </w:r>
      <w:r w:rsidR="00963D60">
        <w:rPr>
          <w:rStyle w:val="Accentuationlgre"/>
          <w:b w:val="0"/>
          <w:sz w:val="22"/>
        </w:rPr>
        <w:t>the present</w:t>
      </w:r>
      <w:r w:rsidR="00963D60" w:rsidRPr="00E40A5C">
        <w:rPr>
          <w:rStyle w:val="Accentuationlgre"/>
          <w:b w:val="0"/>
          <w:sz w:val="22"/>
        </w:rPr>
        <w:t xml:space="preserve"> </w:t>
      </w:r>
      <w:r w:rsidR="00315895">
        <w:rPr>
          <w:rStyle w:val="Accentuationlgre"/>
          <w:b w:val="0"/>
          <w:sz w:val="22"/>
        </w:rPr>
        <w:t xml:space="preserve">response </w:t>
      </w:r>
      <w:r w:rsidRPr="00E40A5C">
        <w:rPr>
          <w:rStyle w:val="Accentuationlgre"/>
          <w:b w:val="0"/>
          <w:sz w:val="22"/>
        </w:rPr>
        <w:t>form</w:t>
      </w:r>
      <w:r w:rsidR="00963D60">
        <w:rPr>
          <w:rStyle w:val="Accentuationlgre"/>
          <w:b w:val="0"/>
          <w:sz w:val="22"/>
        </w:rPr>
        <w:t>.</w:t>
      </w:r>
      <w:r w:rsidRPr="00E40A5C">
        <w:rPr>
          <w:rStyle w:val="Accentuationlgre"/>
          <w:b w:val="0"/>
          <w:sz w:val="22"/>
        </w:rPr>
        <w:t xml:space="preserve"> </w:t>
      </w:r>
    </w:p>
    <w:p w14:paraId="6A3CB042" w14:textId="7681A708"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Please do not remove tags of the type &lt;ESA_QUESTION_</w:t>
      </w:r>
      <w:r w:rsidR="00C86E1C">
        <w:rPr>
          <w:rStyle w:val="Accentuationlgre"/>
          <w:b w:val="0"/>
          <w:sz w:val="22"/>
        </w:rPr>
        <w:t>ESG</w:t>
      </w:r>
      <w:r w:rsidRPr="00E40A5C">
        <w:rPr>
          <w:rStyle w:val="Accentuationlgre"/>
          <w:b w:val="0"/>
          <w:sz w:val="22"/>
        </w:rPr>
        <w:t>_1&gt;. Your response to each question has to be framed by the two tags corresponding to the question.</w:t>
      </w:r>
    </w:p>
    <w:p w14:paraId="6A3CB043"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When you have drafted your response, name your response form according to the following convention: ESA_</w:t>
      </w:r>
      <w:r w:rsidR="00C86E1C">
        <w:rPr>
          <w:rStyle w:val="Accentuationlgre"/>
          <w:b w:val="0"/>
          <w:sz w:val="22"/>
        </w:rPr>
        <w:t>ESG</w:t>
      </w:r>
      <w:r w:rsidRPr="00E40A5C">
        <w:rPr>
          <w:rStyle w:val="Accentuationlgre"/>
          <w:b w:val="0"/>
          <w:sz w:val="22"/>
        </w:rPr>
        <w:t>_nameofrespondent_RESPONSEFORM. For example, for a respondent named ABCD, the response form would be entitled ESA_</w:t>
      </w:r>
      <w:r w:rsidR="00C86E1C">
        <w:rPr>
          <w:rStyle w:val="Accentuationlgre"/>
          <w:b w:val="0"/>
          <w:sz w:val="22"/>
        </w:rPr>
        <w:t>ESG</w:t>
      </w:r>
      <w:r w:rsidRPr="00E40A5C">
        <w:rPr>
          <w:rStyle w:val="Accentuationlgre"/>
          <w:b w:val="0"/>
          <w:sz w:val="22"/>
        </w:rPr>
        <w:t>_ABCD_RESPONSEFORM.</w:t>
      </w:r>
    </w:p>
    <w:p w14:paraId="180C2205" w14:textId="19B88CA2" w:rsidR="00197794" w:rsidRP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t>The consultation paper is available on the websites of the three ESAs</w:t>
      </w:r>
      <w:r w:rsidR="00764042">
        <w:rPr>
          <w:rStyle w:val="Accentuationlgre"/>
          <w:b w:val="0"/>
          <w:sz w:val="22"/>
        </w:rPr>
        <w:t xml:space="preserve"> and the Joint Committee</w:t>
      </w:r>
      <w:r w:rsidRPr="00197794">
        <w:rPr>
          <w:rStyle w:val="Accentuationlgre"/>
          <w:b w:val="0"/>
          <w:sz w:val="22"/>
        </w:rPr>
        <w:t xml:space="preserve">. Comments on this consultation paper can be sent using the response form, via the </w:t>
      </w:r>
      <w:hyperlink r:id="rId19" w:history="1">
        <w:r w:rsidRPr="00197794">
          <w:rPr>
            <w:rStyle w:val="Lienhypertexte"/>
            <w:rFonts w:cs="Arial"/>
            <w:sz w:val="22"/>
          </w:rPr>
          <w:t>ESMA website</w:t>
        </w:r>
      </w:hyperlink>
      <w:r w:rsidRPr="00197794">
        <w:rPr>
          <w:rStyle w:val="Accentuationlgre"/>
          <w:b w:val="0"/>
          <w:sz w:val="24"/>
        </w:rPr>
        <w:t xml:space="preserve"> </w:t>
      </w:r>
      <w:r w:rsidRPr="00197794">
        <w:rPr>
          <w:rStyle w:val="Accentuationlgre"/>
          <w:b w:val="0"/>
          <w:sz w:val="22"/>
        </w:rPr>
        <w:t xml:space="preserve">under the heading ‘Your input - Consultations’ </w:t>
      </w:r>
      <w:r w:rsidRPr="001C240F">
        <w:rPr>
          <w:rStyle w:val="Accentuationlgre"/>
          <w:b w:val="0"/>
          <w:sz w:val="22"/>
        </w:rPr>
        <w:t xml:space="preserve">by </w:t>
      </w:r>
      <w:r w:rsidR="00D5594A" w:rsidRPr="001C240F">
        <w:rPr>
          <w:rStyle w:val="Accentuationlgre"/>
          <w:sz w:val="22"/>
        </w:rPr>
        <w:t>1 September</w:t>
      </w:r>
      <w:r w:rsidRPr="001C240F">
        <w:rPr>
          <w:rStyle w:val="Accentuationlgre"/>
          <w:sz w:val="22"/>
        </w:rPr>
        <w:t xml:space="preserve"> 2020</w:t>
      </w:r>
      <w:r w:rsidRPr="00197794">
        <w:rPr>
          <w:rStyle w:val="Accentuationlgre"/>
          <w:b w:val="0"/>
          <w:sz w:val="22"/>
        </w:rPr>
        <w:t>.</w:t>
      </w:r>
    </w:p>
    <w:p w14:paraId="2481E1E6" w14:textId="67CDDA3F" w:rsid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Accentuationlgre"/>
          <w:b w:val="0"/>
          <w:sz w:val="22"/>
        </w:rPr>
      </w:pPr>
    </w:p>
    <w:p w14:paraId="5E94D042" w14:textId="77777777" w:rsidR="00D5594A" w:rsidRPr="00197794" w:rsidRDefault="00D5594A" w:rsidP="00197794">
      <w:pPr>
        <w:spacing w:after="240" w:line="276" w:lineRule="auto"/>
        <w:jc w:val="both"/>
        <w:rPr>
          <w:rStyle w:val="Accentuationlgre"/>
          <w:b w:val="0"/>
          <w:sz w:val="22"/>
        </w:rPr>
      </w:pPr>
    </w:p>
    <w:p w14:paraId="6A3CB046" w14:textId="77777777" w:rsidR="00210E59" w:rsidRPr="00210E59" w:rsidRDefault="00210E59" w:rsidP="00210E59">
      <w:pPr>
        <w:spacing w:after="120"/>
        <w:jc w:val="both"/>
        <w:rPr>
          <w:rStyle w:val="Accentuationlgre"/>
          <w:sz w:val="22"/>
        </w:rPr>
      </w:pPr>
      <w:r w:rsidRPr="00210E59">
        <w:rPr>
          <w:rStyle w:val="Accentuationlgre"/>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Accentuationlgre"/>
          <w:sz w:val="22"/>
          <w:lang w:eastAsia="en-GB"/>
        </w:rPr>
      </w:pPr>
    </w:p>
    <w:p w14:paraId="3561D6A6" w14:textId="77777777" w:rsidR="00197794" w:rsidRDefault="00197794" w:rsidP="004E6AE4">
      <w:pPr>
        <w:rPr>
          <w:rStyle w:val="Accentuationlgre"/>
          <w:sz w:val="22"/>
          <w:lang w:eastAsia="en-GB"/>
        </w:rPr>
      </w:pPr>
    </w:p>
    <w:p w14:paraId="6A3CB048" w14:textId="1D432EA9" w:rsidR="009A3017" w:rsidRPr="00E40A5C" w:rsidRDefault="009A3017" w:rsidP="004E6AE4">
      <w:pPr>
        <w:rPr>
          <w:rStyle w:val="Accentuationlgre"/>
          <w:sz w:val="22"/>
          <w:lang w:eastAsia="en-GB"/>
        </w:rPr>
      </w:pPr>
      <w:r w:rsidRPr="00E40A5C">
        <w:rPr>
          <w:rStyle w:val="Accentuationlgre"/>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Appelnotedebasdep"/>
          <w:rFonts w:cs="Arial"/>
          <w:sz w:val="22"/>
        </w:rPr>
        <w:footnoteReference w:id="2"/>
      </w:r>
      <w:r w:rsidRPr="00197794">
        <w:rPr>
          <w:rFonts w:cs="Arial"/>
          <w:sz w:val="22"/>
        </w:rPr>
        <w:t xml:space="preserve">. Further information on data protection can be found under the </w:t>
      </w:r>
      <w:hyperlink r:id="rId20" w:history="1">
        <w:r w:rsidRPr="00197794">
          <w:rPr>
            <w:rStyle w:val="Lienhypertexte"/>
            <w:rFonts w:cs="Arial"/>
            <w:sz w:val="22"/>
          </w:rPr>
          <w:t>Legal notice</w:t>
        </w:r>
      </w:hyperlink>
      <w:r w:rsidRPr="00197794">
        <w:rPr>
          <w:rFonts w:cs="Arial"/>
          <w:sz w:val="22"/>
        </w:rPr>
        <w:t xml:space="preserve"> section of the EBA website and under the </w:t>
      </w:r>
      <w:hyperlink r:id="rId21" w:history="1">
        <w:r w:rsidRPr="00197794">
          <w:rPr>
            <w:rStyle w:val="Lienhypertexte"/>
            <w:rFonts w:cs="Arial"/>
            <w:sz w:val="22"/>
          </w:rPr>
          <w:t>Legal notice</w:t>
        </w:r>
      </w:hyperlink>
      <w:r w:rsidRPr="00197794">
        <w:rPr>
          <w:rFonts w:cs="Arial"/>
          <w:sz w:val="22"/>
        </w:rPr>
        <w:t xml:space="preserve"> section of the EIOPA website and under the </w:t>
      </w:r>
      <w:hyperlink r:id="rId22" w:history="1">
        <w:r w:rsidRPr="00197794">
          <w:rPr>
            <w:rStyle w:val="Lienhypertext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Accentuationlgre"/>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re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295E3A">
        <w:tc>
          <w:tcPr>
            <w:tcW w:w="3929" w:type="dxa"/>
            <w:shd w:val="clear" w:color="auto" w:fill="auto"/>
          </w:tcPr>
          <w:p w14:paraId="6A3CB050" w14:textId="77777777" w:rsidR="00B327E9" w:rsidRPr="00E40A5C" w:rsidRDefault="00B327E9" w:rsidP="00295E3A">
            <w:pPr>
              <w:rPr>
                <w:rFonts w:cs="Arial"/>
                <w:sz w:val="22"/>
              </w:rPr>
            </w:pPr>
            <w:permStart w:id="233722365" w:edGrp="everyone" w:colFirst="1" w:colLast="1"/>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tc>
              <w:tcPr>
                <w:tcW w:w="5595" w:type="dxa"/>
                <w:shd w:val="clear" w:color="auto" w:fill="auto"/>
              </w:tcPr>
              <w:p w14:paraId="6A3CB051" w14:textId="0747D0FF" w:rsidR="00B327E9" w:rsidRPr="00AB6D88" w:rsidRDefault="00267699" w:rsidP="00921A87">
                <w:pPr>
                  <w:rPr>
                    <w:rStyle w:val="Textedelespacerserv"/>
                    <w:rFonts w:cs="Arial"/>
                  </w:rPr>
                </w:pPr>
                <w:r>
                  <w:rPr>
                    <w:rStyle w:val="Textedelespacerserv"/>
                    <w:rFonts w:cs="Arial"/>
                  </w:rPr>
                  <w:t>VEGAN FINANCE LLC</w:t>
                </w:r>
              </w:p>
            </w:tc>
          </w:sdtContent>
        </w:sdt>
      </w:tr>
      <w:tr w:rsidR="00B327E9" w:rsidRPr="00AB6D88" w14:paraId="6A3CB055" w14:textId="77777777" w:rsidTr="00295E3A">
        <w:tc>
          <w:tcPr>
            <w:tcW w:w="3929" w:type="dxa"/>
            <w:shd w:val="clear" w:color="auto" w:fill="auto"/>
          </w:tcPr>
          <w:p w14:paraId="6A3CB053" w14:textId="77777777" w:rsidR="00B327E9" w:rsidRPr="00E40A5C" w:rsidRDefault="00B327E9" w:rsidP="00295E3A">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5CB85E8" w:rsidR="00B327E9" w:rsidRPr="00AB6D88" w:rsidRDefault="00A0184E" w:rsidP="00295E3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21A87">
                  <w:rPr>
                    <w:rFonts w:cs="Arial"/>
                  </w:rPr>
                  <w:t>Other Financial service providers</w:t>
                </w:r>
              </w:sdtContent>
            </w:sdt>
          </w:p>
        </w:tc>
      </w:tr>
      <w:tr w:rsidR="00B327E9" w:rsidRPr="00AB6D88" w14:paraId="6A3CB058" w14:textId="77777777" w:rsidTr="00295E3A">
        <w:tc>
          <w:tcPr>
            <w:tcW w:w="3929" w:type="dxa"/>
            <w:shd w:val="clear" w:color="auto" w:fill="auto"/>
          </w:tcPr>
          <w:p w14:paraId="6A3CB056" w14:textId="77777777" w:rsidR="00B327E9" w:rsidRPr="00E40A5C" w:rsidRDefault="00B327E9" w:rsidP="00295E3A">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91DADB6" w:rsidR="00B327E9" w:rsidRPr="00AB6D88" w:rsidRDefault="00267699" w:rsidP="00295E3A">
                <w:pPr>
                  <w:rPr>
                    <w:rFonts w:cs="Arial"/>
                  </w:rPr>
                </w:pPr>
                <w:r>
                  <w:rPr>
                    <w:rFonts w:ascii="MS Gothic" w:eastAsia="MS Gothic" w:hAnsi="MS Gothic" w:cs="Arial" w:hint="eastAsia"/>
                  </w:rPr>
                  <w:t>☒</w:t>
                </w:r>
              </w:p>
            </w:tc>
          </w:sdtContent>
        </w:sdt>
      </w:tr>
      <w:tr w:rsidR="00B327E9" w:rsidRPr="00AB6D88" w14:paraId="6A3CB05B" w14:textId="77777777" w:rsidTr="00295E3A">
        <w:tc>
          <w:tcPr>
            <w:tcW w:w="3929" w:type="dxa"/>
            <w:shd w:val="clear" w:color="auto" w:fill="auto"/>
          </w:tcPr>
          <w:p w14:paraId="6A3CB059" w14:textId="77777777" w:rsidR="00B327E9" w:rsidRPr="00E40A5C" w:rsidRDefault="00B327E9" w:rsidP="00295E3A">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64A55BD4" w:rsidR="00B327E9" w:rsidRPr="00AB6D88" w:rsidRDefault="00A55D89" w:rsidP="00295E3A">
                <w:pPr>
                  <w:rPr>
                    <w:rFonts w:cs="Arial"/>
                  </w:rPr>
                </w:pPr>
                <w:r>
                  <w:rPr>
                    <w:rFonts w:cs="Arial"/>
                  </w:rPr>
                  <w:t>International</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re1"/>
        <w:numPr>
          <w:ilvl w:val="0"/>
          <w:numId w:val="0"/>
        </w:numPr>
        <w:ind w:left="431" w:hanging="431"/>
      </w:pPr>
      <w:r>
        <w:t>Introduction</w:t>
      </w:r>
    </w:p>
    <w:p w14:paraId="6A3CB05E" w14:textId="77777777" w:rsidR="00B327E9" w:rsidRPr="00E40A5C" w:rsidRDefault="00B327E9" w:rsidP="00B327E9">
      <w:pPr>
        <w:rPr>
          <w:rStyle w:val="Accentuationintense"/>
          <w:sz w:val="22"/>
        </w:rPr>
      </w:pPr>
      <w:r w:rsidRPr="00E40A5C">
        <w:rPr>
          <w:rStyle w:val="Accentuationintense"/>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Accentuationlgre"/>
          <w:b w:val="0"/>
          <w:sz w:val="22"/>
        </w:rPr>
        <w:t>ESG</w:t>
      </w:r>
      <w:r w:rsidRPr="006F4535">
        <w:t>_1&gt;</w:t>
      </w:r>
    </w:p>
    <w:p w14:paraId="7DB38BCC" w14:textId="51F10BF7" w:rsidR="00F57A87" w:rsidRDefault="00657828" w:rsidP="00C543DA">
      <w:pPr>
        <w:pStyle w:val="Paragraphedeliste"/>
        <w:numPr>
          <w:ilvl w:val="0"/>
          <w:numId w:val="40"/>
        </w:numPr>
        <w:jc w:val="both"/>
        <w:rPr>
          <w:color w:val="FF0000"/>
        </w:rPr>
      </w:pPr>
      <w:permStart w:id="411981036" w:edGrp="everyone"/>
      <w:r>
        <w:rPr>
          <w:color w:val="FF0000"/>
        </w:rPr>
        <w:t xml:space="preserve">As a general remark, in order to meet the </w:t>
      </w:r>
      <w:r w:rsidRPr="00133E00">
        <w:rPr>
          <w:color w:val="FF0000"/>
        </w:rPr>
        <w:t xml:space="preserve">UN Sustainable Development Goals </w:t>
      </w:r>
      <w:r>
        <w:rPr>
          <w:color w:val="FF0000"/>
        </w:rPr>
        <w:t xml:space="preserve">by 2030, </w:t>
      </w:r>
      <w:r w:rsidR="00DF3575">
        <w:rPr>
          <w:color w:val="FF0000"/>
        </w:rPr>
        <w:t xml:space="preserve">for most of the metrics, </w:t>
      </w:r>
      <w:r>
        <w:rPr>
          <w:color w:val="FF0000"/>
        </w:rPr>
        <w:t xml:space="preserve">it would be useful </w:t>
      </w:r>
      <w:r w:rsidR="00DF3575">
        <w:rPr>
          <w:color w:val="FF0000"/>
        </w:rPr>
        <w:t xml:space="preserve">for Financial Market Participants </w:t>
      </w:r>
      <w:r>
        <w:rPr>
          <w:color w:val="FF0000"/>
        </w:rPr>
        <w:t xml:space="preserve">to have </w:t>
      </w:r>
      <w:r w:rsidR="00133E00" w:rsidRPr="008E5CC5">
        <w:rPr>
          <w:b/>
          <w:color w:val="FF0000"/>
        </w:rPr>
        <w:t xml:space="preserve">measurable </w:t>
      </w:r>
      <w:r w:rsidR="001E629E" w:rsidRPr="008E5CC5">
        <w:rPr>
          <w:b/>
          <w:color w:val="FF0000"/>
        </w:rPr>
        <w:t>objectives</w:t>
      </w:r>
      <w:r w:rsidR="00DF3575">
        <w:rPr>
          <w:color w:val="FF0000"/>
        </w:rPr>
        <w:t xml:space="preserve"> to</w:t>
      </w:r>
      <w:r w:rsidR="00133E00" w:rsidRPr="00133E00">
        <w:rPr>
          <w:color w:val="FF0000"/>
        </w:rPr>
        <w:t xml:space="preserve"> </w:t>
      </w:r>
      <w:r w:rsidR="00DF3575">
        <w:rPr>
          <w:color w:val="FF0000"/>
        </w:rPr>
        <w:t xml:space="preserve">achieve </w:t>
      </w:r>
      <w:r w:rsidR="00EA6B8A">
        <w:rPr>
          <w:color w:val="FF0000"/>
        </w:rPr>
        <w:t>each</w:t>
      </w:r>
      <w:r w:rsidR="00DF3575">
        <w:rPr>
          <w:color w:val="FF0000"/>
        </w:rPr>
        <w:t xml:space="preserve"> year / couple of years / or every five years </w:t>
      </w:r>
      <w:r w:rsidR="00DF3575" w:rsidRPr="00133E00">
        <w:rPr>
          <w:color w:val="FF0000"/>
        </w:rPr>
        <w:t xml:space="preserve">to stimulate </w:t>
      </w:r>
      <w:r w:rsidR="00DF3575">
        <w:rPr>
          <w:color w:val="FF0000"/>
        </w:rPr>
        <w:t xml:space="preserve">regular progress towards the goals. Very far period of times </w:t>
      </w:r>
      <w:proofErr w:type="gramStart"/>
      <w:r w:rsidR="00DF3575">
        <w:rPr>
          <w:color w:val="FF0000"/>
        </w:rPr>
        <w:t>tend</w:t>
      </w:r>
      <w:proofErr w:type="gramEnd"/>
      <w:r w:rsidR="00DF3575">
        <w:rPr>
          <w:color w:val="FF0000"/>
        </w:rPr>
        <w:t xml:space="preserve"> to favour </w:t>
      </w:r>
      <w:r w:rsidR="00DF3575" w:rsidRPr="000026A9">
        <w:rPr>
          <w:b/>
          <w:color w:val="FF0000"/>
        </w:rPr>
        <w:t>procrastination</w:t>
      </w:r>
      <w:r w:rsidR="00DF3575">
        <w:rPr>
          <w:color w:val="FF0000"/>
        </w:rPr>
        <w:t xml:space="preserve">.  </w:t>
      </w:r>
      <w:r w:rsidR="00F57A87">
        <w:rPr>
          <w:color w:val="FF0000"/>
        </w:rPr>
        <w:t>In tables 1,2, 3, a</w:t>
      </w:r>
      <w:r w:rsidR="008E5CC5">
        <w:rPr>
          <w:color w:val="FF0000"/>
        </w:rPr>
        <w:t xml:space="preserve">dding </w:t>
      </w:r>
      <w:r w:rsidR="00F57A87">
        <w:rPr>
          <w:color w:val="FF0000"/>
        </w:rPr>
        <w:t>column</w:t>
      </w:r>
      <w:r w:rsidR="008E5CC5">
        <w:rPr>
          <w:color w:val="FF0000"/>
        </w:rPr>
        <w:t>s</w:t>
      </w:r>
      <w:r w:rsidR="00F57A87">
        <w:rPr>
          <w:color w:val="FF0000"/>
        </w:rPr>
        <w:t xml:space="preserve"> “</w:t>
      </w:r>
      <w:r w:rsidR="00F57A87" w:rsidRPr="008E5CC5">
        <w:rPr>
          <w:b/>
          <w:color w:val="FF0000"/>
        </w:rPr>
        <w:t>Target</w:t>
      </w:r>
      <w:r w:rsidR="00F57A87">
        <w:rPr>
          <w:color w:val="FF0000"/>
        </w:rPr>
        <w:t>” and “</w:t>
      </w:r>
      <w:r w:rsidR="00F57A87" w:rsidRPr="0008230A">
        <w:rPr>
          <w:b/>
          <w:color w:val="FF0000"/>
        </w:rPr>
        <w:t>Target Year</w:t>
      </w:r>
      <w:r w:rsidR="00F57A87">
        <w:rPr>
          <w:color w:val="FF0000"/>
        </w:rPr>
        <w:t xml:space="preserve">” could be relevant as to ensure the Financial Market Participants to follow a </w:t>
      </w:r>
      <w:r w:rsidR="00F57A87" w:rsidRPr="0008230A">
        <w:rPr>
          <w:b/>
          <w:color w:val="FF0000"/>
        </w:rPr>
        <w:t>trajectory</w:t>
      </w:r>
      <w:r w:rsidR="003D7CBE">
        <w:rPr>
          <w:b/>
          <w:color w:val="FF0000"/>
        </w:rPr>
        <w:t>.</w:t>
      </w:r>
    </w:p>
    <w:p w14:paraId="405E5F52" w14:textId="03530F1D" w:rsidR="008E5CC5" w:rsidRDefault="00317CA8" w:rsidP="00C543DA">
      <w:pPr>
        <w:pStyle w:val="Paragraphedeliste"/>
        <w:numPr>
          <w:ilvl w:val="0"/>
          <w:numId w:val="40"/>
        </w:numPr>
        <w:jc w:val="both"/>
        <w:rPr>
          <w:color w:val="FF0000"/>
        </w:rPr>
      </w:pPr>
      <w:r>
        <w:rPr>
          <w:b/>
          <w:color w:val="FF0000"/>
        </w:rPr>
        <w:t xml:space="preserve">The question of </w:t>
      </w:r>
      <w:r w:rsidR="00455BE5">
        <w:rPr>
          <w:b/>
          <w:color w:val="FF0000"/>
        </w:rPr>
        <w:t>w</w:t>
      </w:r>
      <w:r w:rsidR="008E5CC5" w:rsidRPr="00F925AB">
        <w:rPr>
          <w:b/>
          <w:color w:val="FF0000"/>
        </w:rPr>
        <w:t>eights</w:t>
      </w:r>
      <w:r w:rsidR="00455BE5">
        <w:rPr>
          <w:b/>
          <w:color w:val="FF0000"/>
        </w:rPr>
        <w:t xml:space="preserve"> allocated to ESG pillars</w:t>
      </w:r>
      <w:r w:rsidR="00455BE5" w:rsidRPr="00455BE5">
        <w:rPr>
          <w:color w:val="FF0000"/>
        </w:rPr>
        <w:t>, themes and indicators</w:t>
      </w:r>
      <w:r w:rsidR="00455BE5">
        <w:rPr>
          <w:b/>
          <w:color w:val="FF0000"/>
        </w:rPr>
        <w:t xml:space="preserve"> </w:t>
      </w:r>
      <w:r>
        <w:rPr>
          <w:color w:val="FF0000"/>
        </w:rPr>
        <w:t xml:space="preserve">is </w:t>
      </w:r>
      <w:r w:rsidR="00455BE5">
        <w:rPr>
          <w:color w:val="FF0000"/>
        </w:rPr>
        <w:t>not or little addressed</w:t>
      </w:r>
      <w:r>
        <w:rPr>
          <w:color w:val="FF0000"/>
        </w:rPr>
        <w:t xml:space="preserve"> in the regulation.</w:t>
      </w:r>
      <w:r w:rsidR="00455BE5">
        <w:rPr>
          <w:color w:val="FF0000"/>
        </w:rPr>
        <w:t xml:space="preserve"> </w:t>
      </w:r>
      <w:r w:rsidR="00B043D3">
        <w:rPr>
          <w:color w:val="FF0000"/>
        </w:rPr>
        <w:t xml:space="preserve">Through the weightings, a significant risk of </w:t>
      </w:r>
      <w:r w:rsidR="008E5CC5">
        <w:rPr>
          <w:color w:val="FF0000"/>
        </w:rPr>
        <w:t xml:space="preserve">greenwashing </w:t>
      </w:r>
      <w:r w:rsidR="00B043D3">
        <w:rPr>
          <w:color w:val="FF0000"/>
        </w:rPr>
        <w:t xml:space="preserve">exists, </w:t>
      </w:r>
      <w:proofErr w:type="gramStart"/>
      <w:r w:rsidR="00B043D3">
        <w:rPr>
          <w:color w:val="FF0000"/>
        </w:rPr>
        <w:t xml:space="preserve">by </w:t>
      </w:r>
      <w:r w:rsidR="00455BE5">
        <w:rPr>
          <w:color w:val="FF0000"/>
        </w:rPr>
        <w:t xml:space="preserve"> optimizing</w:t>
      </w:r>
      <w:proofErr w:type="gramEnd"/>
      <w:r w:rsidR="00455BE5">
        <w:rPr>
          <w:color w:val="FF0000"/>
        </w:rPr>
        <w:t xml:space="preserve"> the weightings to make eligible some entities, typically traditio</w:t>
      </w:r>
      <w:r>
        <w:rPr>
          <w:color w:val="FF0000"/>
        </w:rPr>
        <w:t>nal but harmful</w:t>
      </w:r>
      <w:r w:rsidR="00E96AA1">
        <w:rPr>
          <w:color w:val="FF0000"/>
        </w:rPr>
        <w:t xml:space="preserve"> to the environment, the society, or SDGs</w:t>
      </w:r>
      <w:r>
        <w:rPr>
          <w:color w:val="FF0000"/>
        </w:rPr>
        <w:t xml:space="preserve">, </w:t>
      </w:r>
      <w:r w:rsidR="00E96AA1">
        <w:rPr>
          <w:color w:val="FF0000"/>
        </w:rPr>
        <w:t xml:space="preserve">for instance </w:t>
      </w:r>
      <w:r>
        <w:rPr>
          <w:color w:val="FF0000"/>
        </w:rPr>
        <w:t xml:space="preserve">in a “best in class” approach. </w:t>
      </w:r>
      <w:r w:rsidR="008E5CC5" w:rsidRPr="00E96AA1">
        <w:rPr>
          <w:b/>
          <w:color w:val="FF0000"/>
        </w:rPr>
        <w:t xml:space="preserve">Some minimal weights </w:t>
      </w:r>
      <w:r w:rsidR="00E96AA1">
        <w:rPr>
          <w:b/>
          <w:color w:val="FF0000"/>
        </w:rPr>
        <w:t>could</w:t>
      </w:r>
      <w:r w:rsidR="008E5CC5" w:rsidRPr="00E96AA1">
        <w:rPr>
          <w:b/>
          <w:color w:val="FF0000"/>
        </w:rPr>
        <w:t xml:space="preserve"> be defined</w:t>
      </w:r>
      <w:r w:rsidR="00E96AA1">
        <w:rPr>
          <w:b/>
          <w:color w:val="FF0000"/>
        </w:rPr>
        <w:t xml:space="preserve"> </w:t>
      </w:r>
      <w:r w:rsidR="00E96AA1" w:rsidRPr="00E96AA1">
        <w:rPr>
          <w:color w:val="FF0000"/>
        </w:rPr>
        <w:t>to prevent this risk</w:t>
      </w:r>
      <w:r w:rsidR="008E5CC5">
        <w:rPr>
          <w:color w:val="FF0000"/>
        </w:rPr>
        <w:t xml:space="preserve">. </w:t>
      </w:r>
      <w:r w:rsidR="008E5CC5" w:rsidRPr="00D4012F">
        <w:rPr>
          <w:b/>
          <w:bCs/>
          <w:color w:val="FF0000"/>
        </w:rPr>
        <w:t xml:space="preserve">For </w:t>
      </w:r>
      <w:proofErr w:type="gramStart"/>
      <w:r w:rsidR="008E5CC5" w:rsidRPr="00D4012F">
        <w:rPr>
          <w:b/>
          <w:bCs/>
          <w:color w:val="FF0000"/>
        </w:rPr>
        <w:t>instance</w:t>
      </w:r>
      <w:proofErr w:type="gramEnd"/>
      <w:r w:rsidR="008E5CC5" w:rsidRPr="00D4012F">
        <w:rPr>
          <w:b/>
          <w:bCs/>
          <w:color w:val="FF0000"/>
        </w:rPr>
        <w:t xml:space="preserve"> minimal weight</w:t>
      </w:r>
      <w:r w:rsidRPr="00D4012F">
        <w:rPr>
          <w:b/>
          <w:bCs/>
          <w:color w:val="FF0000"/>
        </w:rPr>
        <w:t>s</w:t>
      </w:r>
      <w:r w:rsidR="008E5CC5" w:rsidRPr="00D4012F">
        <w:rPr>
          <w:b/>
          <w:bCs/>
          <w:color w:val="FF0000"/>
        </w:rPr>
        <w:t xml:space="preserve"> of 30%</w:t>
      </w:r>
      <w:r w:rsidR="008E5CC5">
        <w:rPr>
          <w:color w:val="FF0000"/>
        </w:rPr>
        <w:t xml:space="preserve"> </w:t>
      </w:r>
      <w:r w:rsidR="00B043D3">
        <w:rPr>
          <w:color w:val="FF0000"/>
        </w:rPr>
        <w:t xml:space="preserve">could be defined for </w:t>
      </w:r>
      <w:r w:rsidR="008E5CC5">
        <w:rPr>
          <w:color w:val="FF0000"/>
        </w:rPr>
        <w:t>E</w:t>
      </w:r>
      <w:r>
        <w:rPr>
          <w:color w:val="FF0000"/>
        </w:rPr>
        <w:t>nvironment</w:t>
      </w:r>
      <w:r w:rsidR="008E5CC5">
        <w:rPr>
          <w:color w:val="FF0000"/>
        </w:rPr>
        <w:t>, S</w:t>
      </w:r>
      <w:r>
        <w:rPr>
          <w:color w:val="FF0000"/>
        </w:rPr>
        <w:t>ocial</w:t>
      </w:r>
      <w:r w:rsidR="008E5CC5">
        <w:rPr>
          <w:color w:val="FF0000"/>
        </w:rPr>
        <w:t xml:space="preserve"> and G</w:t>
      </w:r>
      <w:r>
        <w:rPr>
          <w:color w:val="FF0000"/>
        </w:rPr>
        <w:t>overnance matters</w:t>
      </w:r>
      <w:r w:rsidR="008E5CC5">
        <w:rPr>
          <w:color w:val="FF0000"/>
        </w:rPr>
        <w:t xml:space="preserve">. </w:t>
      </w:r>
    </w:p>
    <w:p w14:paraId="716888C6" w14:textId="45EC5272" w:rsidR="006C550A" w:rsidRPr="002D2F00" w:rsidRDefault="00E45CDF" w:rsidP="00C543DA">
      <w:pPr>
        <w:pStyle w:val="Paragraphedeliste"/>
        <w:numPr>
          <w:ilvl w:val="0"/>
          <w:numId w:val="40"/>
        </w:numPr>
        <w:autoSpaceDE w:val="0"/>
        <w:autoSpaceDN w:val="0"/>
        <w:adjustRightInd w:val="0"/>
        <w:jc w:val="both"/>
        <w:rPr>
          <w:color w:val="FF0000"/>
        </w:rPr>
      </w:pPr>
      <w:r w:rsidRPr="00E45CDF">
        <w:rPr>
          <w:color w:val="FF0000"/>
        </w:rPr>
        <w:t>As defined in the article 1 of this Regulation,</w:t>
      </w:r>
      <w:r>
        <w:rPr>
          <w:b/>
          <w:color w:val="FF0000"/>
        </w:rPr>
        <w:t xml:space="preserve"> only solid fossil fuels are considered in the definition of the “fossil fuel sector”. </w:t>
      </w:r>
      <w:r w:rsidR="00C071D3">
        <w:rPr>
          <w:color w:val="FF0000"/>
        </w:rPr>
        <w:t xml:space="preserve">Not taking into account </w:t>
      </w:r>
      <w:r w:rsidR="00C071D3" w:rsidRPr="008E7FB1">
        <w:rPr>
          <w:b/>
          <w:color w:val="FF0000"/>
        </w:rPr>
        <w:t>liq</w:t>
      </w:r>
      <w:r w:rsidR="00CD0B57" w:rsidRPr="008E7FB1">
        <w:rPr>
          <w:b/>
          <w:color w:val="FF0000"/>
        </w:rPr>
        <w:t>uid fossil</w:t>
      </w:r>
      <w:r w:rsidR="00CD0B57">
        <w:rPr>
          <w:color w:val="FF0000"/>
        </w:rPr>
        <w:t xml:space="preserve"> fuels (petroleum, </w:t>
      </w:r>
      <w:proofErr w:type="gramStart"/>
      <w:r w:rsidR="00CD0B57">
        <w:rPr>
          <w:color w:val="FF0000"/>
        </w:rPr>
        <w:t>di</w:t>
      </w:r>
      <w:r w:rsidR="00C071D3">
        <w:rPr>
          <w:color w:val="FF0000"/>
        </w:rPr>
        <w:t>esel,…</w:t>
      </w:r>
      <w:proofErr w:type="gramEnd"/>
      <w:r w:rsidR="00C071D3">
        <w:rPr>
          <w:color w:val="FF0000"/>
        </w:rPr>
        <w:t xml:space="preserve">) </w:t>
      </w:r>
      <w:r w:rsidR="008E7FB1">
        <w:rPr>
          <w:color w:val="FF0000"/>
        </w:rPr>
        <w:t>nor</w:t>
      </w:r>
      <w:r w:rsidR="00C071D3">
        <w:rPr>
          <w:color w:val="FF0000"/>
        </w:rPr>
        <w:t xml:space="preserve"> </w:t>
      </w:r>
      <w:r w:rsidR="00C071D3" w:rsidRPr="008E7FB1">
        <w:rPr>
          <w:b/>
          <w:color w:val="FF0000"/>
        </w:rPr>
        <w:t>gaseous</w:t>
      </w:r>
      <w:r w:rsidR="00C071D3">
        <w:rPr>
          <w:color w:val="FF0000"/>
        </w:rPr>
        <w:t xml:space="preserve"> fossil fuels (natural gas)</w:t>
      </w:r>
      <w:r w:rsidR="00CD0B57">
        <w:rPr>
          <w:color w:val="FF0000"/>
        </w:rPr>
        <w:t xml:space="preserve"> would endanger the achievement of the 2°C target of the Paris agreement. According to the latest forecasts of </w:t>
      </w:r>
      <w:r w:rsidR="00DA36F6">
        <w:rPr>
          <w:color w:val="FF0000"/>
        </w:rPr>
        <w:t>August 2030, with the governments’ plans to reduce emissions, the planet is very</w:t>
      </w:r>
      <w:r w:rsidR="00CD0B57">
        <w:rPr>
          <w:color w:val="FF0000"/>
        </w:rPr>
        <w:t xml:space="preserve"> likely to reach +3</w:t>
      </w:r>
      <w:r w:rsidR="00DA36F6">
        <w:rPr>
          <w:color w:val="FF0000"/>
        </w:rPr>
        <w:t>°C</w:t>
      </w:r>
      <w:r w:rsidR="00CD0B57">
        <w:rPr>
          <w:color w:val="FF0000"/>
        </w:rPr>
        <w:t xml:space="preserve"> in 2</w:t>
      </w:r>
      <w:r w:rsidR="00DA36F6">
        <w:rPr>
          <w:color w:val="FF0000"/>
        </w:rPr>
        <w:t>030.</w:t>
      </w:r>
      <w:r w:rsidR="00CD0B57">
        <w:rPr>
          <w:color w:val="FF0000"/>
        </w:rPr>
        <w:t xml:space="preserve"> </w:t>
      </w:r>
      <w:r w:rsidR="00DA36F6">
        <w:rPr>
          <w:color w:val="FF0000"/>
        </w:rPr>
        <w:t xml:space="preserve">One degree more implies reaching points of non-return, as for instance the death of coral reefs, basis </w:t>
      </w:r>
      <w:r w:rsidR="001E48CF">
        <w:rPr>
          <w:color w:val="FF0000"/>
        </w:rPr>
        <w:t>of</w:t>
      </w:r>
      <w:r w:rsidR="00DA36F6">
        <w:rPr>
          <w:color w:val="FF0000"/>
        </w:rPr>
        <w:t xml:space="preserve"> the marine ecosystem, or permafrost melting </w:t>
      </w:r>
      <w:r w:rsidR="001E48CF">
        <w:rPr>
          <w:color w:val="FF0000"/>
        </w:rPr>
        <w:t>inducing</w:t>
      </w:r>
      <w:r w:rsidR="00DA36F6">
        <w:rPr>
          <w:color w:val="FF0000"/>
        </w:rPr>
        <w:t xml:space="preserve"> the release of methane and old viruses. </w:t>
      </w:r>
      <w:r w:rsidR="00DA36F6" w:rsidRPr="00E55487">
        <w:rPr>
          <w:b/>
          <w:color w:val="FF0000"/>
        </w:rPr>
        <w:t>Including liquid and gaseous fossil fuels in the scope of Article 1 and Table 1</w:t>
      </w:r>
      <w:r w:rsidR="00DA36F6">
        <w:rPr>
          <w:color w:val="FF0000"/>
        </w:rPr>
        <w:t xml:space="preserve"> (Annex I) </w:t>
      </w:r>
      <w:r w:rsidR="00DA36F6" w:rsidRPr="00E55487">
        <w:rPr>
          <w:b/>
          <w:color w:val="FF0000"/>
        </w:rPr>
        <w:t xml:space="preserve">would </w:t>
      </w:r>
      <w:r w:rsidR="00E55487">
        <w:rPr>
          <w:b/>
          <w:color w:val="FF0000"/>
        </w:rPr>
        <w:t xml:space="preserve">quicker and </w:t>
      </w:r>
      <w:r w:rsidR="00DA36F6" w:rsidRPr="00E55487">
        <w:rPr>
          <w:b/>
          <w:color w:val="FF0000"/>
        </w:rPr>
        <w:t xml:space="preserve">significantly reduce a full </w:t>
      </w:r>
      <w:r w:rsidR="002E0D94">
        <w:rPr>
          <w:b/>
          <w:color w:val="FF0000"/>
        </w:rPr>
        <w:t>spectrum</w:t>
      </w:r>
      <w:r w:rsidR="00DA36F6" w:rsidRPr="00E55487">
        <w:rPr>
          <w:b/>
          <w:color w:val="FF0000"/>
        </w:rPr>
        <w:t xml:space="preserve"> of adverse impacts on the environment </w:t>
      </w:r>
      <w:r w:rsidR="00DA36F6">
        <w:rPr>
          <w:color w:val="FF0000"/>
        </w:rPr>
        <w:t>and would benefit to the entire society.</w:t>
      </w:r>
      <w:r w:rsidR="006C550A">
        <w:rPr>
          <w:color w:val="FF0000"/>
        </w:rPr>
        <w:t xml:space="preserve"> In question 5, we propose the metric to address this issue.</w:t>
      </w:r>
    </w:p>
    <w:p w14:paraId="0C4BA959" w14:textId="7DA340C8" w:rsidR="008E5CC5" w:rsidRPr="00602D71" w:rsidRDefault="00133E00" w:rsidP="00C543DA">
      <w:pPr>
        <w:pStyle w:val="Paragraphedeliste"/>
        <w:numPr>
          <w:ilvl w:val="0"/>
          <w:numId w:val="40"/>
        </w:numPr>
        <w:autoSpaceDE w:val="0"/>
        <w:autoSpaceDN w:val="0"/>
        <w:adjustRightInd w:val="0"/>
        <w:jc w:val="both"/>
        <w:rPr>
          <w:rFonts w:cs="Arial"/>
          <w:color w:val="FF0000"/>
          <w:szCs w:val="20"/>
        </w:rPr>
      </w:pPr>
      <w:r w:rsidRPr="00602D71">
        <w:rPr>
          <w:rFonts w:cs="Arial"/>
          <w:color w:val="FF0000"/>
          <w:szCs w:val="20"/>
        </w:rPr>
        <w:t xml:space="preserve">Some </w:t>
      </w:r>
      <w:r w:rsidR="00F13A33" w:rsidRPr="00602D71">
        <w:rPr>
          <w:rFonts w:cs="Arial"/>
          <w:color w:val="FF0000"/>
          <w:szCs w:val="20"/>
        </w:rPr>
        <w:t xml:space="preserve">key </w:t>
      </w:r>
      <w:r w:rsidRPr="00602D71">
        <w:rPr>
          <w:rFonts w:cs="Arial"/>
          <w:color w:val="FF0000"/>
          <w:szCs w:val="20"/>
        </w:rPr>
        <w:t xml:space="preserve">matters established by the </w:t>
      </w:r>
      <w:r w:rsidR="008E3C0C" w:rsidRPr="00602D71">
        <w:rPr>
          <w:rFonts w:cs="Arial"/>
          <w:color w:val="FF0000"/>
          <w:szCs w:val="20"/>
        </w:rPr>
        <w:t xml:space="preserve">EU </w:t>
      </w:r>
      <w:r w:rsidRPr="00602D71">
        <w:rPr>
          <w:rFonts w:cs="Arial"/>
          <w:color w:val="FF0000"/>
          <w:szCs w:val="20"/>
        </w:rPr>
        <w:t>“</w:t>
      </w:r>
      <w:r w:rsidRPr="00602D71">
        <w:rPr>
          <w:rFonts w:cs="Arial"/>
          <w:b/>
          <w:color w:val="FF0000"/>
          <w:szCs w:val="20"/>
        </w:rPr>
        <w:t>From Farm to Fork</w:t>
      </w:r>
      <w:r w:rsidRPr="00602D71">
        <w:rPr>
          <w:rFonts w:cs="Arial"/>
          <w:color w:val="FF0000"/>
          <w:szCs w:val="20"/>
        </w:rPr>
        <w:t xml:space="preserve">” strategy do not appear in the </w:t>
      </w:r>
      <w:r w:rsidR="008E5CC5" w:rsidRPr="00602D71">
        <w:rPr>
          <w:rFonts w:cs="Arial"/>
          <w:color w:val="FF0000"/>
          <w:szCs w:val="20"/>
        </w:rPr>
        <w:t xml:space="preserve">indicators of table 1 as </w:t>
      </w:r>
      <w:r w:rsidR="008E5CC5" w:rsidRPr="00602D71">
        <w:rPr>
          <w:rFonts w:cs="Arial"/>
          <w:color w:val="FF0000"/>
          <w:szCs w:val="20"/>
          <w:lang w:val="en-US" w:eastAsia="en-GB"/>
        </w:rPr>
        <w:t xml:space="preserve">use of </w:t>
      </w:r>
      <w:r w:rsidR="008E5CC5" w:rsidRPr="00602D71">
        <w:rPr>
          <w:rFonts w:cs="Arial"/>
          <w:b/>
          <w:color w:val="FF0000"/>
          <w:szCs w:val="20"/>
          <w:lang w:val="en-US" w:eastAsia="en-GB"/>
        </w:rPr>
        <w:t>pesticides</w:t>
      </w:r>
      <w:r w:rsidR="008E5CC5" w:rsidRPr="00602D71">
        <w:rPr>
          <w:rFonts w:cs="Arial"/>
          <w:color w:val="FF0000"/>
          <w:szCs w:val="20"/>
          <w:lang w:val="en-US" w:eastAsia="en-GB"/>
        </w:rPr>
        <w:t xml:space="preserve">, use of </w:t>
      </w:r>
      <w:r w:rsidR="008E5CC5" w:rsidRPr="00602D71">
        <w:rPr>
          <w:rFonts w:cs="Arial"/>
          <w:b/>
          <w:color w:val="FF0000"/>
          <w:szCs w:val="20"/>
          <w:lang w:val="en-US" w:eastAsia="en-GB"/>
        </w:rPr>
        <w:t>antibiotics</w:t>
      </w:r>
      <w:r w:rsidR="008E5CC5" w:rsidRPr="00602D71">
        <w:rPr>
          <w:rFonts w:cs="Arial"/>
          <w:color w:val="FF0000"/>
          <w:szCs w:val="20"/>
          <w:lang w:val="en-US" w:eastAsia="en-GB"/>
        </w:rPr>
        <w:t xml:space="preserve"> </w:t>
      </w:r>
      <w:r w:rsidR="008E5CC5" w:rsidRPr="00602D71">
        <w:rPr>
          <w:rFonts w:cs="Arial"/>
          <w:b/>
          <w:color w:val="FF0000"/>
          <w:szCs w:val="20"/>
          <w:lang w:val="en-US" w:eastAsia="en-GB"/>
        </w:rPr>
        <w:t>in Agriculture</w:t>
      </w:r>
      <w:r w:rsidR="008E5CC5" w:rsidRPr="00602D71">
        <w:rPr>
          <w:rFonts w:cs="Arial"/>
          <w:color w:val="FF0000"/>
          <w:szCs w:val="20"/>
          <w:lang w:val="en-US" w:eastAsia="en-GB"/>
        </w:rPr>
        <w:t xml:space="preserve">, </w:t>
      </w:r>
      <w:r w:rsidR="008E5CC5" w:rsidRPr="00602D71">
        <w:rPr>
          <w:rFonts w:cs="Arial"/>
          <w:b/>
          <w:color w:val="FF0000"/>
          <w:szCs w:val="20"/>
          <w:lang w:val="en-US" w:eastAsia="en-GB"/>
        </w:rPr>
        <w:t>Organic Farming</w:t>
      </w:r>
      <w:r w:rsidR="008E5CC5" w:rsidRPr="00602D71">
        <w:rPr>
          <w:rFonts w:cs="Arial"/>
          <w:color w:val="FF0000"/>
          <w:szCs w:val="20"/>
          <w:lang w:val="en-US" w:eastAsia="en-GB"/>
        </w:rPr>
        <w:t xml:space="preserve">, and </w:t>
      </w:r>
      <w:r w:rsidR="008E5CC5" w:rsidRPr="00602D71">
        <w:rPr>
          <w:rFonts w:cs="Arial"/>
          <w:b/>
          <w:color w:val="FF0000"/>
          <w:szCs w:val="20"/>
          <w:lang w:val="en-US" w:eastAsia="en-GB"/>
        </w:rPr>
        <w:t>Animal Welfare</w:t>
      </w:r>
      <w:r w:rsidR="002D2F00" w:rsidRPr="00602D71">
        <w:rPr>
          <w:rFonts w:cs="Arial"/>
          <w:b/>
          <w:color w:val="FF0000"/>
          <w:szCs w:val="20"/>
          <w:lang w:val="en-US" w:eastAsia="en-GB"/>
        </w:rPr>
        <w:t xml:space="preserve">. </w:t>
      </w:r>
      <w:r w:rsidR="00596DFD" w:rsidRPr="00602D71">
        <w:rPr>
          <w:rFonts w:cs="Arial"/>
          <w:color w:val="FF0000"/>
          <w:szCs w:val="20"/>
          <w:lang w:val="en-US" w:eastAsia="en-GB"/>
        </w:rPr>
        <w:t>As clearly written at</w:t>
      </w:r>
      <w:r w:rsidR="00596DFD" w:rsidRPr="00602D71">
        <w:rPr>
          <w:rFonts w:cs="Arial"/>
          <w:b/>
          <w:color w:val="FF0000"/>
          <w:szCs w:val="20"/>
          <w:lang w:val="en-US" w:eastAsia="en-GB"/>
        </w:rPr>
        <w:t xml:space="preserve"> </w:t>
      </w:r>
      <w:r w:rsidR="002D2F00" w:rsidRPr="00602D71">
        <w:rPr>
          <w:rFonts w:cs="Arial"/>
          <w:color w:val="FF0000"/>
          <w:szCs w:val="20"/>
          <w:lang w:val="en-US" w:eastAsia="en-GB"/>
        </w:rPr>
        <w:t xml:space="preserve">Page 4, </w:t>
      </w:r>
      <w:r w:rsidR="00596DFD" w:rsidRPr="00602D71">
        <w:rPr>
          <w:rFonts w:cs="Arial"/>
          <w:color w:val="FF0000"/>
          <w:szCs w:val="20"/>
          <w:lang w:val="en-US" w:eastAsia="en-GB"/>
        </w:rPr>
        <w:t xml:space="preserve">from this </w:t>
      </w:r>
      <w:r w:rsidR="002D2F00" w:rsidRPr="00602D71">
        <w:rPr>
          <w:rFonts w:cs="Arial"/>
          <w:color w:val="FF0000"/>
          <w:szCs w:val="20"/>
          <w:lang w:val="en-US" w:eastAsia="en-GB"/>
        </w:rPr>
        <w:t>communication published in May 20, 2020: “</w:t>
      </w:r>
      <w:r w:rsidR="002D2F00" w:rsidRPr="00602D71">
        <w:rPr>
          <w:rFonts w:cs="Arial"/>
          <w:b/>
          <w:color w:val="FF0000"/>
          <w:szCs w:val="20"/>
        </w:rPr>
        <w:t xml:space="preserve">There is an urgent need </w:t>
      </w:r>
      <w:r w:rsidR="002D2F00" w:rsidRPr="00602D71">
        <w:rPr>
          <w:rFonts w:cs="Arial"/>
          <w:color w:val="FF0000"/>
          <w:szCs w:val="20"/>
        </w:rPr>
        <w:t xml:space="preserve">to reduce dependency on pesticides and antimicrobials, reduce excess fertilisation, increase organic farming, improve animal welfare”. </w:t>
      </w:r>
      <w:r w:rsidR="00EB4F65" w:rsidRPr="00EB4F65">
        <w:rPr>
          <w:rFonts w:cs="Arial"/>
          <w:color w:val="FF0000"/>
          <w:szCs w:val="20"/>
        </w:rPr>
        <w:t xml:space="preserve">it is all the more important to consider the new agricultural strategy because the </w:t>
      </w:r>
      <w:r w:rsidR="00EB4F65" w:rsidRPr="00EB4F65">
        <w:rPr>
          <w:rFonts w:cs="Arial"/>
          <w:b/>
          <w:color w:val="FF0000"/>
          <w:szCs w:val="20"/>
        </w:rPr>
        <w:t>Common Agricultural Policy</w:t>
      </w:r>
      <w:r w:rsidR="00EB4F65" w:rsidRPr="00EB4F65">
        <w:rPr>
          <w:rFonts w:cs="Arial"/>
          <w:color w:val="FF0000"/>
          <w:szCs w:val="20"/>
        </w:rPr>
        <w:t xml:space="preserve"> represents </w:t>
      </w:r>
      <w:r w:rsidR="00EB4F65" w:rsidRPr="003617A7">
        <w:rPr>
          <w:rFonts w:cs="Arial"/>
          <w:color w:val="FF0000"/>
          <w:szCs w:val="20"/>
          <w:u w:val="single"/>
        </w:rPr>
        <w:t xml:space="preserve">a </w:t>
      </w:r>
      <w:r w:rsidR="00EB4F65" w:rsidRPr="003617A7">
        <w:rPr>
          <w:rFonts w:cs="Arial"/>
          <w:b/>
          <w:color w:val="FF0000"/>
          <w:szCs w:val="20"/>
          <w:u w:val="single"/>
        </w:rPr>
        <w:t>third</w:t>
      </w:r>
      <w:r w:rsidR="00EB4F65" w:rsidRPr="003617A7">
        <w:rPr>
          <w:rFonts w:cs="Arial"/>
          <w:color w:val="FF0000"/>
          <w:szCs w:val="20"/>
          <w:u w:val="single"/>
        </w:rPr>
        <w:t xml:space="preserve"> of the </w:t>
      </w:r>
      <w:r w:rsidR="00EB4F65" w:rsidRPr="003617A7">
        <w:rPr>
          <w:rFonts w:cs="Arial"/>
          <w:b/>
          <w:color w:val="FF0000"/>
          <w:szCs w:val="20"/>
          <w:u w:val="single"/>
        </w:rPr>
        <w:t>budget</w:t>
      </w:r>
      <w:r w:rsidR="00EB4F65" w:rsidRPr="00EB4F65">
        <w:rPr>
          <w:rFonts w:cs="Arial"/>
          <w:color w:val="FF0000"/>
          <w:szCs w:val="20"/>
        </w:rPr>
        <w:t xml:space="preserve"> of the European Union</w:t>
      </w:r>
      <w:r w:rsidR="00EB4F65">
        <w:rPr>
          <w:rFonts w:cs="Arial"/>
          <w:color w:val="FF0000"/>
          <w:szCs w:val="20"/>
        </w:rPr>
        <w:t xml:space="preserve">. </w:t>
      </w:r>
      <w:r w:rsidR="002D2F00" w:rsidRPr="00602D71">
        <w:rPr>
          <w:rFonts w:cs="Arial"/>
          <w:color w:val="FF0000"/>
          <w:szCs w:val="20"/>
        </w:rPr>
        <w:t>In question 5, we propose the metrics to address these issues.</w:t>
      </w:r>
    </w:p>
    <w:p w14:paraId="06A50596" w14:textId="03597EFD" w:rsidR="00515371" w:rsidRPr="00EC4290" w:rsidRDefault="00515371" w:rsidP="00C543DA">
      <w:pPr>
        <w:pStyle w:val="Paragraphedeliste"/>
        <w:numPr>
          <w:ilvl w:val="0"/>
          <w:numId w:val="40"/>
        </w:numPr>
        <w:autoSpaceDE w:val="0"/>
        <w:autoSpaceDN w:val="0"/>
        <w:adjustRightInd w:val="0"/>
        <w:jc w:val="both"/>
        <w:rPr>
          <w:rFonts w:cs="Arial"/>
          <w:color w:val="FF0000"/>
          <w:szCs w:val="20"/>
          <w:lang w:val="en-US" w:eastAsia="en-GB"/>
        </w:rPr>
      </w:pPr>
      <w:r w:rsidRPr="00EC4290">
        <w:rPr>
          <w:rFonts w:cs="Arial"/>
          <w:color w:val="FF0000"/>
          <w:szCs w:val="20"/>
          <w:lang w:val="en-US" w:eastAsia="en-GB"/>
        </w:rPr>
        <w:t>Tables 1,2, 3 often use systematically the expression “</w:t>
      </w:r>
      <w:r w:rsidRPr="00EC4290">
        <w:rPr>
          <w:rFonts w:cs="Arial"/>
          <w:b/>
          <w:color w:val="FF0000"/>
          <w:szCs w:val="20"/>
          <w:lang w:val="en-US" w:eastAsia="en-GB"/>
        </w:rPr>
        <w:t>investee companies</w:t>
      </w:r>
      <w:r w:rsidRPr="00EC4290">
        <w:rPr>
          <w:rFonts w:cs="Arial"/>
          <w:color w:val="FF0000"/>
          <w:szCs w:val="20"/>
          <w:lang w:val="en-US" w:eastAsia="en-GB"/>
        </w:rPr>
        <w:t xml:space="preserve">”. </w:t>
      </w:r>
      <w:proofErr w:type="gramStart"/>
      <w:r w:rsidRPr="00EC4290">
        <w:rPr>
          <w:rFonts w:cs="Arial"/>
          <w:color w:val="FF0000"/>
          <w:szCs w:val="20"/>
          <w:lang w:val="en-US" w:eastAsia="en-GB"/>
        </w:rPr>
        <w:t>However</w:t>
      </w:r>
      <w:proofErr w:type="gramEnd"/>
      <w:r w:rsidRPr="00EC4290">
        <w:rPr>
          <w:rFonts w:cs="Arial"/>
          <w:color w:val="FF0000"/>
          <w:szCs w:val="20"/>
          <w:lang w:val="en-US" w:eastAsia="en-GB"/>
        </w:rPr>
        <w:t xml:space="preserve"> investments can finance also in </w:t>
      </w:r>
      <w:r w:rsidRPr="00EC4290">
        <w:rPr>
          <w:rFonts w:cs="Arial"/>
          <w:b/>
          <w:color w:val="FF0000"/>
          <w:szCs w:val="20"/>
          <w:lang w:val="en-US" w:eastAsia="en-GB"/>
        </w:rPr>
        <w:t>countries, states / regions, municipalities</w:t>
      </w:r>
      <w:r w:rsidRPr="00EC4290">
        <w:rPr>
          <w:rFonts w:cs="Arial"/>
          <w:color w:val="FF0000"/>
          <w:szCs w:val="20"/>
          <w:lang w:val="en-US" w:eastAsia="en-GB"/>
        </w:rPr>
        <w:t xml:space="preserve"> as with Sovereign bonds, or projects with green/social/sustainable bonds. The word "</w:t>
      </w:r>
      <w:r w:rsidRPr="00EC4290">
        <w:rPr>
          <w:rFonts w:cs="Arial"/>
          <w:b/>
          <w:color w:val="FF0000"/>
          <w:szCs w:val="20"/>
          <w:lang w:val="en-US" w:eastAsia="en-GB"/>
        </w:rPr>
        <w:t>entities</w:t>
      </w:r>
      <w:r w:rsidRPr="00EC4290">
        <w:rPr>
          <w:rFonts w:cs="Arial"/>
          <w:color w:val="FF0000"/>
          <w:szCs w:val="20"/>
          <w:lang w:val="en-US" w:eastAsia="en-GB"/>
        </w:rPr>
        <w:t>" could replace "investee companies" and would enlarge the scope of possible issuers. An additional article defining "entity" and expressly illustrating the types of issuers would help the understanding.</w:t>
      </w:r>
    </w:p>
    <w:p w14:paraId="4AD89E86" w14:textId="125FF8C4" w:rsidR="00AC02C5" w:rsidRDefault="007C0213" w:rsidP="00C543DA">
      <w:pPr>
        <w:pStyle w:val="Paragraphedeliste"/>
        <w:numPr>
          <w:ilvl w:val="0"/>
          <w:numId w:val="40"/>
        </w:numPr>
        <w:autoSpaceDE w:val="0"/>
        <w:autoSpaceDN w:val="0"/>
        <w:adjustRightInd w:val="0"/>
        <w:jc w:val="both"/>
        <w:rPr>
          <w:color w:val="FF0000"/>
        </w:rPr>
      </w:pPr>
      <w:r w:rsidRPr="007C0213">
        <w:rPr>
          <w:color w:val="FF0000"/>
        </w:rPr>
        <w:t>The metrics, which are only based on “</w:t>
      </w:r>
      <w:r w:rsidRPr="007C0213">
        <w:rPr>
          <w:b/>
          <w:color w:val="FF0000"/>
        </w:rPr>
        <w:t>policies</w:t>
      </w:r>
      <w:r w:rsidRPr="007C0213">
        <w:rPr>
          <w:color w:val="FF0000"/>
        </w:rPr>
        <w:t xml:space="preserve">” are not enough discriminative. It is easy for entities (countries or companies) to meet the targets based on policy-only. This methodology can introduce a </w:t>
      </w:r>
      <w:r w:rsidRPr="007C0213">
        <w:rPr>
          <w:b/>
          <w:color w:val="FF0000"/>
        </w:rPr>
        <w:t>bias by an overrating</w:t>
      </w:r>
      <w:r w:rsidRPr="007C0213">
        <w:rPr>
          <w:color w:val="FF0000"/>
        </w:rPr>
        <w:t xml:space="preserve"> of assessed issuers by Financial Market Participants. This is the case for the subjects of </w:t>
      </w:r>
      <w:r w:rsidRPr="007C0213">
        <w:rPr>
          <w:b/>
          <w:color w:val="FF0000"/>
        </w:rPr>
        <w:t>deforestation</w:t>
      </w:r>
      <w:r w:rsidRPr="007C0213">
        <w:rPr>
          <w:color w:val="FF0000"/>
        </w:rPr>
        <w:t xml:space="preserve">, </w:t>
      </w:r>
      <w:r w:rsidRPr="007C0213">
        <w:rPr>
          <w:b/>
          <w:color w:val="FF0000"/>
        </w:rPr>
        <w:t>whistle-blowers</w:t>
      </w:r>
      <w:r w:rsidRPr="007C0213">
        <w:rPr>
          <w:color w:val="FF0000"/>
        </w:rPr>
        <w:t xml:space="preserve"> (table 1), </w:t>
      </w:r>
      <w:r w:rsidRPr="007C0213">
        <w:rPr>
          <w:b/>
          <w:color w:val="FF0000"/>
        </w:rPr>
        <w:t>sustainable land/forestry/agriculture</w:t>
      </w:r>
      <w:r w:rsidRPr="007C0213">
        <w:rPr>
          <w:color w:val="FF0000"/>
        </w:rPr>
        <w:t xml:space="preserve">, </w:t>
      </w:r>
      <w:r w:rsidRPr="007C0213">
        <w:rPr>
          <w:b/>
          <w:color w:val="FF0000"/>
        </w:rPr>
        <w:t>sustainable oceans/seas practices</w:t>
      </w:r>
      <w:r w:rsidRPr="007C0213">
        <w:rPr>
          <w:color w:val="FF0000"/>
        </w:rPr>
        <w:t xml:space="preserve"> (table 2), which are screened on the basis of policies-only. The following expressions are preferable to use because they are </w:t>
      </w:r>
      <w:r w:rsidRPr="007C0213">
        <w:rPr>
          <w:b/>
          <w:color w:val="FF0000"/>
        </w:rPr>
        <w:t>more stringent</w:t>
      </w:r>
      <w:r w:rsidRPr="007C0213">
        <w:rPr>
          <w:color w:val="FF0000"/>
        </w:rPr>
        <w:t xml:space="preserve"> and </w:t>
      </w:r>
      <w:r w:rsidRPr="007C0213">
        <w:rPr>
          <w:b/>
          <w:color w:val="FF0000"/>
        </w:rPr>
        <w:t>more dis</w:t>
      </w:r>
      <w:r w:rsidRPr="007C0213">
        <w:rPr>
          <w:b/>
          <w:color w:val="FF0000"/>
        </w:rPr>
        <w:lastRenderedPageBreak/>
        <w:t>criminative</w:t>
      </w:r>
      <w:r w:rsidRPr="007C0213">
        <w:rPr>
          <w:color w:val="FF0000"/>
        </w:rPr>
        <w:t xml:space="preserve"> in order to promote the best practices: entities “</w:t>
      </w:r>
      <w:r w:rsidRPr="007C0213">
        <w:rPr>
          <w:b/>
          <w:color w:val="FF0000"/>
        </w:rPr>
        <w:t>that do not assess, monitor or control</w:t>
      </w:r>
      <w:r w:rsidRPr="007C0213">
        <w:rPr>
          <w:color w:val="FF0000"/>
        </w:rPr>
        <w:t>”, or “</w:t>
      </w:r>
      <w:r w:rsidRPr="007C0213">
        <w:rPr>
          <w:b/>
          <w:color w:val="FF0000"/>
        </w:rPr>
        <w:t>due diligence process</w:t>
      </w:r>
      <w:r w:rsidRPr="007C0213">
        <w:rPr>
          <w:color w:val="FF0000"/>
        </w:rPr>
        <w:t>”, or “</w:t>
      </w:r>
      <w:r w:rsidRPr="007C0213">
        <w:rPr>
          <w:b/>
          <w:color w:val="FF0000"/>
        </w:rPr>
        <w:t>with identified insufficiencies in actions</w:t>
      </w:r>
      <w:r w:rsidRPr="007C0213">
        <w:rPr>
          <w:color w:val="FF0000"/>
        </w:rPr>
        <w:t xml:space="preserve"> taken to address breaches in”.</w:t>
      </w:r>
      <w:r w:rsidR="006962BD">
        <w:rPr>
          <w:color w:val="FF0000"/>
        </w:rPr>
        <w:t xml:space="preserve"> In question 5, we propose the metrics to address these issues.</w:t>
      </w:r>
    </w:p>
    <w:p w14:paraId="06D741B0" w14:textId="18FB105A" w:rsidR="008034B6" w:rsidRDefault="008034B6" w:rsidP="00C543DA">
      <w:pPr>
        <w:pStyle w:val="Paragraphedeliste"/>
        <w:numPr>
          <w:ilvl w:val="0"/>
          <w:numId w:val="40"/>
        </w:numPr>
        <w:autoSpaceDE w:val="0"/>
        <w:autoSpaceDN w:val="0"/>
        <w:adjustRightInd w:val="0"/>
        <w:jc w:val="both"/>
        <w:rPr>
          <w:color w:val="00B050"/>
        </w:rPr>
      </w:pPr>
      <w:r w:rsidRPr="006F08CA">
        <w:rPr>
          <w:b/>
          <w:bCs/>
          <w:color w:val="00B050"/>
        </w:rPr>
        <w:t xml:space="preserve">All the </w:t>
      </w:r>
      <w:r w:rsidR="00081820" w:rsidRPr="006F08CA">
        <w:rPr>
          <w:b/>
          <w:bCs/>
          <w:color w:val="00B050"/>
        </w:rPr>
        <w:t>indicators</w:t>
      </w:r>
      <w:r w:rsidR="00081820" w:rsidRPr="006F08CA">
        <w:rPr>
          <w:color w:val="00B050"/>
        </w:rPr>
        <w:t xml:space="preserve"> and </w:t>
      </w:r>
      <w:r w:rsidRPr="006F08CA">
        <w:rPr>
          <w:color w:val="00B050"/>
        </w:rPr>
        <w:t xml:space="preserve">metrics proposed (in Tables 1,2,3 of Annex I) </w:t>
      </w:r>
      <w:r w:rsidRPr="006F08CA">
        <w:rPr>
          <w:b/>
          <w:bCs/>
          <w:color w:val="00B050"/>
        </w:rPr>
        <w:t>are more “defensive” and aimed to assess risks than opportunities</w:t>
      </w:r>
      <w:r w:rsidRPr="006F08CA">
        <w:rPr>
          <w:color w:val="00B050"/>
        </w:rPr>
        <w:t xml:space="preserve">. It would be useful to recommend also </w:t>
      </w:r>
      <w:r w:rsidR="00CA7120" w:rsidRPr="009C1023">
        <w:rPr>
          <w:b/>
          <w:color w:val="00B050"/>
        </w:rPr>
        <w:t>positive</w:t>
      </w:r>
      <w:r w:rsidR="00526EA1" w:rsidRPr="009C1023">
        <w:rPr>
          <w:b/>
          <w:color w:val="00B050"/>
        </w:rPr>
        <w:t xml:space="preserve"> sustainability</w:t>
      </w:r>
      <w:r w:rsidRPr="009C1023">
        <w:rPr>
          <w:b/>
          <w:bCs/>
          <w:color w:val="00B050"/>
        </w:rPr>
        <w:t xml:space="preserve"> indicators</w:t>
      </w:r>
      <w:r w:rsidRPr="006F08CA">
        <w:rPr>
          <w:color w:val="00B050"/>
        </w:rPr>
        <w:t xml:space="preserve"> to </w:t>
      </w:r>
      <w:r w:rsidRPr="006F08CA">
        <w:rPr>
          <w:b/>
          <w:bCs/>
          <w:color w:val="00B050"/>
        </w:rPr>
        <w:t>identify ESG innovations</w:t>
      </w:r>
      <w:r w:rsidRPr="006F08CA">
        <w:rPr>
          <w:color w:val="00B050"/>
        </w:rPr>
        <w:t xml:space="preserve"> and </w:t>
      </w:r>
      <w:r w:rsidRPr="006F08CA">
        <w:rPr>
          <w:b/>
          <w:bCs/>
          <w:color w:val="00B050"/>
        </w:rPr>
        <w:t>resilient business models</w:t>
      </w:r>
      <w:r w:rsidRPr="006F08CA">
        <w:rPr>
          <w:color w:val="00B050"/>
        </w:rPr>
        <w:t xml:space="preserve">. </w:t>
      </w:r>
      <w:r w:rsidR="005B2F1A" w:rsidRPr="006F08CA">
        <w:rPr>
          <w:color w:val="00B050"/>
        </w:rPr>
        <w:t xml:space="preserve">Their identification would include new </w:t>
      </w:r>
      <w:r w:rsidR="00FB1875" w:rsidRPr="006F08CA">
        <w:rPr>
          <w:color w:val="00B050"/>
        </w:rPr>
        <w:t xml:space="preserve">alternative and </w:t>
      </w:r>
      <w:r w:rsidR="005B2F1A" w:rsidRPr="006F08CA">
        <w:rPr>
          <w:color w:val="00B050"/>
        </w:rPr>
        <w:t xml:space="preserve">positive values </w:t>
      </w:r>
      <w:r w:rsidR="00FB1875" w:rsidRPr="006F08CA">
        <w:rPr>
          <w:color w:val="00B050"/>
        </w:rPr>
        <w:t>to</w:t>
      </w:r>
      <w:r w:rsidR="005B2F1A" w:rsidRPr="006F08CA">
        <w:rPr>
          <w:color w:val="00B050"/>
        </w:rPr>
        <w:t xml:space="preserve"> </w:t>
      </w:r>
      <w:r w:rsidR="005B2F1A" w:rsidRPr="006F08CA">
        <w:rPr>
          <w:b/>
          <w:bCs/>
          <w:color w:val="00B050"/>
        </w:rPr>
        <w:t>compensate the exit</w:t>
      </w:r>
      <w:r w:rsidR="005B2F1A" w:rsidRPr="006F08CA">
        <w:rPr>
          <w:color w:val="00B050"/>
        </w:rPr>
        <w:t xml:space="preserve"> of excluded issuers identified by risk indicators. The positive sustainability values </w:t>
      </w:r>
      <w:r w:rsidRPr="006F08CA">
        <w:rPr>
          <w:color w:val="00B050"/>
        </w:rPr>
        <w:t xml:space="preserve">would contribute to </w:t>
      </w:r>
      <w:r w:rsidRPr="006F08CA">
        <w:rPr>
          <w:b/>
          <w:bCs/>
          <w:color w:val="00B050"/>
        </w:rPr>
        <w:t>better returns</w:t>
      </w:r>
      <w:r w:rsidRPr="006F08CA">
        <w:rPr>
          <w:color w:val="00B050"/>
        </w:rPr>
        <w:t xml:space="preserve"> for the portfolios and funds. In question 5, we propose a </w:t>
      </w:r>
      <w:proofErr w:type="gramStart"/>
      <w:r w:rsidRPr="006F08CA">
        <w:rPr>
          <w:b/>
          <w:bCs/>
          <w:color w:val="00B050"/>
        </w:rPr>
        <w:t>tables</w:t>
      </w:r>
      <w:proofErr w:type="gramEnd"/>
      <w:r w:rsidRPr="006F08CA">
        <w:rPr>
          <w:b/>
          <w:bCs/>
          <w:color w:val="00B050"/>
        </w:rPr>
        <w:t xml:space="preserve"> </w:t>
      </w:r>
      <w:r w:rsidR="00081820" w:rsidRPr="006F08CA">
        <w:rPr>
          <w:b/>
          <w:bCs/>
          <w:color w:val="00B050"/>
        </w:rPr>
        <w:t>4</w:t>
      </w:r>
      <w:r w:rsidRPr="006F08CA">
        <w:rPr>
          <w:b/>
          <w:bCs/>
          <w:color w:val="00B050"/>
        </w:rPr>
        <w:t xml:space="preserve"> with positive sustainability indicators</w:t>
      </w:r>
      <w:r w:rsidRPr="006F08CA">
        <w:rPr>
          <w:color w:val="00B050"/>
        </w:rPr>
        <w:t>.</w:t>
      </w:r>
      <w:r w:rsidR="002C3E49">
        <w:rPr>
          <w:color w:val="00B050"/>
        </w:rPr>
        <w:t xml:space="preserve"> This table 4 coul</w:t>
      </w:r>
      <w:r w:rsidR="00111FF1">
        <w:rPr>
          <w:color w:val="00B050"/>
        </w:rPr>
        <w:t xml:space="preserve">d be </w:t>
      </w:r>
      <w:r w:rsidR="00FB5247">
        <w:rPr>
          <w:color w:val="00B050"/>
        </w:rPr>
        <w:t xml:space="preserve">also </w:t>
      </w:r>
      <w:r w:rsidR="00111FF1">
        <w:rPr>
          <w:color w:val="00B050"/>
        </w:rPr>
        <w:t>used to define Article 9 (Sustainable) products for pre-contractual disclosure (Annex III) and periodic reports (Annex V).</w:t>
      </w:r>
    </w:p>
    <w:permEnd w:id="411981036"/>
    <w:p w14:paraId="6A3CB062" w14:textId="07658BFE" w:rsidR="00B327E9" w:rsidRPr="00BF28DA" w:rsidRDefault="00B327E9" w:rsidP="00B327E9">
      <w:r w:rsidRPr="00BF28DA">
        <w:t>&lt;ESA_COMMENT_</w:t>
      </w:r>
      <w:r w:rsidR="00C86E1C">
        <w:rPr>
          <w:rStyle w:val="Accentuationlgre"/>
          <w:b w:val="0"/>
          <w:sz w:val="22"/>
        </w:rPr>
        <w:t>ESG</w:t>
      </w:r>
      <w:r w:rsidR="000A58BE">
        <w:t>_</w:t>
      </w:r>
      <w:r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lastRenderedPageBreak/>
        <w:t xml:space="preserve">: </w:t>
      </w:r>
      <w:r w:rsidR="00D5594A" w:rsidRPr="00D5594A">
        <w:t>Do you agree with the approach proposed in Chapter II and Annex I – where the indicators in Table 1 always lead to principal adverse impacts irrespective of the value of the metrics, requiring consistent disclosure, and the indicators in Table 2 and 3 are subject to an “opt-in” regime for disclosure?</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0C68D092" w14:textId="0A38E9CF" w:rsidR="00CF791B" w:rsidRPr="00285236" w:rsidRDefault="00CF791B" w:rsidP="00C543DA">
      <w:pPr>
        <w:pStyle w:val="Default"/>
        <w:numPr>
          <w:ilvl w:val="0"/>
          <w:numId w:val="41"/>
        </w:numPr>
        <w:jc w:val="both"/>
        <w:rPr>
          <w:rFonts w:ascii="Arial" w:hAnsi="Arial" w:cs="Arial"/>
          <w:color w:val="FF0000"/>
          <w:sz w:val="20"/>
          <w:szCs w:val="20"/>
          <w:lang w:val="en-US"/>
        </w:rPr>
      </w:pPr>
      <w:permStart w:id="1220688604" w:edGrp="everyone"/>
      <w:r w:rsidRPr="00285236">
        <w:rPr>
          <w:rFonts w:ascii="Arial" w:hAnsi="Arial" w:cs="Arial"/>
          <w:color w:val="FF0000"/>
          <w:sz w:val="20"/>
          <w:szCs w:val="20"/>
          <w:lang w:val="en-US"/>
        </w:rPr>
        <w:t xml:space="preserve">Article 1 defines ‘fossil fuel sectors’ </w:t>
      </w:r>
      <w:r w:rsidR="00D44C9A" w:rsidRPr="00285236">
        <w:rPr>
          <w:rFonts w:ascii="Arial" w:hAnsi="Arial" w:cs="Arial"/>
          <w:color w:val="FF0000"/>
          <w:sz w:val="20"/>
          <w:szCs w:val="20"/>
          <w:lang w:val="en-US"/>
        </w:rPr>
        <w:t xml:space="preserve">by </w:t>
      </w:r>
      <w:r w:rsidRPr="00285236">
        <w:rPr>
          <w:rFonts w:ascii="Arial" w:hAnsi="Arial" w:cs="Arial"/>
          <w:b/>
          <w:color w:val="FF0000"/>
          <w:sz w:val="20"/>
          <w:szCs w:val="20"/>
          <w:lang w:val="en-US"/>
        </w:rPr>
        <w:t>solid</w:t>
      </w:r>
      <w:r w:rsidR="00D44C9A" w:rsidRPr="00285236">
        <w:rPr>
          <w:rFonts w:ascii="Arial" w:hAnsi="Arial" w:cs="Arial"/>
          <w:b/>
          <w:color w:val="FF0000"/>
          <w:sz w:val="20"/>
          <w:szCs w:val="20"/>
          <w:lang w:val="en-US"/>
        </w:rPr>
        <w:t>-only</w:t>
      </w:r>
      <w:r w:rsidR="00D44C9A" w:rsidRPr="00285236">
        <w:rPr>
          <w:rFonts w:ascii="Arial" w:hAnsi="Arial" w:cs="Arial"/>
          <w:color w:val="FF0000"/>
          <w:sz w:val="20"/>
          <w:szCs w:val="20"/>
          <w:lang w:val="en-US"/>
        </w:rPr>
        <w:t xml:space="preserve"> fossil fuels</w:t>
      </w:r>
      <w:r w:rsidRPr="00285236">
        <w:rPr>
          <w:rFonts w:ascii="Arial" w:hAnsi="Arial" w:cs="Arial"/>
          <w:color w:val="FF0000"/>
          <w:sz w:val="20"/>
          <w:szCs w:val="20"/>
          <w:lang w:val="en-US"/>
        </w:rPr>
        <w:t xml:space="preserve">. Liquid and gaseous fossil fuels have to be taken into account too for the global warming and pollution issues as explained in question 19. Furthermore, this restriction misleads the comprehension of the public, and may deceive the public </w:t>
      </w:r>
      <w:r w:rsidR="003E69DB" w:rsidRPr="00285236">
        <w:rPr>
          <w:rFonts w:ascii="Arial" w:hAnsi="Arial" w:cs="Arial"/>
          <w:color w:val="FF0000"/>
          <w:sz w:val="20"/>
          <w:szCs w:val="20"/>
          <w:lang w:val="en-US"/>
        </w:rPr>
        <w:t xml:space="preserve">and end-investors’ </w:t>
      </w:r>
      <w:r w:rsidRPr="00285236">
        <w:rPr>
          <w:rFonts w:ascii="Arial" w:hAnsi="Arial" w:cs="Arial"/>
          <w:color w:val="FF0000"/>
          <w:sz w:val="20"/>
          <w:szCs w:val="20"/>
          <w:lang w:val="en-US"/>
        </w:rPr>
        <w:t xml:space="preserve">expectation of what is </w:t>
      </w:r>
      <w:proofErr w:type="gramStart"/>
      <w:r w:rsidRPr="00285236">
        <w:rPr>
          <w:rFonts w:ascii="Arial" w:hAnsi="Arial" w:cs="Arial"/>
          <w:color w:val="FF0000"/>
          <w:sz w:val="20"/>
          <w:szCs w:val="20"/>
          <w:lang w:val="en-US"/>
        </w:rPr>
        <w:t>an</w:t>
      </w:r>
      <w:proofErr w:type="gramEnd"/>
      <w:r w:rsidRPr="00285236">
        <w:rPr>
          <w:rFonts w:ascii="Arial" w:hAnsi="Arial" w:cs="Arial"/>
          <w:color w:val="FF0000"/>
          <w:sz w:val="20"/>
          <w:szCs w:val="20"/>
          <w:lang w:val="en-US"/>
        </w:rPr>
        <w:t xml:space="preserve"> sustainable investment, if petroleum, diesel, and gas are not in the scope. In question 5</w:t>
      </w:r>
      <w:r w:rsidRPr="00285236">
        <w:rPr>
          <w:rFonts w:ascii="Arial" w:hAnsi="Arial" w:cs="Arial"/>
          <w:b/>
          <w:color w:val="FF0000"/>
          <w:sz w:val="20"/>
          <w:szCs w:val="20"/>
          <w:lang w:val="en-US"/>
        </w:rPr>
        <w:t xml:space="preserve">, </w:t>
      </w:r>
      <w:r w:rsidR="003E69DB" w:rsidRPr="00285236">
        <w:rPr>
          <w:rFonts w:ascii="Arial" w:hAnsi="Arial" w:cs="Arial"/>
          <w:b/>
          <w:color w:val="FF0000"/>
          <w:sz w:val="20"/>
          <w:szCs w:val="20"/>
          <w:lang w:val="en-US"/>
        </w:rPr>
        <w:t>the</w:t>
      </w:r>
      <w:r w:rsidRPr="00285236">
        <w:rPr>
          <w:rFonts w:ascii="Arial" w:hAnsi="Arial" w:cs="Arial"/>
          <w:b/>
          <w:color w:val="FF0000"/>
          <w:sz w:val="20"/>
          <w:szCs w:val="20"/>
          <w:lang w:val="en-US"/>
        </w:rPr>
        <w:t xml:space="preserve"> recommend</w:t>
      </w:r>
      <w:r w:rsidR="003E69DB" w:rsidRPr="00285236">
        <w:rPr>
          <w:rFonts w:ascii="Arial" w:hAnsi="Arial" w:cs="Arial"/>
          <w:b/>
          <w:color w:val="FF0000"/>
          <w:sz w:val="20"/>
          <w:szCs w:val="20"/>
          <w:lang w:val="en-US"/>
        </w:rPr>
        <w:t>ation is</w:t>
      </w:r>
      <w:r w:rsidRPr="00285236">
        <w:rPr>
          <w:rFonts w:ascii="Arial" w:hAnsi="Arial" w:cs="Arial"/>
          <w:b/>
          <w:color w:val="FF0000"/>
          <w:sz w:val="20"/>
          <w:szCs w:val="20"/>
          <w:lang w:val="en-US"/>
        </w:rPr>
        <w:t xml:space="preserve"> to delete the word ‘solid’</w:t>
      </w:r>
      <w:r w:rsidR="008D2DF3" w:rsidRPr="00285236">
        <w:rPr>
          <w:rFonts w:ascii="Arial" w:hAnsi="Arial" w:cs="Arial"/>
          <w:b/>
          <w:color w:val="FF0000"/>
          <w:sz w:val="20"/>
          <w:szCs w:val="20"/>
          <w:lang w:val="en-US"/>
        </w:rPr>
        <w:t xml:space="preserve"> </w:t>
      </w:r>
      <w:r w:rsidR="005D0A13" w:rsidRPr="00285236">
        <w:rPr>
          <w:rFonts w:ascii="Arial" w:hAnsi="Arial" w:cs="Arial"/>
          <w:b/>
          <w:color w:val="FF0000"/>
          <w:sz w:val="20"/>
          <w:szCs w:val="20"/>
          <w:lang w:val="en-US"/>
        </w:rPr>
        <w:t>from the</w:t>
      </w:r>
      <w:r w:rsidRPr="00285236">
        <w:rPr>
          <w:rFonts w:ascii="Arial" w:hAnsi="Arial" w:cs="Arial"/>
          <w:b/>
          <w:color w:val="FF0000"/>
          <w:sz w:val="20"/>
          <w:szCs w:val="20"/>
          <w:lang w:val="en-US"/>
        </w:rPr>
        <w:t xml:space="preserve"> </w:t>
      </w:r>
      <w:r w:rsidR="008D2DF3" w:rsidRPr="00285236">
        <w:rPr>
          <w:rFonts w:ascii="Arial" w:hAnsi="Arial" w:cs="Arial"/>
          <w:b/>
          <w:color w:val="FF0000"/>
          <w:sz w:val="20"/>
          <w:szCs w:val="20"/>
          <w:lang w:val="en-US"/>
        </w:rPr>
        <w:t xml:space="preserve">N°4 </w:t>
      </w:r>
      <w:r w:rsidR="0029080A" w:rsidRPr="00285236">
        <w:rPr>
          <w:rFonts w:ascii="Arial" w:hAnsi="Arial" w:cs="Arial"/>
          <w:b/>
          <w:color w:val="FF0000"/>
          <w:sz w:val="20"/>
          <w:szCs w:val="20"/>
          <w:lang w:val="en-US"/>
        </w:rPr>
        <w:t xml:space="preserve">indicator and </w:t>
      </w:r>
      <w:r w:rsidR="008D2DF3" w:rsidRPr="00285236">
        <w:rPr>
          <w:rFonts w:ascii="Arial" w:hAnsi="Arial" w:cs="Arial"/>
          <w:b/>
          <w:color w:val="FF0000"/>
          <w:sz w:val="20"/>
          <w:szCs w:val="20"/>
          <w:lang w:val="en-US"/>
        </w:rPr>
        <w:t xml:space="preserve">metric ‘Share of investments in </w:t>
      </w:r>
      <w:r w:rsidR="008D2DF3" w:rsidRPr="00285236">
        <w:rPr>
          <w:rFonts w:ascii="Arial" w:hAnsi="Arial" w:cs="Arial"/>
          <w:b/>
          <w:strike/>
          <w:color w:val="FF0000"/>
          <w:sz w:val="20"/>
          <w:szCs w:val="20"/>
          <w:lang w:val="en-US"/>
        </w:rPr>
        <w:t>solid</w:t>
      </w:r>
      <w:r w:rsidR="008D2DF3" w:rsidRPr="00285236">
        <w:rPr>
          <w:rFonts w:ascii="Arial" w:hAnsi="Arial" w:cs="Arial"/>
          <w:b/>
          <w:color w:val="FF0000"/>
          <w:sz w:val="20"/>
          <w:szCs w:val="20"/>
          <w:lang w:val="en-US"/>
        </w:rPr>
        <w:t xml:space="preserve"> fossil fuel sectors’</w:t>
      </w:r>
      <w:r w:rsidR="005D0A13" w:rsidRPr="00285236">
        <w:rPr>
          <w:rFonts w:ascii="Arial" w:hAnsi="Arial" w:cs="Arial"/>
          <w:color w:val="FF0000"/>
          <w:sz w:val="20"/>
          <w:szCs w:val="20"/>
          <w:lang w:val="en-US"/>
        </w:rPr>
        <w:t xml:space="preserve"> of Table 1 (Annex I)</w:t>
      </w:r>
      <w:r w:rsidR="008D2DF3" w:rsidRPr="00285236">
        <w:rPr>
          <w:rFonts w:ascii="Arial" w:hAnsi="Arial" w:cs="Arial"/>
          <w:color w:val="FF0000"/>
          <w:sz w:val="20"/>
          <w:szCs w:val="20"/>
          <w:lang w:val="en-US"/>
        </w:rPr>
        <w:t xml:space="preserve"> </w:t>
      </w:r>
      <w:r w:rsidRPr="00285236">
        <w:rPr>
          <w:rFonts w:ascii="Arial" w:hAnsi="Arial" w:cs="Arial"/>
          <w:color w:val="FF0000"/>
          <w:sz w:val="20"/>
          <w:szCs w:val="20"/>
          <w:lang w:val="en-US"/>
        </w:rPr>
        <w:t xml:space="preserve">so that all the forms of fossil fuel </w:t>
      </w:r>
      <w:r w:rsidR="003E69DB" w:rsidRPr="00285236">
        <w:rPr>
          <w:rFonts w:ascii="Arial" w:hAnsi="Arial" w:cs="Arial"/>
          <w:color w:val="FF0000"/>
          <w:sz w:val="20"/>
          <w:szCs w:val="20"/>
          <w:lang w:val="en-US"/>
        </w:rPr>
        <w:t xml:space="preserve">can </w:t>
      </w:r>
      <w:r w:rsidRPr="00285236">
        <w:rPr>
          <w:rFonts w:ascii="Arial" w:hAnsi="Arial" w:cs="Arial"/>
          <w:color w:val="FF0000"/>
          <w:sz w:val="20"/>
          <w:szCs w:val="20"/>
          <w:lang w:val="en-US"/>
        </w:rPr>
        <w:t xml:space="preserve">be </w:t>
      </w:r>
      <w:r w:rsidR="003E69DB" w:rsidRPr="00285236">
        <w:rPr>
          <w:rFonts w:ascii="Arial" w:hAnsi="Arial" w:cs="Arial"/>
          <w:color w:val="FF0000"/>
          <w:sz w:val="20"/>
          <w:szCs w:val="20"/>
          <w:lang w:val="en-US"/>
        </w:rPr>
        <w:t>included in the metric</w:t>
      </w:r>
      <w:r w:rsidRPr="00285236">
        <w:rPr>
          <w:rFonts w:ascii="Arial" w:hAnsi="Arial" w:cs="Arial"/>
          <w:color w:val="FF0000"/>
          <w:sz w:val="20"/>
          <w:szCs w:val="20"/>
          <w:lang w:val="en-US"/>
        </w:rPr>
        <w:t>.</w:t>
      </w:r>
    </w:p>
    <w:p w14:paraId="430094F4" w14:textId="0A9C7062" w:rsidR="00CF791B" w:rsidRPr="00285236" w:rsidRDefault="00CF791B" w:rsidP="0020039A">
      <w:pPr>
        <w:autoSpaceDE w:val="0"/>
        <w:autoSpaceDN w:val="0"/>
        <w:adjustRightInd w:val="0"/>
        <w:jc w:val="both"/>
        <w:rPr>
          <w:rFonts w:cs="Arial"/>
          <w:color w:val="FF0000"/>
          <w:szCs w:val="20"/>
          <w:lang w:val="en-US" w:eastAsia="en-GB"/>
        </w:rPr>
      </w:pPr>
    </w:p>
    <w:p w14:paraId="10EF59B4" w14:textId="423A8789" w:rsidR="00D637C0" w:rsidRPr="00285236" w:rsidRDefault="009A075C" w:rsidP="00C543DA">
      <w:pPr>
        <w:pStyle w:val="Paragraphedeliste"/>
        <w:numPr>
          <w:ilvl w:val="0"/>
          <w:numId w:val="41"/>
        </w:numPr>
        <w:autoSpaceDE w:val="0"/>
        <w:autoSpaceDN w:val="0"/>
        <w:adjustRightInd w:val="0"/>
        <w:jc w:val="both"/>
        <w:rPr>
          <w:rFonts w:cs="Arial"/>
          <w:color w:val="FF0000"/>
          <w:szCs w:val="20"/>
        </w:rPr>
      </w:pPr>
      <w:r w:rsidRPr="00285236">
        <w:rPr>
          <w:rFonts w:cs="Arial"/>
          <w:color w:val="FF0000"/>
          <w:szCs w:val="20"/>
          <w:lang w:val="en-US" w:eastAsia="en-GB"/>
        </w:rPr>
        <w:t>A</w:t>
      </w:r>
      <w:r w:rsidR="00D637C0" w:rsidRPr="00285236">
        <w:rPr>
          <w:rFonts w:cs="Arial"/>
          <w:color w:val="FF0000"/>
          <w:szCs w:val="20"/>
          <w:lang w:val="en-US" w:eastAsia="en-GB"/>
        </w:rPr>
        <w:t>s mentioned in the introduction, the indicators based on “</w:t>
      </w:r>
      <w:r w:rsidR="00D637C0" w:rsidRPr="00285236">
        <w:rPr>
          <w:rFonts w:cs="Arial"/>
          <w:b/>
          <w:color w:val="FF0000"/>
          <w:szCs w:val="20"/>
          <w:lang w:val="en-US" w:eastAsia="en-GB"/>
        </w:rPr>
        <w:t>policies</w:t>
      </w:r>
      <w:r w:rsidR="00D637C0" w:rsidRPr="00285236">
        <w:rPr>
          <w:rFonts w:cs="Arial"/>
          <w:color w:val="FF0000"/>
          <w:szCs w:val="20"/>
          <w:lang w:val="en-US" w:eastAsia="en-GB"/>
        </w:rPr>
        <w:t>”</w:t>
      </w:r>
      <w:r w:rsidRPr="00285236">
        <w:rPr>
          <w:rFonts w:cs="Arial"/>
          <w:color w:val="FF0000"/>
          <w:szCs w:val="20"/>
          <w:lang w:val="en-US" w:eastAsia="en-GB"/>
        </w:rPr>
        <w:t xml:space="preserve"> </w:t>
      </w:r>
      <w:r w:rsidR="00D637C0" w:rsidRPr="00285236">
        <w:rPr>
          <w:rFonts w:cs="Arial"/>
          <w:color w:val="FF0000"/>
          <w:szCs w:val="20"/>
          <w:lang w:val="en-US" w:eastAsia="en-GB"/>
        </w:rPr>
        <w:t>are not enough discriminative and can introduce a bias of overrating of issuers by Financial Market Participants</w:t>
      </w:r>
      <w:r w:rsidRPr="00285236">
        <w:rPr>
          <w:rFonts w:cs="Arial"/>
          <w:color w:val="FF0000"/>
          <w:szCs w:val="20"/>
          <w:lang w:val="en-US" w:eastAsia="en-GB"/>
        </w:rPr>
        <w:t>.</w:t>
      </w:r>
      <w:r w:rsidR="00D637C0" w:rsidRPr="00285236">
        <w:rPr>
          <w:rFonts w:cs="Arial"/>
          <w:color w:val="FF0000"/>
          <w:szCs w:val="20"/>
          <w:lang w:val="en-US" w:eastAsia="en-GB"/>
        </w:rPr>
        <w:t xml:space="preserve"> C</w:t>
      </w:r>
      <w:r w:rsidRPr="00285236">
        <w:rPr>
          <w:rFonts w:cs="Arial"/>
          <w:color w:val="FF0000"/>
          <w:szCs w:val="20"/>
          <w:lang w:val="en-US" w:eastAsia="en-GB"/>
        </w:rPr>
        <w:t xml:space="preserve">hecking that the investee </w:t>
      </w:r>
      <w:r w:rsidR="00D637C0" w:rsidRPr="00285236">
        <w:rPr>
          <w:rFonts w:cs="Arial"/>
          <w:color w:val="FF0000"/>
          <w:szCs w:val="20"/>
          <w:lang w:val="en-US" w:eastAsia="en-GB"/>
        </w:rPr>
        <w:t>entities</w:t>
      </w:r>
      <w:r w:rsidRPr="00285236">
        <w:rPr>
          <w:rFonts w:cs="Arial"/>
          <w:color w:val="FF0000"/>
          <w:szCs w:val="20"/>
          <w:lang w:val="en-US" w:eastAsia="en-GB"/>
        </w:rPr>
        <w:t xml:space="preserve"> have a </w:t>
      </w:r>
      <w:r w:rsidRPr="00285236">
        <w:rPr>
          <w:rFonts w:cs="Arial"/>
          <w:b/>
          <w:color w:val="FF0000"/>
          <w:szCs w:val="20"/>
          <w:lang w:val="en-US" w:eastAsia="en-GB"/>
        </w:rPr>
        <w:t xml:space="preserve">due diligence </w:t>
      </w:r>
      <w:r w:rsidR="006A46B5" w:rsidRPr="00285236">
        <w:rPr>
          <w:rFonts w:cs="Arial"/>
          <w:b/>
          <w:color w:val="FF0000"/>
          <w:szCs w:val="20"/>
          <w:lang w:val="en-US" w:eastAsia="en-GB"/>
        </w:rPr>
        <w:t xml:space="preserve">or control </w:t>
      </w:r>
      <w:r w:rsidRPr="00285236">
        <w:rPr>
          <w:rFonts w:cs="Arial"/>
          <w:b/>
          <w:color w:val="FF0000"/>
          <w:szCs w:val="20"/>
          <w:lang w:val="en-US" w:eastAsia="en-GB"/>
        </w:rPr>
        <w:t>process to avoid any adverse impacts</w:t>
      </w:r>
      <w:r w:rsidRPr="00285236">
        <w:rPr>
          <w:rFonts w:cs="Arial"/>
          <w:color w:val="FF0000"/>
          <w:szCs w:val="20"/>
          <w:lang w:val="en-US" w:eastAsia="en-GB"/>
        </w:rPr>
        <w:t xml:space="preserve"> is </w:t>
      </w:r>
      <w:r w:rsidR="00D637C0" w:rsidRPr="00285236">
        <w:rPr>
          <w:rFonts w:cs="Arial"/>
          <w:color w:val="FF0000"/>
          <w:szCs w:val="20"/>
          <w:lang w:val="en-US" w:eastAsia="en-GB"/>
        </w:rPr>
        <w:t>more stringent and efficient</w:t>
      </w:r>
      <w:r w:rsidRPr="00285236">
        <w:rPr>
          <w:rFonts w:cs="Arial"/>
          <w:color w:val="FF0000"/>
          <w:szCs w:val="20"/>
          <w:lang w:val="en-US" w:eastAsia="en-GB"/>
        </w:rPr>
        <w:t xml:space="preserve">. For human rights, both (policy and due diligence) are mentioned. But for </w:t>
      </w:r>
      <w:r w:rsidRPr="00285236">
        <w:rPr>
          <w:rFonts w:cs="Arial"/>
          <w:b/>
          <w:color w:val="FF0000"/>
          <w:szCs w:val="20"/>
          <w:lang w:val="en-US" w:eastAsia="en-GB"/>
        </w:rPr>
        <w:t>deforestation</w:t>
      </w:r>
      <w:r w:rsidRPr="00285236">
        <w:rPr>
          <w:rFonts w:cs="Arial"/>
          <w:color w:val="FF0000"/>
          <w:szCs w:val="20"/>
          <w:lang w:val="en-US" w:eastAsia="en-GB"/>
        </w:rPr>
        <w:t xml:space="preserve">, </w:t>
      </w:r>
      <w:r w:rsidR="00D637C0" w:rsidRPr="00285236">
        <w:rPr>
          <w:rFonts w:cs="Arial"/>
          <w:b/>
          <w:color w:val="FF0000"/>
          <w:szCs w:val="20"/>
        </w:rPr>
        <w:t xml:space="preserve">whistle-blowers, sustainable land/forestry/agriculture practices, and sustainable oceans/seas practices, </w:t>
      </w:r>
      <w:r w:rsidRPr="00285236">
        <w:rPr>
          <w:rFonts w:cs="Arial"/>
          <w:color w:val="FF0000"/>
          <w:szCs w:val="20"/>
          <w:lang w:val="en-US" w:eastAsia="en-GB"/>
        </w:rPr>
        <w:t>the</w:t>
      </w:r>
      <w:r w:rsidR="00F162F0" w:rsidRPr="00285236">
        <w:rPr>
          <w:rFonts w:cs="Arial"/>
          <w:color w:val="FF0000"/>
          <w:szCs w:val="20"/>
          <w:lang w:val="en-US" w:eastAsia="en-GB"/>
        </w:rPr>
        <w:t xml:space="preserve"> following more stringent expressions</w:t>
      </w:r>
      <w:r w:rsidR="000562AA" w:rsidRPr="00285236">
        <w:rPr>
          <w:rFonts w:cs="Arial"/>
          <w:color w:val="FF0000"/>
          <w:szCs w:val="20"/>
          <w:lang w:val="en-US" w:eastAsia="en-GB"/>
        </w:rPr>
        <w:t xml:space="preserve"> have not been used</w:t>
      </w:r>
      <w:proofErr w:type="gramStart"/>
      <w:r w:rsidR="00F162F0" w:rsidRPr="00285236">
        <w:rPr>
          <w:rFonts w:cs="Arial"/>
          <w:color w:val="FF0000"/>
          <w:szCs w:val="20"/>
          <w:lang w:val="en-US" w:eastAsia="en-GB"/>
        </w:rPr>
        <w:t xml:space="preserve">: </w:t>
      </w:r>
      <w:r w:rsidRPr="00285236">
        <w:rPr>
          <w:rFonts w:cs="Arial"/>
          <w:color w:val="FF0000"/>
          <w:szCs w:val="20"/>
          <w:lang w:val="en-US" w:eastAsia="en-GB"/>
        </w:rPr>
        <w:t xml:space="preserve"> </w:t>
      </w:r>
      <w:r w:rsidR="00F162F0" w:rsidRPr="00285236">
        <w:rPr>
          <w:rFonts w:cs="Arial"/>
          <w:color w:val="FF0000"/>
          <w:szCs w:val="20"/>
          <w:lang w:val="en-US" w:eastAsia="en-GB"/>
        </w:rPr>
        <w:t>“</w:t>
      </w:r>
      <w:proofErr w:type="gramEnd"/>
      <w:r w:rsidRPr="00285236">
        <w:rPr>
          <w:rFonts w:cs="Arial"/>
          <w:b/>
          <w:color w:val="FF0000"/>
          <w:szCs w:val="20"/>
          <w:lang w:val="en-US" w:eastAsia="en-GB"/>
        </w:rPr>
        <w:t>due diligence process</w:t>
      </w:r>
      <w:r w:rsidR="00F162F0" w:rsidRPr="00285236">
        <w:rPr>
          <w:rFonts w:cs="Arial"/>
          <w:b/>
          <w:color w:val="FF0000"/>
          <w:szCs w:val="20"/>
          <w:lang w:val="en-US" w:eastAsia="en-GB"/>
        </w:rPr>
        <w:t>”</w:t>
      </w:r>
      <w:r w:rsidR="00D637C0" w:rsidRPr="00285236">
        <w:rPr>
          <w:rFonts w:cs="Arial"/>
          <w:b/>
          <w:color w:val="FF0000"/>
          <w:szCs w:val="20"/>
          <w:lang w:val="en-US" w:eastAsia="en-GB"/>
        </w:rPr>
        <w:t xml:space="preserve"> or </w:t>
      </w:r>
      <w:r w:rsidR="00F162F0" w:rsidRPr="00285236">
        <w:rPr>
          <w:rFonts w:cs="Arial"/>
          <w:b/>
          <w:color w:val="FF0000"/>
          <w:szCs w:val="20"/>
          <w:lang w:val="en-US" w:eastAsia="en-GB"/>
        </w:rPr>
        <w:t>“</w:t>
      </w:r>
      <w:r w:rsidR="00D637C0" w:rsidRPr="00285236">
        <w:rPr>
          <w:rFonts w:cs="Arial"/>
          <w:b/>
          <w:color w:val="FF0000"/>
          <w:szCs w:val="20"/>
          <w:lang w:val="en-US" w:eastAsia="en-GB"/>
        </w:rPr>
        <w:t>procedures and controls to identify insufficiencies in actions of prevention and remediation</w:t>
      </w:r>
      <w:r w:rsidR="00F162F0" w:rsidRPr="00285236">
        <w:rPr>
          <w:rFonts w:cs="Arial"/>
          <w:b/>
          <w:color w:val="FF0000"/>
          <w:szCs w:val="20"/>
          <w:lang w:val="en-US" w:eastAsia="en-GB"/>
        </w:rPr>
        <w:t>”</w:t>
      </w:r>
      <w:r w:rsidRPr="00285236">
        <w:rPr>
          <w:rFonts w:cs="Arial"/>
          <w:color w:val="FF0000"/>
          <w:szCs w:val="20"/>
          <w:lang w:val="en-US" w:eastAsia="en-GB"/>
        </w:rPr>
        <w:t xml:space="preserve">. </w:t>
      </w:r>
      <w:r w:rsidR="00D637C0" w:rsidRPr="00285236">
        <w:rPr>
          <w:rFonts w:cs="Arial"/>
          <w:color w:val="FF0000"/>
          <w:szCs w:val="20"/>
        </w:rPr>
        <w:t>In question 5, we propose the metrics to address these issues.</w:t>
      </w:r>
    </w:p>
    <w:p w14:paraId="7CC863A7" w14:textId="77777777" w:rsidR="00CF791B" w:rsidRPr="00285236" w:rsidRDefault="00CF791B" w:rsidP="0020039A">
      <w:pPr>
        <w:autoSpaceDE w:val="0"/>
        <w:autoSpaceDN w:val="0"/>
        <w:adjustRightInd w:val="0"/>
        <w:jc w:val="both"/>
        <w:rPr>
          <w:rFonts w:cs="Arial"/>
          <w:color w:val="FF0000"/>
          <w:szCs w:val="20"/>
        </w:rPr>
      </w:pPr>
    </w:p>
    <w:p w14:paraId="784D9858" w14:textId="7B0E9B15" w:rsidR="003E573C" w:rsidRPr="00285236" w:rsidRDefault="000735B0" w:rsidP="00C543DA">
      <w:pPr>
        <w:pStyle w:val="Paragraphedeliste"/>
        <w:numPr>
          <w:ilvl w:val="0"/>
          <w:numId w:val="41"/>
        </w:numPr>
        <w:autoSpaceDE w:val="0"/>
        <w:autoSpaceDN w:val="0"/>
        <w:adjustRightInd w:val="0"/>
        <w:jc w:val="both"/>
        <w:rPr>
          <w:rFonts w:cs="Arial"/>
          <w:color w:val="FF0000"/>
          <w:szCs w:val="20"/>
          <w:lang w:val="en-US" w:eastAsia="en-GB"/>
        </w:rPr>
      </w:pPr>
      <w:r w:rsidRPr="00285236">
        <w:rPr>
          <w:rFonts w:cs="Arial"/>
          <w:color w:val="FF0000"/>
          <w:szCs w:val="20"/>
        </w:rPr>
        <w:t>Quoted from the “</w:t>
      </w:r>
      <w:r w:rsidR="0034486F" w:rsidRPr="00285236">
        <w:rPr>
          <w:rFonts w:cs="Arial"/>
          <w:color w:val="FF0000"/>
          <w:szCs w:val="20"/>
        </w:rPr>
        <w:t>From Farm to Fork Strategy</w:t>
      </w:r>
      <w:r w:rsidRPr="00285236">
        <w:rPr>
          <w:rFonts w:cs="Arial"/>
          <w:color w:val="FF0000"/>
          <w:szCs w:val="20"/>
        </w:rPr>
        <w:t>”, page 4 (Pub. May 20, 2020)</w:t>
      </w:r>
      <w:r w:rsidR="0034486F" w:rsidRPr="00285236">
        <w:rPr>
          <w:rFonts w:cs="Arial"/>
          <w:color w:val="FF0000"/>
          <w:szCs w:val="20"/>
        </w:rPr>
        <w:t>: “</w:t>
      </w:r>
      <w:r w:rsidR="0034486F" w:rsidRPr="00285236">
        <w:rPr>
          <w:rFonts w:cs="Arial"/>
          <w:color w:val="FF0000"/>
          <w:szCs w:val="20"/>
          <w:lang w:val="en-US" w:eastAsia="en-GB"/>
        </w:rPr>
        <w:t xml:space="preserve">There is an urgent need to </w:t>
      </w:r>
      <w:r w:rsidR="0034486F" w:rsidRPr="00285236">
        <w:rPr>
          <w:rFonts w:cs="Arial"/>
          <w:b/>
          <w:bCs/>
          <w:color w:val="FF0000"/>
          <w:szCs w:val="20"/>
          <w:lang w:val="en-US" w:eastAsia="en-GB"/>
        </w:rPr>
        <w:t xml:space="preserve">reduce dependency on pesticides and antimicrobials, reduce excess </w:t>
      </w:r>
      <w:r w:rsidR="00921A87" w:rsidRPr="00285236">
        <w:rPr>
          <w:rFonts w:cs="Arial"/>
          <w:b/>
          <w:bCs/>
          <w:color w:val="FF0000"/>
          <w:szCs w:val="20"/>
          <w:lang w:val="en-US" w:eastAsia="en-GB"/>
        </w:rPr>
        <w:t>fertilization</w:t>
      </w:r>
      <w:r w:rsidR="0034486F" w:rsidRPr="00285236">
        <w:rPr>
          <w:rFonts w:cs="Arial"/>
          <w:b/>
          <w:bCs/>
          <w:color w:val="FF0000"/>
          <w:szCs w:val="20"/>
          <w:lang w:val="en-US" w:eastAsia="en-GB"/>
        </w:rPr>
        <w:t xml:space="preserve">, increase organic farming, improve animal welfare, </w:t>
      </w:r>
      <w:r w:rsidR="0034486F" w:rsidRPr="00285236">
        <w:rPr>
          <w:rFonts w:cs="Arial"/>
          <w:color w:val="FF0000"/>
          <w:szCs w:val="20"/>
          <w:lang w:val="en-US" w:eastAsia="en-GB"/>
        </w:rPr>
        <w:t xml:space="preserve">and </w:t>
      </w:r>
      <w:r w:rsidR="0034486F" w:rsidRPr="00285236">
        <w:rPr>
          <w:rFonts w:cs="Arial"/>
          <w:b/>
          <w:bCs/>
          <w:color w:val="FF0000"/>
          <w:szCs w:val="20"/>
          <w:lang w:val="en-US" w:eastAsia="en-GB"/>
        </w:rPr>
        <w:t>reverse biodiversity loss”</w:t>
      </w:r>
      <w:r w:rsidR="0034486F" w:rsidRPr="00285236">
        <w:rPr>
          <w:rFonts w:cs="Arial"/>
          <w:color w:val="FF0000"/>
          <w:szCs w:val="20"/>
          <w:lang w:val="en-US" w:eastAsia="en-GB"/>
        </w:rPr>
        <w:t>.</w:t>
      </w:r>
      <w:r w:rsidR="00B6411F" w:rsidRPr="00285236">
        <w:rPr>
          <w:rFonts w:cs="Arial"/>
          <w:color w:val="FF0000"/>
          <w:szCs w:val="20"/>
          <w:lang w:val="en-US" w:eastAsia="en-GB"/>
        </w:rPr>
        <w:t xml:space="preserve"> All these themes at the exception of biodiversity are not translated into </w:t>
      </w:r>
      <w:r w:rsidR="009D3433" w:rsidRPr="00285236">
        <w:rPr>
          <w:rFonts w:cs="Arial"/>
          <w:color w:val="FF0000"/>
          <w:szCs w:val="20"/>
          <w:lang w:val="en-US" w:eastAsia="en-GB"/>
        </w:rPr>
        <w:t xml:space="preserve">compulsory </w:t>
      </w:r>
      <w:r w:rsidR="00B6411F" w:rsidRPr="00285236">
        <w:rPr>
          <w:rFonts w:cs="Arial"/>
          <w:color w:val="FF0000"/>
          <w:szCs w:val="20"/>
          <w:lang w:val="en-US" w:eastAsia="en-GB"/>
        </w:rPr>
        <w:t>indicators and metrics in Table 1 (Annex 1)</w:t>
      </w:r>
      <w:r w:rsidR="009D3433" w:rsidRPr="00285236">
        <w:rPr>
          <w:rFonts w:cs="Arial"/>
          <w:color w:val="FF0000"/>
          <w:szCs w:val="20"/>
          <w:lang w:val="en-US" w:eastAsia="en-GB"/>
        </w:rPr>
        <w:t xml:space="preserve">. Adding the following missing themes into indicators and metrics would integer the priorities of the “From Farm to Fork Strategy”, </w:t>
      </w:r>
      <w:r w:rsidR="00FE45A6">
        <w:rPr>
          <w:rFonts w:cs="Arial"/>
          <w:color w:val="FF0000"/>
          <w:szCs w:val="20"/>
          <w:lang w:val="en-US" w:eastAsia="en-GB"/>
        </w:rPr>
        <w:t xml:space="preserve">and </w:t>
      </w:r>
      <w:r w:rsidR="009D3433" w:rsidRPr="00285236">
        <w:rPr>
          <w:rFonts w:cs="Arial"/>
          <w:color w:val="FF0000"/>
          <w:szCs w:val="20"/>
          <w:lang w:val="en-US" w:eastAsia="en-GB"/>
        </w:rPr>
        <w:t>ensure more consistency between EU regulations (New Green Deal, Taxonomy, SFDR):</w:t>
      </w:r>
    </w:p>
    <w:p w14:paraId="01EDF39B" w14:textId="506F1538" w:rsidR="0034486F" w:rsidRPr="00285236" w:rsidRDefault="009D3433" w:rsidP="00C543DA">
      <w:pPr>
        <w:pStyle w:val="Paragraphedeliste"/>
        <w:numPr>
          <w:ilvl w:val="1"/>
          <w:numId w:val="41"/>
        </w:numPr>
        <w:autoSpaceDE w:val="0"/>
        <w:autoSpaceDN w:val="0"/>
        <w:adjustRightInd w:val="0"/>
        <w:jc w:val="both"/>
        <w:rPr>
          <w:rFonts w:cs="Arial"/>
          <w:color w:val="FF0000"/>
          <w:szCs w:val="20"/>
          <w:lang w:val="en-US" w:eastAsia="en-GB"/>
        </w:rPr>
      </w:pPr>
      <w:r w:rsidRPr="00285236">
        <w:rPr>
          <w:rFonts w:cs="Arial"/>
          <w:color w:val="FF0000"/>
          <w:szCs w:val="20"/>
          <w:lang w:val="en-US" w:eastAsia="en-GB"/>
        </w:rPr>
        <w:t xml:space="preserve">Reduction of </w:t>
      </w:r>
      <w:r w:rsidR="0034486F" w:rsidRPr="00285236">
        <w:rPr>
          <w:rFonts w:cs="Arial"/>
          <w:b/>
          <w:color w:val="FF0000"/>
          <w:szCs w:val="20"/>
          <w:lang w:val="en-US" w:eastAsia="en-GB"/>
        </w:rPr>
        <w:t>pesticides</w:t>
      </w:r>
    </w:p>
    <w:p w14:paraId="480F020B" w14:textId="29FBF192" w:rsidR="0034486F" w:rsidRPr="00285236" w:rsidRDefault="009D3433" w:rsidP="00C543DA">
      <w:pPr>
        <w:pStyle w:val="Paragraphedeliste"/>
        <w:numPr>
          <w:ilvl w:val="1"/>
          <w:numId w:val="41"/>
        </w:numPr>
        <w:autoSpaceDE w:val="0"/>
        <w:autoSpaceDN w:val="0"/>
        <w:adjustRightInd w:val="0"/>
        <w:jc w:val="both"/>
        <w:rPr>
          <w:rFonts w:cs="Arial"/>
          <w:color w:val="FF0000"/>
          <w:szCs w:val="20"/>
          <w:lang w:val="en-US" w:eastAsia="en-GB"/>
        </w:rPr>
      </w:pPr>
      <w:r w:rsidRPr="00285236">
        <w:rPr>
          <w:rFonts w:cs="Arial"/>
          <w:color w:val="FF0000"/>
          <w:szCs w:val="20"/>
          <w:lang w:val="en-US" w:eastAsia="en-GB"/>
        </w:rPr>
        <w:lastRenderedPageBreak/>
        <w:t xml:space="preserve">Reduction of </w:t>
      </w:r>
      <w:r w:rsidRPr="00285236">
        <w:rPr>
          <w:rFonts w:cs="Arial"/>
          <w:b/>
          <w:color w:val="FF0000"/>
          <w:szCs w:val="20"/>
          <w:lang w:val="en-US" w:eastAsia="en-GB"/>
        </w:rPr>
        <w:t>antimicrobials</w:t>
      </w:r>
      <w:r w:rsidRPr="00285236">
        <w:rPr>
          <w:rFonts w:cs="Arial"/>
          <w:color w:val="FF0000"/>
          <w:szCs w:val="20"/>
          <w:lang w:val="en-US" w:eastAsia="en-GB"/>
        </w:rPr>
        <w:t xml:space="preserve"> for farmed animals and in aquaculture</w:t>
      </w:r>
    </w:p>
    <w:p w14:paraId="0C2237AC" w14:textId="65F5068C" w:rsidR="0034486F" w:rsidRPr="00D45CCE" w:rsidRDefault="009D3433" w:rsidP="00C543DA">
      <w:pPr>
        <w:pStyle w:val="Paragraphedeliste"/>
        <w:numPr>
          <w:ilvl w:val="1"/>
          <w:numId w:val="41"/>
        </w:numPr>
        <w:autoSpaceDE w:val="0"/>
        <w:autoSpaceDN w:val="0"/>
        <w:adjustRightInd w:val="0"/>
        <w:jc w:val="both"/>
        <w:rPr>
          <w:rFonts w:cs="Arial"/>
          <w:color w:val="00B050"/>
          <w:szCs w:val="20"/>
          <w:lang w:val="en-US" w:eastAsia="en-GB"/>
        </w:rPr>
      </w:pPr>
      <w:r w:rsidRPr="00D45CCE">
        <w:rPr>
          <w:rFonts w:cs="Arial"/>
          <w:color w:val="00B050"/>
          <w:szCs w:val="20"/>
          <w:lang w:val="en-US" w:eastAsia="en-GB"/>
        </w:rPr>
        <w:t xml:space="preserve">Increase of </w:t>
      </w:r>
      <w:r w:rsidR="0034486F" w:rsidRPr="00D45CCE">
        <w:rPr>
          <w:rFonts w:cs="Arial"/>
          <w:b/>
          <w:color w:val="00B050"/>
          <w:szCs w:val="20"/>
          <w:lang w:val="en-US" w:eastAsia="en-GB"/>
        </w:rPr>
        <w:t>Organic Farming</w:t>
      </w:r>
    </w:p>
    <w:p w14:paraId="0D56472B" w14:textId="286ABC96" w:rsidR="0034486F" w:rsidRPr="00D45CCE" w:rsidRDefault="009D3433" w:rsidP="00C543DA">
      <w:pPr>
        <w:pStyle w:val="Paragraphedeliste"/>
        <w:numPr>
          <w:ilvl w:val="1"/>
          <w:numId w:val="41"/>
        </w:numPr>
        <w:autoSpaceDE w:val="0"/>
        <w:autoSpaceDN w:val="0"/>
        <w:adjustRightInd w:val="0"/>
        <w:jc w:val="both"/>
        <w:rPr>
          <w:rFonts w:cs="Arial"/>
          <w:color w:val="00B050"/>
          <w:szCs w:val="20"/>
          <w:lang w:val="en-US" w:eastAsia="en-GB"/>
        </w:rPr>
      </w:pPr>
      <w:r w:rsidRPr="00D45CCE">
        <w:rPr>
          <w:rFonts w:cs="Arial"/>
          <w:color w:val="00B050"/>
          <w:szCs w:val="20"/>
          <w:lang w:val="en-US" w:eastAsia="en-GB"/>
        </w:rPr>
        <w:t xml:space="preserve">Improvement of </w:t>
      </w:r>
      <w:r w:rsidR="0034486F" w:rsidRPr="00D45CCE">
        <w:rPr>
          <w:rFonts w:cs="Arial"/>
          <w:b/>
          <w:color w:val="00B050"/>
          <w:szCs w:val="20"/>
          <w:lang w:val="en-US" w:eastAsia="en-GB"/>
        </w:rPr>
        <w:t>Animal Welfare</w:t>
      </w:r>
    </w:p>
    <w:p w14:paraId="21D19C10" w14:textId="7638683E" w:rsidR="009E39AE" w:rsidRDefault="009E39AE" w:rsidP="009E39AE">
      <w:pPr>
        <w:pStyle w:val="Paragraphedeliste"/>
        <w:autoSpaceDE w:val="0"/>
        <w:autoSpaceDN w:val="0"/>
        <w:adjustRightInd w:val="0"/>
        <w:ind w:left="1440"/>
        <w:jc w:val="both"/>
        <w:rPr>
          <w:rFonts w:cs="Arial"/>
          <w:b/>
          <w:color w:val="FF0000"/>
          <w:szCs w:val="20"/>
          <w:lang w:val="en-US" w:eastAsia="en-GB"/>
        </w:rPr>
      </w:pPr>
    </w:p>
    <w:p w14:paraId="64B6B584" w14:textId="6D3026F9" w:rsidR="002A459E" w:rsidRPr="006F08CA" w:rsidRDefault="009E39AE" w:rsidP="00C543DA">
      <w:pPr>
        <w:pStyle w:val="Paragraphedeliste"/>
        <w:numPr>
          <w:ilvl w:val="0"/>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As mentioned in the introduction, proposing </w:t>
      </w:r>
      <w:r w:rsidR="009C1023" w:rsidRPr="009C1023">
        <w:rPr>
          <w:rFonts w:cs="Arial"/>
          <w:b/>
          <w:bCs/>
          <w:color w:val="00B050"/>
          <w:szCs w:val="20"/>
          <w:lang w:val="en-US" w:eastAsia="en-GB"/>
        </w:rPr>
        <w:t>positive sustainability</w:t>
      </w:r>
      <w:r w:rsidRPr="006F08CA">
        <w:rPr>
          <w:rFonts w:cs="Arial"/>
          <w:b/>
          <w:color w:val="00B050"/>
          <w:szCs w:val="20"/>
          <w:lang w:val="en-US" w:eastAsia="en-GB"/>
        </w:rPr>
        <w:t xml:space="preserve"> indicators</w:t>
      </w:r>
      <w:r w:rsidRPr="006F08CA">
        <w:rPr>
          <w:rFonts w:cs="Arial"/>
          <w:bCs/>
          <w:color w:val="00B050"/>
          <w:szCs w:val="20"/>
          <w:lang w:val="en-US" w:eastAsia="en-GB"/>
        </w:rPr>
        <w:t xml:space="preserve"> that are able to identify </w:t>
      </w:r>
      <w:r w:rsidRPr="006F08CA">
        <w:rPr>
          <w:rFonts w:cs="Arial"/>
          <w:b/>
          <w:color w:val="00B050"/>
          <w:szCs w:val="20"/>
          <w:lang w:val="en-US" w:eastAsia="en-GB"/>
        </w:rPr>
        <w:t>ESG innovations and resilient business models</w:t>
      </w:r>
      <w:r w:rsidRPr="006F08CA">
        <w:rPr>
          <w:rFonts w:cs="Arial"/>
          <w:bCs/>
          <w:color w:val="00B050"/>
          <w:szCs w:val="20"/>
          <w:lang w:val="en-US" w:eastAsia="en-GB"/>
        </w:rPr>
        <w:t xml:space="preserve"> would </w:t>
      </w:r>
      <w:r w:rsidR="00813D61" w:rsidRPr="006F08CA">
        <w:rPr>
          <w:rFonts w:cs="Arial"/>
          <w:bCs/>
          <w:color w:val="00B050"/>
          <w:szCs w:val="20"/>
          <w:lang w:val="en-US" w:eastAsia="en-GB"/>
        </w:rPr>
        <w:t>increase</w:t>
      </w:r>
      <w:r w:rsidRPr="006F08CA">
        <w:rPr>
          <w:rFonts w:cs="Arial"/>
          <w:bCs/>
          <w:color w:val="00B050"/>
          <w:szCs w:val="20"/>
          <w:lang w:val="en-US" w:eastAsia="en-GB"/>
        </w:rPr>
        <w:t xml:space="preserve"> the portfolio</w:t>
      </w:r>
      <w:r w:rsidR="009670EC" w:rsidRPr="006F08CA">
        <w:rPr>
          <w:rFonts w:cs="Arial"/>
          <w:bCs/>
          <w:color w:val="00B050"/>
          <w:szCs w:val="20"/>
          <w:lang w:val="en-US" w:eastAsia="en-GB"/>
        </w:rPr>
        <w:t>s</w:t>
      </w:r>
      <w:r w:rsidRPr="006F08CA">
        <w:rPr>
          <w:rFonts w:cs="Arial"/>
          <w:bCs/>
          <w:color w:val="00B050"/>
          <w:szCs w:val="20"/>
          <w:lang w:val="en-US" w:eastAsia="en-GB"/>
        </w:rPr>
        <w:t xml:space="preserve"> </w:t>
      </w:r>
      <w:r w:rsidRPr="006F08CA">
        <w:rPr>
          <w:rFonts w:cs="Arial"/>
          <w:b/>
          <w:color w:val="00B050"/>
          <w:szCs w:val="20"/>
          <w:lang w:val="en-US" w:eastAsia="en-GB"/>
        </w:rPr>
        <w:t>returns</w:t>
      </w:r>
      <w:r w:rsidRPr="006F08CA">
        <w:rPr>
          <w:rFonts w:cs="Arial"/>
          <w:bCs/>
          <w:color w:val="00B050"/>
          <w:szCs w:val="20"/>
          <w:lang w:val="en-US" w:eastAsia="en-GB"/>
        </w:rPr>
        <w:t xml:space="preserve"> and would a provide a sound </w:t>
      </w:r>
      <w:r w:rsidRPr="006F08CA">
        <w:rPr>
          <w:rFonts w:cs="Arial"/>
          <w:b/>
          <w:color w:val="00B050"/>
          <w:szCs w:val="20"/>
          <w:lang w:val="en-US" w:eastAsia="en-GB"/>
        </w:rPr>
        <w:t>alternative</w:t>
      </w:r>
      <w:r w:rsidRPr="006F08CA">
        <w:rPr>
          <w:rFonts w:cs="Arial"/>
          <w:bCs/>
          <w:color w:val="00B050"/>
          <w:szCs w:val="20"/>
          <w:lang w:val="en-US" w:eastAsia="en-GB"/>
        </w:rPr>
        <w:t xml:space="preserve"> to entities having poor sustainability scores. In question 5, we propose </w:t>
      </w:r>
      <w:r w:rsidRPr="006F08CA">
        <w:rPr>
          <w:rFonts w:cs="Arial"/>
          <w:b/>
          <w:color w:val="00B050"/>
          <w:szCs w:val="20"/>
          <w:lang w:val="en-US" w:eastAsia="en-GB"/>
        </w:rPr>
        <w:t>positive sustainability indicators</w:t>
      </w:r>
      <w:r w:rsidRPr="006F08CA">
        <w:rPr>
          <w:rFonts w:cs="Arial"/>
          <w:bCs/>
          <w:color w:val="00B050"/>
          <w:szCs w:val="20"/>
          <w:lang w:val="en-US" w:eastAsia="en-GB"/>
        </w:rPr>
        <w:t xml:space="preserve"> and metrics in the </w:t>
      </w:r>
      <w:r w:rsidR="00C72135" w:rsidRPr="006F08CA">
        <w:rPr>
          <w:rFonts w:cs="Arial"/>
          <w:bCs/>
          <w:color w:val="00B050"/>
          <w:szCs w:val="20"/>
          <w:lang w:val="en-US" w:eastAsia="en-GB"/>
        </w:rPr>
        <w:t>hereunder</w:t>
      </w:r>
      <w:r w:rsidRPr="006F08CA">
        <w:rPr>
          <w:rFonts w:cs="Arial"/>
          <w:bCs/>
          <w:color w:val="00B050"/>
          <w:szCs w:val="20"/>
          <w:lang w:val="en-US" w:eastAsia="en-GB"/>
        </w:rPr>
        <w:t xml:space="preserve"> fields</w:t>
      </w:r>
      <w:r w:rsidR="00531428" w:rsidRPr="006F08CA">
        <w:rPr>
          <w:rFonts w:cs="Arial"/>
          <w:bCs/>
          <w:color w:val="00B050"/>
          <w:szCs w:val="20"/>
          <w:lang w:val="en-US" w:eastAsia="en-GB"/>
        </w:rPr>
        <w:t xml:space="preserve">. Our recommendation is to make these indicators </w:t>
      </w:r>
      <w:r w:rsidR="00531428" w:rsidRPr="006F08CA">
        <w:rPr>
          <w:rFonts w:cs="Arial"/>
          <w:b/>
          <w:color w:val="00B050"/>
          <w:szCs w:val="20"/>
          <w:lang w:val="en-US" w:eastAsia="en-GB"/>
        </w:rPr>
        <w:t>compulsories</w:t>
      </w:r>
      <w:r w:rsidR="00531428" w:rsidRPr="006F08CA">
        <w:rPr>
          <w:rFonts w:cs="Arial"/>
          <w:bCs/>
          <w:color w:val="00B050"/>
          <w:szCs w:val="20"/>
          <w:lang w:val="en-US" w:eastAsia="en-GB"/>
        </w:rPr>
        <w:t xml:space="preserve"> to ensure better </w:t>
      </w:r>
      <w:r w:rsidR="00531428" w:rsidRPr="006F08CA">
        <w:rPr>
          <w:rFonts w:cs="Arial"/>
          <w:b/>
          <w:color w:val="00B050"/>
          <w:szCs w:val="20"/>
          <w:lang w:val="en-US" w:eastAsia="en-GB"/>
        </w:rPr>
        <w:t>comparability</w:t>
      </w:r>
      <w:r w:rsidR="00531428" w:rsidRPr="006F08CA">
        <w:rPr>
          <w:rFonts w:cs="Arial"/>
          <w:bCs/>
          <w:color w:val="00B050"/>
          <w:szCs w:val="20"/>
          <w:lang w:val="en-US" w:eastAsia="en-GB"/>
        </w:rPr>
        <w:t xml:space="preserve"> between the Financial Market Participants. </w:t>
      </w:r>
      <w:r w:rsidR="009670EC" w:rsidRPr="006F08CA">
        <w:rPr>
          <w:rFonts w:cs="Arial"/>
          <w:bCs/>
          <w:color w:val="00B050"/>
          <w:szCs w:val="20"/>
          <w:lang w:val="en-US" w:eastAsia="en-GB"/>
        </w:rPr>
        <w:t xml:space="preserve">In addition, </w:t>
      </w:r>
      <w:r w:rsidR="002B3129" w:rsidRPr="006F08CA">
        <w:rPr>
          <w:rFonts w:cs="Arial"/>
          <w:bCs/>
          <w:color w:val="00B050"/>
          <w:szCs w:val="20"/>
          <w:lang w:val="en-US" w:eastAsia="en-GB"/>
        </w:rPr>
        <w:t xml:space="preserve">to have a </w:t>
      </w:r>
      <w:r w:rsidR="002B3129" w:rsidRPr="006F08CA">
        <w:rPr>
          <w:rFonts w:cs="Arial"/>
          <w:b/>
          <w:color w:val="00B050"/>
          <w:szCs w:val="20"/>
          <w:lang w:val="en-US" w:eastAsia="en-GB"/>
        </w:rPr>
        <w:t>consistent holistic approach</w:t>
      </w:r>
      <w:r w:rsidR="002B3129" w:rsidRPr="006F08CA">
        <w:rPr>
          <w:rFonts w:cs="Arial"/>
          <w:bCs/>
          <w:color w:val="00B050"/>
          <w:szCs w:val="20"/>
          <w:lang w:val="en-US" w:eastAsia="en-GB"/>
        </w:rPr>
        <w:t xml:space="preserve"> </w:t>
      </w:r>
      <w:r w:rsidR="009670EC" w:rsidRPr="006F08CA">
        <w:rPr>
          <w:rFonts w:cs="Arial"/>
          <w:bCs/>
          <w:color w:val="00B050"/>
          <w:szCs w:val="20"/>
          <w:lang w:val="en-US" w:eastAsia="en-GB"/>
        </w:rPr>
        <w:t>t</w:t>
      </w:r>
      <w:r w:rsidR="00531428" w:rsidRPr="006F08CA">
        <w:rPr>
          <w:rFonts w:cs="Arial"/>
          <w:bCs/>
          <w:color w:val="00B050"/>
          <w:szCs w:val="20"/>
          <w:lang w:val="en-US" w:eastAsia="en-GB"/>
        </w:rPr>
        <w:t>he “</w:t>
      </w:r>
      <w:r w:rsidR="00531428" w:rsidRPr="006F08CA">
        <w:rPr>
          <w:rFonts w:cs="Arial"/>
          <w:b/>
          <w:color w:val="00B050"/>
          <w:szCs w:val="20"/>
          <w:lang w:val="en-US" w:eastAsia="en-GB"/>
        </w:rPr>
        <w:t>Do Not Significant Harm</w:t>
      </w:r>
      <w:r w:rsidR="00531428" w:rsidRPr="006F08CA">
        <w:rPr>
          <w:rFonts w:cs="Arial"/>
          <w:bCs/>
          <w:color w:val="00B050"/>
          <w:szCs w:val="20"/>
          <w:lang w:val="en-US" w:eastAsia="en-GB"/>
        </w:rPr>
        <w:t xml:space="preserve">” Principle should apply for between each following </w:t>
      </w:r>
      <w:proofErr w:type="gramStart"/>
      <w:r w:rsidR="00531428" w:rsidRPr="006F08CA">
        <w:rPr>
          <w:rFonts w:cs="Arial"/>
          <w:bCs/>
          <w:color w:val="00B050"/>
          <w:szCs w:val="20"/>
          <w:lang w:val="en-US" w:eastAsia="en-GB"/>
        </w:rPr>
        <w:t>fields</w:t>
      </w:r>
      <w:proofErr w:type="gramEnd"/>
      <w:r w:rsidR="000E2CA7" w:rsidRPr="006F08CA">
        <w:rPr>
          <w:rFonts w:cs="Arial"/>
          <w:bCs/>
          <w:color w:val="00B050"/>
          <w:szCs w:val="20"/>
          <w:lang w:val="en-US" w:eastAsia="en-GB"/>
        </w:rPr>
        <w:t xml:space="preserve"> and to the themes and indicators listed in Table 1,2,3 (Annex I), in the Taxonomy, and all EU regulations.</w:t>
      </w:r>
    </w:p>
    <w:p w14:paraId="347593E1" w14:textId="7A88FDC1" w:rsidR="002A459E" w:rsidRPr="006F08CA" w:rsidRDefault="002A459E"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Renewables</w:t>
      </w:r>
    </w:p>
    <w:p w14:paraId="747BD324" w14:textId="48083092" w:rsidR="002A459E" w:rsidRPr="006F08CA" w:rsidRDefault="002A459E"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Energy efficiency</w:t>
      </w:r>
    </w:p>
    <w:p w14:paraId="7D3C24BB" w14:textId="721FA567" w:rsidR="002A459E" w:rsidRPr="006F08CA" w:rsidRDefault="005E1C28"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B</w:t>
      </w:r>
      <w:r w:rsidR="002A459E" w:rsidRPr="006F08CA">
        <w:rPr>
          <w:rFonts w:cs="Arial"/>
          <w:bCs/>
          <w:color w:val="00B050"/>
          <w:szCs w:val="20"/>
          <w:lang w:val="en-US" w:eastAsia="en-GB"/>
        </w:rPr>
        <w:t>iodiversity protection</w:t>
      </w:r>
    </w:p>
    <w:p w14:paraId="6D04102D" w14:textId="3211D196" w:rsidR="009E39AE" w:rsidRPr="006F08CA" w:rsidRDefault="002A459E"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Innovations in water treatment</w:t>
      </w:r>
    </w:p>
    <w:p w14:paraId="17FD5ABF" w14:textId="552F6F44" w:rsidR="002A459E" w:rsidRPr="006F08CA" w:rsidRDefault="002A459E"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Innovations in waste treatment</w:t>
      </w:r>
    </w:p>
    <w:p w14:paraId="17CC56BA" w14:textId="5908ECCA" w:rsidR="002A459E" w:rsidRPr="006F08CA" w:rsidRDefault="002A459E"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Plant-based </w:t>
      </w:r>
      <w:r w:rsidR="00531428" w:rsidRPr="006F08CA">
        <w:rPr>
          <w:rFonts w:cs="Arial"/>
          <w:bCs/>
          <w:color w:val="00B050"/>
          <w:szCs w:val="20"/>
          <w:lang w:val="en-US" w:eastAsia="en-GB"/>
        </w:rPr>
        <w:t>products</w:t>
      </w:r>
    </w:p>
    <w:p w14:paraId="1398E167" w14:textId="4670EC15" w:rsidR="00531428" w:rsidRPr="006F08CA" w:rsidRDefault="00531428"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Alternatives to animal testing</w:t>
      </w:r>
    </w:p>
    <w:p w14:paraId="3B19FD70" w14:textId="6F1C91F8" w:rsidR="00531428" w:rsidRPr="006F08CA" w:rsidRDefault="00531428"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Innovations in animal-welfare</w:t>
      </w:r>
    </w:p>
    <w:p w14:paraId="3618C098" w14:textId="6B1F832E" w:rsidR="00531428" w:rsidRPr="006F08CA" w:rsidRDefault="00531428"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Circular economy</w:t>
      </w:r>
    </w:p>
    <w:p w14:paraId="52C35466" w14:textId="199949D4" w:rsidR="009E39AE" w:rsidRPr="006F08CA" w:rsidRDefault="00531428" w:rsidP="00C543DA">
      <w:pPr>
        <w:pStyle w:val="Paragraphedeliste"/>
        <w:numPr>
          <w:ilvl w:val="1"/>
          <w:numId w:val="4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Inclusive finance</w:t>
      </w:r>
    </w:p>
    <w:p w14:paraId="547F1B9A" w14:textId="32FCD456" w:rsidR="009E39AE" w:rsidRDefault="009E39AE" w:rsidP="0034486F">
      <w:pPr>
        <w:autoSpaceDE w:val="0"/>
        <w:autoSpaceDN w:val="0"/>
        <w:adjustRightInd w:val="0"/>
        <w:rPr>
          <w:rFonts w:cs="Arial"/>
        </w:rPr>
      </w:pPr>
    </w:p>
    <w:p w14:paraId="7DD944D4" w14:textId="77777777" w:rsidR="009E39AE" w:rsidRDefault="009E39AE" w:rsidP="0034486F">
      <w:pPr>
        <w:autoSpaceDE w:val="0"/>
        <w:autoSpaceDN w:val="0"/>
        <w:adjustRightInd w:val="0"/>
        <w:rPr>
          <w:rFonts w:cs="Arial"/>
        </w:rPr>
      </w:pP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3BD3C947" w14:textId="77777777" w:rsidR="0089792E" w:rsidRDefault="0089792E" w:rsidP="003E573C">
      <w:pPr>
        <w:rPr>
          <w:rFonts w:cs="Arial"/>
          <w:color w:val="FF0000"/>
        </w:rPr>
      </w:pPr>
      <w:permStart w:id="209390932" w:edGrp="everyone"/>
    </w:p>
    <w:p w14:paraId="29A3FD38" w14:textId="70D2AB54" w:rsidR="0089792E" w:rsidRPr="008E452F" w:rsidRDefault="0089792E" w:rsidP="008E452F">
      <w:pPr>
        <w:jc w:val="both"/>
        <w:rPr>
          <w:rFonts w:cs="Arial"/>
          <w:color w:val="FF0000"/>
          <w:szCs w:val="20"/>
        </w:rPr>
      </w:pPr>
      <w:r w:rsidRPr="008E452F">
        <w:rPr>
          <w:rFonts w:cs="Arial"/>
          <w:color w:val="FF0000"/>
          <w:szCs w:val="20"/>
        </w:rPr>
        <w:t xml:space="preserve">As explained in </w:t>
      </w:r>
      <w:r w:rsidR="0051162A" w:rsidRPr="008E452F">
        <w:rPr>
          <w:rFonts w:cs="Arial"/>
          <w:color w:val="FF0000"/>
          <w:szCs w:val="20"/>
        </w:rPr>
        <w:t xml:space="preserve">introduction and </w:t>
      </w:r>
      <w:r w:rsidRPr="008E452F">
        <w:rPr>
          <w:rFonts w:cs="Arial"/>
          <w:color w:val="FF0000"/>
          <w:szCs w:val="20"/>
        </w:rPr>
        <w:t xml:space="preserve">question 19, we recommend to extend the scope of fossil fuel energies beyond solid fossil fuels, but also to liquid, gaseous and solid forms. For this reason, we suggest to delete the word “solid” for the N°4 metrics </w:t>
      </w:r>
      <w:r w:rsidR="00E074FD" w:rsidRPr="008E452F">
        <w:rPr>
          <w:rFonts w:cs="Arial"/>
          <w:color w:val="FF0000"/>
          <w:szCs w:val="20"/>
        </w:rPr>
        <w:t>“</w:t>
      </w:r>
      <w:r w:rsidRPr="008E452F">
        <w:rPr>
          <w:rFonts w:cs="Arial"/>
          <w:color w:val="FF0000"/>
          <w:szCs w:val="20"/>
        </w:rPr>
        <w:t xml:space="preserve">Share of investments in </w:t>
      </w:r>
      <w:r w:rsidRPr="008E452F">
        <w:rPr>
          <w:rFonts w:cs="Arial"/>
          <w:b/>
          <w:dstrike/>
          <w:color w:val="FF0000"/>
          <w:szCs w:val="20"/>
        </w:rPr>
        <w:t>solid</w:t>
      </w:r>
      <w:r w:rsidRPr="008E452F">
        <w:rPr>
          <w:rFonts w:cs="Arial"/>
          <w:color w:val="FF0000"/>
          <w:szCs w:val="20"/>
        </w:rPr>
        <w:t xml:space="preserve"> fossil fuel sectors</w:t>
      </w:r>
      <w:r w:rsidR="00E074FD" w:rsidRPr="008E452F">
        <w:rPr>
          <w:rFonts w:cs="Arial"/>
          <w:color w:val="FF0000"/>
          <w:szCs w:val="20"/>
        </w:rPr>
        <w:t xml:space="preserve">” </w:t>
      </w:r>
      <w:r w:rsidR="0051162A" w:rsidRPr="008E452F">
        <w:rPr>
          <w:rFonts w:cs="Arial"/>
          <w:color w:val="FF0000"/>
          <w:szCs w:val="20"/>
        </w:rPr>
        <w:t xml:space="preserve">(Table 1, Annex I) </w:t>
      </w:r>
      <w:r w:rsidR="00E074FD" w:rsidRPr="008E452F">
        <w:rPr>
          <w:rFonts w:cs="Arial"/>
          <w:color w:val="FF0000"/>
          <w:szCs w:val="20"/>
        </w:rPr>
        <w:t xml:space="preserve">or to replace it </w:t>
      </w:r>
      <w:proofErr w:type="gramStart"/>
      <w:r w:rsidR="00E074FD" w:rsidRPr="008E452F">
        <w:rPr>
          <w:rFonts w:cs="Arial"/>
          <w:color w:val="FF0000"/>
          <w:szCs w:val="20"/>
        </w:rPr>
        <w:t>by</w:t>
      </w:r>
      <w:r w:rsidRPr="008E452F">
        <w:rPr>
          <w:rFonts w:cs="Arial"/>
          <w:color w:val="FF0000"/>
          <w:szCs w:val="20"/>
        </w:rPr>
        <w:t xml:space="preserve"> :</w:t>
      </w:r>
      <w:proofErr w:type="gramEnd"/>
    </w:p>
    <w:p w14:paraId="13362131" w14:textId="2083949B" w:rsidR="0089792E" w:rsidRPr="008E452F" w:rsidRDefault="0089792E" w:rsidP="00C543DA">
      <w:pPr>
        <w:pStyle w:val="Paragraphedeliste"/>
        <w:numPr>
          <w:ilvl w:val="0"/>
          <w:numId w:val="47"/>
        </w:numPr>
        <w:jc w:val="both"/>
        <w:rPr>
          <w:rFonts w:cs="Arial"/>
          <w:color w:val="FF0000"/>
          <w:szCs w:val="20"/>
        </w:rPr>
      </w:pPr>
      <w:r w:rsidRPr="008E452F">
        <w:rPr>
          <w:rFonts w:cs="Arial"/>
          <w:color w:val="FF0000"/>
          <w:szCs w:val="20"/>
        </w:rPr>
        <w:t xml:space="preserve">Share of investments in </w:t>
      </w:r>
      <w:r w:rsidRPr="008E452F">
        <w:rPr>
          <w:rFonts w:cs="Arial"/>
          <w:b/>
          <w:color w:val="FF0000"/>
          <w:szCs w:val="20"/>
        </w:rPr>
        <w:t>solid, liquid and gaseous</w:t>
      </w:r>
      <w:r w:rsidRPr="008E452F">
        <w:rPr>
          <w:rFonts w:cs="Arial"/>
          <w:color w:val="FF0000"/>
          <w:szCs w:val="20"/>
        </w:rPr>
        <w:t xml:space="preserve"> fossil fuel sectors</w:t>
      </w:r>
    </w:p>
    <w:p w14:paraId="4B6EA97C" w14:textId="77777777" w:rsidR="00CE7EA4" w:rsidRPr="008E452F" w:rsidRDefault="00CE7EA4" w:rsidP="008E452F">
      <w:pPr>
        <w:jc w:val="both"/>
        <w:rPr>
          <w:rFonts w:cs="Arial"/>
          <w:color w:val="FF0000"/>
          <w:szCs w:val="20"/>
        </w:rPr>
      </w:pPr>
    </w:p>
    <w:p w14:paraId="67620530" w14:textId="77777777" w:rsidR="00CE7EA4" w:rsidRPr="008E452F" w:rsidRDefault="00CE7EA4" w:rsidP="008E452F">
      <w:pPr>
        <w:jc w:val="both"/>
        <w:rPr>
          <w:rFonts w:cs="Arial"/>
          <w:color w:val="FF0000"/>
          <w:szCs w:val="20"/>
        </w:rPr>
      </w:pPr>
    </w:p>
    <w:p w14:paraId="26660D00" w14:textId="7E21F425" w:rsidR="00915441" w:rsidRPr="008E452F" w:rsidRDefault="00915441" w:rsidP="008E452F">
      <w:pPr>
        <w:jc w:val="both"/>
        <w:rPr>
          <w:rFonts w:cs="Arial"/>
          <w:color w:val="FF0000"/>
          <w:szCs w:val="20"/>
        </w:rPr>
      </w:pPr>
      <w:r w:rsidRPr="008E452F">
        <w:rPr>
          <w:rFonts w:cs="Arial"/>
          <w:color w:val="FF0000"/>
          <w:szCs w:val="20"/>
        </w:rPr>
        <w:t xml:space="preserve">Following </w:t>
      </w:r>
      <w:r w:rsidR="00CE7EA4" w:rsidRPr="008E452F">
        <w:rPr>
          <w:rFonts w:cs="Arial"/>
          <w:color w:val="FF0000"/>
          <w:szCs w:val="20"/>
        </w:rPr>
        <w:t xml:space="preserve">the publication of the “From Farm to Fork” strategy, and as explained in </w:t>
      </w:r>
      <w:r w:rsidR="001C669F" w:rsidRPr="008E452F">
        <w:rPr>
          <w:rFonts w:cs="Arial"/>
          <w:color w:val="FF0000"/>
          <w:szCs w:val="20"/>
        </w:rPr>
        <w:t>introduction and q</w:t>
      </w:r>
      <w:r w:rsidRPr="008E452F">
        <w:rPr>
          <w:rFonts w:cs="Arial"/>
          <w:color w:val="FF0000"/>
          <w:szCs w:val="20"/>
        </w:rPr>
        <w:t xml:space="preserve">uestion 4, we recommend </w:t>
      </w:r>
      <w:r w:rsidR="001C669F" w:rsidRPr="008E452F">
        <w:rPr>
          <w:rFonts w:cs="Arial"/>
          <w:color w:val="FF0000"/>
          <w:szCs w:val="20"/>
        </w:rPr>
        <w:t>to add</w:t>
      </w:r>
      <w:r w:rsidR="00A30293" w:rsidRPr="008E452F">
        <w:rPr>
          <w:rFonts w:cs="Arial"/>
          <w:color w:val="FF0000"/>
          <w:szCs w:val="20"/>
        </w:rPr>
        <w:t xml:space="preserve"> the following</w:t>
      </w:r>
      <w:r w:rsidRPr="008E452F">
        <w:rPr>
          <w:rFonts w:cs="Arial"/>
          <w:color w:val="FF0000"/>
          <w:szCs w:val="20"/>
        </w:rPr>
        <w:t xml:space="preserve"> </w:t>
      </w:r>
      <w:r w:rsidR="003D77E1" w:rsidRPr="008E452F">
        <w:rPr>
          <w:rFonts w:cs="Arial"/>
          <w:color w:val="FF0000"/>
          <w:szCs w:val="20"/>
        </w:rPr>
        <w:t xml:space="preserve">compulsory </w:t>
      </w:r>
      <w:r w:rsidRPr="008E452F">
        <w:rPr>
          <w:rFonts w:cs="Arial"/>
          <w:color w:val="FF0000"/>
          <w:szCs w:val="20"/>
        </w:rPr>
        <w:t>indicators</w:t>
      </w:r>
      <w:r w:rsidR="00A30293" w:rsidRPr="008E452F">
        <w:rPr>
          <w:rFonts w:cs="Arial"/>
          <w:color w:val="FF0000"/>
          <w:szCs w:val="20"/>
        </w:rPr>
        <w:t xml:space="preserve"> to table 1</w:t>
      </w:r>
      <w:r w:rsidR="001C669F" w:rsidRPr="008E452F">
        <w:rPr>
          <w:rFonts w:cs="Arial"/>
          <w:color w:val="FF0000"/>
          <w:szCs w:val="20"/>
        </w:rPr>
        <w:t xml:space="preserve"> (Annex I)</w:t>
      </w:r>
      <w:r w:rsidR="00A30293" w:rsidRPr="008E452F">
        <w:rPr>
          <w:rFonts w:cs="Arial"/>
          <w:color w:val="FF0000"/>
          <w:szCs w:val="20"/>
        </w:rPr>
        <w:t>:</w:t>
      </w:r>
    </w:p>
    <w:p w14:paraId="7142C416" w14:textId="4F5D08D1" w:rsidR="00AE22EF" w:rsidRPr="008E452F" w:rsidRDefault="00AE22EF" w:rsidP="00C543DA">
      <w:pPr>
        <w:pStyle w:val="Paragraphedeliste"/>
        <w:numPr>
          <w:ilvl w:val="0"/>
          <w:numId w:val="43"/>
        </w:numPr>
        <w:autoSpaceDE w:val="0"/>
        <w:autoSpaceDN w:val="0"/>
        <w:adjustRightInd w:val="0"/>
        <w:jc w:val="both"/>
        <w:rPr>
          <w:rFonts w:cs="Arial"/>
          <w:color w:val="FF0000"/>
          <w:szCs w:val="20"/>
          <w:u w:val="single"/>
          <w:lang w:val="en-US" w:eastAsia="en-GB"/>
        </w:rPr>
      </w:pPr>
      <w:r w:rsidRPr="008E452F">
        <w:rPr>
          <w:rFonts w:cs="Arial"/>
          <w:color w:val="FF0000"/>
          <w:szCs w:val="20"/>
          <w:u w:val="single"/>
          <w:lang w:val="en-US" w:eastAsia="en-GB"/>
        </w:rPr>
        <w:t xml:space="preserve">Reduction of </w:t>
      </w:r>
      <w:r w:rsidRPr="008E452F">
        <w:rPr>
          <w:rFonts w:cs="Arial"/>
          <w:b/>
          <w:color w:val="FF0000"/>
          <w:szCs w:val="20"/>
          <w:u w:val="single"/>
          <w:lang w:val="en-US" w:eastAsia="en-GB"/>
        </w:rPr>
        <w:t>pesticides</w:t>
      </w:r>
      <w:r w:rsidR="00820785" w:rsidRPr="008E452F">
        <w:rPr>
          <w:rFonts w:cs="Arial"/>
          <w:b/>
          <w:color w:val="FF0000"/>
          <w:szCs w:val="20"/>
          <w:u w:val="single"/>
          <w:lang w:val="en-US" w:eastAsia="en-GB"/>
        </w:rPr>
        <w:t>:</w:t>
      </w:r>
    </w:p>
    <w:p w14:paraId="7779E037" w14:textId="123A500B" w:rsidR="00EB79FB" w:rsidRPr="008E452F" w:rsidRDefault="0098257B" w:rsidP="00C543DA">
      <w:pPr>
        <w:pStyle w:val="Paragraphedeliste"/>
        <w:numPr>
          <w:ilvl w:val="1"/>
          <w:numId w:val="48"/>
        </w:numPr>
        <w:autoSpaceDE w:val="0"/>
        <w:autoSpaceDN w:val="0"/>
        <w:adjustRightInd w:val="0"/>
        <w:jc w:val="both"/>
        <w:rPr>
          <w:rFonts w:cs="Arial"/>
          <w:color w:val="FF0000"/>
          <w:szCs w:val="20"/>
          <w:lang w:val="en-US" w:eastAsia="en-GB"/>
        </w:rPr>
      </w:pPr>
      <w:r w:rsidRPr="008E452F">
        <w:rPr>
          <w:rFonts w:cs="Arial"/>
          <w:color w:val="FF0000"/>
          <w:szCs w:val="20"/>
          <w:lang w:val="en-US" w:eastAsia="en-GB"/>
        </w:rPr>
        <w:t xml:space="preserve">Share of (investments in) entities that produce, distribute or use </w:t>
      </w:r>
      <w:r w:rsidR="002C07AD" w:rsidRPr="008E452F">
        <w:rPr>
          <w:rFonts w:cs="Arial"/>
          <w:b/>
          <w:color w:val="FF0000"/>
          <w:szCs w:val="20"/>
          <w:lang w:val="en-US" w:eastAsia="en-GB"/>
        </w:rPr>
        <w:t>pesticides</w:t>
      </w:r>
    </w:p>
    <w:p w14:paraId="4020F703" w14:textId="5BDC8780" w:rsidR="002C07AD" w:rsidRPr="008E452F" w:rsidRDefault="005C6597" w:rsidP="00C543DA">
      <w:pPr>
        <w:pStyle w:val="Paragraphedeliste"/>
        <w:numPr>
          <w:ilvl w:val="0"/>
          <w:numId w:val="43"/>
        </w:numPr>
        <w:autoSpaceDE w:val="0"/>
        <w:autoSpaceDN w:val="0"/>
        <w:adjustRightInd w:val="0"/>
        <w:jc w:val="both"/>
        <w:rPr>
          <w:rFonts w:cs="Arial"/>
          <w:color w:val="FF0000"/>
          <w:szCs w:val="20"/>
          <w:lang w:val="en-US" w:eastAsia="en-GB"/>
        </w:rPr>
      </w:pPr>
      <w:r w:rsidRPr="008E452F">
        <w:rPr>
          <w:rFonts w:cs="Arial"/>
          <w:color w:val="FF0000"/>
          <w:szCs w:val="20"/>
          <w:u w:val="single"/>
          <w:lang w:val="en-US" w:eastAsia="en-GB"/>
        </w:rPr>
        <w:t xml:space="preserve">Reduction of </w:t>
      </w:r>
      <w:r w:rsidRPr="008E452F">
        <w:rPr>
          <w:rFonts w:cs="Arial"/>
          <w:b/>
          <w:color w:val="FF0000"/>
          <w:szCs w:val="20"/>
          <w:u w:val="single"/>
          <w:lang w:val="en-US" w:eastAsia="en-GB"/>
        </w:rPr>
        <w:t>antimicrobials</w:t>
      </w:r>
      <w:r w:rsidRPr="008E452F">
        <w:rPr>
          <w:rFonts w:cs="Arial"/>
          <w:color w:val="FF0000"/>
          <w:szCs w:val="20"/>
          <w:u w:val="single"/>
          <w:lang w:val="en-US" w:eastAsia="en-GB"/>
        </w:rPr>
        <w:t xml:space="preserve"> for farmed animals and in aquaculture</w:t>
      </w:r>
      <w:r w:rsidR="00EB79FB" w:rsidRPr="008E452F">
        <w:rPr>
          <w:rFonts w:cs="Arial"/>
          <w:color w:val="FF0000"/>
          <w:szCs w:val="20"/>
          <w:lang w:val="en-US" w:eastAsia="en-GB"/>
        </w:rPr>
        <w:t xml:space="preserve">: </w:t>
      </w:r>
    </w:p>
    <w:p w14:paraId="199B8336" w14:textId="5C8A4A64" w:rsidR="00EB79FB" w:rsidRPr="008E452F" w:rsidRDefault="002C07AD" w:rsidP="00C543DA">
      <w:pPr>
        <w:pStyle w:val="Paragraphedeliste"/>
        <w:numPr>
          <w:ilvl w:val="1"/>
          <w:numId w:val="43"/>
        </w:numPr>
        <w:autoSpaceDE w:val="0"/>
        <w:autoSpaceDN w:val="0"/>
        <w:adjustRightInd w:val="0"/>
        <w:jc w:val="both"/>
        <w:rPr>
          <w:rFonts w:cs="Arial"/>
          <w:b/>
          <w:color w:val="FF0000"/>
          <w:szCs w:val="20"/>
          <w:lang w:val="en-US" w:eastAsia="en-GB"/>
        </w:rPr>
      </w:pPr>
      <w:r w:rsidRPr="008E452F">
        <w:rPr>
          <w:rFonts w:cs="Arial"/>
          <w:color w:val="FF0000"/>
          <w:szCs w:val="20"/>
          <w:lang w:val="en-US" w:eastAsia="en-GB"/>
        </w:rPr>
        <w:t xml:space="preserve">Share of </w:t>
      </w:r>
      <w:r w:rsidR="0098257B" w:rsidRPr="008E452F">
        <w:rPr>
          <w:rFonts w:cs="Arial"/>
          <w:color w:val="FF0000"/>
          <w:szCs w:val="20"/>
          <w:lang w:val="en-US" w:eastAsia="en-GB"/>
        </w:rPr>
        <w:t>(</w:t>
      </w:r>
      <w:r w:rsidRPr="008E452F">
        <w:rPr>
          <w:rFonts w:cs="Arial"/>
          <w:color w:val="FF0000"/>
          <w:szCs w:val="20"/>
          <w:lang w:val="en-US" w:eastAsia="en-GB"/>
        </w:rPr>
        <w:t>investments in</w:t>
      </w:r>
      <w:r w:rsidR="0098257B" w:rsidRPr="008E452F">
        <w:rPr>
          <w:rFonts w:cs="Arial"/>
          <w:color w:val="FF0000"/>
          <w:szCs w:val="20"/>
          <w:lang w:val="en-US" w:eastAsia="en-GB"/>
        </w:rPr>
        <w:t>)</w:t>
      </w:r>
      <w:r w:rsidRPr="008E452F">
        <w:rPr>
          <w:rFonts w:cs="Arial"/>
          <w:color w:val="FF0000"/>
          <w:szCs w:val="20"/>
          <w:lang w:val="en-US" w:eastAsia="en-GB"/>
        </w:rPr>
        <w:t xml:space="preserve"> </w:t>
      </w:r>
      <w:r w:rsidR="002E18AB" w:rsidRPr="008E452F">
        <w:rPr>
          <w:rFonts w:cs="Arial"/>
          <w:color w:val="FF0000"/>
          <w:szCs w:val="20"/>
          <w:lang w:val="en-US" w:eastAsia="en-GB"/>
        </w:rPr>
        <w:t xml:space="preserve">entities that produce, distribute or use </w:t>
      </w:r>
      <w:r w:rsidR="002E18AB" w:rsidRPr="008E452F">
        <w:rPr>
          <w:rFonts w:cs="Arial"/>
          <w:b/>
          <w:color w:val="FF0000"/>
          <w:szCs w:val="20"/>
          <w:lang w:val="en-US" w:eastAsia="en-GB"/>
        </w:rPr>
        <w:t>antimicrobials for farmed animals</w:t>
      </w:r>
    </w:p>
    <w:p w14:paraId="637D5D88" w14:textId="516649CD" w:rsidR="002E18AB" w:rsidRPr="008E452F" w:rsidRDefault="002E18AB" w:rsidP="00C543DA">
      <w:pPr>
        <w:pStyle w:val="Paragraphedeliste"/>
        <w:numPr>
          <w:ilvl w:val="1"/>
          <w:numId w:val="43"/>
        </w:numPr>
        <w:autoSpaceDE w:val="0"/>
        <w:autoSpaceDN w:val="0"/>
        <w:adjustRightInd w:val="0"/>
        <w:jc w:val="both"/>
        <w:rPr>
          <w:rFonts w:cs="Arial"/>
          <w:b/>
          <w:color w:val="FF0000"/>
          <w:szCs w:val="20"/>
          <w:lang w:val="en-US" w:eastAsia="en-GB"/>
        </w:rPr>
      </w:pPr>
      <w:r w:rsidRPr="008E452F">
        <w:rPr>
          <w:rFonts w:cs="Arial"/>
          <w:color w:val="FF0000"/>
          <w:szCs w:val="20"/>
          <w:lang w:val="en-US" w:eastAsia="en-GB"/>
        </w:rPr>
        <w:t xml:space="preserve">Share of </w:t>
      </w:r>
      <w:r w:rsidR="0098257B" w:rsidRPr="008E452F">
        <w:rPr>
          <w:rFonts w:cs="Arial"/>
          <w:color w:val="FF0000"/>
          <w:szCs w:val="20"/>
          <w:lang w:val="en-US" w:eastAsia="en-GB"/>
        </w:rPr>
        <w:t>(</w:t>
      </w:r>
      <w:r w:rsidRPr="008E452F">
        <w:rPr>
          <w:rFonts w:cs="Arial"/>
          <w:color w:val="FF0000"/>
          <w:szCs w:val="20"/>
          <w:lang w:val="en-US" w:eastAsia="en-GB"/>
        </w:rPr>
        <w:t>investments in</w:t>
      </w:r>
      <w:r w:rsidR="0098257B" w:rsidRPr="008E452F">
        <w:rPr>
          <w:rFonts w:cs="Arial"/>
          <w:color w:val="FF0000"/>
          <w:szCs w:val="20"/>
          <w:lang w:val="en-US" w:eastAsia="en-GB"/>
        </w:rPr>
        <w:t>)</w:t>
      </w:r>
      <w:r w:rsidRPr="008E452F">
        <w:rPr>
          <w:rFonts w:cs="Arial"/>
          <w:color w:val="FF0000"/>
          <w:szCs w:val="20"/>
          <w:lang w:val="en-US" w:eastAsia="en-GB"/>
        </w:rPr>
        <w:t xml:space="preserve"> entities that produce, distribute or use </w:t>
      </w:r>
      <w:r w:rsidRPr="008E452F">
        <w:rPr>
          <w:rFonts w:cs="Arial"/>
          <w:b/>
          <w:color w:val="FF0000"/>
          <w:szCs w:val="20"/>
          <w:lang w:val="en-US" w:eastAsia="en-GB"/>
        </w:rPr>
        <w:t xml:space="preserve">antimicrobials </w:t>
      </w:r>
      <w:r w:rsidR="006A24C8" w:rsidRPr="008E452F">
        <w:rPr>
          <w:rFonts w:cs="Arial"/>
          <w:b/>
          <w:color w:val="FF0000"/>
          <w:szCs w:val="20"/>
          <w:lang w:val="en-US" w:eastAsia="en-GB"/>
        </w:rPr>
        <w:t>in aquaculture</w:t>
      </w:r>
    </w:p>
    <w:p w14:paraId="6DFEAC57" w14:textId="2EB178DC" w:rsidR="006C2D5F" w:rsidRPr="00E5201E" w:rsidRDefault="00820785" w:rsidP="00C543DA">
      <w:pPr>
        <w:pStyle w:val="Paragraphedeliste"/>
        <w:numPr>
          <w:ilvl w:val="0"/>
          <w:numId w:val="43"/>
        </w:numPr>
        <w:autoSpaceDE w:val="0"/>
        <w:autoSpaceDN w:val="0"/>
        <w:adjustRightInd w:val="0"/>
        <w:jc w:val="both"/>
        <w:rPr>
          <w:rFonts w:cs="Arial"/>
          <w:color w:val="00B050"/>
          <w:szCs w:val="20"/>
          <w:lang w:val="en-US" w:eastAsia="en-GB"/>
        </w:rPr>
      </w:pPr>
      <w:r w:rsidRPr="00E5201E">
        <w:rPr>
          <w:rFonts w:cs="Arial"/>
          <w:color w:val="00B050"/>
          <w:szCs w:val="20"/>
          <w:u w:val="single"/>
          <w:lang w:val="en-US" w:eastAsia="en-GB"/>
        </w:rPr>
        <w:t xml:space="preserve">Increase of </w:t>
      </w:r>
      <w:r w:rsidR="00EB79FB" w:rsidRPr="00E5201E">
        <w:rPr>
          <w:rFonts w:cs="Arial"/>
          <w:color w:val="00B050"/>
          <w:szCs w:val="20"/>
          <w:u w:val="single"/>
          <w:lang w:val="en-US" w:eastAsia="en-GB"/>
        </w:rPr>
        <w:t>Organic Farming</w:t>
      </w:r>
      <w:r w:rsidR="00EB79FB" w:rsidRPr="00E5201E">
        <w:rPr>
          <w:rFonts w:cs="Arial"/>
          <w:color w:val="00B050"/>
          <w:szCs w:val="20"/>
          <w:lang w:val="en-US" w:eastAsia="en-GB"/>
        </w:rPr>
        <w:t xml:space="preserve">: </w:t>
      </w:r>
    </w:p>
    <w:p w14:paraId="7E057160" w14:textId="2639B7A7" w:rsidR="00EB79FB" w:rsidRPr="00897ACC" w:rsidRDefault="006C2D5F" w:rsidP="00C543DA">
      <w:pPr>
        <w:pStyle w:val="Paragraphedeliste"/>
        <w:numPr>
          <w:ilvl w:val="1"/>
          <w:numId w:val="49"/>
        </w:numPr>
        <w:autoSpaceDE w:val="0"/>
        <w:autoSpaceDN w:val="0"/>
        <w:adjustRightInd w:val="0"/>
        <w:jc w:val="both"/>
        <w:rPr>
          <w:rFonts w:cs="Arial"/>
          <w:color w:val="00B050"/>
          <w:szCs w:val="20"/>
          <w:lang w:val="en-US" w:eastAsia="en-GB"/>
        </w:rPr>
      </w:pPr>
      <w:r w:rsidRPr="00897ACC">
        <w:rPr>
          <w:rFonts w:cs="Arial"/>
          <w:color w:val="00B050"/>
          <w:szCs w:val="20"/>
          <w:lang w:val="en-US" w:eastAsia="en-GB"/>
        </w:rPr>
        <w:t xml:space="preserve">Share of </w:t>
      </w:r>
      <w:r w:rsidRPr="00897ACC">
        <w:rPr>
          <w:rFonts w:cs="Arial"/>
          <w:b/>
          <w:color w:val="00B050"/>
          <w:szCs w:val="20"/>
          <w:lang w:val="en-US" w:eastAsia="en-GB"/>
        </w:rPr>
        <w:t>organic land</w:t>
      </w:r>
      <w:r w:rsidRPr="00897ACC">
        <w:rPr>
          <w:rFonts w:cs="Arial"/>
          <w:color w:val="00B050"/>
          <w:szCs w:val="20"/>
          <w:lang w:val="en-US" w:eastAsia="en-GB"/>
        </w:rPr>
        <w:t xml:space="preserve"> used by investee companies compared to non-organic land</w:t>
      </w:r>
      <w:r w:rsidR="00130473" w:rsidRPr="00897ACC">
        <w:rPr>
          <w:rFonts w:cs="Arial"/>
          <w:color w:val="00B050"/>
          <w:szCs w:val="20"/>
          <w:lang w:val="en-US" w:eastAsia="en-GB"/>
        </w:rPr>
        <w:t xml:space="preserve">, </w:t>
      </w:r>
      <w:r w:rsidR="00044126" w:rsidRPr="00897ACC">
        <w:rPr>
          <w:rFonts w:cs="Arial"/>
          <w:color w:val="00B050"/>
          <w:szCs w:val="20"/>
          <w:lang w:val="en-US" w:eastAsia="en-GB"/>
        </w:rPr>
        <w:t xml:space="preserve">development </w:t>
      </w:r>
      <w:r w:rsidR="00627480" w:rsidRPr="00897ACC">
        <w:rPr>
          <w:rFonts w:cs="Arial"/>
          <w:color w:val="00B050"/>
          <w:szCs w:val="20"/>
          <w:lang w:val="en-US" w:eastAsia="en-GB"/>
        </w:rPr>
        <w:t>targets</w:t>
      </w:r>
      <w:r w:rsidR="00130473" w:rsidRPr="00897ACC">
        <w:rPr>
          <w:rFonts w:cs="Arial"/>
          <w:color w:val="00B050"/>
          <w:szCs w:val="20"/>
          <w:lang w:val="en-US" w:eastAsia="en-GB"/>
        </w:rPr>
        <w:t xml:space="preserve"> and </w:t>
      </w:r>
      <w:r w:rsidR="00627480" w:rsidRPr="00897ACC">
        <w:rPr>
          <w:rFonts w:cs="Arial"/>
          <w:color w:val="00B050"/>
          <w:szCs w:val="20"/>
          <w:lang w:val="en-US" w:eastAsia="en-GB"/>
        </w:rPr>
        <w:t>deadlines (every year, 3 years, 5 years)</w:t>
      </w:r>
    </w:p>
    <w:p w14:paraId="2F613BC5" w14:textId="57C04DD5" w:rsidR="00ED4F89" w:rsidRPr="008E452F" w:rsidRDefault="00EB79FB" w:rsidP="00C543DA">
      <w:pPr>
        <w:pStyle w:val="Paragraphedeliste"/>
        <w:numPr>
          <w:ilvl w:val="0"/>
          <w:numId w:val="43"/>
        </w:numPr>
        <w:autoSpaceDE w:val="0"/>
        <w:autoSpaceDN w:val="0"/>
        <w:adjustRightInd w:val="0"/>
        <w:jc w:val="both"/>
        <w:rPr>
          <w:rFonts w:cs="Arial"/>
          <w:color w:val="FF0000"/>
          <w:szCs w:val="20"/>
          <w:u w:val="single"/>
          <w:lang w:val="en-US" w:eastAsia="en-GB"/>
        </w:rPr>
      </w:pPr>
      <w:r w:rsidRPr="008E452F">
        <w:rPr>
          <w:rFonts w:cs="Arial"/>
          <w:color w:val="FF0000"/>
          <w:szCs w:val="20"/>
          <w:u w:val="single"/>
          <w:lang w:val="en-US" w:eastAsia="en-GB"/>
        </w:rPr>
        <w:t xml:space="preserve">Animal </w:t>
      </w:r>
      <w:r w:rsidR="00CE7EA4" w:rsidRPr="008E452F">
        <w:rPr>
          <w:rFonts w:cs="Arial"/>
          <w:color w:val="FF0000"/>
          <w:szCs w:val="20"/>
          <w:u w:val="single"/>
          <w:lang w:val="en-US" w:eastAsia="en-GB"/>
        </w:rPr>
        <w:t>welfare</w:t>
      </w:r>
      <w:r w:rsidRPr="008E452F">
        <w:rPr>
          <w:rFonts w:cs="Arial"/>
          <w:color w:val="FF0000"/>
          <w:szCs w:val="20"/>
          <w:u w:val="single"/>
          <w:lang w:val="en-US" w:eastAsia="en-GB"/>
        </w:rPr>
        <w:t xml:space="preserve">: </w:t>
      </w:r>
    </w:p>
    <w:p w14:paraId="7F24CFD7" w14:textId="18954D19" w:rsidR="000D5BFA" w:rsidRPr="00742831" w:rsidRDefault="000D5BFA" w:rsidP="00C543DA">
      <w:pPr>
        <w:pStyle w:val="Paragraphedeliste"/>
        <w:numPr>
          <w:ilvl w:val="1"/>
          <w:numId w:val="43"/>
        </w:numPr>
        <w:autoSpaceDE w:val="0"/>
        <w:autoSpaceDN w:val="0"/>
        <w:adjustRightInd w:val="0"/>
        <w:jc w:val="both"/>
        <w:rPr>
          <w:rFonts w:cs="Arial"/>
          <w:b/>
          <w:color w:val="FF0000"/>
          <w:szCs w:val="20"/>
          <w:lang w:val="en-US" w:eastAsia="en-GB"/>
        </w:rPr>
      </w:pPr>
      <w:r w:rsidRPr="008E452F">
        <w:rPr>
          <w:rFonts w:cs="Arial"/>
          <w:color w:val="FF0000"/>
          <w:szCs w:val="20"/>
          <w:lang w:val="en-US" w:eastAsia="en-GB"/>
        </w:rPr>
        <w:t xml:space="preserve">Share of (investments in) investee entities whose activities are in the sector of </w:t>
      </w:r>
      <w:r w:rsidRPr="008E452F">
        <w:rPr>
          <w:rFonts w:cs="Arial"/>
          <w:b/>
          <w:color w:val="FF0000"/>
          <w:szCs w:val="20"/>
          <w:lang w:val="en-US" w:eastAsia="en-GB"/>
        </w:rPr>
        <w:t>intensive animal agriculture</w:t>
      </w:r>
      <w:r w:rsidR="00742831">
        <w:rPr>
          <w:rFonts w:cs="Arial"/>
          <w:b/>
          <w:color w:val="FF0000"/>
          <w:szCs w:val="20"/>
          <w:lang w:val="en-US" w:eastAsia="en-GB"/>
        </w:rPr>
        <w:t xml:space="preserve">. </w:t>
      </w:r>
      <w:r w:rsidR="00631F5E" w:rsidRPr="00742831">
        <w:rPr>
          <w:rFonts w:cs="Arial"/>
          <w:color w:val="FF0000"/>
          <w:szCs w:val="20"/>
          <w:u w:val="single"/>
          <w:lang w:val="en-US" w:eastAsia="en-GB"/>
        </w:rPr>
        <w:t>Explanation:</w:t>
      </w:r>
      <w:r w:rsidR="00631F5E" w:rsidRPr="00742831">
        <w:rPr>
          <w:rFonts w:cs="Arial"/>
          <w:color w:val="FF0000"/>
          <w:szCs w:val="20"/>
          <w:lang w:val="en-US" w:eastAsia="en-GB"/>
        </w:rPr>
        <w:t xml:space="preserve"> Intensive animal </w:t>
      </w:r>
      <w:r w:rsidR="00171283" w:rsidRPr="00742831">
        <w:rPr>
          <w:rFonts w:cs="Arial"/>
          <w:color w:val="FF0000"/>
          <w:szCs w:val="20"/>
          <w:lang w:val="en-US" w:eastAsia="en-GB"/>
        </w:rPr>
        <w:t>farming</w:t>
      </w:r>
      <w:r w:rsidR="00631F5E" w:rsidRPr="00742831">
        <w:rPr>
          <w:rFonts w:cs="Arial"/>
          <w:color w:val="FF0000"/>
          <w:szCs w:val="20"/>
          <w:lang w:val="en-US" w:eastAsia="en-GB"/>
        </w:rPr>
        <w:t xml:space="preserve"> is fundamentally based on a </w:t>
      </w:r>
      <w:r w:rsidR="00631F5E" w:rsidRPr="00742831">
        <w:rPr>
          <w:rFonts w:cs="Arial"/>
          <w:color w:val="FF0000"/>
          <w:szCs w:val="20"/>
          <w:lang w:val="en-US" w:eastAsia="en-GB"/>
        </w:rPr>
        <w:lastRenderedPageBreak/>
        <w:t>high number of animals living per m2, and treated per minute, which induce stress and low immune system and higher exposition to diseases and zoonosis</w:t>
      </w:r>
    </w:p>
    <w:p w14:paraId="3B733314" w14:textId="427D9A91" w:rsidR="005F0908" w:rsidRPr="008E452F" w:rsidRDefault="006325A5" w:rsidP="00C543DA">
      <w:pPr>
        <w:pStyle w:val="Paragraphedeliste"/>
        <w:numPr>
          <w:ilvl w:val="1"/>
          <w:numId w:val="43"/>
        </w:numPr>
        <w:autoSpaceDE w:val="0"/>
        <w:autoSpaceDN w:val="0"/>
        <w:adjustRightInd w:val="0"/>
        <w:jc w:val="both"/>
        <w:rPr>
          <w:rFonts w:cs="Arial"/>
          <w:color w:val="FF0000"/>
          <w:szCs w:val="20"/>
          <w:lang w:val="en-US" w:eastAsia="en-GB"/>
        </w:rPr>
      </w:pPr>
      <w:r w:rsidRPr="008E452F">
        <w:rPr>
          <w:rFonts w:cs="Arial"/>
          <w:color w:val="FF0000"/>
          <w:szCs w:val="20"/>
          <w:lang w:val="en-US" w:eastAsia="en-GB"/>
        </w:rPr>
        <w:t>S</w:t>
      </w:r>
      <w:r w:rsidR="005F0908" w:rsidRPr="008E452F">
        <w:rPr>
          <w:rFonts w:cs="Arial"/>
          <w:color w:val="FF0000"/>
          <w:szCs w:val="20"/>
          <w:lang w:val="en-US" w:eastAsia="en-GB"/>
        </w:rPr>
        <w:t xml:space="preserve">hare of </w:t>
      </w:r>
      <w:r w:rsidR="00CE7EA4" w:rsidRPr="008E452F">
        <w:rPr>
          <w:rFonts w:cs="Arial"/>
          <w:color w:val="FF0000"/>
          <w:szCs w:val="20"/>
          <w:lang w:val="en-US" w:eastAsia="en-GB"/>
        </w:rPr>
        <w:t>(</w:t>
      </w:r>
      <w:r w:rsidR="005F0908" w:rsidRPr="008E452F">
        <w:rPr>
          <w:rFonts w:cs="Arial"/>
          <w:color w:val="FF0000"/>
          <w:szCs w:val="20"/>
          <w:lang w:val="en-US" w:eastAsia="en-GB"/>
        </w:rPr>
        <w:t>investments in</w:t>
      </w:r>
      <w:r w:rsidR="00CE7EA4" w:rsidRPr="008E452F">
        <w:rPr>
          <w:rFonts w:cs="Arial"/>
          <w:color w:val="FF0000"/>
          <w:szCs w:val="20"/>
          <w:lang w:val="en-US" w:eastAsia="en-GB"/>
        </w:rPr>
        <w:t>)</w:t>
      </w:r>
      <w:r w:rsidR="005F0908" w:rsidRPr="008E452F">
        <w:rPr>
          <w:rFonts w:cs="Arial"/>
          <w:color w:val="FF0000"/>
          <w:szCs w:val="20"/>
          <w:lang w:val="en-US" w:eastAsia="en-GB"/>
        </w:rPr>
        <w:t xml:space="preserve"> </w:t>
      </w:r>
      <w:r w:rsidR="00CE7EA4" w:rsidRPr="008E452F">
        <w:rPr>
          <w:rFonts w:cs="Arial"/>
          <w:color w:val="FF0000"/>
          <w:szCs w:val="20"/>
          <w:lang w:val="en-US" w:eastAsia="en-GB"/>
        </w:rPr>
        <w:t xml:space="preserve">investee entities </w:t>
      </w:r>
      <w:r w:rsidR="002E6B1C" w:rsidRPr="008E452F">
        <w:rPr>
          <w:rFonts w:cs="Arial"/>
          <w:color w:val="FF0000"/>
          <w:szCs w:val="20"/>
          <w:lang w:val="en-US" w:eastAsia="en-GB"/>
        </w:rPr>
        <w:t xml:space="preserve">whose activities are in the sector of </w:t>
      </w:r>
      <w:r w:rsidR="00BF5351" w:rsidRPr="008E452F">
        <w:rPr>
          <w:rFonts w:cs="Arial"/>
          <w:b/>
          <w:color w:val="FF0000"/>
          <w:szCs w:val="20"/>
          <w:lang w:val="en-US" w:eastAsia="en-GB"/>
        </w:rPr>
        <w:t>intensive</w:t>
      </w:r>
      <w:r w:rsidR="00BF5351" w:rsidRPr="008E452F">
        <w:rPr>
          <w:rFonts w:cs="Arial"/>
          <w:color w:val="FF0000"/>
          <w:szCs w:val="20"/>
          <w:lang w:val="en-US" w:eastAsia="en-GB"/>
        </w:rPr>
        <w:t xml:space="preserve"> </w:t>
      </w:r>
      <w:r w:rsidR="005F0908" w:rsidRPr="008E452F">
        <w:rPr>
          <w:rFonts w:cs="Arial"/>
          <w:b/>
          <w:color w:val="FF0000"/>
          <w:szCs w:val="20"/>
          <w:lang w:val="en-US" w:eastAsia="en-GB"/>
        </w:rPr>
        <w:t>fish farming</w:t>
      </w:r>
    </w:p>
    <w:p w14:paraId="5F4761F6" w14:textId="7216EDED" w:rsidR="00BF5351" w:rsidRPr="008E452F" w:rsidRDefault="006325A5" w:rsidP="00C543DA">
      <w:pPr>
        <w:pStyle w:val="Paragraphedeliste"/>
        <w:numPr>
          <w:ilvl w:val="1"/>
          <w:numId w:val="43"/>
        </w:numPr>
        <w:autoSpaceDE w:val="0"/>
        <w:autoSpaceDN w:val="0"/>
        <w:adjustRightInd w:val="0"/>
        <w:jc w:val="both"/>
        <w:rPr>
          <w:rFonts w:cs="Arial"/>
          <w:color w:val="FF0000"/>
          <w:szCs w:val="20"/>
          <w:lang w:val="en-US" w:eastAsia="en-GB"/>
        </w:rPr>
      </w:pPr>
      <w:r w:rsidRPr="008E452F">
        <w:rPr>
          <w:rFonts w:cs="Arial"/>
          <w:color w:val="FF0000"/>
          <w:szCs w:val="20"/>
          <w:lang w:val="en-US" w:eastAsia="en-GB"/>
        </w:rPr>
        <w:t>S</w:t>
      </w:r>
      <w:r w:rsidR="00BF5351" w:rsidRPr="008E452F">
        <w:rPr>
          <w:rFonts w:cs="Arial"/>
          <w:color w:val="FF0000"/>
          <w:szCs w:val="20"/>
          <w:lang w:val="en-US" w:eastAsia="en-GB"/>
        </w:rPr>
        <w:t xml:space="preserve">hare of </w:t>
      </w:r>
      <w:r w:rsidR="00CE7EA4" w:rsidRPr="008E452F">
        <w:rPr>
          <w:rFonts w:cs="Arial"/>
          <w:color w:val="FF0000"/>
          <w:szCs w:val="20"/>
          <w:lang w:val="en-US" w:eastAsia="en-GB"/>
        </w:rPr>
        <w:t>(</w:t>
      </w:r>
      <w:r w:rsidR="00BF5351" w:rsidRPr="008E452F">
        <w:rPr>
          <w:rFonts w:cs="Arial"/>
          <w:color w:val="FF0000"/>
          <w:szCs w:val="20"/>
          <w:lang w:val="en-US" w:eastAsia="en-GB"/>
        </w:rPr>
        <w:t>investments in</w:t>
      </w:r>
      <w:r w:rsidR="00CE7EA4" w:rsidRPr="008E452F">
        <w:rPr>
          <w:rFonts w:cs="Arial"/>
          <w:color w:val="FF0000"/>
          <w:szCs w:val="20"/>
          <w:lang w:val="en-US" w:eastAsia="en-GB"/>
        </w:rPr>
        <w:t>)</w:t>
      </w:r>
      <w:r w:rsidR="00BF5351" w:rsidRPr="008E452F">
        <w:rPr>
          <w:rFonts w:cs="Arial"/>
          <w:color w:val="FF0000"/>
          <w:szCs w:val="20"/>
          <w:lang w:val="en-US" w:eastAsia="en-GB"/>
        </w:rPr>
        <w:t xml:space="preserve"> investee </w:t>
      </w:r>
      <w:r w:rsidR="00CE7EA4" w:rsidRPr="008E452F">
        <w:rPr>
          <w:rFonts w:cs="Arial"/>
          <w:color w:val="FF0000"/>
          <w:szCs w:val="20"/>
          <w:lang w:val="en-US" w:eastAsia="en-GB"/>
        </w:rPr>
        <w:t>entities</w:t>
      </w:r>
      <w:r w:rsidR="00BF5351" w:rsidRPr="008E452F">
        <w:rPr>
          <w:rFonts w:cs="Arial"/>
          <w:color w:val="FF0000"/>
          <w:szCs w:val="20"/>
          <w:lang w:val="en-US" w:eastAsia="en-GB"/>
        </w:rPr>
        <w:t xml:space="preserve"> that catch fishes by </w:t>
      </w:r>
      <w:r w:rsidR="00BF5351" w:rsidRPr="008E452F">
        <w:rPr>
          <w:rFonts w:cs="Arial"/>
          <w:b/>
          <w:color w:val="FF0000"/>
          <w:szCs w:val="20"/>
          <w:lang w:val="en-US" w:eastAsia="en-GB"/>
        </w:rPr>
        <w:t>trawling</w:t>
      </w:r>
    </w:p>
    <w:p w14:paraId="198797AB" w14:textId="2BAC3C26" w:rsidR="00B416B4" w:rsidRPr="008E452F" w:rsidRDefault="00B416B4" w:rsidP="00C543DA">
      <w:pPr>
        <w:pStyle w:val="Paragraphedeliste"/>
        <w:numPr>
          <w:ilvl w:val="1"/>
          <w:numId w:val="43"/>
        </w:numPr>
        <w:autoSpaceDE w:val="0"/>
        <w:autoSpaceDN w:val="0"/>
        <w:adjustRightInd w:val="0"/>
        <w:jc w:val="both"/>
        <w:rPr>
          <w:rFonts w:cs="Arial"/>
          <w:color w:val="FF0000"/>
          <w:szCs w:val="20"/>
          <w:lang w:val="en-US" w:eastAsia="en-GB"/>
        </w:rPr>
      </w:pPr>
      <w:r w:rsidRPr="008E452F">
        <w:rPr>
          <w:rFonts w:cs="Arial"/>
          <w:color w:val="FF0000"/>
          <w:szCs w:val="20"/>
          <w:lang w:val="en-US" w:eastAsia="en-GB"/>
        </w:rPr>
        <w:t xml:space="preserve">Share of </w:t>
      </w:r>
      <w:r w:rsidR="00CE7EA4" w:rsidRPr="008E452F">
        <w:rPr>
          <w:rFonts w:cs="Arial"/>
          <w:color w:val="FF0000"/>
          <w:szCs w:val="20"/>
          <w:lang w:val="en-US" w:eastAsia="en-GB"/>
        </w:rPr>
        <w:t>(</w:t>
      </w:r>
      <w:r w:rsidRPr="008E452F">
        <w:rPr>
          <w:rFonts w:cs="Arial"/>
          <w:color w:val="FF0000"/>
          <w:szCs w:val="20"/>
          <w:lang w:val="en-US" w:eastAsia="en-GB"/>
        </w:rPr>
        <w:t>investments in</w:t>
      </w:r>
      <w:r w:rsidR="00CE7EA4" w:rsidRPr="008E452F">
        <w:rPr>
          <w:rFonts w:cs="Arial"/>
          <w:color w:val="FF0000"/>
          <w:szCs w:val="20"/>
          <w:lang w:val="en-US" w:eastAsia="en-GB"/>
        </w:rPr>
        <w:t>)</w:t>
      </w:r>
      <w:r w:rsidRPr="008E452F">
        <w:rPr>
          <w:rFonts w:cs="Arial"/>
          <w:color w:val="FF0000"/>
          <w:szCs w:val="20"/>
          <w:lang w:val="en-US" w:eastAsia="en-GB"/>
        </w:rPr>
        <w:t xml:space="preserve"> investee </w:t>
      </w:r>
      <w:r w:rsidR="00CE7EA4" w:rsidRPr="008E452F">
        <w:rPr>
          <w:rFonts w:cs="Arial"/>
          <w:color w:val="FF0000"/>
          <w:szCs w:val="20"/>
          <w:lang w:val="en-US" w:eastAsia="en-GB"/>
        </w:rPr>
        <w:t xml:space="preserve">entities </w:t>
      </w:r>
      <w:r w:rsidRPr="008E452F">
        <w:rPr>
          <w:rFonts w:cs="Arial"/>
          <w:b/>
          <w:color w:val="FF0000"/>
          <w:szCs w:val="20"/>
          <w:lang w:val="en-US" w:eastAsia="en-GB"/>
        </w:rPr>
        <w:t xml:space="preserve">with identified insufficiencies in actions </w:t>
      </w:r>
      <w:r w:rsidRPr="008E452F">
        <w:rPr>
          <w:rFonts w:cs="Arial"/>
          <w:color w:val="FF0000"/>
          <w:szCs w:val="20"/>
          <w:lang w:val="en-US" w:eastAsia="en-GB"/>
        </w:rPr>
        <w:t xml:space="preserve">taken to address breaches in procedures and </w:t>
      </w:r>
      <w:r w:rsidRPr="008E452F">
        <w:rPr>
          <w:rFonts w:cs="Arial"/>
          <w:b/>
          <w:color w:val="FF0000"/>
          <w:szCs w:val="20"/>
          <w:lang w:val="en-US" w:eastAsia="en-GB"/>
        </w:rPr>
        <w:t>standards of animal-welfare</w:t>
      </w:r>
    </w:p>
    <w:p w14:paraId="128DBF59" w14:textId="0CA0FB2F" w:rsidR="005C5F4D" w:rsidRPr="00AA3C1A" w:rsidRDefault="006325A5" w:rsidP="00C543DA">
      <w:pPr>
        <w:pStyle w:val="Paragraphedeliste"/>
        <w:numPr>
          <w:ilvl w:val="1"/>
          <w:numId w:val="43"/>
        </w:numPr>
        <w:autoSpaceDE w:val="0"/>
        <w:autoSpaceDN w:val="0"/>
        <w:adjustRightInd w:val="0"/>
        <w:jc w:val="both"/>
        <w:rPr>
          <w:rFonts w:cs="Arial"/>
          <w:color w:val="00B050"/>
          <w:szCs w:val="20"/>
          <w:lang w:val="en-US" w:eastAsia="en-GB"/>
        </w:rPr>
      </w:pPr>
      <w:r w:rsidRPr="00AA3C1A">
        <w:rPr>
          <w:rFonts w:cs="Arial"/>
          <w:color w:val="00B050"/>
          <w:szCs w:val="20"/>
          <w:lang w:val="en-US" w:eastAsia="en-GB"/>
        </w:rPr>
        <w:t>S</w:t>
      </w:r>
      <w:r w:rsidR="005C5F4D" w:rsidRPr="00AA3C1A">
        <w:rPr>
          <w:rFonts w:cs="Arial"/>
          <w:color w:val="00B050"/>
          <w:szCs w:val="20"/>
          <w:lang w:val="en-US" w:eastAsia="en-GB"/>
        </w:rPr>
        <w:t xml:space="preserve">hare of </w:t>
      </w:r>
      <w:r w:rsidR="005C5F4D" w:rsidRPr="00AA3C1A">
        <w:rPr>
          <w:rFonts w:cs="Arial"/>
          <w:b/>
          <w:color w:val="00B050"/>
          <w:szCs w:val="20"/>
          <w:lang w:val="en-US" w:eastAsia="en-GB"/>
        </w:rPr>
        <w:t>cage</w:t>
      </w:r>
      <w:r w:rsidR="00CA64ED" w:rsidRPr="00AA3C1A">
        <w:rPr>
          <w:rFonts w:cs="Arial"/>
          <w:b/>
          <w:color w:val="00B050"/>
          <w:szCs w:val="20"/>
          <w:lang w:val="en-US" w:eastAsia="en-GB"/>
        </w:rPr>
        <w:t>-free</w:t>
      </w:r>
      <w:r w:rsidR="00CA64ED" w:rsidRPr="00AA3C1A">
        <w:rPr>
          <w:rFonts w:cs="Arial"/>
          <w:color w:val="00B050"/>
          <w:szCs w:val="20"/>
          <w:lang w:val="en-US" w:eastAsia="en-GB"/>
        </w:rPr>
        <w:t xml:space="preserve"> raised </w:t>
      </w:r>
      <w:r w:rsidR="005C5F4D" w:rsidRPr="00AA3C1A">
        <w:rPr>
          <w:rFonts w:cs="Arial"/>
          <w:color w:val="00B050"/>
          <w:szCs w:val="20"/>
          <w:lang w:val="en-US" w:eastAsia="en-GB"/>
        </w:rPr>
        <w:t xml:space="preserve">animals of investee </w:t>
      </w:r>
      <w:r w:rsidR="00CA64ED" w:rsidRPr="00AA3C1A">
        <w:rPr>
          <w:rFonts w:cs="Arial"/>
          <w:color w:val="00B050"/>
          <w:szCs w:val="20"/>
          <w:lang w:val="en-US" w:eastAsia="en-GB"/>
        </w:rPr>
        <w:t>entities</w:t>
      </w:r>
      <w:r w:rsidR="005C5F4D" w:rsidRPr="00AA3C1A">
        <w:rPr>
          <w:rFonts w:cs="Arial"/>
          <w:color w:val="00B050"/>
          <w:szCs w:val="20"/>
          <w:lang w:val="en-US" w:eastAsia="en-GB"/>
        </w:rPr>
        <w:t xml:space="preserve"> compared to </w:t>
      </w:r>
      <w:r w:rsidR="00CA64ED" w:rsidRPr="00AA3C1A">
        <w:rPr>
          <w:rFonts w:cs="Arial"/>
          <w:b/>
          <w:color w:val="00B050"/>
          <w:szCs w:val="20"/>
          <w:lang w:val="en-US" w:eastAsia="en-GB"/>
        </w:rPr>
        <w:t>confined</w:t>
      </w:r>
      <w:r w:rsidR="005C5F4D" w:rsidRPr="00AA3C1A">
        <w:rPr>
          <w:rFonts w:cs="Arial"/>
          <w:color w:val="00B050"/>
          <w:szCs w:val="20"/>
          <w:lang w:val="en-US" w:eastAsia="en-GB"/>
        </w:rPr>
        <w:t xml:space="preserve"> animals, expressed as a percentage</w:t>
      </w:r>
    </w:p>
    <w:p w14:paraId="7FC00613" w14:textId="0FAED40F" w:rsidR="006F4244" w:rsidRPr="008E452F" w:rsidRDefault="006325A5" w:rsidP="00C543DA">
      <w:pPr>
        <w:pStyle w:val="Paragraphedeliste"/>
        <w:numPr>
          <w:ilvl w:val="1"/>
          <w:numId w:val="43"/>
        </w:numPr>
        <w:autoSpaceDE w:val="0"/>
        <w:autoSpaceDN w:val="0"/>
        <w:adjustRightInd w:val="0"/>
        <w:jc w:val="both"/>
        <w:rPr>
          <w:rFonts w:cs="Arial"/>
          <w:color w:val="FF0000"/>
          <w:szCs w:val="20"/>
          <w:lang w:val="en-US" w:eastAsia="en-GB"/>
        </w:rPr>
      </w:pPr>
      <w:r w:rsidRPr="008E452F">
        <w:rPr>
          <w:rFonts w:cs="Arial"/>
          <w:color w:val="FF0000"/>
          <w:szCs w:val="20"/>
          <w:lang w:val="en-US" w:eastAsia="en-GB"/>
        </w:rPr>
        <w:t>N</w:t>
      </w:r>
      <w:r w:rsidR="006F4244" w:rsidRPr="008E452F">
        <w:rPr>
          <w:rFonts w:cs="Arial"/>
          <w:color w:val="FF0000"/>
          <w:szCs w:val="20"/>
          <w:lang w:val="en-US" w:eastAsia="en-GB"/>
        </w:rPr>
        <w:t xml:space="preserve">umber of animals </w:t>
      </w:r>
      <w:r w:rsidR="006F4244" w:rsidRPr="008E452F">
        <w:rPr>
          <w:rFonts w:cs="Arial"/>
          <w:b/>
          <w:color w:val="FF0000"/>
          <w:szCs w:val="20"/>
          <w:lang w:val="en-US" w:eastAsia="en-GB"/>
        </w:rPr>
        <w:t>experimented</w:t>
      </w:r>
      <w:r w:rsidR="006F4244" w:rsidRPr="008E452F">
        <w:rPr>
          <w:rFonts w:cs="Arial"/>
          <w:color w:val="FF0000"/>
          <w:szCs w:val="20"/>
          <w:lang w:val="en-US" w:eastAsia="en-GB"/>
        </w:rPr>
        <w:t xml:space="preserve"> / euthanized / rehabilitated by investee </w:t>
      </w:r>
      <w:r w:rsidR="002479F3" w:rsidRPr="008E452F">
        <w:rPr>
          <w:rFonts w:cs="Arial"/>
          <w:color w:val="FF0000"/>
          <w:szCs w:val="20"/>
          <w:lang w:val="en-US" w:eastAsia="en-GB"/>
        </w:rPr>
        <w:t>entities</w:t>
      </w:r>
      <w:r w:rsidR="006F4244" w:rsidRPr="008E452F">
        <w:rPr>
          <w:rFonts w:cs="Arial"/>
          <w:color w:val="FF0000"/>
          <w:szCs w:val="20"/>
          <w:lang w:val="en-US" w:eastAsia="en-GB"/>
        </w:rPr>
        <w:t xml:space="preserve"> broken down by species</w:t>
      </w:r>
    </w:p>
    <w:p w14:paraId="38A253D2" w14:textId="1147324A" w:rsidR="00BF5351" w:rsidRPr="008E452F" w:rsidRDefault="00BF5351" w:rsidP="008E452F">
      <w:pPr>
        <w:autoSpaceDE w:val="0"/>
        <w:autoSpaceDN w:val="0"/>
        <w:adjustRightInd w:val="0"/>
        <w:jc w:val="both"/>
        <w:rPr>
          <w:rFonts w:cs="Arial"/>
          <w:color w:val="FF0000"/>
          <w:szCs w:val="20"/>
          <w:lang w:val="en-US" w:eastAsia="en-GB"/>
        </w:rPr>
      </w:pPr>
    </w:p>
    <w:p w14:paraId="382BFC19" w14:textId="09727C1E" w:rsidR="0063181B" w:rsidRPr="008E452F" w:rsidRDefault="0063181B" w:rsidP="008E452F">
      <w:pPr>
        <w:jc w:val="both"/>
        <w:rPr>
          <w:rFonts w:cs="Arial"/>
          <w:color w:val="FF0000"/>
          <w:szCs w:val="20"/>
        </w:rPr>
      </w:pPr>
    </w:p>
    <w:p w14:paraId="78B1C92F" w14:textId="180C47B0" w:rsidR="0063181B" w:rsidRPr="008E452F" w:rsidRDefault="00BC7ADA" w:rsidP="008E452F">
      <w:pPr>
        <w:autoSpaceDE w:val="0"/>
        <w:autoSpaceDN w:val="0"/>
        <w:adjustRightInd w:val="0"/>
        <w:jc w:val="both"/>
        <w:rPr>
          <w:rFonts w:cs="Arial"/>
          <w:color w:val="FF0000"/>
          <w:szCs w:val="20"/>
        </w:rPr>
      </w:pPr>
      <w:r w:rsidRPr="008E452F">
        <w:rPr>
          <w:rFonts w:cs="Arial"/>
          <w:color w:val="FF0000"/>
          <w:szCs w:val="20"/>
        </w:rPr>
        <w:t xml:space="preserve">The metrics for the themes of </w:t>
      </w:r>
      <w:r w:rsidRPr="008E452F">
        <w:rPr>
          <w:rFonts w:cs="Arial"/>
          <w:b/>
          <w:color w:val="FF0000"/>
          <w:szCs w:val="20"/>
        </w:rPr>
        <w:t>deforestation</w:t>
      </w:r>
      <w:r w:rsidRPr="008E452F">
        <w:rPr>
          <w:rFonts w:cs="Arial"/>
          <w:color w:val="FF0000"/>
          <w:szCs w:val="20"/>
        </w:rPr>
        <w:t xml:space="preserve">, </w:t>
      </w:r>
      <w:r w:rsidRPr="008E452F">
        <w:rPr>
          <w:rFonts w:cs="Arial"/>
          <w:b/>
          <w:color w:val="FF0000"/>
          <w:szCs w:val="20"/>
        </w:rPr>
        <w:t>whistle-blowers</w:t>
      </w:r>
      <w:r w:rsidRPr="008E452F">
        <w:rPr>
          <w:rFonts w:cs="Arial"/>
          <w:color w:val="FF0000"/>
          <w:szCs w:val="20"/>
        </w:rPr>
        <w:t xml:space="preserve">, </w:t>
      </w:r>
      <w:r w:rsidRPr="008E452F">
        <w:rPr>
          <w:rFonts w:cs="Arial"/>
          <w:b/>
          <w:color w:val="FF0000"/>
          <w:szCs w:val="20"/>
        </w:rPr>
        <w:t>sustainable land/forestry/agriculture practices</w:t>
      </w:r>
      <w:r w:rsidRPr="008E452F">
        <w:rPr>
          <w:rFonts w:cs="Arial"/>
          <w:color w:val="FF0000"/>
          <w:szCs w:val="20"/>
        </w:rPr>
        <w:t xml:space="preserve">, and </w:t>
      </w:r>
      <w:r w:rsidRPr="008E452F">
        <w:rPr>
          <w:rFonts w:cs="Arial"/>
          <w:b/>
          <w:color w:val="FF0000"/>
          <w:szCs w:val="20"/>
        </w:rPr>
        <w:t>sustainable oceans/seas practices</w:t>
      </w:r>
      <w:r w:rsidRPr="008E452F">
        <w:rPr>
          <w:rFonts w:cs="Arial"/>
          <w:color w:val="FF0000"/>
          <w:szCs w:val="20"/>
        </w:rPr>
        <w:t xml:space="preserve"> are based only on the entities’ </w:t>
      </w:r>
      <w:r w:rsidRPr="008E452F">
        <w:rPr>
          <w:rFonts w:cs="Arial"/>
          <w:b/>
          <w:color w:val="FF0000"/>
          <w:szCs w:val="20"/>
        </w:rPr>
        <w:t>policies</w:t>
      </w:r>
      <w:r w:rsidRPr="008E452F">
        <w:rPr>
          <w:rFonts w:cs="Arial"/>
          <w:color w:val="FF0000"/>
          <w:szCs w:val="20"/>
        </w:rPr>
        <w:t xml:space="preserve"> which are exposed to declaration biases and to overrating risks. The </w:t>
      </w:r>
      <w:r w:rsidRPr="008E452F">
        <w:rPr>
          <w:rFonts w:cs="Arial"/>
          <w:b/>
          <w:color w:val="FF0000"/>
          <w:szCs w:val="20"/>
        </w:rPr>
        <w:t>recommendation is to fully replace them with the following more stringent indicators</w:t>
      </w:r>
      <w:r w:rsidRPr="008E452F">
        <w:rPr>
          <w:rFonts w:cs="Arial"/>
          <w:color w:val="FF0000"/>
          <w:szCs w:val="20"/>
        </w:rPr>
        <w:t>. Adding them to the existing metrics based on “policies” would dilute the biases effect without suppressing it.</w:t>
      </w:r>
    </w:p>
    <w:p w14:paraId="6D2F6DA3" w14:textId="77777777" w:rsidR="00BC7ADA" w:rsidRPr="008E452F" w:rsidRDefault="00BC7ADA" w:rsidP="008E452F">
      <w:pPr>
        <w:autoSpaceDE w:val="0"/>
        <w:autoSpaceDN w:val="0"/>
        <w:adjustRightInd w:val="0"/>
        <w:jc w:val="both"/>
        <w:rPr>
          <w:rFonts w:cs="Arial"/>
          <w:color w:val="FF0000"/>
          <w:szCs w:val="20"/>
        </w:rPr>
      </w:pPr>
    </w:p>
    <w:p w14:paraId="6E7DA3E5" w14:textId="5591C436" w:rsidR="009A075C" w:rsidRPr="008E452F" w:rsidRDefault="009A075C" w:rsidP="00C543DA">
      <w:pPr>
        <w:pStyle w:val="Paragraphedeliste"/>
        <w:numPr>
          <w:ilvl w:val="0"/>
          <w:numId w:val="46"/>
        </w:numPr>
        <w:autoSpaceDE w:val="0"/>
        <w:autoSpaceDN w:val="0"/>
        <w:adjustRightInd w:val="0"/>
        <w:ind w:left="709" w:hanging="283"/>
        <w:jc w:val="both"/>
        <w:rPr>
          <w:rFonts w:cs="Arial"/>
          <w:color w:val="FF0000"/>
          <w:szCs w:val="20"/>
        </w:rPr>
      </w:pPr>
      <w:r w:rsidRPr="008E452F">
        <w:rPr>
          <w:rFonts w:cs="Arial"/>
          <w:color w:val="FF0000"/>
          <w:szCs w:val="20"/>
        </w:rPr>
        <w:t xml:space="preserve">Share of </w:t>
      </w:r>
      <w:r w:rsidR="000C0A24" w:rsidRPr="008E452F">
        <w:rPr>
          <w:rFonts w:cs="Arial"/>
          <w:color w:val="FF0000"/>
          <w:szCs w:val="20"/>
        </w:rPr>
        <w:t>(</w:t>
      </w:r>
      <w:r w:rsidRPr="008E452F">
        <w:rPr>
          <w:rFonts w:cs="Arial"/>
          <w:color w:val="FF0000"/>
          <w:szCs w:val="20"/>
        </w:rPr>
        <w:t>investments in</w:t>
      </w:r>
      <w:r w:rsidR="000C0A24" w:rsidRPr="008E452F">
        <w:rPr>
          <w:rFonts w:cs="Arial"/>
          <w:color w:val="FF0000"/>
          <w:szCs w:val="20"/>
        </w:rPr>
        <w:t>)</w:t>
      </w:r>
      <w:r w:rsidRPr="008E452F">
        <w:rPr>
          <w:rFonts w:cs="Arial"/>
          <w:color w:val="FF0000"/>
          <w:szCs w:val="20"/>
        </w:rPr>
        <w:t xml:space="preserve"> entities without a </w:t>
      </w:r>
      <w:r w:rsidRPr="008E452F">
        <w:rPr>
          <w:rFonts w:cs="Arial"/>
          <w:b/>
          <w:color w:val="FF0000"/>
          <w:szCs w:val="20"/>
        </w:rPr>
        <w:t>due diligence</w:t>
      </w:r>
      <w:r w:rsidRPr="008E452F">
        <w:rPr>
          <w:rFonts w:cs="Arial"/>
          <w:color w:val="FF0000"/>
          <w:szCs w:val="20"/>
        </w:rPr>
        <w:t xml:space="preserve"> </w:t>
      </w:r>
      <w:r w:rsidR="004C0455" w:rsidRPr="008E452F">
        <w:rPr>
          <w:rFonts w:cs="Arial"/>
          <w:b/>
          <w:color w:val="FF0000"/>
          <w:szCs w:val="20"/>
        </w:rPr>
        <w:t>and control</w:t>
      </w:r>
      <w:r w:rsidR="004C0455" w:rsidRPr="008E452F">
        <w:rPr>
          <w:rFonts w:cs="Arial"/>
          <w:color w:val="FF0000"/>
          <w:szCs w:val="20"/>
        </w:rPr>
        <w:t xml:space="preserve"> </w:t>
      </w:r>
      <w:r w:rsidRPr="008E452F">
        <w:rPr>
          <w:rFonts w:cs="Arial"/>
          <w:color w:val="FF0000"/>
          <w:szCs w:val="20"/>
        </w:rPr>
        <w:t xml:space="preserve">process to identify, prevent, mitigate and address adverse </w:t>
      </w:r>
      <w:r w:rsidRPr="008E452F">
        <w:rPr>
          <w:rFonts w:cs="Arial"/>
          <w:b/>
          <w:color w:val="FF0000"/>
          <w:szCs w:val="20"/>
        </w:rPr>
        <w:t>deforestation</w:t>
      </w:r>
      <w:r w:rsidRPr="008E452F">
        <w:rPr>
          <w:rFonts w:cs="Arial"/>
          <w:color w:val="FF0000"/>
          <w:szCs w:val="20"/>
        </w:rPr>
        <w:t xml:space="preserve"> impacts</w:t>
      </w:r>
      <w:r w:rsidR="00515006" w:rsidRPr="008E452F">
        <w:rPr>
          <w:rFonts w:cs="Arial"/>
          <w:color w:val="FF0000"/>
          <w:szCs w:val="20"/>
        </w:rPr>
        <w:t xml:space="preserve"> </w:t>
      </w:r>
    </w:p>
    <w:p w14:paraId="5CD2BE44" w14:textId="6EA8B6F6" w:rsidR="000C0A24" w:rsidRPr="008E452F" w:rsidRDefault="000C0A24" w:rsidP="00C543DA">
      <w:pPr>
        <w:pStyle w:val="Paragraphedeliste"/>
        <w:numPr>
          <w:ilvl w:val="0"/>
          <w:numId w:val="46"/>
        </w:numPr>
        <w:ind w:left="709" w:hanging="283"/>
        <w:jc w:val="both"/>
        <w:rPr>
          <w:rFonts w:cs="Arial"/>
          <w:color w:val="FF0000"/>
          <w:szCs w:val="20"/>
        </w:rPr>
      </w:pPr>
      <w:r w:rsidRPr="008E452F">
        <w:rPr>
          <w:rFonts w:cs="Arial"/>
          <w:color w:val="FF0000"/>
          <w:szCs w:val="20"/>
        </w:rPr>
        <w:t xml:space="preserve">Share of (investments in) entities without </w:t>
      </w:r>
      <w:r w:rsidRPr="008E452F">
        <w:rPr>
          <w:rFonts w:cs="Arial"/>
          <w:b/>
          <w:color w:val="FF0000"/>
          <w:szCs w:val="20"/>
        </w:rPr>
        <w:t>procedures and controls</w:t>
      </w:r>
      <w:r w:rsidRPr="008E452F">
        <w:rPr>
          <w:rFonts w:cs="Arial"/>
          <w:color w:val="FF0000"/>
          <w:szCs w:val="20"/>
        </w:rPr>
        <w:t xml:space="preserve"> on the protection of </w:t>
      </w:r>
      <w:r w:rsidR="0025554B" w:rsidRPr="008E452F">
        <w:rPr>
          <w:rFonts w:cs="Arial"/>
          <w:b/>
          <w:color w:val="FF0000"/>
          <w:szCs w:val="20"/>
        </w:rPr>
        <w:t>whistle-blowers</w:t>
      </w:r>
    </w:p>
    <w:p w14:paraId="76229E46" w14:textId="28B0B1C0" w:rsidR="00EF5C08" w:rsidRPr="008E452F" w:rsidRDefault="00EF5C08" w:rsidP="00C543DA">
      <w:pPr>
        <w:pStyle w:val="Paragraphedeliste"/>
        <w:numPr>
          <w:ilvl w:val="0"/>
          <w:numId w:val="46"/>
        </w:numPr>
        <w:ind w:left="709" w:hanging="283"/>
        <w:jc w:val="both"/>
        <w:rPr>
          <w:rFonts w:cs="Arial"/>
          <w:color w:val="FF0000"/>
          <w:szCs w:val="20"/>
        </w:rPr>
      </w:pPr>
      <w:r w:rsidRPr="008E452F">
        <w:rPr>
          <w:rFonts w:cs="Arial"/>
          <w:color w:val="FF0000"/>
          <w:szCs w:val="20"/>
        </w:rPr>
        <w:t xml:space="preserve">Share of (investments in) investee companies </w:t>
      </w:r>
      <w:r w:rsidR="0084310C" w:rsidRPr="008E452F">
        <w:rPr>
          <w:rFonts w:cs="Arial"/>
          <w:b/>
          <w:color w:val="FF0000"/>
          <w:szCs w:val="20"/>
          <w:lang w:val="en-US" w:eastAsia="en-GB"/>
        </w:rPr>
        <w:t xml:space="preserve">with identified insufficiencies in actions </w:t>
      </w:r>
      <w:r w:rsidR="0084310C" w:rsidRPr="008E452F">
        <w:rPr>
          <w:rFonts w:cs="Arial"/>
          <w:color w:val="FF0000"/>
          <w:szCs w:val="20"/>
          <w:lang w:val="en-US" w:eastAsia="en-GB"/>
        </w:rPr>
        <w:t xml:space="preserve">taken </w:t>
      </w:r>
      <w:r w:rsidR="0084310C" w:rsidRPr="008E452F">
        <w:rPr>
          <w:rFonts w:cs="Arial"/>
          <w:b/>
          <w:color w:val="FF0000"/>
          <w:szCs w:val="20"/>
          <w:lang w:val="en-US" w:eastAsia="en-GB"/>
        </w:rPr>
        <w:t>to develop</w:t>
      </w:r>
      <w:r w:rsidR="0084310C" w:rsidRPr="008E452F">
        <w:rPr>
          <w:rFonts w:cs="Arial"/>
          <w:color w:val="FF0000"/>
          <w:szCs w:val="20"/>
          <w:lang w:val="en-US" w:eastAsia="en-GB"/>
        </w:rPr>
        <w:t xml:space="preserve"> </w:t>
      </w:r>
      <w:r w:rsidRPr="008E452F">
        <w:rPr>
          <w:rFonts w:cs="Arial"/>
          <w:b/>
          <w:color w:val="FF0000"/>
          <w:szCs w:val="20"/>
        </w:rPr>
        <w:t>sustainable land/forestry/agriculture practices</w:t>
      </w:r>
    </w:p>
    <w:p w14:paraId="3A32721C" w14:textId="4CCCDCAB" w:rsidR="008C48A6" w:rsidRPr="008E452F" w:rsidRDefault="00EF5C08" w:rsidP="00C543DA">
      <w:pPr>
        <w:pStyle w:val="Paragraphedeliste"/>
        <w:numPr>
          <w:ilvl w:val="0"/>
          <w:numId w:val="46"/>
        </w:numPr>
        <w:ind w:left="709" w:hanging="283"/>
        <w:jc w:val="both"/>
        <w:rPr>
          <w:rFonts w:cs="Arial"/>
          <w:color w:val="FF0000"/>
          <w:szCs w:val="20"/>
        </w:rPr>
      </w:pPr>
      <w:r w:rsidRPr="008E452F">
        <w:rPr>
          <w:rFonts w:cs="Arial"/>
          <w:color w:val="FF0000"/>
          <w:szCs w:val="20"/>
        </w:rPr>
        <w:t xml:space="preserve">Share of (investments in) investee companies </w:t>
      </w:r>
      <w:r w:rsidR="0084310C" w:rsidRPr="008E452F">
        <w:rPr>
          <w:rFonts w:cs="Arial"/>
          <w:b/>
          <w:color w:val="FF0000"/>
          <w:szCs w:val="20"/>
          <w:lang w:val="en-US" w:eastAsia="en-GB"/>
        </w:rPr>
        <w:t xml:space="preserve">with identified insufficiencies in actions </w:t>
      </w:r>
      <w:r w:rsidR="0084310C" w:rsidRPr="008E452F">
        <w:rPr>
          <w:rFonts w:cs="Arial"/>
          <w:color w:val="FF0000"/>
          <w:szCs w:val="20"/>
          <w:lang w:val="en-US" w:eastAsia="en-GB"/>
        </w:rPr>
        <w:t xml:space="preserve">taken </w:t>
      </w:r>
      <w:r w:rsidR="0084310C" w:rsidRPr="008E452F">
        <w:rPr>
          <w:rFonts w:cs="Arial"/>
          <w:b/>
          <w:color w:val="FF0000"/>
          <w:szCs w:val="20"/>
          <w:lang w:val="en-US" w:eastAsia="en-GB"/>
        </w:rPr>
        <w:t>to develop</w:t>
      </w:r>
      <w:r w:rsidR="0084310C" w:rsidRPr="008E452F">
        <w:rPr>
          <w:rFonts w:cs="Arial"/>
          <w:color w:val="FF0000"/>
          <w:szCs w:val="20"/>
          <w:lang w:val="en-US" w:eastAsia="en-GB"/>
        </w:rPr>
        <w:t xml:space="preserve"> </w:t>
      </w:r>
      <w:r w:rsidRPr="008E452F">
        <w:rPr>
          <w:rFonts w:cs="Arial"/>
          <w:b/>
          <w:color w:val="FF0000"/>
          <w:szCs w:val="20"/>
        </w:rPr>
        <w:t xml:space="preserve">sustainable oceans/seas practices </w:t>
      </w:r>
    </w:p>
    <w:p w14:paraId="6F41E836" w14:textId="41CBC7AF" w:rsidR="00915441" w:rsidRPr="008E452F" w:rsidRDefault="00915441" w:rsidP="008E452F">
      <w:pPr>
        <w:jc w:val="both"/>
        <w:rPr>
          <w:rFonts w:cs="Arial"/>
          <w:color w:val="FF0000"/>
          <w:szCs w:val="20"/>
        </w:rPr>
      </w:pPr>
    </w:p>
    <w:p w14:paraId="75B07E73" w14:textId="77777777" w:rsidR="00C413F1" w:rsidRPr="008E452F" w:rsidRDefault="00C413F1" w:rsidP="008E452F">
      <w:pPr>
        <w:jc w:val="both"/>
        <w:rPr>
          <w:rFonts w:cs="Arial"/>
          <w:color w:val="FF0000"/>
          <w:szCs w:val="20"/>
        </w:rPr>
      </w:pPr>
    </w:p>
    <w:p w14:paraId="41B867EE" w14:textId="6B9E9D69" w:rsidR="00C413F1" w:rsidRPr="008E452F" w:rsidRDefault="00C413F1" w:rsidP="008E452F">
      <w:pPr>
        <w:jc w:val="both"/>
        <w:rPr>
          <w:rFonts w:cs="Arial"/>
          <w:color w:val="FF0000"/>
          <w:szCs w:val="20"/>
        </w:rPr>
      </w:pPr>
      <w:r w:rsidRPr="008E452F">
        <w:rPr>
          <w:rFonts w:cs="Arial"/>
          <w:b/>
          <w:color w:val="FF0000"/>
          <w:szCs w:val="20"/>
        </w:rPr>
        <w:t>The following metrics</w:t>
      </w:r>
      <w:r w:rsidR="00E16FE3" w:rsidRPr="008E452F">
        <w:rPr>
          <w:rFonts w:cs="Arial"/>
          <w:b/>
          <w:color w:val="FF0000"/>
          <w:szCs w:val="20"/>
        </w:rPr>
        <w:t>, which are</w:t>
      </w:r>
      <w:r w:rsidR="00A353A3" w:rsidRPr="008E452F">
        <w:rPr>
          <w:rFonts w:cs="Arial"/>
          <w:b/>
          <w:color w:val="FF0000"/>
          <w:szCs w:val="20"/>
        </w:rPr>
        <w:t xml:space="preserve"> from Table 2 and 3</w:t>
      </w:r>
      <w:r w:rsidR="00E16FE3" w:rsidRPr="008E452F">
        <w:rPr>
          <w:rFonts w:cs="Arial"/>
          <w:b/>
          <w:color w:val="FF0000"/>
          <w:szCs w:val="20"/>
        </w:rPr>
        <w:t>,</w:t>
      </w:r>
      <w:r w:rsidRPr="008E452F">
        <w:rPr>
          <w:rFonts w:cs="Arial"/>
          <w:color w:val="FF0000"/>
          <w:szCs w:val="20"/>
        </w:rPr>
        <w:t xml:space="preserve"> are </w:t>
      </w:r>
      <w:r w:rsidRPr="008E452F">
        <w:rPr>
          <w:rFonts w:cs="Arial"/>
          <w:b/>
          <w:color w:val="FF0000"/>
          <w:szCs w:val="20"/>
        </w:rPr>
        <w:t xml:space="preserve">more discriminative than </w:t>
      </w:r>
      <w:r w:rsidR="00F9761F" w:rsidRPr="008E452F">
        <w:rPr>
          <w:rFonts w:cs="Arial"/>
          <w:b/>
          <w:color w:val="FF0000"/>
          <w:szCs w:val="20"/>
        </w:rPr>
        <w:t xml:space="preserve">just </w:t>
      </w:r>
      <w:r w:rsidRPr="008E452F">
        <w:rPr>
          <w:rFonts w:cs="Arial"/>
          <w:b/>
          <w:color w:val="FF0000"/>
          <w:szCs w:val="20"/>
        </w:rPr>
        <w:t>policies</w:t>
      </w:r>
      <w:r w:rsidRPr="008E452F">
        <w:rPr>
          <w:rFonts w:cs="Arial"/>
          <w:color w:val="FF0000"/>
          <w:szCs w:val="20"/>
        </w:rPr>
        <w:t xml:space="preserve"> </w:t>
      </w:r>
      <w:r w:rsidR="00C37321" w:rsidRPr="008E452F">
        <w:rPr>
          <w:rFonts w:cs="Arial"/>
          <w:color w:val="FF0000"/>
          <w:szCs w:val="20"/>
        </w:rPr>
        <w:t>and are less</w:t>
      </w:r>
      <w:r w:rsidRPr="008E452F">
        <w:rPr>
          <w:rFonts w:cs="Arial"/>
          <w:color w:val="FF0000"/>
          <w:szCs w:val="20"/>
        </w:rPr>
        <w:t xml:space="preserve"> </w:t>
      </w:r>
      <w:r w:rsidR="00F9761F" w:rsidRPr="008E452F">
        <w:rPr>
          <w:rFonts w:cs="Arial"/>
          <w:color w:val="FF0000"/>
          <w:szCs w:val="20"/>
        </w:rPr>
        <w:t>exposed</w:t>
      </w:r>
      <w:r w:rsidRPr="008E452F">
        <w:rPr>
          <w:rFonts w:cs="Arial"/>
          <w:color w:val="FF0000"/>
          <w:szCs w:val="20"/>
        </w:rPr>
        <w:t xml:space="preserve"> to </w:t>
      </w:r>
      <w:r w:rsidR="00EB071A">
        <w:rPr>
          <w:rFonts w:cs="Arial"/>
          <w:color w:val="FF0000"/>
          <w:szCs w:val="20"/>
        </w:rPr>
        <w:t xml:space="preserve">overrating and </w:t>
      </w:r>
      <w:r w:rsidRPr="008E452F">
        <w:rPr>
          <w:rFonts w:cs="Arial"/>
          <w:color w:val="FF0000"/>
          <w:szCs w:val="20"/>
        </w:rPr>
        <w:t>declaration bias</w:t>
      </w:r>
      <w:r w:rsidR="00E16FE3" w:rsidRPr="008E452F">
        <w:rPr>
          <w:rFonts w:cs="Arial"/>
          <w:color w:val="FF0000"/>
          <w:szCs w:val="20"/>
        </w:rPr>
        <w:t>. They</w:t>
      </w:r>
      <w:r w:rsidRPr="008E452F">
        <w:rPr>
          <w:rFonts w:cs="Arial"/>
          <w:color w:val="FF0000"/>
          <w:szCs w:val="20"/>
        </w:rPr>
        <w:t xml:space="preserve"> </w:t>
      </w:r>
      <w:r w:rsidRPr="008E452F">
        <w:rPr>
          <w:rFonts w:cs="Arial"/>
          <w:b/>
          <w:color w:val="FF0000"/>
          <w:szCs w:val="20"/>
        </w:rPr>
        <w:t>should be compulsories</w:t>
      </w:r>
      <w:r w:rsidRPr="008E452F">
        <w:rPr>
          <w:rFonts w:cs="Arial"/>
          <w:color w:val="FF0000"/>
          <w:szCs w:val="20"/>
        </w:rPr>
        <w:t xml:space="preserve"> and </w:t>
      </w:r>
      <w:r w:rsidRPr="008E452F">
        <w:rPr>
          <w:rFonts w:cs="Arial"/>
          <w:b/>
          <w:color w:val="FF0000"/>
          <w:szCs w:val="20"/>
        </w:rPr>
        <w:t>be part of table 1</w:t>
      </w:r>
      <w:r w:rsidR="005544BF" w:rsidRPr="008E452F">
        <w:rPr>
          <w:rFonts w:cs="Arial"/>
          <w:color w:val="FF0000"/>
          <w:szCs w:val="20"/>
        </w:rPr>
        <w:t xml:space="preserve">. To ensure a </w:t>
      </w:r>
      <w:r w:rsidR="005544BF" w:rsidRPr="008E452F">
        <w:rPr>
          <w:rFonts w:cs="Arial"/>
          <w:b/>
          <w:color w:val="FF0000"/>
          <w:szCs w:val="20"/>
        </w:rPr>
        <w:t>parsimony principle</w:t>
      </w:r>
      <w:r w:rsidR="00E16FE3" w:rsidRPr="008E452F">
        <w:rPr>
          <w:rFonts w:cs="Arial"/>
          <w:b/>
          <w:color w:val="FF0000"/>
          <w:szCs w:val="20"/>
        </w:rPr>
        <w:t xml:space="preserve"> of indicators</w:t>
      </w:r>
      <w:r w:rsidR="005544BF" w:rsidRPr="008E452F">
        <w:rPr>
          <w:rFonts w:cs="Arial"/>
          <w:b/>
          <w:color w:val="FF0000"/>
          <w:szCs w:val="20"/>
        </w:rPr>
        <w:t>, to avoid forms of redundancies</w:t>
      </w:r>
      <w:r w:rsidR="005544BF" w:rsidRPr="008E452F">
        <w:rPr>
          <w:rFonts w:cs="Arial"/>
          <w:color w:val="FF0000"/>
          <w:szCs w:val="20"/>
        </w:rPr>
        <w:t xml:space="preserve">, </w:t>
      </w:r>
      <w:r w:rsidR="00E16FE3" w:rsidRPr="008E452F">
        <w:rPr>
          <w:rFonts w:cs="Arial"/>
          <w:color w:val="FF0000"/>
          <w:szCs w:val="20"/>
        </w:rPr>
        <w:t xml:space="preserve">and to privilege the most accurate and stringent metrics, </w:t>
      </w:r>
      <w:r w:rsidR="005544BF" w:rsidRPr="008E452F">
        <w:rPr>
          <w:rFonts w:cs="Arial"/>
          <w:color w:val="FF0000"/>
          <w:szCs w:val="20"/>
        </w:rPr>
        <w:t xml:space="preserve">these more discriminative indicators can </w:t>
      </w:r>
      <w:r w:rsidR="005544BF" w:rsidRPr="008E452F">
        <w:rPr>
          <w:rFonts w:cs="Arial"/>
          <w:b/>
          <w:color w:val="FF0000"/>
          <w:szCs w:val="20"/>
        </w:rPr>
        <w:t>replace</w:t>
      </w:r>
      <w:r w:rsidR="005544BF" w:rsidRPr="008E452F">
        <w:rPr>
          <w:rFonts w:cs="Arial"/>
          <w:color w:val="FF0000"/>
          <w:szCs w:val="20"/>
        </w:rPr>
        <w:t xml:space="preserve"> their </w:t>
      </w:r>
      <w:r w:rsidR="00E16FE3" w:rsidRPr="008E452F">
        <w:rPr>
          <w:rFonts w:cs="Arial"/>
          <w:color w:val="FF0000"/>
          <w:szCs w:val="20"/>
        </w:rPr>
        <w:t>equivalents based on “policies”:</w:t>
      </w:r>
    </w:p>
    <w:p w14:paraId="4AF1EF00" w14:textId="54180DA9" w:rsidR="00C413F1" w:rsidRPr="008E452F" w:rsidRDefault="00F9761F" w:rsidP="008E452F">
      <w:pPr>
        <w:jc w:val="both"/>
        <w:rPr>
          <w:rFonts w:cs="Arial"/>
          <w:color w:val="FF0000"/>
          <w:szCs w:val="20"/>
        </w:rPr>
      </w:pPr>
      <w:r w:rsidRPr="008E452F">
        <w:rPr>
          <w:rFonts w:cs="Arial"/>
          <w:color w:val="FF0000"/>
          <w:szCs w:val="20"/>
        </w:rPr>
        <w:t>(From Table 2)</w:t>
      </w:r>
    </w:p>
    <w:p w14:paraId="38DD336C" w14:textId="525AF321" w:rsidR="00C413F1" w:rsidRPr="008E452F" w:rsidRDefault="00C413F1" w:rsidP="00C543DA">
      <w:pPr>
        <w:pStyle w:val="Paragraphedeliste"/>
        <w:numPr>
          <w:ilvl w:val="0"/>
          <w:numId w:val="44"/>
        </w:numPr>
        <w:jc w:val="both"/>
        <w:rPr>
          <w:rFonts w:cs="Arial"/>
          <w:color w:val="FF0000"/>
          <w:szCs w:val="20"/>
        </w:rPr>
      </w:pPr>
      <w:r w:rsidRPr="008E452F">
        <w:rPr>
          <w:rFonts w:cs="Arial"/>
          <w:color w:val="FF0000"/>
          <w:szCs w:val="20"/>
        </w:rPr>
        <w:t>tonnes of inorganic pollutants equivalent per million EUR invested</w:t>
      </w:r>
    </w:p>
    <w:p w14:paraId="322BB0D7" w14:textId="409FF7E5" w:rsidR="00C413F1" w:rsidRPr="008E452F" w:rsidRDefault="00C413F1" w:rsidP="00C543DA">
      <w:pPr>
        <w:pStyle w:val="Paragraphedeliste"/>
        <w:numPr>
          <w:ilvl w:val="0"/>
          <w:numId w:val="44"/>
        </w:numPr>
        <w:jc w:val="both"/>
        <w:rPr>
          <w:rFonts w:cs="Arial"/>
          <w:color w:val="FF0000"/>
          <w:szCs w:val="20"/>
        </w:rPr>
      </w:pPr>
      <w:r w:rsidRPr="008E452F">
        <w:rPr>
          <w:rFonts w:cs="Arial"/>
          <w:color w:val="FF0000"/>
          <w:szCs w:val="20"/>
        </w:rPr>
        <w:t>tonnes of air pollutants equivalent per million EUR invested</w:t>
      </w:r>
    </w:p>
    <w:p w14:paraId="346DD17E" w14:textId="6078A763" w:rsidR="00C413F1" w:rsidRPr="008E452F" w:rsidRDefault="00C413F1" w:rsidP="00C543DA">
      <w:pPr>
        <w:pStyle w:val="Paragraphedeliste"/>
        <w:numPr>
          <w:ilvl w:val="0"/>
          <w:numId w:val="44"/>
        </w:numPr>
        <w:jc w:val="both"/>
        <w:rPr>
          <w:rFonts w:cs="Arial"/>
          <w:color w:val="FF0000"/>
          <w:szCs w:val="20"/>
        </w:rPr>
      </w:pPr>
      <w:r w:rsidRPr="008E452F">
        <w:rPr>
          <w:rFonts w:cs="Arial"/>
          <w:color w:val="FF0000"/>
          <w:szCs w:val="20"/>
        </w:rPr>
        <w:t>tonnes of ozone depletion substances equivalent per million EUR invested</w:t>
      </w:r>
    </w:p>
    <w:p w14:paraId="67E2BA41" w14:textId="03C90FA7" w:rsidR="00C413F1" w:rsidRPr="008E452F" w:rsidRDefault="00C413F1" w:rsidP="00C543DA">
      <w:pPr>
        <w:pStyle w:val="Paragraphedeliste"/>
        <w:numPr>
          <w:ilvl w:val="0"/>
          <w:numId w:val="44"/>
        </w:numPr>
        <w:jc w:val="both"/>
        <w:rPr>
          <w:rFonts w:cs="Arial"/>
          <w:color w:val="FF0000"/>
          <w:szCs w:val="20"/>
        </w:rPr>
      </w:pPr>
      <w:r w:rsidRPr="008E452F">
        <w:rPr>
          <w:rFonts w:cs="Arial"/>
          <w:color w:val="FF0000"/>
          <w:szCs w:val="20"/>
        </w:rPr>
        <w:t>Average amount of water consumed and reclaimed by the investee companies (in cubic meter) per million EUR of revenue of investee companies</w:t>
      </w:r>
    </w:p>
    <w:p w14:paraId="536A3CBA" w14:textId="76F31F48" w:rsidR="00C413F1" w:rsidRPr="008E452F" w:rsidRDefault="00C413F1" w:rsidP="00C543DA">
      <w:pPr>
        <w:pStyle w:val="Paragraphedeliste"/>
        <w:numPr>
          <w:ilvl w:val="0"/>
          <w:numId w:val="44"/>
        </w:numPr>
        <w:jc w:val="both"/>
        <w:rPr>
          <w:rFonts w:cs="Arial"/>
          <w:color w:val="FF0000"/>
          <w:szCs w:val="20"/>
        </w:rPr>
      </w:pPr>
      <w:r w:rsidRPr="008E452F">
        <w:rPr>
          <w:rFonts w:cs="Arial"/>
          <w:color w:val="FF0000"/>
          <w:szCs w:val="20"/>
        </w:rPr>
        <w:t>Weighted average percentage of water recycled and reused by investee companies</w:t>
      </w:r>
    </w:p>
    <w:p w14:paraId="6804014B" w14:textId="16DC3BEF" w:rsidR="00C413F1" w:rsidRPr="008E452F" w:rsidRDefault="00C413F1" w:rsidP="00C543DA">
      <w:pPr>
        <w:pStyle w:val="Paragraphedeliste"/>
        <w:numPr>
          <w:ilvl w:val="0"/>
          <w:numId w:val="44"/>
        </w:numPr>
        <w:jc w:val="both"/>
        <w:rPr>
          <w:rFonts w:cs="Arial"/>
          <w:color w:val="FF0000"/>
          <w:szCs w:val="20"/>
        </w:rPr>
      </w:pPr>
      <w:r w:rsidRPr="008E452F">
        <w:rPr>
          <w:rFonts w:cs="Arial"/>
          <w:color w:val="FF0000"/>
          <w:szCs w:val="20"/>
        </w:rPr>
        <w:t>Land degradation, desertification and soil sealing as a percentage of land by the investee companies invests in</w:t>
      </w:r>
    </w:p>
    <w:p w14:paraId="19F40403" w14:textId="7289BC7B" w:rsidR="00C413F1" w:rsidRPr="008E452F" w:rsidRDefault="00C413F1" w:rsidP="00C543DA">
      <w:pPr>
        <w:pStyle w:val="Paragraphedeliste"/>
        <w:numPr>
          <w:ilvl w:val="0"/>
          <w:numId w:val="44"/>
        </w:numPr>
        <w:jc w:val="both"/>
        <w:rPr>
          <w:rFonts w:cs="Arial"/>
          <w:color w:val="FF0000"/>
          <w:szCs w:val="20"/>
        </w:rPr>
      </w:pPr>
      <w:r w:rsidRPr="008E452F">
        <w:rPr>
          <w:rFonts w:cs="Arial"/>
          <w:color w:val="FF0000"/>
          <w:szCs w:val="20"/>
        </w:rPr>
        <w:t>Share of securities in investments not certified as green</w:t>
      </w:r>
    </w:p>
    <w:p w14:paraId="2910C0E2" w14:textId="280061C9" w:rsidR="001E4CDE" w:rsidRPr="008E452F" w:rsidRDefault="00F9761F" w:rsidP="008E452F">
      <w:pPr>
        <w:jc w:val="both"/>
        <w:rPr>
          <w:rFonts w:cs="Arial"/>
          <w:color w:val="FF0000"/>
          <w:szCs w:val="20"/>
        </w:rPr>
      </w:pPr>
      <w:r w:rsidRPr="008E452F">
        <w:rPr>
          <w:rFonts w:cs="Arial"/>
          <w:color w:val="FF0000"/>
          <w:szCs w:val="20"/>
        </w:rPr>
        <w:t>(From Table 3)</w:t>
      </w:r>
    </w:p>
    <w:p w14:paraId="55ED7BDA" w14:textId="5BA4CB9C" w:rsidR="001E4CDE" w:rsidRPr="008E452F" w:rsidRDefault="001E4CDE" w:rsidP="00C543DA">
      <w:pPr>
        <w:pStyle w:val="Paragraphedeliste"/>
        <w:numPr>
          <w:ilvl w:val="0"/>
          <w:numId w:val="45"/>
        </w:numPr>
        <w:ind w:left="709" w:hanging="283"/>
        <w:jc w:val="both"/>
        <w:rPr>
          <w:rFonts w:cs="Arial"/>
          <w:color w:val="FF0000"/>
          <w:szCs w:val="20"/>
        </w:rPr>
      </w:pPr>
      <w:r w:rsidRPr="008E452F">
        <w:rPr>
          <w:rFonts w:cs="Arial"/>
          <w:color w:val="FF0000"/>
          <w:szCs w:val="20"/>
        </w:rPr>
        <w:t>Number/rate of accidents, injuries, fatalities frequency in investee companies</w:t>
      </w:r>
    </w:p>
    <w:p w14:paraId="5C240220" w14:textId="1DAE23F4" w:rsidR="001E4CDE" w:rsidRPr="008E452F" w:rsidRDefault="001E4CDE" w:rsidP="00C543DA">
      <w:pPr>
        <w:pStyle w:val="Paragraphedeliste"/>
        <w:numPr>
          <w:ilvl w:val="0"/>
          <w:numId w:val="45"/>
        </w:numPr>
        <w:ind w:left="709" w:hanging="283"/>
        <w:jc w:val="both"/>
        <w:rPr>
          <w:rFonts w:cs="Arial"/>
          <w:color w:val="FF0000"/>
          <w:szCs w:val="20"/>
        </w:rPr>
      </w:pPr>
      <w:r w:rsidRPr="008E452F">
        <w:rPr>
          <w:rFonts w:cs="Arial"/>
          <w:color w:val="FF0000"/>
          <w:szCs w:val="20"/>
        </w:rPr>
        <w:t>Number of workdays lost to injuries, accidents, fatalities, illness of investee companies</w:t>
      </w:r>
    </w:p>
    <w:p w14:paraId="3CA60648" w14:textId="3A5D591A" w:rsidR="001E4CDE" w:rsidRPr="008E452F" w:rsidRDefault="001E4CDE" w:rsidP="00C543DA">
      <w:pPr>
        <w:pStyle w:val="Paragraphedeliste"/>
        <w:numPr>
          <w:ilvl w:val="0"/>
          <w:numId w:val="45"/>
        </w:numPr>
        <w:ind w:left="709" w:hanging="283"/>
        <w:jc w:val="both"/>
        <w:rPr>
          <w:rFonts w:cs="Arial"/>
          <w:color w:val="FF0000"/>
          <w:szCs w:val="20"/>
        </w:rPr>
      </w:pPr>
      <w:r w:rsidRPr="008E452F">
        <w:rPr>
          <w:rFonts w:cs="Arial"/>
          <w:color w:val="FF0000"/>
          <w:szCs w:val="20"/>
        </w:rPr>
        <w:t>Share of investments in investee companies without any supplier code of conduct (against unsafe working conditions, precarious work, child labour and forced labour)</w:t>
      </w:r>
    </w:p>
    <w:p w14:paraId="2A300F7E" w14:textId="357A1B8B" w:rsidR="001E4CDE" w:rsidRPr="008E452F" w:rsidRDefault="001E4CDE" w:rsidP="00C543DA">
      <w:pPr>
        <w:pStyle w:val="Paragraphedeliste"/>
        <w:numPr>
          <w:ilvl w:val="0"/>
          <w:numId w:val="45"/>
        </w:numPr>
        <w:ind w:left="709" w:hanging="283"/>
        <w:jc w:val="both"/>
        <w:rPr>
          <w:rFonts w:cs="Arial"/>
          <w:color w:val="FF0000"/>
          <w:szCs w:val="20"/>
        </w:rPr>
      </w:pPr>
      <w:r w:rsidRPr="008E452F">
        <w:rPr>
          <w:rFonts w:cs="Arial"/>
          <w:color w:val="FF0000"/>
          <w:szCs w:val="20"/>
        </w:rPr>
        <w:t>Percentage of specific control and/or certified compliance for this code of conduct among suppliers of investee companies</w:t>
      </w:r>
    </w:p>
    <w:p w14:paraId="187DD191" w14:textId="019912C6" w:rsidR="001E4CDE" w:rsidRPr="008E452F" w:rsidRDefault="001E4CDE" w:rsidP="00C543DA">
      <w:pPr>
        <w:pStyle w:val="Paragraphedeliste"/>
        <w:numPr>
          <w:ilvl w:val="0"/>
          <w:numId w:val="45"/>
        </w:numPr>
        <w:ind w:left="709" w:hanging="283"/>
        <w:jc w:val="both"/>
        <w:rPr>
          <w:rFonts w:cs="Arial"/>
          <w:color w:val="FF0000"/>
          <w:szCs w:val="20"/>
        </w:rPr>
      </w:pPr>
      <w:r w:rsidRPr="008E452F">
        <w:rPr>
          <w:rFonts w:cs="Arial"/>
          <w:color w:val="FF0000"/>
          <w:szCs w:val="20"/>
        </w:rPr>
        <w:t>Number of incidents of discrimination (leading to sanctions) in investee companies</w:t>
      </w:r>
    </w:p>
    <w:p w14:paraId="6871FA30" w14:textId="19A3E1AF" w:rsidR="001E4CDE" w:rsidRPr="008E452F" w:rsidRDefault="001E4CDE" w:rsidP="00C543DA">
      <w:pPr>
        <w:pStyle w:val="Paragraphedeliste"/>
        <w:numPr>
          <w:ilvl w:val="0"/>
          <w:numId w:val="45"/>
        </w:numPr>
        <w:ind w:left="709" w:hanging="283"/>
        <w:jc w:val="both"/>
        <w:rPr>
          <w:rFonts w:cs="Arial"/>
          <w:color w:val="FF0000"/>
          <w:szCs w:val="20"/>
        </w:rPr>
      </w:pPr>
      <w:r w:rsidRPr="008E452F">
        <w:rPr>
          <w:rFonts w:cs="Arial"/>
          <w:color w:val="FF0000"/>
          <w:szCs w:val="20"/>
        </w:rPr>
        <w:t>Share of (investments in) investee companies without separate CEO and Chair functions</w:t>
      </w:r>
    </w:p>
    <w:p w14:paraId="72B06591" w14:textId="51F98976" w:rsidR="00C413F1" w:rsidRPr="00D45CCE" w:rsidRDefault="001E4CDE" w:rsidP="00C543DA">
      <w:pPr>
        <w:pStyle w:val="Paragraphedeliste"/>
        <w:numPr>
          <w:ilvl w:val="0"/>
          <w:numId w:val="45"/>
        </w:numPr>
        <w:ind w:left="709" w:hanging="283"/>
        <w:jc w:val="both"/>
        <w:rPr>
          <w:rFonts w:cs="Arial"/>
          <w:color w:val="00B050"/>
          <w:szCs w:val="20"/>
        </w:rPr>
      </w:pPr>
      <w:r w:rsidRPr="00D45CCE">
        <w:rPr>
          <w:rFonts w:cs="Arial"/>
          <w:color w:val="00B050"/>
          <w:szCs w:val="20"/>
        </w:rPr>
        <w:t xml:space="preserve">Share of securities in investments not </w:t>
      </w:r>
      <w:r w:rsidRPr="00D45CCE">
        <w:rPr>
          <w:rFonts w:cs="Arial"/>
          <w:color w:val="00B050"/>
          <w:szCs w:val="20"/>
          <w:u w:val="single"/>
        </w:rPr>
        <w:t>labelled</w:t>
      </w:r>
      <w:r w:rsidRPr="00D45CCE">
        <w:rPr>
          <w:rFonts w:cs="Arial"/>
          <w:color w:val="00B050"/>
          <w:szCs w:val="20"/>
        </w:rPr>
        <w:t xml:space="preserve"> as </w:t>
      </w:r>
      <w:r w:rsidRPr="00D45CCE">
        <w:rPr>
          <w:rFonts w:cs="Arial"/>
          <w:color w:val="00B050"/>
          <w:szCs w:val="20"/>
          <w:u w:val="single"/>
        </w:rPr>
        <w:t>social</w:t>
      </w:r>
      <w:r w:rsidRPr="00D45CCE">
        <w:rPr>
          <w:rFonts w:cs="Arial"/>
          <w:color w:val="00B050"/>
          <w:szCs w:val="20"/>
        </w:rPr>
        <w:t xml:space="preserve">, </w:t>
      </w:r>
      <w:r w:rsidRPr="00D45CCE">
        <w:rPr>
          <w:rFonts w:cs="Arial"/>
          <w:color w:val="00B050"/>
          <w:szCs w:val="20"/>
          <w:u w:val="single"/>
        </w:rPr>
        <w:t>green</w:t>
      </w:r>
      <w:r w:rsidRPr="00D45CCE">
        <w:rPr>
          <w:rFonts w:cs="Arial"/>
          <w:color w:val="00B050"/>
          <w:szCs w:val="20"/>
        </w:rPr>
        <w:t xml:space="preserve">, or </w:t>
      </w:r>
      <w:r w:rsidRPr="00D45CCE">
        <w:rPr>
          <w:rFonts w:cs="Arial"/>
          <w:color w:val="00B050"/>
          <w:szCs w:val="20"/>
          <w:u w:val="single"/>
        </w:rPr>
        <w:t>sustainable</w:t>
      </w:r>
      <w:r w:rsidRPr="00D45CCE">
        <w:rPr>
          <w:rFonts w:cs="Arial"/>
          <w:color w:val="00B050"/>
          <w:szCs w:val="20"/>
        </w:rPr>
        <w:t xml:space="preserve">. </w:t>
      </w:r>
      <w:r w:rsidRPr="00D45CCE">
        <w:rPr>
          <w:rFonts w:cs="Arial"/>
          <w:color w:val="00B050"/>
          <w:szCs w:val="20"/>
          <w:u w:val="single"/>
        </w:rPr>
        <w:t>Explanation</w:t>
      </w:r>
      <w:r w:rsidRPr="00D45CCE">
        <w:rPr>
          <w:rFonts w:cs="Arial"/>
          <w:color w:val="00B050"/>
          <w:szCs w:val="20"/>
        </w:rPr>
        <w:t xml:space="preserve">: </w:t>
      </w:r>
      <w:r w:rsidR="00341D95" w:rsidRPr="00D45CCE">
        <w:rPr>
          <w:rFonts w:cs="Arial"/>
          <w:color w:val="00B050"/>
          <w:szCs w:val="20"/>
        </w:rPr>
        <w:t>the scope is wider than social bonds only. T</w:t>
      </w:r>
      <w:r w:rsidRPr="00D45CCE">
        <w:rPr>
          <w:rFonts w:cs="Arial"/>
          <w:color w:val="00B050"/>
          <w:szCs w:val="20"/>
        </w:rPr>
        <w:t>he word “label” refers to national labels as SRI &amp; Greenfin, FNG-Siegel, LuxFlag, FebelFin</w:t>
      </w:r>
      <w:bookmarkStart w:id="1" w:name="_GoBack"/>
      <w:bookmarkEnd w:id="1"/>
      <w:r w:rsidRPr="00D45CCE">
        <w:rPr>
          <w:rFonts w:cs="Arial"/>
          <w:color w:val="00B050"/>
          <w:szCs w:val="20"/>
        </w:rPr>
        <w:t>, Nordic Swan label</w:t>
      </w:r>
      <w:r w:rsidR="00017CE7" w:rsidRPr="00D45CCE">
        <w:rPr>
          <w:rFonts w:cs="Arial"/>
          <w:color w:val="00B050"/>
          <w:szCs w:val="20"/>
        </w:rPr>
        <w:t xml:space="preserve"> or green / social and sustainable bonds.</w:t>
      </w:r>
      <w:r w:rsidRPr="00D45CCE">
        <w:rPr>
          <w:rFonts w:cs="Arial"/>
          <w:color w:val="00B050"/>
          <w:szCs w:val="20"/>
        </w:rPr>
        <w:t xml:space="preserve"> </w:t>
      </w:r>
    </w:p>
    <w:p w14:paraId="71F7A72A" w14:textId="77777777" w:rsidR="001E4CDE" w:rsidRPr="008E452F" w:rsidRDefault="001E4CDE" w:rsidP="008E452F">
      <w:pPr>
        <w:pStyle w:val="Paragraphedeliste"/>
        <w:jc w:val="both"/>
        <w:rPr>
          <w:rFonts w:cs="Arial"/>
          <w:color w:val="FF0000"/>
          <w:szCs w:val="20"/>
        </w:rPr>
      </w:pPr>
    </w:p>
    <w:p w14:paraId="6B7B9002" w14:textId="6FA6F4A1" w:rsidR="000B7FDA" w:rsidRPr="008E452F" w:rsidRDefault="000B7FDA" w:rsidP="008E452F">
      <w:pPr>
        <w:jc w:val="both"/>
        <w:rPr>
          <w:rFonts w:cs="Arial"/>
          <w:color w:val="FF0000"/>
          <w:szCs w:val="20"/>
        </w:rPr>
      </w:pPr>
      <w:r w:rsidRPr="008E452F">
        <w:rPr>
          <w:rFonts w:cs="Arial"/>
          <w:color w:val="FF0000"/>
          <w:szCs w:val="20"/>
        </w:rPr>
        <w:t>To answer to the question, yes, since</w:t>
      </w:r>
      <w:r w:rsidR="009C74FA" w:rsidRPr="008E452F">
        <w:rPr>
          <w:rFonts w:cs="Arial"/>
          <w:color w:val="FF0000"/>
          <w:szCs w:val="20"/>
        </w:rPr>
        <w:t xml:space="preserve"> </w:t>
      </w:r>
      <w:r w:rsidR="00227032" w:rsidRPr="008E452F">
        <w:rPr>
          <w:rFonts w:cs="Arial"/>
          <w:color w:val="FF0000"/>
          <w:szCs w:val="20"/>
        </w:rPr>
        <w:t>finance’s aim is</w:t>
      </w:r>
      <w:r w:rsidRPr="008E452F">
        <w:rPr>
          <w:rFonts w:cs="Arial"/>
          <w:color w:val="FF0000"/>
          <w:szCs w:val="20"/>
        </w:rPr>
        <w:t xml:space="preserve"> to anticipate events, it would be very useful to introduce forward-looking i</w:t>
      </w:r>
      <w:r w:rsidR="009C74FA" w:rsidRPr="008E452F">
        <w:rPr>
          <w:rFonts w:cs="Arial"/>
          <w:color w:val="FF0000"/>
          <w:szCs w:val="20"/>
        </w:rPr>
        <w:t xml:space="preserve">ndicators, with quantitative </w:t>
      </w:r>
      <w:r w:rsidRPr="008E452F">
        <w:rPr>
          <w:rFonts w:cs="Arial"/>
          <w:color w:val="FF0000"/>
          <w:szCs w:val="20"/>
        </w:rPr>
        <w:t>targets</w:t>
      </w:r>
      <w:r w:rsidR="00227032" w:rsidRPr="008E452F">
        <w:rPr>
          <w:rFonts w:cs="Arial"/>
          <w:color w:val="FF0000"/>
          <w:szCs w:val="20"/>
        </w:rPr>
        <w:t xml:space="preserve"> fixed in a short to mid-time horizon (every year, every 3 years, every 5 years). Fixing a far-time targets favours procrastination (ex: 2030 target).</w:t>
      </w:r>
      <w:r w:rsidR="002377EB" w:rsidRPr="008E452F">
        <w:rPr>
          <w:rFonts w:cs="Arial"/>
          <w:color w:val="FF0000"/>
          <w:szCs w:val="20"/>
        </w:rPr>
        <w:t xml:space="preserve"> </w:t>
      </w:r>
    </w:p>
    <w:p w14:paraId="462D3E1D" w14:textId="77777777" w:rsidR="002B3581" w:rsidRPr="008E452F" w:rsidRDefault="002B3581" w:rsidP="008E452F">
      <w:pPr>
        <w:jc w:val="both"/>
        <w:rPr>
          <w:rFonts w:cs="Arial"/>
          <w:color w:val="FF0000"/>
          <w:szCs w:val="20"/>
        </w:rPr>
      </w:pPr>
    </w:p>
    <w:p w14:paraId="6E9435D3" w14:textId="61CE6608" w:rsidR="009C74FA" w:rsidRPr="008E452F" w:rsidRDefault="002377EB" w:rsidP="008E452F">
      <w:pPr>
        <w:jc w:val="both"/>
        <w:rPr>
          <w:rFonts w:cs="Arial"/>
          <w:color w:val="FF0000"/>
          <w:szCs w:val="20"/>
        </w:rPr>
      </w:pPr>
      <w:r w:rsidRPr="008E452F">
        <w:rPr>
          <w:rFonts w:cs="Arial"/>
          <w:color w:val="FF0000"/>
          <w:szCs w:val="20"/>
        </w:rPr>
        <w:t xml:space="preserve">Scope 4 is a good idea since it can </w:t>
      </w:r>
      <w:proofErr w:type="gramStart"/>
      <w:r w:rsidRPr="008E452F">
        <w:rPr>
          <w:rFonts w:cs="Arial"/>
          <w:color w:val="FF0000"/>
          <w:szCs w:val="20"/>
        </w:rPr>
        <w:t>tracks</w:t>
      </w:r>
      <w:proofErr w:type="gramEnd"/>
      <w:r w:rsidRPr="008E452F">
        <w:rPr>
          <w:rFonts w:cs="Arial"/>
          <w:color w:val="FF0000"/>
          <w:szCs w:val="20"/>
        </w:rPr>
        <w:t xml:space="preserve"> the avoided emissions and stimulate environmental friendly innovations</w:t>
      </w:r>
    </w:p>
    <w:p w14:paraId="360761A9" w14:textId="0A0E9B12" w:rsidR="000A7958" w:rsidRPr="008E452F" w:rsidRDefault="000A7958" w:rsidP="008E452F">
      <w:pPr>
        <w:jc w:val="both"/>
        <w:rPr>
          <w:rFonts w:cs="Arial"/>
          <w:color w:val="FF0000"/>
          <w:szCs w:val="20"/>
        </w:rPr>
      </w:pPr>
    </w:p>
    <w:p w14:paraId="6D5FBB3B" w14:textId="2E16B833" w:rsidR="000A7958" w:rsidRPr="008E452F" w:rsidRDefault="000A7958" w:rsidP="008E452F">
      <w:pPr>
        <w:jc w:val="both"/>
        <w:rPr>
          <w:rFonts w:cs="Arial"/>
          <w:color w:val="FF0000"/>
          <w:szCs w:val="20"/>
        </w:rPr>
      </w:pPr>
    </w:p>
    <w:p w14:paraId="74298E95" w14:textId="6F196A76" w:rsidR="00362BE3" w:rsidRDefault="008D423D" w:rsidP="008E452F">
      <w:pPr>
        <w:jc w:val="both"/>
        <w:rPr>
          <w:rFonts w:cs="Arial"/>
          <w:color w:val="FF0000"/>
          <w:szCs w:val="20"/>
        </w:rPr>
      </w:pPr>
      <w:r w:rsidRPr="008D423D">
        <w:rPr>
          <w:rFonts w:cs="Arial"/>
          <w:color w:val="FF0000"/>
          <w:szCs w:val="20"/>
        </w:rPr>
        <w:t xml:space="preserve">As explained in the introduction and at question 4, we recommend the creation of a </w:t>
      </w:r>
      <w:r w:rsidRPr="008D423D">
        <w:rPr>
          <w:rFonts w:cs="Arial"/>
          <w:b/>
          <w:bCs/>
          <w:color w:val="FF0000"/>
          <w:szCs w:val="20"/>
        </w:rPr>
        <w:t>table 4</w:t>
      </w:r>
      <w:r w:rsidRPr="008D423D">
        <w:rPr>
          <w:rFonts w:cs="Arial"/>
          <w:color w:val="FF0000"/>
          <w:szCs w:val="20"/>
        </w:rPr>
        <w:t xml:space="preserve"> that lists compulsory </w:t>
      </w:r>
      <w:r w:rsidRPr="008D423D">
        <w:rPr>
          <w:rFonts w:cs="Arial"/>
          <w:b/>
          <w:bCs/>
          <w:color w:val="FF0000"/>
          <w:szCs w:val="20"/>
        </w:rPr>
        <w:t>positive sustainability indicators</w:t>
      </w:r>
      <w:r w:rsidRPr="008D423D">
        <w:rPr>
          <w:rFonts w:cs="Arial"/>
          <w:color w:val="FF0000"/>
          <w:szCs w:val="20"/>
        </w:rPr>
        <w:t xml:space="preserve">. They would </w:t>
      </w:r>
      <w:r w:rsidRPr="008D423D">
        <w:rPr>
          <w:rFonts w:cs="Arial"/>
          <w:b/>
          <w:bCs/>
          <w:color w:val="FF0000"/>
          <w:szCs w:val="20"/>
        </w:rPr>
        <w:t>capture ESG innovations</w:t>
      </w:r>
      <w:r w:rsidRPr="008D423D">
        <w:rPr>
          <w:rFonts w:cs="Arial"/>
          <w:color w:val="FF0000"/>
          <w:szCs w:val="20"/>
        </w:rPr>
        <w:t xml:space="preserve"> and </w:t>
      </w:r>
      <w:r w:rsidRPr="008D423D">
        <w:rPr>
          <w:rFonts w:cs="Arial"/>
          <w:b/>
          <w:bCs/>
          <w:color w:val="FF0000"/>
          <w:szCs w:val="20"/>
        </w:rPr>
        <w:t>resilient business models</w:t>
      </w:r>
      <w:r w:rsidRPr="008D423D">
        <w:rPr>
          <w:rFonts w:cs="Arial"/>
          <w:color w:val="FF0000"/>
          <w:szCs w:val="20"/>
        </w:rPr>
        <w:t xml:space="preserve">. The positively identified entities would </w:t>
      </w:r>
      <w:r w:rsidRPr="008D423D">
        <w:rPr>
          <w:rFonts w:cs="Arial"/>
          <w:b/>
          <w:bCs/>
          <w:color w:val="FF0000"/>
          <w:szCs w:val="20"/>
        </w:rPr>
        <w:t>compensate</w:t>
      </w:r>
      <w:r w:rsidRPr="008D423D">
        <w:rPr>
          <w:rFonts w:cs="Arial"/>
          <w:color w:val="FF0000"/>
          <w:szCs w:val="20"/>
        </w:rPr>
        <w:t xml:space="preserve"> the outgoing entities having poor sustainability performance. The inclusion of ESG innovations and positive sustainability </w:t>
      </w:r>
      <w:proofErr w:type="gramStart"/>
      <w:r w:rsidRPr="008D423D">
        <w:rPr>
          <w:rFonts w:cs="Arial"/>
          <w:color w:val="FF0000"/>
          <w:szCs w:val="20"/>
        </w:rPr>
        <w:t>activities  would</w:t>
      </w:r>
      <w:proofErr w:type="gramEnd"/>
      <w:r w:rsidRPr="008D423D">
        <w:rPr>
          <w:rFonts w:cs="Arial"/>
          <w:color w:val="FF0000"/>
          <w:szCs w:val="20"/>
        </w:rPr>
        <w:t xml:space="preserve"> enhance portfolios </w:t>
      </w:r>
      <w:r w:rsidRPr="008D423D">
        <w:rPr>
          <w:rFonts w:cs="Arial"/>
          <w:b/>
          <w:bCs/>
          <w:color w:val="FF0000"/>
          <w:szCs w:val="20"/>
        </w:rPr>
        <w:t>returns</w:t>
      </w:r>
      <w:r w:rsidRPr="008D423D">
        <w:rPr>
          <w:rFonts w:cs="Arial"/>
          <w:color w:val="FF0000"/>
          <w:szCs w:val="20"/>
        </w:rPr>
        <w:t xml:space="preserve">. The compulsory aspect enables the comparison of Financial Market Participants' strategies by end-investors. Even if optional, such a list of positive sustainability indicators and metrics would constitute a </w:t>
      </w:r>
      <w:r w:rsidRPr="008D423D">
        <w:rPr>
          <w:rFonts w:cs="Arial"/>
          <w:b/>
          <w:bCs/>
          <w:color w:val="FF0000"/>
          <w:szCs w:val="20"/>
        </w:rPr>
        <w:t>helpful guidance</w:t>
      </w:r>
      <w:r w:rsidRPr="008D423D">
        <w:rPr>
          <w:rFonts w:cs="Arial"/>
          <w:color w:val="FF0000"/>
          <w:szCs w:val="20"/>
        </w:rPr>
        <w:t xml:space="preserve"> to Financial Market Participants and end-investors.</w:t>
      </w:r>
      <w:r>
        <w:rPr>
          <w:rFonts w:cs="Arial"/>
          <w:color w:val="FF0000"/>
          <w:szCs w:val="20"/>
        </w:rPr>
        <w:t xml:space="preserve"> </w:t>
      </w:r>
      <w:r w:rsidR="008E0A93">
        <w:rPr>
          <w:rFonts w:cs="Arial"/>
          <w:bCs/>
          <w:color w:val="FF0000"/>
          <w:szCs w:val="20"/>
          <w:lang w:val="en-US" w:eastAsia="en-GB"/>
        </w:rPr>
        <w:t xml:space="preserve">In addition, </w:t>
      </w:r>
      <w:r w:rsidR="00841C42">
        <w:rPr>
          <w:rFonts w:cs="Arial"/>
          <w:bCs/>
          <w:color w:val="FF0000"/>
          <w:szCs w:val="20"/>
          <w:lang w:val="en-US" w:eastAsia="en-GB"/>
        </w:rPr>
        <w:t xml:space="preserve">to have a </w:t>
      </w:r>
      <w:r w:rsidR="00841C42" w:rsidRPr="00813D61">
        <w:rPr>
          <w:rFonts w:cs="Arial"/>
          <w:b/>
          <w:color w:val="FF0000"/>
          <w:szCs w:val="20"/>
          <w:lang w:val="en-US" w:eastAsia="en-GB"/>
        </w:rPr>
        <w:t>consistent holistic approach</w:t>
      </w:r>
      <w:r w:rsidR="00841C42">
        <w:rPr>
          <w:rFonts w:cs="Arial"/>
          <w:bCs/>
          <w:color w:val="FF0000"/>
          <w:szCs w:val="20"/>
          <w:lang w:val="en-US" w:eastAsia="en-GB"/>
        </w:rPr>
        <w:t xml:space="preserve"> </w:t>
      </w:r>
      <w:r w:rsidR="008E0A93">
        <w:rPr>
          <w:rFonts w:cs="Arial"/>
          <w:bCs/>
          <w:color w:val="FF0000"/>
          <w:szCs w:val="20"/>
          <w:lang w:val="en-US" w:eastAsia="en-GB"/>
        </w:rPr>
        <w:t>the “</w:t>
      </w:r>
      <w:r w:rsidR="008E0A93" w:rsidRPr="00813D61">
        <w:rPr>
          <w:rFonts w:cs="Arial"/>
          <w:b/>
          <w:color w:val="FF0000"/>
          <w:szCs w:val="20"/>
          <w:lang w:val="en-US" w:eastAsia="en-GB"/>
        </w:rPr>
        <w:t>Do Not Significant Harm</w:t>
      </w:r>
      <w:r w:rsidR="008E0A93">
        <w:rPr>
          <w:rFonts w:cs="Arial"/>
          <w:bCs/>
          <w:color w:val="FF0000"/>
          <w:szCs w:val="20"/>
          <w:lang w:val="en-US" w:eastAsia="en-GB"/>
        </w:rPr>
        <w:t xml:space="preserve">” Principle </w:t>
      </w:r>
      <w:r w:rsidR="008E0A93" w:rsidRPr="00841C42">
        <w:rPr>
          <w:rFonts w:cs="Arial"/>
          <w:b/>
          <w:color w:val="FF0000"/>
          <w:szCs w:val="20"/>
          <w:lang w:val="en-US" w:eastAsia="en-GB"/>
        </w:rPr>
        <w:t>should apply</w:t>
      </w:r>
      <w:r w:rsidR="00841C42" w:rsidRPr="00841C42">
        <w:rPr>
          <w:rFonts w:cs="Arial"/>
          <w:b/>
          <w:color w:val="FF0000"/>
          <w:szCs w:val="20"/>
          <w:lang w:val="en-US" w:eastAsia="en-GB"/>
        </w:rPr>
        <w:t xml:space="preserve"> between all the field and themes listed in Tables 1,2,3 (Annex I)</w:t>
      </w:r>
      <w:r w:rsidR="00841C42">
        <w:rPr>
          <w:rFonts w:cs="Arial"/>
          <w:bCs/>
          <w:color w:val="FF0000"/>
          <w:szCs w:val="20"/>
          <w:lang w:val="en-US" w:eastAsia="en-GB"/>
        </w:rPr>
        <w:t xml:space="preserve">, </w:t>
      </w:r>
      <w:r w:rsidR="00841C42" w:rsidRPr="00841C42">
        <w:rPr>
          <w:rFonts w:cs="Arial"/>
          <w:b/>
          <w:color w:val="FF0000"/>
          <w:szCs w:val="20"/>
          <w:lang w:val="en-US" w:eastAsia="en-GB"/>
        </w:rPr>
        <w:t xml:space="preserve">in the Taxonomy, and </w:t>
      </w:r>
      <w:r w:rsidR="00841C42">
        <w:rPr>
          <w:rFonts w:cs="Arial"/>
          <w:b/>
          <w:color w:val="FF0000"/>
          <w:szCs w:val="20"/>
          <w:lang w:val="en-US" w:eastAsia="en-GB"/>
        </w:rPr>
        <w:t>all</w:t>
      </w:r>
      <w:r w:rsidR="00841C42" w:rsidRPr="00841C42">
        <w:rPr>
          <w:rFonts w:cs="Arial"/>
          <w:b/>
          <w:color w:val="FF0000"/>
          <w:szCs w:val="20"/>
          <w:lang w:val="en-US" w:eastAsia="en-GB"/>
        </w:rPr>
        <w:t xml:space="preserve"> EU </w:t>
      </w:r>
      <w:proofErr w:type="gramStart"/>
      <w:r w:rsidR="00841C42" w:rsidRPr="00841C42">
        <w:rPr>
          <w:rFonts w:cs="Arial"/>
          <w:b/>
          <w:color w:val="FF0000"/>
          <w:szCs w:val="20"/>
          <w:lang w:val="en-US" w:eastAsia="en-GB"/>
        </w:rPr>
        <w:t>regulation</w:t>
      </w:r>
      <w:r w:rsidR="00841C42">
        <w:rPr>
          <w:rFonts w:cs="Arial"/>
          <w:b/>
          <w:color w:val="FF0000"/>
          <w:szCs w:val="20"/>
          <w:lang w:val="en-US" w:eastAsia="en-GB"/>
        </w:rPr>
        <w:t>s</w:t>
      </w:r>
      <w:r w:rsidR="008E0A93">
        <w:rPr>
          <w:rFonts w:cs="Arial"/>
          <w:bCs/>
          <w:color w:val="FF0000"/>
          <w:szCs w:val="20"/>
          <w:lang w:val="en-US" w:eastAsia="en-GB"/>
        </w:rPr>
        <w:t>.</w:t>
      </w:r>
      <w:r>
        <w:rPr>
          <w:rFonts w:cs="Arial"/>
          <w:color w:val="FF0000"/>
          <w:szCs w:val="20"/>
        </w:rPr>
        <w:t>The</w:t>
      </w:r>
      <w:proofErr w:type="gramEnd"/>
      <w:r>
        <w:rPr>
          <w:rFonts w:cs="Arial"/>
          <w:color w:val="FF0000"/>
          <w:szCs w:val="20"/>
        </w:rPr>
        <w:t xml:space="preserve"> recommended positive sustainability metrics are the following ones classified by themes:</w:t>
      </w:r>
    </w:p>
    <w:p w14:paraId="37DCA8CA" w14:textId="27442C2B" w:rsidR="008D423D" w:rsidRDefault="008D423D" w:rsidP="008E452F">
      <w:pPr>
        <w:jc w:val="both"/>
        <w:rPr>
          <w:rFonts w:cs="Arial"/>
          <w:color w:val="FF0000"/>
          <w:szCs w:val="20"/>
        </w:rPr>
      </w:pPr>
    </w:p>
    <w:p w14:paraId="7D5F3ED7" w14:textId="41CC7E1D" w:rsidR="008D423D" w:rsidRPr="006F08CA" w:rsidRDefault="00A30167" w:rsidP="008E452F">
      <w:pPr>
        <w:jc w:val="both"/>
        <w:rPr>
          <w:rFonts w:cs="Arial"/>
          <w:b/>
          <w:bCs/>
          <w:color w:val="00B050"/>
          <w:szCs w:val="20"/>
        </w:rPr>
      </w:pPr>
      <w:r w:rsidRPr="006F08CA">
        <w:rPr>
          <w:rFonts w:cs="Arial"/>
          <w:b/>
          <w:bCs/>
          <w:color w:val="00B050"/>
          <w:szCs w:val="20"/>
        </w:rPr>
        <w:t>Table 4 (proposed) with positive sustainability indicators</w:t>
      </w:r>
    </w:p>
    <w:p w14:paraId="437CA953" w14:textId="346E4C9C" w:rsidR="008D423D" w:rsidRPr="006F08CA" w:rsidRDefault="008D423D"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Renewables:</w:t>
      </w:r>
    </w:p>
    <w:p w14:paraId="067DBACB" w14:textId="1299F51E" w:rsidR="00E84EB8" w:rsidRPr="006F08CA" w:rsidRDefault="00E84EB8" w:rsidP="00C543DA">
      <w:pPr>
        <w:pStyle w:val="Paragraphedeliste"/>
        <w:numPr>
          <w:ilvl w:val="1"/>
          <w:numId w:val="50"/>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w:t>
      </w:r>
      <w:r w:rsidR="00841C42" w:rsidRPr="006F08CA">
        <w:rPr>
          <w:rFonts w:cs="Arial"/>
          <w:bCs/>
          <w:color w:val="00B050"/>
          <w:szCs w:val="20"/>
          <w:lang w:val="en-US" w:eastAsia="en-GB"/>
        </w:rPr>
        <w:t>(</w:t>
      </w:r>
      <w:r w:rsidRPr="006F08CA">
        <w:rPr>
          <w:rFonts w:cs="Arial"/>
          <w:bCs/>
          <w:color w:val="00B050"/>
          <w:szCs w:val="20"/>
          <w:lang w:val="en-US" w:eastAsia="en-GB"/>
        </w:rPr>
        <w:t>investment in</w:t>
      </w:r>
      <w:r w:rsidR="00841C42" w:rsidRPr="006F08CA">
        <w:rPr>
          <w:rFonts w:cs="Arial"/>
          <w:bCs/>
          <w:color w:val="00B050"/>
          <w:szCs w:val="20"/>
          <w:lang w:val="en-US" w:eastAsia="en-GB"/>
        </w:rPr>
        <w:t>)</w:t>
      </w:r>
      <w:r w:rsidRPr="006F08CA">
        <w:rPr>
          <w:rFonts w:cs="Arial"/>
          <w:bCs/>
          <w:color w:val="00B050"/>
          <w:szCs w:val="20"/>
          <w:lang w:val="en-US" w:eastAsia="en-GB"/>
        </w:rPr>
        <w:t xml:space="preserve"> entities having </w:t>
      </w:r>
      <w:r w:rsidR="00841C42" w:rsidRPr="006F08CA">
        <w:rPr>
          <w:rFonts w:cs="Arial"/>
          <w:bCs/>
          <w:color w:val="00B050"/>
          <w:szCs w:val="20"/>
          <w:lang w:val="en-US" w:eastAsia="en-GB"/>
        </w:rPr>
        <w:t xml:space="preserve">more than 50% of their </w:t>
      </w:r>
      <w:r w:rsidR="00841C42" w:rsidRPr="006F08CA">
        <w:rPr>
          <w:rFonts w:cs="Arial"/>
          <w:b/>
          <w:color w:val="00B050"/>
          <w:szCs w:val="20"/>
          <w:lang w:val="en-US" w:eastAsia="en-GB"/>
        </w:rPr>
        <w:t xml:space="preserve">activities in renewables </w:t>
      </w:r>
      <w:r w:rsidR="008C38F0" w:rsidRPr="006F08CA">
        <w:rPr>
          <w:rFonts w:cs="Arial"/>
          <w:b/>
          <w:color w:val="00B050"/>
          <w:szCs w:val="20"/>
          <w:lang w:val="en-US" w:eastAsia="en-GB"/>
        </w:rPr>
        <w:t xml:space="preserve">conception, </w:t>
      </w:r>
      <w:r w:rsidR="00841C42" w:rsidRPr="006F08CA">
        <w:rPr>
          <w:rFonts w:cs="Arial"/>
          <w:b/>
          <w:color w:val="00B050"/>
          <w:szCs w:val="20"/>
          <w:lang w:val="en-US" w:eastAsia="en-GB"/>
        </w:rPr>
        <w:t>production, exploitation</w:t>
      </w:r>
      <w:r w:rsidR="007E5C91" w:rsidRPr="006F08CA">
        <w:rPr>
          <w:rFonts w:cs="Arial"/>
          <w:b/>
          <w:color w:val="00B050"/>
          <w:szCs w:val="20"/>
          <w:lang w:val="en-US" w:eastAsia="en-GB"/>
        </w:rPr>
        <w:t xml:space="preserve">, </w:t>
      </w:r>
      <w:r w:rsidR="00841C42" w:rsidRPr="006F08CA">
        <w:rPr>
          <w:rFonts w:cs="Arial"/>
          <w:b/>
          <w:color w:val="00B050"/>
          <w:szCs w:val="20"/>
          <w:lang w:val="en-US" w:eastAsia="en-GB"/>
        </w:rPr>
        <w:t>distribution</w:t>
      </w:r>
      <w:r w:rsidR="00841C42" w:rsidRPr="006F08CA">
        <w:rPr>
          <w:rFonts w:cs="Arial"/>
          <w:bCs/>
          <w:color w:val="00B050"/>
          <w:szCs w:val="20"/>
          <w:lang w:val="en-US" w:eastAsia="en-GB"/>
        </w:rPr>
        <w:t xml:space="preserve">, </w:t>
      </w:r>
      <w:r w:rsidR="007E5C91" w:rsidRPr="006F08CA">
        <w:rPr>
          <w:rFonts w:cs="Arial"/>
          <w:bCs/>
          <w:color w:val="00B050"/>
          <w:szCs w:val="20"/>
          <w:lang w:val="en-US" w:eastAsia="en-GB"/>
        </w:rPr>
        <w:t xml:space="preserve">or </w:t>
      </w:r>
      <w:r w:rsidR="007E5C91" w:rsidRPr="006F08CA">
        <w:rPr>
          <w:rFonts w:cs="Arial"/>
          <w:b/>
          <w:color w:val="00B050"/>
          <w:szCs w:val="20"/>
          <w:lang w:val="en-US" w:eastAsia="en-GB"/>
        </w:rPr>
        <w:t>promotion</w:t>
      </w:r>
      <w:r w:rsidR="007E5C91" w:rsidRPr="006F08CA">
        <w:rPr>
          <w:rFonts w:cs="Arial"/>
          <w:bCs/>
          <w:color w:val="00B050"/>
          <w:szCs w:val="20"/>
          <w:lang w:val="en-US" w:eastAsia="en-GB"/>
        </w:rPr>
        <w:t xml:space="preserve"> </w:t>
      </w:r>
      <w:r w:rsidR="00841C42" w:rsidRPr="006F08CA">
        <w:rPr>
          <w:rFonts w:cs="Arial"/>
          <w:bCs/>
          <w:color w:val="00B050"/>
          <w:szCs w:val="20"/>
          <w:lang w:val="en-US" w:eastAsia="en-GB"/>
        </w:rPr>
        <w:t xml:space="preserve">measured by the </w:t>
      </w:r>
      <w:r w:rsidR="00841C42" w:rsidRPr="006F08CA">
        <w:rPr>
          <w:rFonts w:cs="Arial"/>
          <w:b/>
          <w:color w:val="00B050"/>
          <w:szCs w:val="20"/>
          <w:lang w:val="en-US" w:eastAsia="en-GB"/>
        </w:rPr>
        <w:t>annual revenue</w:t>
      </w:r>
      <w:r w:rsidR="00841C42" w:rsidRPr="006F08CA">
        <w:rPr>
          <w:rFonts w:cs="Arial"/>
          <w:bCs/>
          <w:color w:val="00B050"/>
          <w:szCs w:val="20"/>
          <w:lang w:val="en-US" w:eastAsia="en-GB"/>
        </w:rPr>
        <w:t xml:space="preserve">. </w:t>
      </w:r>
      <w:r w:rsidR="00852286">
        <w:rPr>
          <w:rFonts w:cs="Arial"/>
          <w:bCs/>
          <w:color w:val="00B050"/>
          <w:szCs w:val="20"/>
          <w:lang w:val="en-US" w:eastAsia="en-GB"/>
        </w:rPr>
        <w:t>All</w:t>
      </w:r>
      <w:r w:rsidR="00841C42" w:rsidRPr="006F08CA">
        <w:rPr>
          <w:rFonts w:cs="Arial"/>
          <w:bCs/>
          <w:color w:val="00B050"/>
          <w:szCs w:val="20"/>
          <w:lang w:val="en-US" w:eastAsia="en-GB"/>
        </w:rPr>
        <w:t xml:space="preserve"> their </w:t>
      </w:r>
      <w:r w:rsidR="00852286">
        <w:rPr>
          <w:rFonts w:cs="Arial"/>
          <w:bCs/>
          <w:color w:val="00B050"/>
          <w:szCs w:val="20"/>
          <w:lang w:val="en-US" w:eastAsia="en-GB"/>
        </w:rPr>
        <w:t xml:space="preserve">business and non-business </w:t>
      </w:r>
      <w:r w:rsidR="00841C42" w:rsidRPr="006F08CA">
        <w:rPr>
          <w:rFonts w:cs="Arial"/>
          <w:bCs/>
          <w:color w:val="00B050"/>
          <w:szCs w:val="20"/>
          <w:lang w:val="en-US" w:eastAsia="en-GB"/>
        </w:rPr>
        <w:t>activities</w:t>
      </w:r>
      <w:r w:rsidR="00852286">
        <w:rPr>
          <w:rFonts w:cs="Arial"/>
          <w:bCs/>
          <w:color w:val="00B050"/>
          <w:szCs w:val="20"/>
          <w:lang w:val="en-US" w:eastAsia="en-GB"/>
        </w:rPr>
        <w:t xml:space="preserve"> (including sponsoring) </w:t>
      </w:r>
      <w:r w:rsidR="00841C42" w:rsidRPr="006F08CA">
        <w:rPr>
          <w:rFonts w:cs="Arial"/>
          <w:bCs/>
          <w:color w:val="00B050"/>
          <w:szCs w:val="20"/>
          <w:lang w:val="en-US" w:eastAsia="en-GB"/>
        </w:rPr>
        <w:t>should respect the “</w:t>
      </w:r>
      <w:r w:rsidR="00841C42" w:rsidRPr="006F08CA">
        <w:rPr>
          <w:rFonts w:cs="Arial"/>
          <w:b/>
          <w:color w:val="00B050"/>
          <w:szCs w:val="20"/>
          <w:lang w:val="en-US" w:eastAsia="en-GB"/>
        </w:rPr>
        <w:t>Do Not Significant Harm</w:t>
      </w:r>
      <w:r w:rsidR="00841C42"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00841C42" w:rsidRPr="006F08CA">
        <w:rPr>
          <w:rFonts w:cs="Arial"/>
          <w:bCs/>
          <w:color w:val="00B050"/>
          <w:szCs w:val="20"/>
          <w:lang w:val="en-US" w:eastAsia="en-GB"/>
        </w:rPr>
        <w:t xml:space="preserve"> (Annex I), in the Taxonomy, and all EU regulations.</w:t>
      </w:r>
    </w:p>
    <w:p w14:paraId="2078BCEE" w14:textId="3C205C98" w:rsidR="008D423D" w:rsidRPr="006F08CA" w:rsidRDefault="008D423D"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Energy efficiency:</w:t>
      </w:r>
    </w:p>
    <w:p w14:paraId="2DD9EAD7" w14:textId="7CC95A36" w:rsidR="00C50315" w:rsidRPr="006F08CA" w:rsidRDefault="00C50315" w:rsidP="00C543DA">
      <w:pPr>
        <w:pStyle w:val="Paragraphedeliste"/>
        <w:numPr>
          <w:ilvl w:val="1"/>
          <w:numId w:val="51"/>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(investment in) entities having more than 50% of their </w:t>
      </w:r>
      <w:r w:rsidRPr="006F08CA">
        <w:rPr>
          <w:rFonts w:cs="Arial"/>
          <w:b/>
          <w:color w:val="00B050"/>
          <w:szCs w:val="20"/>
          <w:lang w:val="en-US" w:eastAsia="en-GB"/>
        </w:rPr>
        <w:t>activities in energy efficiency conception, production</w:t>
      </w:r>
      <w:r w:rsidR="00462615" w:rsidRPr="006F08CA">
        <w:rPr>
          <w:rFonts w:cs="Arial"/>
          <w:b/>
          <w:color w:val="00B050"/>
          <w:szCs w:val="20"/>
          <w:lang w:val="en-US" w:eastAsia="en-GB"/>
        </w:rPr>
        <w:t>, utilization</w:t>
      </w:r>
      <w:r w:rsidR="007E5C91" w:rsidRPr="006F08CA">
        <w:rPr>
          <w:rFonts w:cs="Arial"/>
          <w:b/>
          <w:color w:val="00B050"/>
          <w:szCs w:val="20"/>
          <w:lang w:val="en-US" w:eastAsia="en-GB"/>
        </w:rPr>
        <w:t xml:space="preserve">, </w:t>
      </w:r>
      <w:r w:rsidRPr="006F08CA">
        <w:rPr>
          <w:rFonts w:cs="Arial"/>
          <w:b/>
          <w:color w:val="00B050"/>
          <w:szCs w:val="20"/>
          <w:lang w:val="en-US" w:eastAsia="en-GB"/>
        </w:rPr>
        <w:t>distribution</w:t>
      </w:r>
      <w:r w:rsidRPr="006F08CA">
        <w:rPr>
          <w:rFonts w:cs="Arial"/>
          <w:bCs/>
          <w:color w:val="00B050"/>
          <w:szCs w:val="20"/>
          <w:lang w:val="en-US" w:eastAsia="en-GB"/>
        </w:rPr>
        <w:t xml:space="preserve">, </w:t>
      </w:r>
      <w:r w:rsidR="007E5C91" w:rsidRPr="006F08CA">
        <w:rPr>
          <w:rFonts w:cs="Arial"/>
          <w:bCs/>
          <w:color w:val="00B050"/>
          <w:szCs w:val="20"/>
          <w:lang w:val="en-US" w:eastAsia="en-GB"/>
        </w:rPr>
        <w:t xml:space="preserve">or </w:t>
      </w:r>
      <w:r w:rsidR="007E5C91" w:rsidRPr="006F08CA">
        <w:rPr>
          <w:rFonts w:cs="Arial"/>
          <w:b/>
          <w:color w:val="00B050"/>
          <w:szCs w:val="20"/>
          <w:lang w:val="en-US" w:eastAsia="en-GB"/>
        </w:rPr>
        <w:t>promotion</w:t>
      </w:r>
      <w:r w:rsidR="007E5C91" w:rsidRPr="006F08CA">
        <w:rPr>
          <w:rFonts w:cs="Arial"/>
          <w:bCs/>
          <w:color w:val="00B050"/>
          <w:szCs w:val="20"/>
          <w:lang w:val="en-US" w:eastAsia="en-GB"/>
        </w:rPr>
        <w:t xml:space="preserve"> </w:t>
      </w:r>
      <w:r w:rsidRPr="006F08CA">
        <w:rPr>
          <w:rFonts w:cs="Arial"/>
          <w:bCs/>
          <w:color w:val="00B050"/>
          <w:szCs w:val="20"/>
          <w:lang w:val="en-US" w:eastAsia="en-GB"/>
        </w:rPr>
        <w:t xml:space="preserve">measured by the </w:t>
      </w:r>
      <w:r w:rsidRPr="006F08CA">
        <w:rPr>
          <w:rFonts w:cs="Arial"/>
          <w:b/>
          <w:color w:val="00B050"/>
          <w:szCs w:val="20"/>
          <w:lang w:val="en-US" w:eastAsia="en-GB"/>
        </w:rPr>
        <w:t>annual revenue</w:t>
      </w:r>
      <w:r w:rsidRPr="006F08CA">
        <w:rPr>
          <w:rFonts w:cs="Arial"/>
          <w:bCs/>
          <w:color w:val="00B050"/>
          <w:szCs w:val="20"/>
          <w:lang w:val="en-US" w:eastAsia="en-GB"/>
        </w:rPr>
        <w:t xml:space="preserve">. </w:t>
      </w:r>
      <w:r w:rsidR="00852286">
        <w:rPr>
          <w:rFonts w:cs="Arial"/>
          <w:bCs/>
          <w:color w:val="00B050"/>
          <w:szCs w:val="20"/>
          <w:lang w:val="en-US" w:eastAsia="en-GB"/>
        </w:rPr>
        <w:t>All</w:t>
      </w:r>
      <w:r w:rsidR="00852286" w:rsidRPr="006F08CA">
        <w:rPr>
          <w:rFonts w:cs="Arial"/>
          <w:bCs/>
          <w:color w:val="00B050"/>
          <w:szCs w:val="20"/>
          <w:lang w:val="en-US" w:eastAsia="en-GB"/>
        </w:rPr>
        <w:t xml:space="preserve"> their </w:t>
      </w:r>
      <w:r w:rsidR="00852286">
        <w:rPr>
          <w:rFonts w:cs="Arial"/>
          <w:bCs/>
          <w:color w:val="00B050"/>
          <w:szCs w:val="20"/>
          <w:lang w:val="en-US" w:eastAsia="en-GB"/>
        </w:rPr>
        <w:t xml:space="preserve">business and non-business </w:t>
      </w:r>
      <w:r w:rsidR="00852286" w:rsidRPr="006F08CA">
        <w:rPr>
          <w:rFonts w:cs="Arial"/>
          <w:bCs/>
          <w:color w:val="00B050"/>
          <w:szCs w:val="20"/>
          <w:lang w:val="en-US" w:eastAsia="en-GB"/>
        </w:rPr>
        <w:t>activities</w:t>
      </w:r>
      <w:r w:rsidR="00852286">
        <w:rPr>
          <w:rFonts w:cs="Arial"/>
          <w:bCs/>
          <w:color w:val="00B050"/>
          <w:szCs w:val="20"/>
          <w:lang w:val="en-US" w:eastAsia="en-GB"/>
        </w:rPr>
        <w:t xml:space="preserve"> (including sponsoring) </w:t>
      </w:r>
      <w:r w:rsidRPr="006F08CA">
        <w:rPr>
          <w:rFonts w:cs="Arial"/>
          <w:bCs/>
          <w:color w:val="00B050"/>
          <w:szCs w:val="20"/>
          <w:lang w:val="en-US" w:eastAsia="en-GB"/>
        </w:rPr>
        <w:t>should respect the “</w:t>
      </w:r>
      <w:r w:rsidRPr="006F08CA">
        <w:rPr>
          <w:rFonts w:cs="Arial"/>
          <w:b/>
          <w:color w:val="00B050"/>
          <w:szCs w:val="20"/>
          <w:lang w:val="en-US" w:eastAsia="en-GB"/>
        </w:rPr>
        <w:t>Do Not Significant Harm</w:t>
      </w:r>
      <w:r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Pr="006F08CA">
        <w:rPr>
          <w:rFonts w:cs="Arial"/>
          <w:bCs/>
          <w:color w:val="00B050"/>
          <w:szCs w:val="20"/>
          <w:lang w:val="en-US" w:eastAsia="en-GB"/>
        </w:rPr>
        <w:t xml:space="preserve"> (Annex I), in the Taxonomy, and all EU regulations.</w:t>
      </w:r>
    </w:p>
    <w:p w14:paraId="52F4BFE4" w14:textId="0B23E543" w:rsidR="008D423D" w:rsidRPr="006F08CA" w:rsidRDefault="00F81F84"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B</w:t>
      </w:r>
      <w:r w:rsidR="008D423D" w:rsidRPr="006F08CA">
        <w:rPr>
          <w:rFonts w:cs="Arial"/>
          <w:bCs/>
          <w:color w:val="00B050"/>
          <w:szCs w:val="20"/>
          <w:u w:val="single"/>
          <w:lang w:val="en-US" w:eastAsia="en-GB"/>
        </w:rPr>
        <w:t>iodiversity protection:</w:t>
      </w:r>
    </w:p>
    <w:p w14:paraId="6D024F5A" w14:textId="3F211018" w:rsidR="00F81F84" w:rsidRPr="006F08CA" w:rsidRDefault="00F81F84" w:rsidP="00C543DA">
      <w:pPr>
        <w:pStyle w:val="Paragraphedeliste"/>
        <w:numPr>
          <w:ilvl w:val="1"/>
          <w:numId w:val="52"/>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(investment in) entities having more than 50% of their </w:t>
      </w:r>
      <w:r w:rsidRPr="006F08CA">
        <w:rPr>
          <w:rFonts w:cs="Arial"/>
          <w:b/>
          <w:color w:val="00B050"/>
          <w:szCs w:val="20"/>
          <w:lang w:val="en-US" w:eastAsia="en-GB"/>
        </w:rPr>
        <w:t>activities in biodiversity protection</w:t>
      </w:r>
      <w:r w:rsidR="00CB6548" w:rsidRPr="006F08CA">
        <w:rPr>
          <w:rFonts w:cs="Arial"/>
          <w:b/>
          <w:color w:val="00B050"/>
          <w:szCs w:val="20"/>
          <w:lang w:val="en-US" w:eastAsia="en-GB"/>
        </w:rPr>
        <w:t xml:space="preserve"> or promotion</w:t>
      </w:r>
      <w:r w:rsidRPr="006F08CA">
        <w:rPr>
          <w:rFonts w:cs="Arial"/>
          <w:bCs/>
          <w:color w:val="00B050"/>
          <w:szCs w:val="20"/>
          <w:lang w:val="en-US" w:eastAsia="en-GB"/>
        </w:rPr>
        <w:t xml:space="preserve">, measured by the </w:t>
      </w:r>
      <w:r w:rsidRPr="006F08CA">
        <w:rPr>
          <w:rFonts w:cs="Arial"/>
          <w:b/>
          <w:color w:val="00B050"/>
          <w:szCs w:val="20"/>
          <w:lang w:val="en-US" w:eastAsia="en-GB"/>
        </w:rPr>
        <w:t>annual revenue</w:t>
      </w:r>
      <w:r w:rsidRPr="006F08CA">
        <w:rPr>
          <w:rFonts w:cs="Arial"/>
          <w:bCs/>
          <w:color w:val="00B050"/>
          <w:szCs w:val="20"/>
          <w:lang w:val="en-US" w:eastAsia="en-GB"/>
        </w:rPr>
        <w:t xml:space="preserve">. </w:t>
      </w:r>
      <w:r w:rsidR="008112ED">
        <w:rPr>
          <w:rFonts w:cs="Arial"/>
          <w:bCs/>
          <w:color w:val="00B050"/>
          <w:szCs w:val="20"/>
          <w:lang w:val="en-US" w:eastAsia="en-GB"/>
        </w:rPr>
        <w:t>All</w:t>
      </w:r>
      <w:r w:rsidR="008112ED" w:rsidRPr="006F08CA">
        <w:rPr>
          <w:rFonts w:cs="Arial"/>
          <w:bCs/>
          <w:color w:val="00B050"/>
          <w:szCs w:val="20"/>
          <w:lang w:val="en-US" w:eastAsia="en-GB"/>
        </w:rPr>
        <w:t xml:space="preserve"> their </w:t>
      </w:r>
      <w:r w:rsidR="008112ED">
        <w:rPr>
          <w:rFonts w:cs="Arial"/>
          <w:bCs/>
          <w:color w:val="00B050"/>
          <w:szCs w:val="20"/>
          <w:lang w:val="en-US" w:eastAsia="en-GB"/>
        </w:rPr>
        <w:t xml:space="preserve">business and non-business </w:t>
      </w:r>
      <w:r w:rsidR="008112ED" w:rsidRPr="006F08CA">
        <w:rPr>
          <w:rFonts w:cs="Arial"/>
          <w:bCs/>
          <w:color w:val="00B050"/>
          <w:szCs w:val="20"/>
          <w:lang w:val="en-US" w:eastAsia="en-GB"/>
        </w:rPr>
        <w:t>activities</w:t>
      </w:r>
      <w:r w:rsidR="008112ED">
        <w:rPr>
          <w:rFonts w:cs="Arial"/>
          <w:bCs/>
          <w:color w:val="00B050"/>
          <w:szCs w:val="20"/>
          <w:lang w:val="en-US" w:eastAsia="en-GB"/>
        </w:rPr>
        <w:t xml:space="preserve"> (including sponsoring) </w:t>
      </w:r>
      <w:r w:rsidRPr="006F08CA">
        <w:rPr>
          <w:rFonts w:cs="Arial"/>
          <w:bCs/>
          <w:color w:val="00B050"/>
          <w:szCs w:val="20"/>
          <w:lang w:val="en-US" w:eastAsia="en-GB"/>
        </w:rPr>
        <w:t>should respect the “</w:t>
      </w:r>
      <w:r w:rsidRPr="006F08CA">
        <w:rPr>
          <w:rFonts w:cs="Arial"/>
          <w:b/>
          <w:color w:val="00B050"/>
          <w:szCs w:val="20"/>
          <w:lang w:val="en-US" w:eastAsia="en-GB"/>
        </w:rPr>
        <w:t>Do Not Significant Harm</w:t>
      </w:r>
      <w:r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Pr="006F08CA">
        <w:rPr>
          <w:rFonts w:cs="Arial"/>
          <w:bCs/>
          <w:color w:val="00B050"/>
          <w:szCs w:val="20"/>
          <w:lang w:val="en-US" w:eastAsia="en-GB"/>
        </w:rPr>
        <w:t xml:space="preserve"> (Annex I), in the Taxonomy, and all EU regulations.</w:t>
      </w:r>
    </w:p>
    <w:p w14:paraId="127267F8" w14:textId="54FA869E" w:rsidR="008D423D" w:rsidRPr="006F08CA" w:rsidRDefault="008D423D"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Innovations in water treatment:</w:t>
      </w:r>
    </w:p>
    <w:p w14:paraId="62BAFB2A" w14:textId="4B2C155A" w:rsidR="005C14C1" w:rsidRPr="006F08CA" w:rsidRDefault="005C14C1" w:rsidP="00C543DA">
      <w:pPr>
        <w:pStyle w:val="Paragraphedeliste"/>
        <w:numPr>
          <w:ilvl w:val="1"/>
          <w:numId w:val="53"/>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(investment in) entities having more than 50% of their </w:t>
      </w:r>
      <w:r w:rsidRPr="006F08CA">
        <w:rPr>
          <w:rFonts w:cs="Arial"/>
          <w:b/>
          <w:color w:val="00B050"/>
          <w:szCs w:val="20"/>
          <w:lang w:val="en-US" w:eastAsia="en-GB"/>
        </w:rPr>
        <w:t xml:space="preserve">activities in water treatment </w:t>
      </w:r>
      <w:r w:rsidR="004F5D4B" w:rsidRPr="006F08CA">
        <w:rPr>
          <w:rFonts w:cs="Arial"/>
          <w:b/>
          <w:color w:val="00B050"/>
          <w:szCs w:val="20"/>
          <w:lang w:val="en-US" w:eastAsia="en-GB"/>
        </w:rPr>
        <w:t xml:space="preserve">innovative methods </w:t>
      </w:r>
      <w:r w:rsidRPr="006F08CA">
        <w:rPr>
          <w:rFonts w:cs="Arial"/>
          <w:b/>
          <w:color w:val="00B050"/>
          <w:szCs w:val="20"/>
          <w:lang w:val="en-US" w:eastAsia="en-GB"/>
        </w:rPr>
        <w:t>design, production</w:t>
      </w:r>
      <w:r w:rsidR="00462615" w:rsidRPr="006F08CA">
        <w:rPr>
          <w:rFonts w:cs="Arial"/>
          <w:b/>
          <w:color w:val="00B050"/>
          <w:szCs w:val="20"/>
          <w:lang w:val="en-US" w:eastAsia="en-GB"/>
        </w:rPr>
        <w:t>, utilization</w:t>
      </w:r>
      <w:r w:rsidR="00CB6548" w:rsidRPr="006F08CA">
        <w:rPr>
          <w:rFonts w:cs="Arial"/>
          <w:b/>
          <w:color w:val="00B050"/>
          <w:szCs w:val="20"/>
          <w:lang w:val="en-US" w:eastAsia="en-GB"/>
        </w:rPr>
        <w:t xml:space="preserve">, </w:t>
      </w:r>
      <w:r w:rsidRPr="006F08CA">
        <w:rPr>
          <w:rFonts w:cs="Arial"/>
          <w:b/>
          <w:color w:val="00B050"/>
          <w:szCs w:val="20"/>
          <w:lang w:val="en-US" w:eastAsia="en-GB"/>
        </w:rPr>
        <w:t>distribution</w:t>
      </w:r>
      <w:r w:rsidRPr="006F08CA">
        <w:rPr>
          <w:rFonts w:cs="Arial"/>
          <w:bCs/>
          <w:color w:val="00B050"/>
          <w:szCs w:val="20"/>
          <w:lang w:val="en-US" w:eastAsia="en-GB"/>
        </w:rPr>
        <w:t>,</w:t>
      </w:r>
      <w:r w:rsidR="00CB6548" w:rsidRPr="006F08CA">
        <w:rPr>
          <w:rFonts w:cs="Arial"/>
          <w:bCs/>
          <w:color w:val="00B050"/>
          <w:szCs w:val="20"/>
          <w:lang w:val="en-US" w:eastAsia="en-GB"/>
        </w:rPr>
        <w:t xml:space="preserve"> or </w:t>
      </w:r>
      <w:r w:rsidR="00CB6548" w:rsidRPr="006F08CA">
        <w:rPr>
          <w:rFonts w:cs="Arial"/>
          <w:b/>
          <w:color w:val="00B050"/>
          <w:szCs w:val="20"/>
          <w:lang w:val="en-US" w:eastAsia="en-GB"/>
        </w:rPr>
        <w:t>promotion</w:t>
      </w:r>
      <w:r w:rsidRPr="006F08CA">
        <w:rPr>
          <w:rFonts w:cs="Arial"/>
          <w:bCs/>
          <w:color w:val="00B050"/>
          <w:szCs w:val="20"/>
          <w:lang w:val="en-US" w:eastAsia="en-GB"/>
        </w:rPr>
        <w:t xml:space="preserve"> measured by the </w:t>
      </w:r>
      <w:r w:rsidRPr="006F08CA">
        <w:rPr>
          <w:rFonts w:cs="Arial"/>
          <w:b/>
          <w:color w:val="00B050"/>
          <w:szCs w:val="20"/>
          <w:lang w:val="en-US" w:eastAsia="en-GB"/>
        </w:rPr>
        <w:t>annual revenue</w:t>
      </w:r>
      <w:r w:rsidRPr="006F08CA">
        <w:rPr>
          <w:rFonts w:cs="Arial"/>
          <w:bCs/>
          <w:color w:val="00B050"/>
          <w:szCs w:val="20"/>
          <w:lang w:val="en-US" w:eastAsia="en-GB"/>
        </w:rPr>
        <w:t xml:space="preserve">. </w:t>
      </w:r>
      <w:r w:rsidR="008112ED">
        <w:rPr>
          <w:rFonts w:cs="Arial"/>
          <w:bCs/>
          <w:color w:val="00B050"/>
          <w:szCs w:val="20"/>
          <w:lang w:val="en-US" w:eastAsia="en-GB"/>
        </w:rPr>
        <w:t>All</w:t>
      </w:r>
      <w:r w:rsidR="008112ED" w:rsidRPr="006F08CA">
        <w:rPr>
          <w:rFonts w:cs="Arial"/>
          <w:bCs/>
          <w:color w:val="00B050"/>
          <w:szCs w:val="20"/>
          <w:lang w:val="en-US" w:eastAsia="en-GB"/>
        </w:rPr>
        <w:t xml:space="preserve"> their </w:t>
      </w:r>
      <w:r w:rsidR="008112ED">
        <w:rPr>
          <w:rFonts w:cs="Arial"/>
          <w:bCs/>
          <w:color w:val="00B050"/>
          <w:szCs w:val="20"/>
          <w:lang w:val="en-US" w:eastAsia="en-GB"/>
        </w:rPr>
        <w:t xml:space="preserve">business and non-business </w:t>
      </w:r>
      <w:r w:rsidR="008112ED" w:rsidRPr="006F08CA">
        <w:rPr>
          <w:rFonts w:cs="Arial"/>
          <w:bCs/>
          <w:color w:val="00B050"/>
          <w:szCs w:val="20"/>
          <w:lang w:val="en-US" w:eastAsia="en-GB"/>
        </w:rPr>
        <w:t>activities</w:t>
      </w:r>
      <w:r w:rsidR="008112ED">
        <w:rPr>
          <w:rFonts w:cs="Arial"/>
          <w:bCs/>
          <w:color w:val="00B050"/>
          <w:szCs w:val="20"/>
          <w:lang w:val="en-US" w:eastAsia="en-GB"/>
        </w:rPr>
        <w:t xml:space="preserve"> (including sponsoring) </w:t>
      </w:r>
      <w:r w:rsidRPr="006F08CA">
        <w:rPr>
          <w:rFonts w:cs="Arial"/>
          <w:bCs/>
          <w:color w:val="00B050"/>
          <w:szCs w:val="20"/>
          <w:lang w:val="en-US" w:eastAsia="en-GB"/>
        </w:rPr>
        <w:t>should respect the “</w:t>
      </w:r>
      <w:r w:rsidRPr="006F08CA">
        <w:rPr>
          <w:rFonts w:cs="Arial"/>
          <w:b/>
          <w:color w:val="00B050"/>
          <w:szCs w:val="20"/>
          <w:lang w:val="en-US" w:eastAsia="en-GB"/>
        </w:rPr>
        <w:t>Do Not Significant Harm</w:t>
      </w:r>
      <w:r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Pr="006F08CA">
        <w:rPr>
          <w:rFonts w:cs="Arial"/>
          <w:bCs/>
          <w:color w:val="00B050"/>
          <w:szCs w:val="20"/>
          <w:lang w:val="en-US" w:eastAsia="en-GB"/>
        </w:rPr>
        <w:t xml:space="preserve"> (Annex I), in the Taxonomy, and all EU regulations.</w:t>
      </w:r>
    </w:p>
    <w:p w14:paraId="4A0B5C46" w14:textId="0C76513F" w:rsidR="008D423D" w:rsidRPr="006F08CA" w:rsidRDefault="008D423D"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Innovations in waste treatment:</w:t>
      </w:r>
    </w:p>
    <w:p w14:paraId="56BE7FD6" w14:textId="1B2376F5" w:rsidR="00A20CC0" w:rsidRPr="006F08CA" w:rsidRDefault="00A20CC0" w:rsidP="00C543DA">
      <w:pPr>
        <w:pStyle w:val="Paragraphedeliste"/>
        <w:numPr>
          <w:ilvl w:val="1"/>
          <w:numId w:val="54"/>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(investment in) entities having more than 50% of their </w:t>
      </w:r>
      <w:r w:rsidRPr="006F08CA">
        <w:rPr>
          <w:rFonts w:cs="Arial"/>
          <w:b/>
          <w:color w:val="00B050"/>
          <w:szCs w:val="20"/>
          <w:lang w:val="en-US" w:eastAsia="en-GB"/>
        </w:rPr>
        <w:t>activities in waste treatment innovative methods design, production</w:t>
      </w:r>
      <w:r w:rsidR="00462615" w:rsidRPr="006F08CA">
        <w:rPr>
          <w:rFonts w:cs="Arial"/>
          <w:b/>
          <w:color w:val="00B050"/>
          <w:szCs w:val="20"/>
          <w:lang w:val="en-US" w:eastAsia="en-GB"/>
        </w:rPr>
        <w:t>, utilization</w:t>
      </w:r>
      <w:r w:rsidR="00CB6548" w:rsidRPr="006F08CA">
        <w:rPr>
          <w:rFonts w:cs="Arial"/>
          <w:b/>
          <w:color w:val="00B050"/>
          <w:szCs w:val="20"/>
          <w:lang w:val="en-US" w:eastAsia="en-GB"/>
        </w:rPr>
        <w:t xml:space="preserve">, </w:t>
      </w:r>
      <w:r w:rsidRPr="006F08CA">
        <w:rPr>
          <w:rFonts w:cs="Arial"/>
          <w:b/>
          <w:color w:val="00B050"/>
          <w:szCs w:val="20"/>
          <w:lang w:val="en-US" w:eastAsia="en-GB"/>
        </w:rPr>
        <w:t>distribution</w:t>
      </w:r>
      <w:r w:rsidRPr="006F08CA">
        <w:rPr>
          <w:rFonts w:cs="Arial"/>
          <w:bCs/>
          <w:color w:val="00B050"/>
          <w:szCs w:val="20"/>
          <w:lang w:val="en-US" w:eastAsia="en-GB"/>
        </w:rPr>
        <w:t xml:space="preserve">, </w:t>
      </w:r>
      <w:r w:rsidR="00CB6548" w:rsidRPr="006F08CA">
        <w:rPr>
          <w:rFonts w:cs="Arial"/>
          <w:bCs/>
          <w:color w:val="00B050"/>
          <w:szCs w:val="20"/>
          <w:lang w:val="en-US" w:eastAsia="en-GB"/>
        </w:rPr>
        <w:t xml:space="preserve">or </w:t>
      </w:r>
      <w:r w:rsidR="00CB6548" w:rsidRPr="006F08CA">
        <w:rPr>
          <w:rFonts w:cs="Arial"/>
          <w:b/>
          <w:color w:val="00B050"/>
          <w:szCs w:val="20"/>
          <w:lang w:val="en-US" w:eastAsia="en-GB"/>
        </w:rPr>
        <w:t>promotion</w:t>
      </w:r>
      <w:r w:rsidR="00CB6548" w:rsidRPr="006F08CA">
        <w:rPr>
          <w:rFonts w:cs="Arial"/>
          <w:bCs/>
          <w:color w:val="00B050"/>
          <w:szCs w:val="20"/>
          <w:lang w:val="en-US" w:eastAsia="en-GB"/>
        </w:rPr>
        <w:t xml:space="preserve"> </w:t>
      </w:r>
      <w:r w:rsidRPr="006F08CA">
        <w:rPr>
          <w:rFonts w:cs="Arial"/>
          <w:bCs/>
          <w:color w:val="00B050"/>
          <w:szCs w:val="20"/>
          <w:lang w:val="en-US" w:eastAsia="en-GB"/>
        </w:rPr>
        <w:t xml:space="preserve">measured by the </w:t>
      </w:r>
      <w:r w:rsidRPr="006F08CA">
        <w:rPr>
          <w:rFonts w:cs="Arial"/>
          <w:b/>
          <w:color w:val="00B050"/>
          <w:szCs w:val="20"/>
          <w:lang w:val="en-US" w:eastAsia="en-GB"/>
        </w:rPr>
        <w:t>annual revenue</w:t>
      </w:r>
      <w:r w:rsidRPr="006F08CA">
        <w:rPr>
          <w:rFonts w:cs="Arial"/>
          <w:bCs/>
          <w:color w:val="00B050"/>
          <w:szCs w:val="20"/>
          <w:lang w:val="en-US" w:eastAsia="en-GB"/>
        </w:rPr>
        <w:t xml:space="preserve">. </w:t>
      </w:r>
      <w:r w:rsidR="008112ED">
        <w:rPr>
          <w:rFonts w:cs="Arial"/>
          <w:bCs/>
          <w:color w:val="00B050"/>
          <w:szCs w:val="20"/>
          <w:lang w:val="en-US" w:eastAsia="en-GB"/>
        </w:rPr>
        <w:t>All</w:t>
      </w:r>
      <w:r w:rsidR="008112ED" w:rsidRPr="006F08CA">
        <w:rPr>
          <w:rFonts w:cs="Arial"/>
          <w:bCs/>
          <w:color w:val="00B050"/>
          <w:szCs w:val="20"/>
          <w:lang w:val="en-US" w:eastAsia="en-GB"/>
        </w:rPr>
        <w:t xml:space="preserve"> their </w:t>
      </w:r>
      <w:r w:rsidR="008112ED">
        <w:rPr>
          <w:rFonts w:cs="Arial"/>
          <w:bCs/>
          <w:color w:val="00B050"/>
          <w:szCs w:val="20"/>
          <w:lang w:val="en-US" w:eastAsia="en-GB"/>
        </w:rPr>
        <w:t xml:space="preserve">business and non-business </w:t>
      </w:r>
      <w:r w:rsidR="008112ED" w:rsidRPr="006F08CA">
        <w:rPr>
          <w:rFonts w:cs="Arial"/>
          <w:bCs/>
          <w:color w:val="00B050"/>
          <w:szCs w:val="20"/>
          <w:lang w:val="en-US" w:eastAsia="en-GB"/>
        </w:rPr>
        <w:t>activities</w:t>
      </w:r>
      <w:r w:rsidR="008112ED">
        <w:rPr>
          <w:rFonts w:cs="Arial"/>
          <w:bCs/>
          <w:color w:val="00B050"/>
          <w:szCs w:val="20"/>
          <w:lang w:val="en-US" w:eastAsia="en-GB"/>
        </w:rPr>
        <w:t xml:space="preserve"> (including sponsoring) </w:t>
      </w:r>
      <w:r w:rsidRPr="006F08CA">
        <w:rPr>
          <w:rFonts w:cs="Arial"/>
          <w:bCs/>
          <w:color w:val="00B050"/>
          <w:szCs w:val="20"/>
          <w:lang w:val="en-US" w:eastAsia="en-GB"/>
        </w:rPr>
        <w:t>should respect the “</w:t>
      </w:r>
      <w:r w:rsidRPr="006F08CA">
        <w:rPr>
          <w:rFonts w:cs="Arial"/>
          <w:b/>
          <w:color w:val="00B050"/>
          <w:szCs w:val="20"/>
          <w:lang w:val="en-US" w:eastAsia="en-GB"/>
        </w:rPr>
        <w:t>Do Not Significant Harm</w:t>
      </w:r>
      <w:r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Pr="006F08CA">
        <w:rPr>
          <w:rFonts w:cs="Arial"/>
          <w:bCs/>
          <w:color w:val="00B050"/>
          <w:szCs w:val="20"/>
          <w:lang w:val="en-US" w:eastAsia="en-GB"/>
        </w:rPr>
        <w:t xml:space="preserve"> (Annex I), in the Taxonomy, and all EU regulations.</w:t>
      </w:r>
    </w:p>
    <w:p w14:paraId="6F98FC8B" w14:textId="2F0F46D7" w:rsidR="008D423D" w:rsidRPr="006F08CA" w:rsidRDefault="008D423D"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Plant-based products:</w:t>
      </w:r>
    </w:p>
    <w:p w14:paraId="1B0DA344" w14:textId="5BA4473F" w:rsidR="00EF2A04" w:rsidRPr="006F08CA" w:rsidRDefault="00EF2A04" w:rsidP="00C543DA">
      <w:pPr>
        <w:pStyle w:val="Paragraphedeliste"/>
        <w:numPr>
          <w:ilvl w:val="1"/>
          <w:numId w:val="55"/>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(investment in) entities having more than 50% of their </w:t>
      </w:r>
      <w:r w:rsidRPr="006F08CA">
        <w:rPr>
          <w:rFonts w:cs="Arial"/>
          <w:b/>
          <w:color w:val="00B050"/>
          <w:szCs w:val="20"/>
          <w:lang w:val="en-US" w:eastAsia="en-GB"/>
        </w:rPr>
        <w:t xml:space="preserve">activities in plant-based products </w:t>
      </w:r>
      <w:r w:rsidR="008C38F0" w:rsidRPr="006F08CA">
        <w:rPr>
          <w:rFonts w:cs="Arial"/>
          <w:b/>
          <w:color w:val="00B050"/>
          <w:szCs w:val="20"/>
          <w:lang w:val="en-US" w:eastAsia="en-GB"/>
        </w:rPr>
        <w:t xml:space="preserve">conception, </w:t>
      </w:r>
      <w:r w:rsidRPr="006F08CA">
        <w:rPr>
          <w:rFonts w:cs="Arial"/>
          <w:b/>
          <w:color w:val="00B050"/>
          <w:szCs w:val="20"/>
          <w:lang w:val="en-US" w:eastAsia="en-GB"/>
        </w:rPr>
        <w:t>production, distribution</w:t>
      </w:r>
      <w:r w:rsidRPr="006F08CA">
        <w:rPr>
          <w:rFonts w:cs="Arial"/>
          <w:bCs/>
          <w:color w:val="00B050"/>
          <w:szCs w:val="20"/>
          <w:lang w:val="en-US" w:eastAsia="en-GB"/>
        </w:rPr>
        <w:t xml:space="preserve">, </w:t>
      </w:r>
      <w:r w:rsidR="00CB6548" w:rsidRPr="006F08CA">
        <w:rPr>
          <w:rFonts w:cs="Arial"/>
          <w:bCs/>
          <w:color w:val="00B050"/>
          <w:szCs w:val="20"/>
          <w:lang w:val="en-US" w:eastAsia="en-GB"/>
        </w:rPr>
        <w:t xml:space="preserve">or </w:t>
      </w:r>
      <w:r w:rsidR="00CB6548" w:rsidRPr="006F08CA">
        <w:rPr>
          <w:rFonts w:cs="Arial"/>
          <w:b/>
          <w:color w:val="00B050"/>
          <w:szCs w:val="20"/>
          <w:lang w:val="en-US" w:eastAsia="en-GB"/>
        </w:rPr>
        <w:t>promotion</w:t>
      </w:r>
      <w:r w:rsidR="00CB6548" w:rsidRPr="006F08CA">
        <w:rPr>
          <w:rFonts w:cs="Arial"/>
          <w:bCs/>
          <w:color w:val="00B050"/>
          <w:szCs w:val="20"/>
          <w:lang w:val="en-US" w:eastAsia="en-GB"/>
        </w:rPr>
        <w:t xml:space="preserve"> </w:t>
      </w:r>
      <w:r w:rsidRPr="006F08CA">
        <w:rPr>
          <w:rFonts w:cs="Arial"/>
          <w:bCs/>
          <w:color w:val="00B050"/>
          <w:szCs w:val="20"/>
          <w:lang w:val="en-US" w:eastAsia="en-GB"/>
        </w:rPr>
        <w:t xml:space="preserve">measured by the </w:t>
      </w:r>
      <w:r w:rsidRPr="006F08CA">
        <w:rPr>
          <w:rFonts w:cs="Arial"/>
          <w:b/>
          <w:color w:val="00B050"/>
          <w:szCs w:val="20"/>
          <w:lang w:val="en-US" w:eastAsia="en-GB"/>
        </w:rPr>
        <w:t xml:space="preserve">annual </w:t>
      </w:r>
      <w:r w:rsidRPr="006F08CA">
        <w:rPr>
          <w:rFonts w:cs="Arial"/>
          <w:b/>
          <w:color w:val="00B050"/>
          <w:szCs w:val="20"/>
          <w:lang w:val="en-US" w:eastAsia="en-GB"/>
        </w:rPr>
        <w:lastRenderedPageBreak/>
        <w:t>revenue</w:t>
      </w:r>
      <w:r w:rsidRPr="006F08CA">
        <w:rPr>
          <w:rFonts w:cs="Arial"/>
          <w:bCs/>
          <w:color w:val="00B050"/>
          <w:szCs w:val="20"/>
          <w:lang w:val="en-US" w:eastAsia="en-GB"/>
        </w:rPr>
        <w:t xml:space="preserve">. </w:t>
      </w:r>
      <w:r w:rsidR="008112ED">
        <w:rPr>
          <w:rFonts w:cs="Arial"/>
          <w:bCs/>
          <w:color w:val="00B050"/>
          <w:szCs w:val="20"/>
          <w:lang w:val="en-US" w:eastAsia="en-GB"/>
        </w:rPr>
        <w:t>All</w:t>
      </w:r>
      <w:r w:rsidR="008112ED" w:rsidRPr="006F08CA">
        <w:rPr>
          <w:rFonts w:cs="Arial"/>
          <w:bCs/>
          <w:color w:val="00B050"/>
          <w:szCs w:val="20"/>
          <w:lang w:val="en-US" w:eastAsia="en-GB"/>
        </w:rPr>
        <w:t xml:space="preserve"> their </w:t>
      </w:r>
      <w:r w:rsidR="008112ED">
        <w:rPr>
          <w:rFonts w:cs="Arial"/>
          <w:bCs/>
          <w:color w:val="00B050"/>
          <w:szCs w:val="20"/>
          <w:lang w:val="en-US" w:eastAsia="en-GB"/>
        </w:rPr>
        <w:t xml:space="preserve">business and non-business </w:t>
      </w:r>
      <w:r w:rsidR="008112ED" w:rsidRPr="006F08CA">
        <w:rPr>
          <w:rFonts w:cs="Arial"/>
          <w:bCs/>
          <w:color w:val="00B050"/>
          <w:szCs w:val="20"/>
          <w:lang w:val="en-US" w:eastAsia="en-GB"/>
        </w:rPr>
        <w:t>activities</w:t>
      </w:r>
      <w:r w:rsidR="008112ED">
        <w:rPr>
          <w:rFonts w:cs="Arial"/>
          <w:bCs/>
          <w:color w:val="00B050"/>
          <w:szCs w:val="20"/>
          <w:lang w:val="en-US" w:eastAsia="en-GB"/>
        </w:rPr>
        <w:t xml:space="preserve"> (including sponsoring) </w:t>
      </w:r>
      <w:r w:rsidRPr="006F08CA">
        <w:rPr>
          <w:rFonts w:cs="Arial"/>
          <w:bCs/>
          <w:color w:val="00B050"/>
          <w:szCs w:val="20"/>
          <w:lang w:val="en-US" w:eastAsia="en-GB"/>
        </w:rPr>
        <w:t>should respect the “</w:t>
      </w:r>
      <w:r w:rsidRPr="006F08CA">
        <w:rPr>
          <w:rFonts w:cs="Arial"/>
          <w:b/>
          <w:color w:val="00B050"/>
          <w:szCs w:val="20"/>
          <w:lang w:val="en-US" w:eastAsia="en-GB"/>
        </w:rPr>
        <w:t>Do Not Significant Harm</w:t>
      </w:r>
      <w:r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Pr="006F08CA">
        <w:rPr>
          <w:rFonts w:cs="Arial"/>
          <w:bCs/>
          <w:color w:val="00B050"/>
          <w:szCs w:val="20"/>
          <w:lang w:val="en-US" w:eastAsia="en-GB"/>
        </w:rPr>
        <w:t xml:space="preserve"> (Annex I), in the Taxonomy, and all EU regulations.</w:t>
      </w:r>
    </w:p>
    <w:p w14:paraId="76B5858D" w14:textId="79A9E941" w:rsidR="008D423D" w:rsidRPr="006F08CA" w:rsidRDefault="008D423D"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Alternatives to animal testing:</w:t>
      </w:r>
    </w:p>
    <w:p w14:paraId="6BBD57FF" w14:textId="7972F1E8" w:rsidR="00EF2A04" w:rsidRPr="006F08CA" w:rsidRDefault="00EF2A04" w:rsidP="00C543DA">
      <w:pPr>
        <w:pStyle w:val="Paragraphedeliste"/>
        <w:numPr>
          <w:ilvl w:val="1"/>
          <w:numId w:val="56"/>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(investment in) entities having more than 50% of their </w:t>
      </w:r>
      <w:r w:rsidRPr="006F08CA">
        <w:rPr>
          <w:rFonts w:cs="Arial"/>
          <w:b/>
          <w:color w:val="00B050"/>
          <w:szCs w:val="20"/>
          <w:lang w:val="en-US" w:eastAsia="en-GB"/>
        </w:rPr>
        <w:t xml:space="preserve">activities in </w:t>
      </w:r>
      <w:r w:rsidR="008C38F0" w:rsidRPr="006F08CA">
        <w:rPr>
          <w:rFonts w:cs="Arial"/>
          <w:b/>
          <w:color w:val="00B050"/>
          <w:szCs w:val="20"/>
          <w:lang w:val="en-US" w:eastAsia="en-GB"/>
        </w:rPr>
        <w:t xml:space="preserve">alternatives to animal testing solutions conception, </w:t>
      </w:r>
      <w:r w:rsidRPr="006F08CA">
        <w:rPr>
          <w:rFonts w:cs="Arial"/>
          <w:b/>
          <w:color w:val="00B050"/>
          <w:szCs w:val="20"/>
          <w:lang w:val="en-US" w:eastAsia="en-GB"/>
        </w:rPr>
        <w:t xml:space="preserve">production, </w:t>
      </w:r>
      <w:r w:rsidR="002C423F" w:rsidRPr="006F08CA">
        <w:rPr>
          <w:rFonts w:cs="Arial"/>
          <w:b/>
          <w:color w:val="00B050"/>
          <w:szCs w:val="20"/>
          <w:lang w:val="en-US" w:eastAsia="en-GB"/>
        </w:rPr>
        <w:t>utilization</w:t>
      </w:r>
      <w:r w:rsidR="00CB6548" w:rsidRPr="006F08CA">
        <w:rPr>
          <w:rFonts w:cs="Arial"/>
          <w:b/>
          <w:color w:val="00B050"/>
          <w:szCs w:val="20"/>
          <w:lang w:val="en-US" w:eastAsia="en-GB"/>
        </w:rPr>
        <w:t xml:space="preserve">, </w:t>
      </w:r>
      <w:r w:rsidRPr="006F08CA">
        <w:rPr>
          <w:rFonts w:cs="Arial"/>
          <w:b/>
          <w:color w:val="00B050"/>
          <w:szCs w:val="20"/>
          <w:lang w:val="en-US" w:eastAsia="en-GB"/>
        </w:rPr>
        <w:t>distribution</w:t>
      </w:r>
      <w:r w:rsidRPr="006F08CA">
        <w:rPr>
          <w:rFonts w:cs="Arial"/>
          <w:bCs/>
          <w:color w:val="00B050"/>
          <w:szCs w:val="20"/>
          <w:lang w:val="en-US" w:eastAsia="en-GB"/>
        </w:rPr>
        <w:t xml:space="preserve">, </w:t>
      </w:r>
      <w:r w:rsidR="00CB6548" w:rsidRPr="006F08CA">
        <w:rPr>
          <w:rFonts w:cs="Arial"/>
          <w:bCs/>
          <w:color w:val="00B050"/>
          <w:szCs w:val="20"/>
          <w:lang w:val="en-US" w:eastAsia="en-GB"/>
        </w:rPr>
        <w:t xml:space="preserve">or </w:t>
      </w:r>
      <w:r w:rsidR="00CB6548" w:rsidRPr="006F08CA">
        <w:rPr>
          <w:rFonts w:cs="Arial"/>
          <w:b/>
          <w:color w:val="00B050"/>
          <w:szCs w:val="20"/>
          <w:lang w:val="en-US" w:eastAsia="en-GB"/>
        </w:rPr>
        <w:t>promotion</w:t>
      </w:r>
      <w:r w:rsidR="00CB6548" w:rsidRPr="006F08CA">
        <w:rPr>
          <w:rFonts w:cs="Arial"/>
          <w:bCs/>
          <w:color w:val="00B050"/>
          <w:szCs w:val="20"/>
          <w:lang w:val="en-US" w:eastAsia="en-GB"/>
        </w:rPr>
        <w:t xml:space="preserve"> </w:t>
      </w:r>
      <w:r w:rsidRPr="006F08CA">
        <w:rPr>
          <w:rFonts w:cs="Arial"/>
          <w:bCs/>
          <w:color w:val="00B050"/>
          <w:szCs w:val="20"/>
          <w:lang w:val="en-US" w:eastAsia="en-GB"/>
        </w:rPr>
        <w:t xml:space="preserve">measured by the </w:t>
      </w:r>
      <w:r w:rsidRPr="006F08CA">
        <w:rPr>
          <w:rFonts w:cs="Arial"/>
          <w:b/>
          <w:color w:val="00B050"/>
          <w:szCs w:val="20"/>
          <w:lang w:val="en-US" w:eastAsia="en-GB"/>
        </w:rPr>
        <w:t>annual revenue</w:t>
      </w:r>
      <w:r w:rsidRPr="006F08CA">
        <w:rPr>
          <w:rFonts w:cs="Arial"/>
          <w:bCs/>
          <w:color w:val="00B050"/>
          <w:szCs w:val="20"/>
          <w:lang w:val="en-US" w:eastAsia="en-GB"/>
        </w:rPr>
        <w:t xml:space="preserve">. </w:t>
      </w:r>
      <w:r w:rsidR="008112ED">
        <w:rPr>
          <w:rFonts w:cs="Arial"/>
          <w:bCs/>
          <w:color w:val="00B050"/>
          <w:szCs w:val="20"/>
          <w:lang w:val="en-US" w:eastAsia="en-GB"/>
        </w:rPr>
        <w:t>All</w:t>
      </w:r>
      <w:r w:rsidR="008112ED" w:rsidRPr="006F08CA">
        <w:rPr>
          <w:rFonts w:cs="Arial"/>
          <w:bCs/>
          <w:color w:val="00B050"/>
          <w:szCs w:val="20"/>
          <w:lang w:val="en-US" w:eastAsia="en-GB"/>
        </w:rPr>
        <w:t xml:space="preserve"> their </w:t>
      </w:r>
      <w:r w:rsidR="008112ED">
        <w:rPr>
          <w:rFonts w:cs="Arial"/>
          <w:bCs/>
          <w:color w:val="00B050"/>
          <w:szCs w:val="20"/>
          <w:lang w:val="en-US" w:eastAsia="en-GB"/>
        </w:rPr>
        <w:t xml:space="preserve">business and non-business </w:t>
      </w:r>
      <w:r w:rsidR="008112ED" w:rsidRPr="006F08CA">
        <w:rPr>
          <w:rFonts w:cs="Arial"/>
          <w:bCs/>
          <w:color w:val="00B050"/>
          <w:szCs w:val="20"/>
          <w:lang w:val="en-US" w:eastAsia="en-GB"/>
        </w:rPr>
        <w:t>activities</w:t>
      </w:r>
      <w:r w:rsidR="008112ED">
        <w:rPr>
          <w:rFonts w:cs="Arial"/>
          <w:bCs/>
          <w:color w:val="00B050"/>
          <w:szCs w:val="20"/>
          <w:lang w:val="en-US" w:eastAsia="en-GB"/>
        </w:rPr>
        <w:t xml:space="preserve"> (including sponsoring) </w:t>
      </w:r>
      <w:r w:rsidRPr="006F08CA">
        <w:rPr>
          <w:rFonts w:cs="Arial"/>
          <w:bCs/>
          <w:color w:val="00B050"/>
          <w:szCs w:val="20"/>
          <w:lang w:val="en-US" w:eastAsia="en-GB"/>
        </w:rPr>
        <w:t>should respect the “</w:t>
      </w:r>
      <w:r w:rsidRPr="006F08CA">
        <w:rPr>
          <w:rFonts w:cs="Arial"/>
          <w:b/>
          <w:color w:val="00B050"/>
          <w:szCs w:val="20"/>
          <w:lang w:val="en-US" w:eastAsia="en-GB"/>
        </w:rPr>
        <w:t>Do Not Significant Harm</w:t>
      </w:r>
      <w:r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Pr="006F08CA">
        <w:rPr>
          <w:rFonts w:cs="Arial"/>
          <w:bCs/>
          <w:color w:val="00B050"/>
          <w:szCs w:val="20"/>
          <w:lang w:val="en-US" w:eastAsia="en-GB"/>
        </w:rPr>
        <w:t xml:space="preserve"> (Annex I), in the Taxonomy, and all EU regulations.</w:t>
      </w:r>
    </w:p>
    <w:p w14:paraId="24D41BC8" w14:textId="446010F5" w:rsidR="008D423D" w:rsidRPr="006F08CA" w:rsidRDefault="008D423D"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Innovations in animal-welfare:</w:t>
      </w:r>
    </w:p>
    <w:p w14:paraId="63692907" w14:textId="19814B01" w:rsidR="008C38F0" w:rsidRPr="006F08CA" w:rsidRDefault="008C38F0" w:rsidP="00C543DA">
      <w:pPr>
        <w:pStyle w:val="Paragraphedeliste"/>
        <w:numPr>
          <w:ilvl w:val="1"/>
          <w:numId w:val="57"/>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(investment in) entities having more than 50% of their </w:t>
      </w:r>
      <w:r w:rsidRPr="006F08CA">
        <w:rPr>
          <w:rFonts w:cs="Arial"/>
          <w:b/>
          <w:color w:val="00B050"/>
          <w:szCs w:val="20"/>
          <w:lang w:val="en-US" w:eastAsia="en-GB"/>
        </w:rPr>
        <w:t>activities in animal-welfare innovative methods design, production</w:t>
      </w:r>
      <w:r w:rsidR="002C423F" w:rsidRPr="006F08CA">
        <w:rPr>
          <w:rFonts w:cs="Arial"/>
          <w:b/>
          <w:color w:val="00B050"/>
          <w:szCs w:val="20"/>
          <w:lang w:val="en-US" w:eastAsia="en-GB"/>
        </w:rPr>
        <w:t>, utilization</w:t>
      </w:r>
      <w:r w:rsidR="00CB6548" w:rsidRPr="006F08CA">
        <w:rPr>
          <w:rFonts w:cs="Arial"/>
          <w:b/>
          <w:color w:val="00B050"/>
          <w:szCs w:val="20"/>
          <w:lang w:val="en-US" w:eastAsia="en-GB"/>
        </w:rPr>
        <w:t xml:space="preserve">, </w:t>
      </w:r>
      <w:r w:rsidRPr="006F08CA">
        <w:rPr>
          <w:rFonts w:cs="Arial"/>
          <w:b/>
          <w:color w:val="00B050"/>
          <w:szCs w:val="20"/>
          <w:lang w:val="en-US" w:eastAsia="en-GB"/>
        </w:rPr>
        <w:t>distribution</w:t>
      </w:r>
      <w:r w:rsidRPr="006F08CA">
        <w:rPr>
          <w:rFonts w:cs="Arial"/>
          <w:bCs/>
          <w:color w:val="00B050"/>
          <w:szCs w:val="20"/>
          <w:lang w:val="en-US" w:eastAsia="en-GB"/>
        </w:rPr>
        <w:t xml:space="preserve">, </w:t>
      </w:r>
      <w:r w:rsidR="00CB6548" w:rsidRPr="006F08CA">
        <w:rPr>
          <w:rFonts w:cs="Arial"/>
          <w:bCs/>
          <w:color w:val="00B050"/>
          <w:szCs w:val="20"/>
          <w:lang w:val="en-US" w:eastAsia="en-GB"/>
        </w:rPr>
        <w:t xml:space="preserve">or </w:t>
      </w:r>
      <w:r w:rsidR="00CB6548" w:rsidRPr="006F08CA">
        <w:rPr>
          <w:rFonts w:cs="Arial"/>
          <w:b/>
          <w:color w:val="00B050"/>
          <w:szCs w:val="20"/>
          <w:lang w:val="en-US" w:eastAsia="en-GB"/>
        </w:rPr>
        <w:t>promotion</w:t>
      </w:r>
      <w:r w:rsidR="00CB6548" w:rsidRPr="006F08CA">
        <w:rPr>
          <w:rFonts w:cs="Arial"/>
          <w:bCs/>
          <w:color w:val="00B050"/>
          <w:szCs w:val="20"/>
          <w:lang w:val="en-US" w:eastAsia="en-GB"/>
        </w:rPr>
        <w:t xml:space="preserve"> </w:t>
      </w:r>
      <w:r w:rsidRPr="006F08CA">
        <w:rPr>
          <w:rFonts w:cs="Arial"/>
          <w:bCs/>
          <w:color w:val="00B050"/>
          <w:szCs w:val="20"/>
          <w:lang w:val="en-US" w:eastAsia="en-GB"/>
        </w:rPr>
        <w:t xml:space="preserve">measured by the </w:t>
      </w:r>
      <w:r w:rsidRPr="006F08CA">
        <w:rPr>
          <w:rFonts w:cs="Arial"/>
          <w:b/>
          <w:color w:val="00B050"/>
          <w:szCs w:val="20"/>
          <w:lang w:val="en-US" w:eastAsia="en-GB"/>
        </w:rPr>
        <w:t>annual revenue</w:t>
      </w:r>
      <w:r w:rsidRPr="006F08CA">
        <w:rPr>
          <w:rFonts w:cs="Arial"/>
          <w:bCs/>
          <w:color w:val="00B050"/>
          <w:szCs w:val="20"/>
          <w:lang w:val="en-US" w:eastAsia="en-GB"/>
        </w:rPr>
        <w:t xml:space="preserve">. </w:t>
      </w:r>
      <w:r w:rsidR="008112ED">
        <w:rPr>
          <w:rFonts w:cs="Arial"/>
          <w:bCs/>
          <w:color w:val="00B050"/>
          <w:szCs w:val="20"/>
          <w:lang w:val="en-US" w:eastAsia="en-GB"/>
        </w:rPr>
        <w:t>All</w:t>
      </w:r>
      <w:r w:rsidR="008112ED" w:rsidRPr="006F08CA">
        <w:rPr>
          <w:rFonts w:cs="Arial"/>
          <w:bCs/>
          <w:color w:val="00B050"/>
          <w:szCs w:val="20"/>
          <w:lang w:val="en-US" w:eastAsia="en-GB"/>
        </w:rPr>
        <w:t xml:space="preserve"> their </w:t>
      </w:r>
      <w:r w:rsidR="008112ED">
        <w:rPr>
          <w:rFonts w:cs="Arial"/>
          <w:bCs/>
          <w:color w:val="00B050"/>
          <w:szCs w:val="20"/>
          <w:lang w:val="en-US" w:eastAsia="en-GB"/>
        </w:rPr>
        <w:t xml:space="preserve">business and non-business </w:t>
      </w:r>
      <w:r w:rsidR="008112ED" w:rsidRPr="006F08CA">
        <w:rPr>
          <w:rFonts w:cs="Arial"/>
          <w:bCs/>
          <w:color w:val="00B050"/>
          <w:szCs w:val="20"/>
          <w:lang w:val="en-US" w:eastAsia="en-GB"/>
        </w:rPr>
        <w:t>activities</w:t>
      </w:r>
      <w:r w:rsidR="008112ED">
        <w:rPr>
          <w:rFonts w:cs="Arial"/>
          <w:bCs/>
          <w:color w:val="00B050"/>
          <w:szCs w:val="20"/>
          <w:lang w:val="en-US" w:eastAsia="en-GB"/>
        </w:rPr>
        <w:t xml:space="preserve"> (including sponsoring) </w:t>
      </w:r>
      <w:r w:rsidRPr="006F08CA">
        <w:rPr>
          <w:rFonts w:cs="Arial"/>
          <w:bCs/>
          <w:color w:val="00B050"/>
          <w:szCs w:val="20"/>
          <w:lang w:val="en-US" w:eastAsia="en-GB"/>
        </w:rPr>
        <w:t>should respect the “</w:t>
      </w:r>
      <w:r w:rsidRPr="006F08CA">
        <w:rPr>
          <w:rFonts w:cs="Arial"/>
          <w:b/>
          <w:color w:val="00B050"/>
          <w:szCs w:val="20"/>
          <w:lang w:val="en-US" w:eastAsia="en-GB"/>
        </w:rPr>
        <w:t>Do Not Significant Harm</w:t>
      </w:r>
      <w:r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Pr="006F08CA">
        <w:rPr>
          <w:rFonts w:cs="Arial"/>
          <w:bCs/>
          <w:color w:val="00B050"/>
          <w:szCs w:val="20"/>
          <w:lang w:val="en-US" w:eastAsia="en-GB"/>
        </w:rPr>
        <w:t xml:space="preserve"> (Annex I), in the Taxonomy, and all EU regulations.</w:t>
      </w:r>
    </w:p>
    <w:p w14:paraId="783A8DF0" w14:textId="79D4F94F" w:rsidR="008D423D" w:rsidRPr="006F08CA" w:rsidRDefault="008D423D"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Circular economy:</w:t>
      </w:r>
    </w:p>
    <w:p w14:paraId="4E4AAB8F" w14:textId="462A6AB3" w:rsidR="00C17EA9" w:rsidRPr="006F08CA" w:rsidRDefault="00C17EA9" w:rsidP="00C543DA">
      <w:pPr>
        <w:pStyle w:val="Paragraphedeliste"/>
        <w:numPr>
          <w:ilvl w:val="1"/>
          <w:numId w:val="58"/>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(investment in) entities having more than 50% of their </w:t>
      </w:r>
      <w:r w:rsidRPr="006F08CA">
        <w:rPr>
          <w:rFonts w:cs="Arial"/>
          <w:b/>
          <w:color w:val="00B050"/>
          <w:szCs w:val="20"/>
          <w:lang w:val="en-US" w:eastAsia="en-GB"/>
        </w:rPr>
        <w:t>activities in circular economy sector</w:t>
      </w:r>
      <w:r w:rsidRPr="006F08CA">
        <w:rPr>
          <w:rFonts w:cs="Arial"/>
          <w:bCs/>
          <w:color w:val="00B050"/>
          <w:szCs w:val="20"/>
          <w:lang w:val="en-US" w:eastAsia="en-GB"/>
        </w:rPr>
        <w:t xml:space="preserve">, measured by the </w:t>
      </w:r>
      <w:r w:rsidRPr="006F08CA">
        <w:rPr>
          <w:rFonts w:cs="Arial"/>
          <w:b/>
          <w:color w:val="00B050"/>
          <w:szCs w:val="20"/>
          <w:lang w:val="en-US" w:eastAsia="en-GB"/>
        </w:rPr>
        <w:t>annual revenue</w:t>
      </w:r>
      <w:r w:rsidRPr="006F08CA">
        <w:rPr>
          <w:rFonts w:cs="Arial"/>
          <w:bCs/>
          <w:color w:val="00B050"/>
          <w:szCs w:val="20"/>
          <w:lang w:val="en-US" w:eastAsia="en-GB"/>
        </w:rPr>
        <w:t xml:space="preserve">. </w:t>
      </w:r>
      <w:r w:rsidR="008112ED">
        <w:rPr>
          <w:rFonts w:cs="Arial"/>
          <w:bCs/>
          <w:color w:val="00B050"/>
          <w:szCs w:val="20"/>
          <w:lang w:val="en-US" w:eastAsia="en-GB"/>
        </w:rPr>
        <w:t>All</w:t>
      </w:r>
      <w:r w:rsidR="008112ED" w:rsidRPr="006F08CA">
        <w:rPr>
          <w:rFonts w:cs="Arial"/>
          <w:bCs/>
          <w:color w:val="00B050"/>
          <w:szCs w:val="20"/>
          <w:lang w:val="en-US" w:eastAsia="en-GB"/>
        </w:rPr>
        <w:t xml:space="preserve"> their </w:t>
      </w:r>
      <w:r w:rsidR="008112ED">
        <w:rPr>
          <w:rFonts w:cs="Arial"/>
          <w:bCs/>
          <w:color w:val="00B050"/>
          <w:szCs w:val="20"/>
          <w:lang w:val="en-US" w:eastAsia="en-GB"/>
        </w:rPr>
        <w:t xml:space="preserve">business and non-business </w:t>
      </w:r>
      <w:r w:rsidR="008112ED" w:rsidRPr="006F08CA">
        <w:rPr>
          <w:rFonts w:cs="Arial"/>
          <w:bCs/>
          <w:color w:val="00B050"/>
          <w:szCs w:val="20"/>
          <w:lang w:val="en-US" w:eastAsia="en-GB"/>
        </w:rPr>
        <w:t>activities</w:t>
      </w:r>
      <w:r w:rsidR="008112ED">
        <w:rPr>
          <w:rFonts w:cs="Arial"/>
          <w:bCs/>
          <w:color w:val="00B050"/>
          <w:szCs w:val="20"/>
          <w:lang w:val="en-US" w:eastAsia="en-GB"/>
        </w:rPr>
        <w:t xml:space="preserve"> (including sponsoring) </w:t>
      </w:r>
      <w:r w:rsidRPr="006F08CA">
        <w:rPr>
          <w:rFonts w:cs="Arial"/>
          <w:bCs/>
          <w:color w:val="00B050"/>
          <w:szCs w:val="20"/>
          <w:lang w:val="en-US" w:eastAsia="en-GB"/>
        </w:rPr>
        <w:t>should respect the “</w:t>
      </w:r>
      <w:r w:rsidRPr="006F08CA">
        <w:rPr>
          <w:rFonts w:cs="Arial"/>
          <w:b/>
          <w:color w:val="00B050"/>
          <w:szCs w:val="20"/>
          <w:lang w:val="en-US" w:eastAsia="en-GB"/>
        </w:rPr>
        <w:t>Do Not Significant Harm</w:t>
      </w:r>
      <w:r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Pr="006F08CA">
        <w:rPr>
          <w:rFonts w:cs="Arial"/>
          <w:bCs/>
          <w:color w:val="00B050"/>
          <w:szCs w:val="20"/>
          <w:lang w:val="en-US" w:eastAsia="en-GB"/>
        </w:rPr>
        <w:t xml:space="preserve"> (Annex I), in the Taxonomy, and all EU regulations.</w:t>
      </w:r>
    </w:p>
    <w:p w14:paraId="7964188F" w14:textId="2B229F8D" w:rsidR="008D423D" w:rsidRPr="006F08CA" w:rsidRDefault="008D423D" w:rsidP="00C543DA">
      <w:pPr>
        <w:pStyle w:val="Paragraphedeliste"/>
        <w:numPr>
          <w:ilvl w:val="0"/>
          <w:numId w:val="42"/>
        </w:numPr>
        <w:autoSpaceDE w:val="0"/>
        <w:autoSpaceDN w:val="0"/>
        <w:adjustRightInd w:val="0"/>
        <w:jc w:val="both"/>
        <w:rPr>
          <w:rFonts w:cs="Arial"/>
          <w:bCs/>
          <w:color w:val="00B050"/>
          <w:szCs w:val="20"/>
          <w:u w:val="single"/>
          <w:lang w:val="en-US" w:eastAsia="en-GB"/>
        </w:rPr>
      </w:pPr>
      <w:r w:rsidRPr="006F08CA">
        <w:rPr>
          <w:rFonts w:cs="Arial"/>
          <w:bCs/>
          <w:color w:val="00B050"/>
          <w:szCs w:val="20"/>
          <w:u w:val="single"/>
          <w:lang w:val="en-US" w:eastAsia="en-GB"/>
        </w:rPr>
        <w:t>Inclusive finance:</w:t>
      </w:r>
    </w:p>
    <w:p w14:paraId="4D8706C0" w14:textId="5BFC11CF" w:rsidR="002C423F" w:rsidRPr="006F08CA" w:rsidRDefault="002C423F" w:rsidP="00C543DA">
      <w:pPr>
        <w:pStyle w:val="Paragraphedeliste"/>
        <w:numPr>
          <w:ilvl w:val="1"/>
          <w:numId w:val="59"/>
        </w:numPr>
        <w:autoSpaceDE w:val="0"/>
        <w:autoSpaceDN w:val="0"/>
        <w:adjustRightInd w:val="0"/>
        <w:jc w:val="both"/>
        <w:rPr>
          <w:rFonts w:cs="Arial"/>
          <w:bCs/>
          <w:color w:val="00B050"/>
          <w:szCs w:val="20"/>
          <w:lang w:val="en-US" w:eastAsia="en-GB"/>
        </w:rPr>
      </w:pPr>
      <w:r w:rsidRPr="006F08CA">
        <w:rPr>
          <w:rFonts w:cs="Arial"/>
          <w:bCs/>
          <w:color w:val="00B050"/>
          <w:szCs w:val="20"/>
          <w:lang w:val="en-US" w:eastAsia="en-GB"/>
        </w:rPr>
        <w:t xml:space="preserve">Share of (investment in) entities having more than 50% of their </w:t>
      </w:r>
      <w:r w:rsidRPr="006F08CA">
        <w:rPr>
          <w:rFonts w:cs="Arial"/>
          <w:b/>
          <w:color w:val="00B050"/>
          <w:szCs w:val="20"/>
          <w:lang w:val="en-US" w:eastAsia="en-GB"/>
        </w:rPr>
        <w:t>activities in inclusive financial services conception</w:t>
      </w:r>
      <w:r w:rsidR="00CB6548" w:rsidRPr="006F08CA">
        <w:rPr>
          <w:rFonts w:cs="Arial"/>
          <w:b/>
          <w:color w:val="00B050"/>
          <w:szCs w:val="20"/>
          <w:lang w:val="en-US" w:eastAsia="en-GB"/>
        </w:rPr>
        <w:t xml:space="preserve">, </w:t>
      </w:r>
      <w:r w:rsidRPr="006F08CA">
        <w:rPr>
          <w:rFonts w:cs="Arial"/>
          <w:b/>
          <w:color w:val="00B050"/>
          <w:szCs w:val="20"/>
          <w:lang w:val="en-US" w:eastAsia="en-GB"/>
        </w:rPr>
        <w:t>distribution</w:t>
      </w:r>
      <w:r w:rsidRPr="006F08CA">
        <w:rPr>
          <w:rFonts w:cs="Arial"/>
          <w:bCs/>
          <w:color w:val="00B050"/>
          <w:szCs w:val="20"/>
          <w:lang w:val="en-US" w:eastAsia="en-GB"/>
        </w:rPr>
        <w:t xml:space="preserve">, </w:t>
      </w:r>
      <w:r w:rsidR="00CB6548" w:rsidRPr="006F08CA">
        <w:rPr>
          <w:rFonts w:cs="Arial"/>
          <w:bCs/>
          <w:color w:val="00B050"/>
          <w:szCs w:val="20"/>
          <w:lang w:val="en-US" w:eastAsia="en-GB"/>
        </w:rPr>
        <w:t xml:space="preserve">or </w:t>
      </w:r>
      <w:r w:rsidR="00CB6548" w:rsidRPr="006F08CA">
        <w:rPr>
          <w:rFonts w:cs="Arial"/>
          <w:b/>
          <w:color w:val="00B050"/>
          <w:szCs w:val="20"/>
          <w:lang w:val="en-US" w:eastAsia="en-GB"/>
        </w:rPr>
        <w:t>promotion</w:t>
      </w:r>
      <w:r w:rsidR="00CB6548" w:rsidRPr="006F08CA">
        <w:rPr>
          <w:rFonts w:cs="Arial"/>
          <w:bCs/>
          <w:color w:val="00B050"/>
          <w:szCs w:val="20"/>
          <w:lang w:val="en-US" w:eastAsia="en-GB"/>
        </w:rPr>
        <w:t xml:space="preserve"> </w:t>
      </w:r>
      <w:r w:rsidRPr="006F08CA">
        <w:rPr>
          <w:rFonts w:cs="Arial"/>
          <w:bCs/>
          <w:color w:val="00B050"/>
          <w:szCs w:val="20"/>
          <w:lang w:val="en-US" w:eastAsia="en-GB"/>
        </w:rPr>
        <w:t xml:space="preserve">measured by the </w:t>
      </w:r>
      <w:r w:rsidRPr="006F08CA">
        <w:rPr>
          <w:rFonts w:cs="Arial"/>
          <w:b/>
          <w:color w:val="00B050"/>
          <w:szCs w:val="20"/>
          <w:lang w:val="en-US" w:eastAsia="en-GB"/>
        </w:rPr>
        <w:t>annual revenue</w:t>
      </w:r>
      <w:r w:rsidRPr="006F08CA">
        <w:rPr>
          <w:rFonts w:cs="Arial"/>
          <w:bCs/>
          <w:color w:val="00B050"/>
          <w:szCs w:val="20"/>
          <w:lang w:val="en-US" w:eastAsia="en-GB"/>
        </w:rPr>
        <w:t xml:space="preserve">. </w:t>
      </w:r>
      <w:r w:rsidR="008112ED">
        <w:rPr>
          <w:rFonts w:cs="Arial"/>
          <w:bCs/>
          <w:color w:val="00B050"/>
          <w:szCs w:val="20"/>
          <w:lang w:val="en-US" w:eastAsia="en-GB"/>
        </w:rPr>
        <w:t>All</w:t>
      </w:r>
      <w:r w:rsidR="008112ED" w:rsidRPr="006F08CA">
        <w:rPr>
          <w:rFonts w:cs="Arial"/>
          <w:bCs/>
          <w:color w:val="00B050"/>
          <w:szCs w:val="20"/>
          <w:lang w:val="en-US" w:eastAsia="en-GB"/>
        </w:rPr>
        <w:t xml:space="preserve"> their </w:t>
      </w:r>
      <w:r w:rsidR="008112ED">
        <w:rPr>
          <w:rFonts w:cs="Arial"/>
          <w:bCs/>
          <w:color w:val="00B050"/>
          <w:szCs w:val="20"/>
          <w:lang w:val="en-US" w:eastAsia="en-GB"/>
        </w:rPr>
        <w:t xml:space="preserve">business and non-business </w:t>
      </w:r>
      <w:r w:rsidR="008112ED" w:rsidRPr="006F08CA">
        <w:rPr>
          <w:rFonts w:cs="Arial"/>
          <w:bCs/>
          <w:color w:val="00B050"/>
          <w:szCs w:val="20"/>
          <w:lang w:val="en-US" w:eastAsia="en-GB"/>
        </w:rPr>
        <w:t>activities</w:t>
      </w:r>
      <w:r w:rsidR="008112ED">
        <w:rPr>
          <w:rFonts w:cs="Arial"/>
          <w:bCs/>
          <w:color w:val="00B050"/>
          <w:szCs w:val="20"/>
          <w:lang w:val="en-US" w:eastAsia="en-GB"/>
        </w:rPr>
        <w:t xml:space="preserve"> (including sponsoring) </w:t>
      </w:r>
      <w:r w:rsidRPr="006F08CA">
        <w:rPr>
          <w:rFonts w:cs="Arial"/>
          <w:bCs/>
          <w:color w:val="00B050"/>
          <w:szCs w:val="20"/>
          <w:lang w:val="en-US" w:eastAsia="en-GB"/>
        </w:rPr>
        <w:t>should respect the “</w:t>
      </w:r>
      <w:r w:rsidRPr="006F08CA">
        <w:rPr>
          <w:rFonts w:cs="Arial"/>
          <w:b/>
          <w:color w:val="00B050"/>
          <w:szCs w:val="20"/>
          <w:lang w:val="en-US" w:eastAsia="en-GB"/>
        </w:rPr>
        <w:t>Do Not Significant Harm</w:t>
      </w:r>
      <w:r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Pr="006F08CA">
        <w:rPr>
          <w:rFonts w:cs="Arial"/>
          <w:bCs/>
          <w:color w:val="00B050"/>
          <w:szCs w:val="20"/>
          <w:lang w:val="en-US" w:eastAsia="en-GB"/>
        </w:rPr>
        <w:t xml:space="preserve"> (Annex I), in the Taxonomy, and all EU regulations.</w:t>
      </w:r>
    </w:p>
    <w:p w14:paraId="38047373" w14:textId="77777777" w:rsidR="004A572D" w:rsidRPr="006F08CA" w:rsidRDefault="004A572D" w:rsidP="00C543DA">
      <w:pPr>
        <w:pStyle w:val="Paragraphedeliste"/>
        <w:numPr>
          <w:ilvl w:val="0"/>
          <w:numId w:val="42"/>
        </w:numPr>
        <w:autoSpaceDE w:val="0"/>
        <w:autoSpaceDN w:val="0"/>
        <w:adjustRightInd w:val="0"/>
        <w:jc w:val="both"/>
        <w:rPr>
          <w:rFonts w:cs="Arial"/>
          <w:color w:val="00B050"/>
          <w:szCs w:val="20"/>
          <w:u w:val="single"/>
        </w:rPr>
      </w:pPr>
      <w:r w:rsidRPr="006F08CA">
        <w:rPr>
          <w:rFonts w:cs="Arial"/>
          <w:bCs/>
          <w:color w:val="00B050"/>
          <w:szCs w:val="20"/>
          <w:u w:val="single"/>
          <w:lang w:val="en-US" w:eastAsia="en-GB"/>
        </w:rPr>
        <w:t>Mixed positive sustainability activities:</w:t>
      </w:r>
    </w:p>
    <w:p w14:paraId="07F206AB" w14:textId="7D5DCF80" w:rsidR="00362BE3" w:rsidRPr="006F08CA" w:rsidRDefault="00925D72" w:rsidP="00C543DA">
      <w:pPr>
        <w:pStyle w:val="Paragraphedeliste"/>
        <w:numPr>
          <w:ilvl w:val="1"/>
          <w:numId w:val="60"/>
        </w:numPr>
        <w:autoSpaceDE w:val="0"/>
        <w:autoSpaceDN w:val="0"/>
        <w:adjustRightInd w:val="0"/>
        <w:jc w:val="both"/>
        <w:rPr>
          <w:rFonts w:cs="Arial"/>
          <w:color w:val="00B050"/>
          <w:szCs w:val="20"/>
        </w:rPr>
      </w:pPr>
      <w:r w:rsidRPr="006F08CA">
        <w:rPr>
          <w:rFonts w:cs="Arial"/>
          <w:bCs/>
          <w:color w:val="00B050"/>
          <w:szCs w:val="20"/>
          <w:lang w:val="en-US" w:eastAsia="en-GB"/>
        </w:rPr>
        <w:t>Share of (investment in)</w:t>
      </w:r>
      <w:r w:rsidRPr="006F08CA">
        <w:rPr>
          <w:rFonts w:cs="Arial"/>
          <w:b/>
          <w:color w:val="00B050"/>
          <w:szCs w:val="20"/>
          <w:lang w:val="en-US" w:eastAsia="en-GB"/>
        </w:rPr>
        <w:t xml:space="preserve"> </w:t>
      </w:r>
      <w:r w:rsidR="002C423F" w:rsidRPr="006F08CA">
        <w:rPr>
          <w:rFonts w:cs="Arial"/>
          <w:b/>
          <w:color w:val="00B050"/>
          <w:szCs w:val="20"/>
          <w:lang w:val="en-US" w:eastAsia="en-GB"/>
        </w:rPr>
        <w:t>entit</w:t>
      </w:r>
      <w:r w:rsidRPr="006F08CA">
        <w:rPr>
          <w:rFonts w:cs="Arial"/>
          <w:b/>
          <w:color w:val="00B050"/>
          <w:szCs w:val="20"/>
          <w:lang w:val="en-US" w:eastAsia="en-GB"/>
        </w:rPr>
        <w:t>ies</w:t>
      </w:r>
      <w:r w:rsidR="002C423F" w:rsidRPr="006F08CA">
        <w:rPr>
          <w:rFonts w:cs="Arial"/>
          <w:b/>
          <w:color w:val="00B050"/>
          <w:szCs w:val="20"/>
          <w:lang w:val="en-US" w:eastAsia="en-GB"/>
        </w:rPr>
        <w:t xml:space="preserve"> identified as having positive sustainability activities if </w:t>
      </w:r>
      <w:r w:rsidR="00275C41" w:rsidRPr="006F08CA">
        <w:rPr>
          <w:rFonts w:cs="Arial"/>
          <w:b/>
          <w:color w:val="00B050"/>
          <w:szCs w:val="20"/>
          <w:lang w:val="en-US" w:eastAsia="en-GB"/>
        </w:rPr>
        <w:t xml:space="preserve">the entity </w:t>
      </w:r>
      <w:r w:rsidR="002C423F" w:rsidRPr="006F08CA">
        <w:rPr>
          <w:rFonts w:cs="Arial"/>
          <w:b/>
          <w:color w:val="00B050"/>
          <w:szCs w:val="20"/>
          <w:u w:val="single"/>
          <w:lang w:val="en-US" w:eastAsia="en-GB"/>
        </w:rPr>
        <w:t>cumulates</w:t>
      </w:r>
      <w:r w:rsidR="002C423F" w:rsidRPr="006F08CA">
        <w:rPr>
          <w:rFonts w:cs="Arial"/>
          <w:b/>
          <w:color w:val="00B050"/>
          <w:szCs w:val="20"/>
          <w:lang w:val="en-US" w:eastAsia="en-GB"/>
        </w:rPr>
        <w:t xml:space="preserve"> at least 50% of the activities</w:t>
      </w:r>
      <w:r w:rsidR="00275C41" w:rsidRPr="006F08CA">
        <w:rPr>
          <w:rFonts w:cs="Arial"/>
          <w:bCs/>
          <w:color w:val="00B050"/>
          <w:szCs w:val="20"/>
          <w:lang w:val="en-US" w:eastAsia="en-GB"/>
        </w:rPr>
        <w:t xml:space="preserve"> </w:t>
      </w:r>
      <w:r w:rsidR="005C211C" w:rsidRPr="006F08CA">
        <w:rPr>
          <w:rFonts w:cs="Arial"/>
          <w:bCs/>
          <w:color w:val="00B050"/>
          <w:szCs w:val="20"/>
          <w:lang w:val="en-US" w:eastAsia="en-GB"/>
        </w:rPr>
        <w:t xml:space="preserve">of conception, production, distribution, utilization, and/or promotion </w:t>
      </w:r>
      <w:r w:rsidR="00275C41" w:rsidRPr="006F08CA">
        <w:rPr>
          <w:rFonts w:cs="Arial"/>
          <w:b/>
          <w:color w:val="00B050"/>
          <w:szCs w:val="20"/>
          <w:lang w:val="en-US" w:eastAsia="en-GB"/>
        </w:rPr>
        <w:t>measured by annual revenue</w:t>
      </w:r>
      <w:r w:rsidR="002C423F" w:rsidRPr="006F08CA">
        <w:rPr>
          <w:rFonts w:cs="Arial"/>
          <w:bCs/>
          <w:color w:val="00B050"/>
          <w:szCs w:val="20"/>
          <w:lang w:val="en-US" w:eastAsia="en-GB"/>
        </w:rPr>
        <w:t xml:space="preserve"> in </w:t>
      </w:r>
      <w:r w:rsidR="00275C41" w:rsidRPr="006F08CA">
        <w:rPr>
          <w:rFonts w:cs="Arial"/>
          <w:bCs/>
          <w:color w:val="00B050"/>
          <w:szCs w:val="20"/>
          <w:lang w:val="en-US" w:eastAsia="en-GB"/>
        </w:rPr>
        <w:t xml:space="preserve">the </w:t>
      </w:r>
      <w:r w:rsidR="00275C41" w:rsidRPr="006F08CA">
        <w:rPr>
          <w:rFonts w:cs="Arial"/>
          <w:b/>
          <w:color w:val="00B050"/>
          <w:szCs w:val="20"/>
          <w:lang w:val="en-US" w:eastAsia="en-GB"/>
        </w:rPr>
        <w:t xml:space="preserve">fields of </w:t>
      </w:r>
      <w:r w:rsidR="00C461F1" w:rsidRPr="006F08CA">
        <w:rPr>
          <w:rFonts w:cs="Arial"/>
          <w:b/>
          <w:color w:val="00B050"/>
          <w:szCs w:val="20"/>
          <w:lang w:val="en-US" w:eastAsia="en-GB"/>
        </w:rPr>
        <w:t>Table 4</w:t>
      </w:r>
      <w:r w:rsidR="00CD693C" w:rsidRPr="006F08CA">
        <w:rPr>
          <w:rFonts w:cs="Arial"/>
          <w:b/>
          <w:color w:val="00B050"/>
          <w:szCs w:val="20"/>
          <w:lang w:val="en-US" w:eastAsia="en-GB"/>
        </w:rPr>
        <w:t xml:space="preserve"> </w:t>
      </w:r>
      <w:r w:rsidR="00CD693C" w:rsidRPr="006F08CA">
        <w:rPr>
          <w:rFonts w:cs="Arial"/>
          <w:bCs/>
          <w:color w:val="00B050"/>
          <w:szCs w:val="20"/>
          <w:lang w:val="en-US" w:eastAsia="en-GB"/>
        </w:rPr>
        <w:t>:</w:t>
      </w:r>
      <w:r w:rsidR="00CD693C" w:rsidRPr="006F08CA">
        <w:rPr>
          <w:rFonts w:cs="Arial"/>
          <w:b/>
          <w:color w:val="00B050"/>
          <w:szCs w:val="20"/>
          <w:lang w:val="en-US" w:eastAsia="en-GB"/>
        </w:rPr>
        <w:t xml:space="preserve"> </w:t>
      </w:r>
      <w:r w:rsidR="002C423F" w:rsidRPr="006F08CA">
        <w:rPr>
          <w:rFonts w:cs="Arial"/>
          <w:bCs/>
          <w:color w:val="00B050"/>
          <w:szCs w:val="20"/>
          <w:lang w:val="en-US" w:eastAsia="en-GB"/>
        </w:rPr>
        <w:t>renewa</w:t>
      </w:r>
      <w:r w:rsidR="00275C41" w:rsidRPr="006F08CA">
        <w:rPr>
          <w:rFonts w:cs="Arial"/>
          <w:bCs/>
          <w:color w:val="00B050"/>
          <w:szCs w:val="20"/>
          <w:lang w:val="en-US" w:eastAsia="en-GB"/>
        </w:rPr>
        <w:t>b</w:t>
      </w:r>
      <w:r w:rsidR="002C423F" w:rsidRPr="006F08CA">
        <w:rPr>
          <w:rFonts w:cs="Arial"/>
          <w:bCs/>
          <w:color w:val="00B050"/>
          <w:szCs w:val="20"/>
          <w:lang w:val="en-US" w:eastAsia="en-GB"/>
        </w:rPr>
        <w:t>les, energy efficiency, biodiversity protection, innovations in water treatment, innovations in waste treatment, plant-based products, alternatives to animal testing</w:t>
      </w:r>
      <w:r w:rsidR="00275C41" w:rsidRPr="006F08CA">
        <w:rPr>
          <w:rFonts w:cs="Arial"/>
          <w:bCs/>
          <w:color w:val="00B050"/>
          <w:szCs w:val="20"/>
          <w:lang w:val="en-US" w:eastAsia="en-GB"/>
        </w:rPr>
        <w:t xml:space="preserve">, innovations in animal-welfare, circular economy and inclusive finance. </w:t>
      </w:r>
      <w:r w:rsidR="008112ED">
        <w:rPr>
          <w:rFonts w:cs="Arial"/>
          <w:bCs/>
          <w:color w:val="00B050"/>
          <w:szCs w:val="20"/>
          <w:lang w:val="en-US" w:eastAsia="en-GB"/>
        </w:rPr>
        <w:t>All</w:t>
      </w:r>
      <w:r w:rsidR="008112ED" w:rsidRPr="006F08CA">
        <w:rPr>
          <w:rFonts w:cs="Arial"/>
          <w:bCs/>
          <w:color w:val="00B050"/>
          <w:szCs w:val="20"/>
          <w:lang w:val="en-US" w:eastAsia="en-GB"/>
        </w:rPr>
        <w:t xml:space="preserve"> their </w:t>
      </w:r>
      <w:r w:rsidR="008112ED">
        <w:rPr>
          <w:rFonts w:cs="Arial"/>
          <w:bCs/>
          <w:color w:val="00B050"/>
          <w:szCs w:val="20"/>
          <w:lang w:val="en-US" w:eastAsia="en-GB"/>
        </w:rPr>
        <w:t xml:space="preserve">business and non-business </w:t>
      </w:r>
      <w:r w:rsidR="008112ED" w:rsidRPr="006F08CA">
        <w:rPr>
          <w:rFonts w:cs="Arial"/>
          <w:bCs/>
          <w:color w:val="00B050"/>
          <w:szCs w:val="20"/>
          <w:lang w:val="en-US" w:eastAsia="en-GB"/>
        </w:rPr>
        <w:t>activities</w:t>
      </w:r>
      <w:r w:rsidR="008112ED">
        <w:rPr>
          <w:rFonts w:cs="Arial"/>
          <w:bCs/>
          <w:color w:val="00B050"/>
          <w:szCs w:val="20"/>
          <w:lang w:val="en-US" w:eastAsia="en-GB"/>
        </w:rPr>
        <w:t xml:space="preserve"> (including sponsoring) </w:t>
      </w:r>
      <w:r w:rsidR="00275C41" w:rsidRPr="006F08CA">
        <w:rPr>
          <w:rFonts w:cs="Arial"/>
          <w:bCs/>
          <w:color w:val="00B050"/>
          <w:szCs w:val="20"/>
          <w:lang w:val="en-US" w:eastAsia="en-GB"/>
        </w:rPr>
        <w:t>should respect the “</w:t>
      </w:r>
      <w:r w:rsidR="00275C41" w:rsidRPr="006F08CA">
        <w:rPr>
          <w:rFonts w:cs="Arial"/>
          <w:b/>
          <w:color w:val="00B050"/>
          <w:szCs w:val="20"/>
          <w:lang w:val="en-US" w:eastAsia="en-GB"/>
        </w:rPr>
        <w:t>Do Not Significant Harm</w:t>
      </w:r>
      <w:r w:rsidR="00275C41" w:rsidRPr="006F08CA">
        <w:rPr>
          <w:rFonts w:cs="Arial"/>
          <w:bCs/>
          <w:color w:val="00B050"/>
          <w:szCs w:val="20"/>
          <w:lang w:val="en-US" w:eastAsia="en-GB"/>
        </w:rPr>
        <w:t>” principle applied to the themes and indicators listed in Table 1,2,3</w:t>
      </w:r>
      <w:r w:rsidR="00A30167" w:rsidRPr="006F08CA">
        <w:rPr>
          <w:rFonts w:cs="Arial"/>
          <w:bCs/>
          <w:color w:val="00B050"/>
          <w:szCs w:val="20"/>
          <w:lang w:val="en-US" w:eastAsia="en-GB"/>
        </w:rPr>
        <w:t>,4</w:t>
      </w:r>
      <w:r w:rsidR="00275C41" w:rsidRPr="006F08CA">
        <w:rPr>
          <w:rFonts w:cs="Arial"/>
          <w:bCs/>
          <w:color w:val="00B050"/>
          <w:szCs w:val="20"/>
          <w:lang w:val="en-US" w:eastAsia="en-GB"/>
        </w:rPr>
        <w:t xml:space="preserve"> (Annex I), in the Taxonomy, and all EU regulations.</w:t>
      </w:r>
    </w:p>
    <w:p w14:paraId="0FE78476" w14:textId="77777777" w:rsidR="00362BE3" w:rsidRPr="008E452F" w:rsidRDefault="00362BE3" w:rsidP="008E452F">
      <w:pPr>
        <w:jc w:val="both"/>
        <w:rPr>
          <w:rFonts w:cs="Arial"/>
          <w:color w:val="FF0000"/>
          <w:szCs w:val="20"/>
        </w:rPr>
      </w:pPr>
    </w:p>
    <w:p w14:paraId="3DCA5E13" w14:textId="77777777" w:rsidR="00275C41" w:rsidRDefault="00275C41" w:rsidP="008E452F">
      <w:pPr>
        <w:jc w:val="both"/>
        <w:rPr>
          <w:rFonts w:cs="Arial"/>
          <w:b/>
          <w:color w:val="FF0000"/>
          <w:szCs w:val="20"/>
        </w:rPr>
      </w:pPr>
    </w:p>
    <w:p w14:paraId="264ED23B" w14:textId="0A79C0FF" w:rsidR="000A7958" w:rsidRPr="008E452F" w:rsidRDefault="00275C41" w:rsidP="008E452F">
      <w:pPr>
        <w:jc w:val="both"/>
        <w:rPr>
          <w:rFonts w:cs="Arial"/>
          <w:color w:val="FF0000"/>
          <w:szCs w:val="20"/>
        </w:rPr>
      </w:pPr>
      <w:r>
        <w:rPr>
          <w:rFonts w:cs="Arial"/>
          <w:b/>
          <w:color w:val="FF0000"/>
          <w:szCs w:val="20"/>
        </w:rPr>
        <w:t xml:space="preserve">Miscellaneous </w:t>
      </w:r>
      <w:proofErr w:type="gramStart"/>
      <w:r>
        <w:rPr>
          <w:rFonts w:cs="Arial"/>
          <w:b/>
          <w:color w:val="FF0000"/>
          <w:szCs w:val="20"/>
        </w:rPr>
        <w:t>remark :</w:t>
      </w:r>
      <w:proofErr w:type="gramEnd"/>
      <w:r>
        <w:rPr>
          <w:rFonts w:cs="Arial"/>
          <w:b/>
          <w:color w:val="FF0000"/>
          <w:szCs w:val="20"/>
        </w:rPr>
        <w:t xml:space="preserve"> </w:t>
      </w:r>
      <w:r w:rsidRPr="00275C41">
        <w:rPr>
          <w:rFonts w:cs="Arial"/>
          <w:bCs/>
          <w:color w:val="FF0000"/>
          <w:szCs w:val="20"/>
        </w:rPr>
        <w:t>a</w:t>
      </w:r>
      <w:r w:rsidR="000A7958" w:rsidRPr="00275C41">
        <w:rPr>
          <w:rFonts w:cs="Arial"/>
          <w:bCs/>
          <w:color w:val="FF0000"/>
          <w:szCs w:val="20"/>
        </w:rPr>
        <w:t>t the end of table 1,</w:t>
      </w:r>
      <w:r w:rsidR="000A7958" w:rsidRPr="008E452F">
        <w:rPr>
          <w:rFonts w:cs="Arial"/>
          <w:color w:val="FF0000"/>
          <w:szCs w:val="20"/>
        </w:rPr>
        <w:t xml:space="preserve"> it seems that</w:t>
      </w:r>
      <w:r w:rsidR="00D106D4" w:rsidRPr="008E452F">
        <w:rPr>
          <w:rFonts w:cs="Arial"/>
          <w:color w:val="FF0000"/>
          <w:szCs w:val="20"/>
        </w:rPr>
        <w:t xml:space="preserve"> the N°</w:t>
      </w:r>
      <w:r w:rsidR="00265360" w:rsidRPr="008E452F">
        <w:rPr>
          <w:rFonts w:cs="Arial"/>
          <w:color w:val="FF0000"/>
          <w:szCs w:val="20"/>
        </w:rPr>
        <w:t xml:space="preserve"> </w:t>
      </w:r>
      <w:r w:rsidR="00183346" w:rsidRPr="008E452F">
        <w:rPr>
          <w:rFonts w:cs="Arial"/>
          <w:color w:val="FF0000"/>
          <w:szCs w:val="20"/>
        </w:rPr>
        <w:t xml:space="preserve">from </w:t>
      </w:r>
      <w:r w:rsidR="00183346" w:rsidRPr="008E452F">
        <w:rPr>
          <w:rFonts w:cs="Arial"/>
          <w:color w:val="FF0000"/>
          <w:szCs w:val="20"/>
          <w:u w:val="single"/>
        </w:rPr>
        <w:t>8 to 11</w:t>
      </w:r>
      <w:r w:rsidR="00183346" w:rsidRPr="008E452F">
        <w:rPr>
          <w:rFonts w:cs="Arial"/>
          <w:color w:val="FF0000"/>
          <w:szCs w:val="20"/>
        </w:rPr>
        <w:t xml:space="preserve"> </w:t>
      </w:r>
      <w:r w:rsidR="000A7958" w:rsidRPr="008E452F">
        <w:rPr>
          <w:rFonts w:cs="Arial"/>
          <w:color w:val="FF0000"/>
          <w:szCs w:val="20"/>
        </w:rPr>
        <w:t xml:space="preserve">of articles </w:t>
      </w:r>
      <w:r w:rsidR="00265360" w:rsidRPr="008E452F">
        <w:rPr>
          <w:rFonts w:cs="Arial"/>
          <w:color w:val="FF0000"/>
          <w:szCs w:val="20"/>
        </w:rPr>
        <w:t xml:space="preserve">are shifted from </w:t>
      </w:r>
      <w:r w:rsidR="000A7958" w:rsidRPr="008E452F">
        <w:rPr>
          <w:rFonts w:cs="Arial"/>
          <w:color w:val="FF0000"/>
          <w:szCs w:val="20"/>
        </w:rPr>
        <w:t xml:space="preserve">their themes. </w:t>
      </w:r>
    </w:p>
    <w:p w14:paraId="7E446EFC" w14:textId="0D6138F5" w:rsidR="000A7958" w:rsidRPr="008E452F" w:rsidRDefault="000A7958" w:rsidP="008E452F">
      <w:pPr>
        <w:jc w:val="both"/>
        <w:rPr>
          <w:rFonts w:cs="Arial"/>
          <w:color w:val="FF0000"/>
          <w:szCs w:val="20"/>
        </w:rPr>
      </w:pPr>
      <w:r w:rsidRPr="008E452F">
        <w:rPr>
          <w:rFonts w:cs="Arial"/>
          <w:color w:val="FF0000"/>
          <w:szCs w:val="20"/>
        </w:rPr>
        <w:t xml:space="preserve">Ex: The title of </w:t>
      </w:r>
      <w:r w:rsidRPr="00F219AC">
        <w:rPr>
          <w:rFonts w:cs="Arial"/>
          <w:color w:val="FF0000"/>
          <w:szCs w:val="20"/>
          <w:u w:val="single"/>
        </w:rPr>
        <w:t>Article 9</w:t>
      </w:r>
      <w:r w:rsidRPr="008E452F">
        <w:rPr>
          <w:rFonts w:cs="Arial"/>
          <w:color w:val="FF0000"/>
          <w:szCs w:val="20"/>
        </w:rPr>
        <w:t xml:space="preserve"> of the Joint Consultation Paper is “Engagement policies” whereas it is written in Table 1: “Engagement policies</w:t>
      </w:r>
    </w:p>
    <w:p w14:paraId="0735A072" w14:textId="2262B1A9" w:rsidR="000A7958" w:rsidRPr="008E452F" w:rsidRDefault="000A7958" w:rsidP="008E452F">
      <w:pPr>
        <w:jc w:val="both"/>
        <w:rPr>
          <w:rFonts w:cs="Arial"/>
          <w:color w:val="FF0000"/>
          <w:szCs w:val="20"/>
        </w:rPr>
      </w:pPr>
      <w:r w:rsidRPr="008E452F">
        <w:rPr>
          <w:rFonts w:cs="Arial"/>
          <w:color w:val="FF0000"/>
          <w:szCs w:val="20"/>
        </w:rPr>
        <w:t xml:space="preserve">[Information referred to in </w:t>
      </w:r>
      <w:r w:rsidRPr="00F219AC">
        <w:rPr>
          <w:rFonts w:cs="Arial"/>
          <w:color w:val="FF0000"/>
          <w:szCs w:val="20"/>
          <w:u w:val="single"/>
        </w:rPr>
        <w:t>Article 10</w:t>
      </w:r>
      <w:r w:rsidRPr="008E452F">
        <w:rPr>
          <w:rFonts w:cs="Arial"/>
          <w:color w:val="FF0000"/>
          <w:szCs w:val="20"/>
        </w:rPr>
        <w:t>]</w:t>
      </w:r>
    </w:p>
    <w:p w14:paraId="24A22770" w14:textId="023B1743" w:rsidR="000A7958" w:rsidRPr="008E452F" w:rsidRDefault="000A7958" w:rsidP="008E452F">
      <w:pPr>
        <w:jc w:val="both"/>
        <w:rPr>
          <w:rFonts w:cs="Arial"/>
          <w:color w:val="FF0000"/>
          <w:szCs w:val="20"/>
        </w:rPr>
      </w:pPr>
      <w:r w:rsidRPr="008E452F">
        <w:rPr>
          <w:rFonts w:cs="Arial"/>
          <w:color w:val="FF0000"/>
          <w:szCs w:val="20"/>
        </w:rPr>
        <w:t>“</w:t>
      </w:r>
    </w:p>
    <w:p w14:paraId="2FF807F5" w14:textId="54C43201" w:rsidR="000A7958" w:rsidRPr="008E452F" w:rsidRDefault="000A7958" w:rsidP="008E452F">
      <w:pPr>
        <w:jc w:val="both"/>
        <w:rPr>
          <w:rFonts w:cs="Arial"/>
          <w:color w:val="FF0000"/>
          <w:szCs w:val="20"/>
        </w:rPr>
      </w:pPr>
    </w:p>
    <w:p w14:paraId="05BF3226" w14:textId="30CE506C" w:rsidR="000A7958" w:rsidRPr="008E452F" w:rsidRDefault="000A7958" w:rsidP="008E452F">
      <w:pPr>
        <w:jc w:val="both"/>
        <w:rPr>
          <w:rFonts w:cs="Arial"/>
          <w:color w:val="FF0000"/>
          <w:szCs w:val="20"/>
        </w:rPr>
      </w:pPr>
      <w:r w:rsidRPr="00F219AC">
        <w:rPr>
          <w:rFonts w:cs="Arial"/>
          <w:color w:val="FF0000"/>
          <w:szCs w:val="20"/>
          <w:u w:val="single"/>
        </w:rPr>
        <w:t>The correct mapping seems to be</w:t>
      </w:r>
      <w:r w:rsidRPr="008E452F">
        <w:rPr>
          <w:rFonts w:cs="Arial"/>
          <w:color w:val="FF0000"/>
          <w:szCs w:val="20"/>
        </w:rPr>
        <w:t>:</w:t>
      </w:r>
    </w:p>
    <w:tbl>
      <w:tblPr>
        <w:tblW w:w="17780" w:type="dxa"/>
        <w:tblLook w:val="04A0" w:firstRow="1" w:lastRow="0" w:firstColumn="1" w:lastColumn="0" w:noHBand="0" w:noVBand="1"/>
      </w:tblPr>
      <w:tblGrid>
        <w:gridCol w:w="2531"/>
        <w:gridCol w:w="15249"/>
      </w:tblGrid>
      <w:tr w:rsidR="000A7958" w:rsidRPr="008E452F" w14:paraId="71F0DFDB" w14:textId="77777777" w:rsidTr="000A7958">
        <w:trPr>
          <w:trHeight w:val="290"/>
        </w:trPr>
        <w:tc>
          <w:tcPr>
            <w:tcW w:w="2531" w:type="dxa"/>
            <w:tcBorders>
              <w:top w:val="nil"/>
              <w:left w:val="nil"/>
              <w:bottom w:val="nil"/>
              <w:right w:val="nil"/>
            </w:tcBorders>
            <w:shd w:val="clear" w:color="auto" w:fill="auto"/>
            <w:noWrap/>
            <w:vAlign w:val="bottom"/>
            <w:hideMark/>
          </w:tcPr>
          <w:p w14:paraId="78601ED3" w14:textId="77777777" w:rsidR="000A7958" w:rsidRPr="008E452F" w:rsidRDefault="000A7958" w:rsidP="008E452F">
            <w:pPr>
              <w:jc w:val="both"/>
              <w:rPr>
                <w:rFonts w:cs="Arial"/>
                <w:color w:val="FF0000"/>
                <w:szCs w:val="20"/>
                <w:lang w:val="en-US" w:eastAsia="en-US"/>
              </w:rPr>
            </w:pPr>
            <w:r w:rsidRPr="008E452F">
              <w:rPr>
                <w:rFonts w:cs="Arial"/>
                <w:color w:val="FF0000"/>
                <w:szCs w:val="20"/>
                <w:lang w:val="en-US" w:eastAsia="en-US"/>
              </w:rPr>
              <w:t>Art. 7 of Joint Consultation</w:t>
            </w:r>
          </w:p>
        </w:tc>
        <w:tc>
          <w:tcPr>
            <w:tcW w:w="15249" w:type="dxa"/>
            <w:tcBorders>
              <w:top w:val="nil"/>
              <w:left w:val="nil"/>
              <w:bottom w:val="nil"/>
              <w:right w:val="single" w:sz="4" w:space="0" w:color="000000"/>
            </w:tcBorders>
            <w:shd w:val="clear" w:color="auto" w:fill="auto"/>
            <w:hideMark/>
          </w:tcPr>
          <w:p w14:paraId="1A8B6D68" w14:textId="77777777" w:rsidR="000A7958" w:rsidRPr="008E452F" w:rsidRDefault="000A7958" w:rsidP="008E452F">
            <w:pPr>
              <w:jc w:val="both"/>
              <w:rPr>
                <w:rFonts w:cs="Arial"/>
                <w:color w:val="FF0000"/>
                <w:szCs w:val="20"/>
                <w:lang w:val="en-US" w:eastAsia="en-US"/>
              </w:rPr>
            </w:pPr>
            <w:r w:rsidRPr="008E452F">
              <w:rPr>
                <w:rFonts w:cs="Arial"/>
                <w:color w:val="FF0000"/>
                <w:szCs w:val="20"/>
                <w:lang w:val="en-US" w:eastAsia="en-US"/>
              </w:rPr>
              <w:t xml:space="preserve">Description of policies to </w:t>
            </w:r>
            <w:r w:rsidRPr="008E452F">
              <w:rPr>
                <w:rFonts w:cs="Arial"/>
                <w:b/>
                <w:bCs/>
                <w:color w:val="FF0000"/>
                <w:szCs w:val="20"/>
                <w:lang w:val="en-US" w:eastAsia="en-US"/>
              </w:rPr>
              <w:t>assess</w:t>
            </w:r>
            <w:r w:rsidRPr="008E452F">
              <w:rPr>
                <w:rFonts w:cs="Arial"/>
                <w:color w:val="FF0000"/>
                <w:szCs w:val="20"/>
                <w:lang w:val="en-US" w:eastAsia="en-US"/>
              </w:rPr>
              <w:t xml:space="preserve"> principal adverse sustainability impacts</w:t>
            </w:r>
          </w:p>
        </w:tc>
      </w:tr>
      <w:tr w:rsidR="000A7958" w:rsidRPr="008E452F" w14:paraId="6B86F024" w14:textId="77777777" w:rsidTr="000A7958">
        <w:trPr>
          <w:trHeight w:val="290"/>
        </w:trPr>
        <w:tc>
          <w:tcPr>
            <w:tcW w:w="2531" w:type="dxa"/>
            <w:tcBorders>
              <w:top w:val="nil"/>
              <w:left w:val="nil"/>
              <w:bottom w:val="nil"/>
              <w:right w:val="nil"/>
            </w:tcBorders>
            <w:shd w:val="clear" w:color="auto" w:fill="auto"/>
            <w:noWrap/>
            <w:vAlign w:val="bottom"/>
            <w:hideMark/>
          </w:tcPr>
          <w:p w14:paraId="40C8D3CA" w14:textId="77777777" w:rsidR="000A7958" w:rsidRPr="008E452F" w:rsidRDefault="000A7958" w:rsidP="008E452F">
            <w:pPr>
              <w:jc w:val="both"/>
              <w:rPr>
                <w:rFonts w:cs="Arial"/>
                <w:color w:val="FF0000"/>
                <w:szCs w:val="20"/>
                <w:lang w:val="en-US" w:eastAsia="en-US"/>
              </w:rPr>
            </w:pPr>
            <w:r w:rsidRPr="008E452F">
              <w:rPr>
                <w:rFonts w:cs="Arial"/>
                <w:color w:val="FF0000"/>
                <w:szCs w:val="20"/>
                <w:lang w:val="en-US" w:eastAsia="en-US"/>
              </w:rPr>
              <w:t>Art. 8 of Joint Consultation</w:t>
            </w:r>
          </w:p>
        </w:tc>
        <w:tc>
          <w:tcPr>
            <w:tcW w:w="15249" w:type="dxa"/>
            <w:tcBorders>
              <w:top w:val="nil"/>
              <w:left w:val="nil"/>
              <w:bottom w:val="nil"/>
              <w:right w:val="single" w:sz="4" w:space="0" w:color="000000"/>
            </w:tcBorders>
            <w:shd w:val="clear" w:color="auto" w:fill="auto"/>
            <w:hideMark/>
          </w:tcPr>
          <w:p w14:paraId="7371B057" w14:textId="019159C1" w:rsidR="000A7958" w:rsidRPr="008E452F" w:rsidRDefault="000A7958" w:rsidP="008E452F">
            <w:pPr>
              <w:jc w:val="both"/>
              <w:rPr>
                <w:rFonts w:cs="Arial"/>
                <w:color w:val="FF0000"/>
                <w:szCs w:val="20"/>
                <w:lang w:val="en-US" w:eastAsia="en-US"/>
              </w:rPr>
            </w:pPr>
            <w:r w:rsidRPr="008E452F">
              <w:rPr>
                <w:rFonts w:cs="Arial"/>
                <w:color w:val="FF0000"/>
                <w:szCs w:val="20"/>
                <w:lang w:val="en-US" w:eastAsia="en-US"/>
              </w:rPr>
              <w:t xml:space="preserve">Description of actions to </w:t>
            </w:r>
            <w:r w:rsidRPr="008E452F">
              <w:rPr>
                <w:rFonts w:cs="Arial"/>
                <w:b/>
                <w:bCs/>
                <w:color w:val="FF0000"/>
                <w:szCs w:val="20"/>
                <w:lang w:val="en-US" w:eastAsia="en-US"/>
              </w:rPr>
              <w:t>address</w:t>
            </w:r>
            <w:r w:rsidRPr="008E452F">
              <w:rPr>
                <w:rFonts w:cs="Arial"/>
                <w:color w:val="FF0000"/>
                <w:szCs w:val="20"/>
                <w:lang w:val="en-US" w:eastAsia="en-US"/>
              </w:rPr>
              <w:t xml:space="preserve"> principal adverse sustainability impacts </w:t>
            </w:r>
          </w:p>
        </w:tc>
      </w:tr>
      <w:tr w:rsidR="000A7958" w:rsidRPr="008E452F" w14:paraId="2FB21E24" w14:textId="77777777" w:rsidTr="000A7958">
        <w:trPr>
          <w:trHeight w:val="290"/>
        </w:trPr>
        <w:tc>
          <w:tcPr>
            <w:tcW w:w="2531" w:type="dxa"/>
            <w:tcBorders>
              <w:top w:val="nil"/>
              <w:left w:val="nil"/>
              <w:bottom w:val="nil"/>
              <w:right w:val="nil"/>
            </w:tcBorders>
            <w:shd w:val="clear" w:color="auto" w:fill="auto"/>
            <w:noWrap/>
            <w:vAlign w:val="bottom"/>
            <w:hideMark/>
          </w:tcPr>
          <w:p w14:paraId="32B77CB5" w14:textId="77777777" w:rsidR="000A7958" w:rsidRPr="008E452F" w:rsidRDefault="000A7958" w:rsidP="008E452F">
            <w:pPr>
              <w:jc w:val="both"/>
              <w:rPr>
                <w:rFonts w:cs="Arial"/>
                <w:color w:val="FF0000"/>
                <w:szCs w:val="20"/>
                <w:lang w:val="en-US" w:eastAsia="en-US"/>
              </w:rPr>
            </w:pPr>
            <w:r w:rsidRPr="008E452F">
              <w:rPr>
                <w:rFonts w:cs="Arial"/>
                <w:color w:val="FF0000"/>
                <w:szCs w:val="20"/>
                <w:lang w:val="en-US" w:eastAsia="en-US"/>
              </w:rPr>
              <w:t>Art. 9 of Joint Consultation</w:t>
            </w:r>
          </w:p>
        </w:tc>
        <w:tc>
          <w:tcPr>
            <w:tcW w:w="15249" w:type="dxa"/>
            <w:tcBorders>
              <w:top w:val="nil"/>
              <w:left w:val="nil"/>
              <w:bottom w:val="nil"/>
              <w:right w:val="single" w:sz="4" w:space="0" w:color="000000"/>
            </w:tcBorders>
            <w:shd w:val="clear" w:color="auto" w:fill="auto"/>
            <w:hideMark/>
          </w:tcPr>
          <w:p w14:paraId="4437E752" w14:textId="77777777" w:rsidR="000A7958" w:rsidRPr="008E452F" w:rsidRDefault="000A7958" w:rsidP="008E452F">
            <w:pPr>
              <w:jc w:val="both"/>
              <w:rPr>
                <w:rFonts w:cs="Arial"/>
                <w:color w:val="FF0000"/>
                <w:szCs w:val="20"/>
                <w:lang w:val="en-US" w:eastAsia="en-US"/>
              </w:rPr>
            </w:pPr>
            <w:r w:rsidRPr="008E452F">
              <w:rPr>
                <w:rFonts w:cs="Arial"/>
                <w:color w:val="FF0000"/>
                <w:szCs w:val="20"/>
                <w:lang w:val="en-US" w:eastAsia="en-US"/>
              </w:rPr>
              <w:t>Engagement policies</w:t>
            </w:r>
          </w:p>
        </w:tc>
      </w:tr>
      <w:tr w:rsidR="000A7958" w:rsidRPr="008E452F" w14:paraId="257D26B8" w14:textId="77777777" w:rsidTr="000A7958">
        <w:trPr>
          <w:trHeight w:val="290"/>
        </w:trPr>
        <w:tc>
          <w:tcPr>
            <w:tcW w:w="2531" w:type="dxa"/>
            <w:tcBorders>
              <w:top w:val="nil"/>
              <w:left w:val="nil"/>
              <w:bottom w:val="nil"/>
              <w:right w:val="nil"/>
            </w:tcBorders>
            <w:shd w:val="clear" w:color="auto" w:fill="auto"/>
            <w:noWrap/>
            <w:vAlign w:val="bottom"/>
            <w:hideMark/>
          </w:tcPr>
          <w:p w14:paraId="5F3B0D63" w14:textId="77777777" w:rsidR="000A7958" w:rsidRPr="008E452F" w:rsidRDefault="000A7958" w:rsidP="008E452F">
            <w:pPr>
              <w:jc w:val="both"/>
              <w:rPr>
                <w:rFonts w:cs="Arial"/>
                <w:color w:val="FF0000"/>
                <w:szCs w:val="20"/>
                <w:lang w:val="en-US" w:eastAsia="en-US"/>
              </w:rPr>
            </w:pPr>
            <w:r w:rsidRPr="008E452F">
              <w:rPr>
                <w:rFonts w:cs="Arial"/>
                <w:color w:val="FF0000"/>
                <w:szCs w:val="20"/>
                <w:lang w:val="en-US" w:eastAsia="en-US"/>
              </w:rPr>
              <w:t>Art. 10 of Joint Consultation</w:t>
            </w:r>
          </w:p>
        </w:tc>
        <w:tc>
          <w:tcPr>
            <w:tcW w:w="15249" w:type="dxa"/>
            <w:tcBorders>
              <w:top w:val="nil"/>
              <w:left w:val="nil"/>
              <w:bottom w:val="nil"/>
              <w:right w:val="single" w:sz="4" w:space="0" w:color="000000"/>
            </w:tcBorders>
            <w:shd w:val="clear" w:color="auto" w:fill="auto"/>
            <w:hideMark/>
          </w:tcPr>
          <w:p w14:paraId="777D85A6" w14:textId="77777777" w:rsidR="000A7958" w:rsidRPr="008E452F" w:rsidRDefault="000A7958" w:rsidP="008E452F">
            <w:pPr>
              <w:jc w:val="both"/>
              <w:rPr>
                <w:rFonts w:cs="Arial"/>
                <w:color w:val="FF0000"/>
                <w:szCs w:val="20"/>
                <w:lang w:val="en-US" w:eastAsia="en-US"/>
              </w:rPr>
            </w:pPr>
            <w:r w:rsidRPr="008E452F">
              <w:rPr>
                <w:rFonts w:cs="Arial"/>
                <w:color w:val="FF0000"/>
                <w:szCs w:val="20"/>
                <w:lang w:val="en-US" w:eastAsia="en-US"/>
              </w:rPr>
              <w:t>Adherence to international standards</w:t>
            </w:r>
          </w:p>
        </w:tc>
      </w:tr>
    </w:tbl>
    <w:p w14:paraId="75EFFB8C" w14:textId="77777777" w:rsidR="000A7958" w:rsidRDefault="000A7958" w:rsidP="003E573C">
      <w:pPr>
        <w:rPr>
          <w:rFonts w:cs="Arial"/>
          <w:color w:val="FF0000"/>
        </w:rPr>
      </w:pPr>
    </w:p>
    <w:p w14:paraId="087E69E6" w14:textId="77777777" w:rsidR="000A7958" w:rsidRDefault="000A7958" w:rsidP="003E573C">
      <w:pPr>
        <w:rPr>
          <w:rFonts w:cs="Arial"/>
          <w:color w:val="FF0000"/>
        </w:rPr>
      </w:pPr>
    </w:p>
    <w:p w14:paraId="45E4B0AE" w14:textId="77777777" w:rsidR="000A7958" w:rsidRPr="002377EB" w:rsidRDefault="000A7958" w:rsidP="003E573C">
      <w:pPr>
        <w:rPr>
          <w:rFonts w:cs="Arial"/>
          <w:color w:val="FF0000"/>
        </w:rPr>
      </w:pPr>
    </w:p>
    <w:permEnd w:id="209390932"/>
    <w:p w14:paraId="61BD6C84" w14:textId="67E24594"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In addition to the proposed indicators on carbon emissions in Annex I, do you see merit in also requesting a) a relative measure of carbon emissions relative to the EU 2030 climate and energy 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Paragraphedeliste"/>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Paragraphedeliste"/>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2"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2"/>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lastRenderedPageBreak/>
        <w:t>&lt;ESA_QUESTION_</w:t>
      </w:r>
      <w:r w:rsidR="00C86E1C">
        <w:rPr>
          <w:rFonts w:cs="Arial"/>
        </w:rPr>
        <w:t>ESG</w:t>
      </w:r>
      <w:r>
        <w:rPr>
          <w:rFonts w:cs="Arial"/>
        </w:rPr>
        <w:t>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23FB69AB" w14:textId="344541EF" w:rsidR="003E573C" w:rsidRPr="001B62EE" w:rsidRDefault="001B62EE" w:rsidP="002F3D57">
      <w:pPr>
        <w:jc w:val="both"/>
        <w:rPr>
          <w:rFonts w:cs="Arial"/>
          <w:color w:val="FF0000"/>
        </w:rPr>
      </w:pPr>
      <w:permStart w:id="800330460" w:edGrp="everyone"/>
      <w:r w:rsidRPr="001B62EE">
        <w:rPr>
          <w:rFonts w:cs="Arial"/>
          <w:color w:val="FF0000"/>
        </w:rPr>
        <w:t xml:space="preserve">YES, mandatory is fundamental to </w:t>
      </w:r>
      <w:r w:rsidR="00AF345B">
        <w:rPr>
          <w:rFonts w:cs="Arial"/>
          <w:color w:val="FF0000"/>
        </w:rPr>
        <w:t xml:space="preserve">enable comparability and </w:t>
      </w:r>
      <w:r w:rsidRPr="001B62EE">
        <w:rPr>
          <w:rFonts w:cs="Arial"/>
          <w:color w:val="FF0000"/>
        </w:rPr>
        <w:t>avoid greenwashing.</w:t>
      </w:r>
    </w:p>
    <w:permEnd w:id="800330460"/>
    <w:p w14:paraId="7F118029" w14:textId="5F06E72C" w:rsidR="003E573C" w:rsidRDefault="003E573C" w:rsidP="003E573C">
      <w:pPr>
        <w:rPr>
          <w:rFonts w:cs="Arial"/>
        </w:rPr>
      </w:pPr>
      <w:r>
        <w:rPr>
          <w:rFonts w:cs="Arial"/>
        </w:rPr>
        <w:t>&lt;ESA_QUESTION_</w:t>
      </w:r>
      <w:r w:rsidR="00C86E1C">
        <w:rPr>
          <w:rFonts w:cs="Arial"/>
        </w:rPr>
        <w:t>ESG</w:t>
      </w:r>
      <w:r>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t>&lt;ESA_QUESTION_</w:t>
      </w:r>
      <w:r w:rsidR="00C86E1C">
        <w:rPr>
          <w:rFonts w:cs="Arial"/>
        </w:rPr>
        <w:t>ESG</w:t>
      </w:r>
      <w:r>
        <w:rPr>
          <w:rFonts w:cs="Arial"/>
        </w:rPr>
        <w:t>_13&gt;</w:t>
      </w:r>
    </w:p>
    <w:p w14:paraId="2878B4EB" w14:textId="2E381F58" w:rsidR="003E573C" w:rsidRPr="0071058F" w:rsidRDefault="00AC5660" w:rsidP="003E573C">
      <w:pPr>
        <w:rPr>
          <w:rFonts w:cs="Arial"/>
          <w:color w:val="00B050"/>
        </w:rPr>
      </w:pPr>
      <w:permStart w:id="1179406826" w:edGrp="everyone"/>
      <w:r w:rsidRPr="0071058F">
        <w:rPr>
          <w:rFonts w:cs="Arial"/>
          <w:color w:val="00B050"/>
        </w:rPr>
        <w:t xml:space="preserve">As mentioned in the introduction (7), the identification of </w:t>
      </w:r>
      <w:r w:rsidRPr="00A77197">
        <w:rPr>
          <w:rFonts w:cs="Arial"/>
          <w:b/>
          <w:color w:val="00B050"/>
        </w:rPr>
        <w:t>opportunities</w:t>
      </w:r>
      <w:r w:rsidRPr="0071058F">
        <w:rPr>
          <w:rFonts w:cs="Arial"/>
          <w:color w:val="00B050"/>
        </w:rPr>
        <w:t xml:space="preserve"> in addition to risk assessment is key to enhance portfolio</w:t>
      </w:r>
      <w:r w:rsidR="00A77197">
        <w:rPr>
          <w:rFonts w:cs="Arial"/>
          <w:color w:val="00B050"/>
        </w:rPr>
        <w:t>s</w:t>
      </w:r>
      <w:r w:rsidRPr="0071058F">
        <w:rPr>
          <w:rFonts w:cs="Arial"/>
          <w:color w:val="00B050"/>
        </w:rPr>
        <w:t xml:space="preserve"> returns, to finance ESG innovations and resilient business models, and to propose alternatives to the exclusions. We propose a table 4 at Question 5 that lists 10</w:t>
      </w:r>
      <w:r w:rsidR="0071058F" w:rsidRPr="0071058F">
        <w:rPr>
          <w:rFonts w:cs="Arial"/>
          <w:color w:val="00B050"/>
        </w:rPr>
        <w:t xml:space="preserve"> positive sustainability</w:t>
      </w:r>
      <w:r w:rsidRPr="0071058F">
        <w:rPr>
          <w:rFonts w:cs="Arial"/>
          <w:color w:val="00B050"/>
        </w:rPr>
        <w:t xml:space="preserve"> indicators</w:t>
      </w:r>
      <w:r w:rsidR="0071058F" w:rsidRPr="0071058F">
        <w:rPr>
          <w:rFonts w:cs="Arial"/>
          <w:color w:val="00B050"/>
        </w:rPr>
        <w:t xml:space="preserve">. In addition, </w:t>
      </w:r>
      <w:r w:rsidR="00A77197">
        <w:rPr>
          <w:rFonts w:cs="Arial"/>
          <w:color w:val="00B050"/>
        </w:rPr>
        <w:t xml:space="preserve">to ensure the attainment of </w:t>
      </w:r>
      <w:r w:rsidR="00A77197" w:rsidRPr="00A77197">
        <w:rPr>
          <w:rFonts w:cs="Arial"/>
          <w:b/>
          <w:color w:val="00B050"/>
        </w:rPr>
        <w:t>sustainability objectives</w:t>
      </w:r>
      <w:r w:rsidR="00A77197">
        <w:rPr>
          <w:rFonts w:cs="Arial"/>
          <w:color w:val="00B050"/>
        </w:rPr>
        <w:t xml:space="preserve"> promoted by </w:t>
      </w:r>
      <w:r w:rsidR="0071058F" w:rsidRPr="00A77197">
        <w:rPr>
          <w:rFonts w:cs="Arial"/>
          <w:b/>
          <w:color w:val="00B050"/>
        </w:rPr>
        <w:t>Article 9</w:t>
      </w:r>
      <w:r w:rsidR="0071058F" w:rsidRPr="0071058F">
        <w:rPr>
          <w:rFonts w:cs="Arial"/>
          <w:color w:val="00B050"/>
        </w:rPr>
        <w:t xml:space="preserve"> (Sustainable) products</w:t>
      </w:r>
      <w:r w:rsidR="00A77197">
        <w:rPr>
          <w:rFonts w:cs="Arial"/>
          <w:color w:val="00B050"/>
        </w:rPr>
        <w:t xml:space="preserve">, and </w:t>
      </w:r>
      <w:r w:rsidR="00A77197" w:rsidRPr="00A77197">
        <w:rPr>
          <w:rFonts w:cs="Arial"/>
          <w:b/>
          <w:color w:val="00B050"/>
        </w:rPr>
        <w:t>beyond</w:t>
      </w:r>
      <w:r w:rsidR="00A77197">
        <w:rPr>
          <w:rFonts w:cs="Arial"/>
          <w:color w:val="00B050"/>
        </w:rPr>
        <w:t xml:space="preserve"> by extension </w:t>
      </w:r>
      <w:r w:rsidR="00A77197" w:rsidRPr="00AD1C60">
        <w:rPr>
          <w:rFonts w:cs="Arial"/>
          <w:color w:val="FF0000"/>
        </w:rPr>
        <w:t xml:space="preserve">to prevent from any harm in all the matters defended by the Taxonomy and the EU regulations, </w:t>
      </w:r>
      <w:r w:rsidR="0071058F" w:rsidRPr="00AD1C60">
        <w:rPr>
          <w:rFonts w:cs="Arial"/>
          <w:color w:val="FF0000"/>
        </w:rPr>
        <w:t>the “</w:t>
      </w:r>
      <w:r w:rsidR="0071058F" w:rsidRPr="00AD1C60">
        <w:rPr>
          <w:rFonts w:cs="Arial"/>
          <w:b/>
          <w:color w:val="FF0000"/>
        </w:rPr>
        <w:t>Do Not Significant Harm</w:t>
      </w:r>
      <w:r w:rsidR="0071058F" w:rsidRPr="00AD1C60">
        <w:rPr>
          <w:rFonts w:cs="Arial"/>
          <w:color w:val="FF0000"/>
        </w:rPr>
        <w:t xml:space="preserve">” principle of the Taxonomy should be </w:t>
      </w:r>
      <w:proofErr w:type="gramStart"/>
      <w:r w:rsidR="0071058F" w:rsidRPr="00AD1C60">
        <w:rPr>
          <w:rFonts w:cs="Arial"/>
          <w:color w:val="FF0000"/>
        </w:rPr>
        <w:t>apply</w:t>
      </w:r>
      <w:proofErr w:type="gramEnd"/>
      <w:r w:rsidR="0071058F" w:rsidRPr="00AD1C60">
        <w:rPr>
          <w:rFonts w:cs="Arial"/>
          <w:color w:val="FF0000"/>
        </w:rPr>
        <w:t xml:space="preserve"> to all themes mentioned by the Regulation in Tables 1,2,3 and 4 (proposed)</w:t>
      </w:r>
      <w:r w:rsidR="00AC033E" w:rsidRPr="00AD1C60">
        <w:rPr>
          <w:rFonts w:cs="Arial"/>
          <w:color w:val="FF0000"/>
        </w:rPr>
        <w:t xml:space="preserve">, </w:t>
      </w:r>
      <w:r w:rsidR="0071058F" w:rsidRPr="00AD1C60">
        <w:rPr>
          <w:rFonts w:cs="Arial"/>
          <w:bCs/>
          <w:color w:val="FF0000"/>
          <w:szCs w:val="20"/>
          <w:lang w:val="en-US" w:eastAsia="en-GB"/>
        </w:rPr>
        <w:t xml:space="preserve">the Taxonomy, and </w:t>
      </w:r>
      <w:r w:rsidR="0071058F" w:rsidRPr="00AD1C60">
        <w:rPr>
          <w:rFonts w:cs="Arial"/>
          <w:b/>
          <w:bCs/>
          <w:color w:val="FF0000"/>
          <w:szCs w:val="20"/>
          <w:lang w:val="en-US" w:eastAsia="en-GB"/>
        </w:rPr>
        <w:t>all EU regulations</w:t>
      </w:r>
      <w:r w:rsidR="0071058F">
        <w:rPr>
          <w:rFonts w:cs="Arial"/>
          <w:bCs/>
          <w:color w:val="00B050"/>
          <w:szCs w:val="20"/>
          <w:lang w:val="en-US" w:eastAsia="en-GB"/>
        </w:rPr>
        <w:t>.</w:t>
      </w:r>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t>&lt;ESA_QUESTION_</w:t>
      </w:r>
      <w:r w:rsidR="00C86E1C">
        <w:rPr>
          <w:rFonts w:cs="Arial"/>
        </w:rPr>
        <w:t>ESG</w:t>
      </w:r>
      <w:r>
        <w:rPr>
          <w:rFonts w:cs="Arial"/>
        </w:rPr>
        <w:t>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t>&lt;ESA_QUESTION_</w:t>
      </w:r>
      <w:r w:rsidR="00C86E1C">
        <w:rPr>
          <w:rFonts w:cs="Arial"/>
        </w:rPr>
        <w:t>ESG</w:t>
      </w:r>
      <w:r>
        <w:rPr>
          <w:rFonts w:cs="Arial"/>
        </w:rPr>
        <w:t>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14A18067" w:rsidR="003E573C" w:rsidRDefault="003E573C" w:rsidP="003E573C">
      <w:pPr>
        <w:rPr>
          <w:rFonts w:cs="Arial"/>
        </w:rPr>
      </w:pPr>
      <w:r>
        <w:rPr>
          <w:rFonts w:cs="Arial"/>
        </w:rPr>
        <w:t>&lt;ESA_QUESTION_</w:t>
      </w:r>
      <w:r w:rsidR="00C86E1C">
        <w:rPr>
          <w:rFonts w:cs="Arial"/>
        </w:rPr>
        <w:t>ESG</w:t>
      </w:r>
      <w:r>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lastRenderedPageBreak/>
        <w:t>&lt;ESA_QUESTION_</w:t>
      </w:r>
      <w:r w:rsidR="00C86E1C">
        <w:rPr>
          <w:rFonts w:cs="Arial"/>
        </w:rPr>
        <w:t>ESG</w:t>
      </w:r>
      <w:r>
        <w:rPr>
          <w:rFonts w:cs="Arial"/>
        </w:rPr>
        <w:t>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3E543289"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5E257A24" w14:textId="0F97C6B4" w:rsidR="006C63DC" w:rsidRDefault="003A108E" w:rsidP="002F3D57">
      <w:pPr>
        <w:jc w:val="both"/>
        <w:rPr>
          <w:rFonts w:cs="Arial"/>
          <w:color w:val="FF0000"/>
        </w:rPr>
      </w:pPr>
      <w:permStart w:id="669663577" w:edGrp="everyone"/>
      <w:r>
        <w:rPr>
          <w:rFonts w:cs="Arial"/>
          <w:color w:val="FF0000"/>
        </w:rPr>
        <w:t xml:space="preserve">YES, </w:t>
      </w:r>
      <w:r w:rsidR="005502FF">
        <w:rPr>
          <w:rFonts w:cs="Arial"/>
          <w:color w:val="FF0000"/>
        </w:rPr>
        <w:t>we</w:t>
      </w:r>
      <w:r>
        <w:rPr>
          <w:rFonts w:cs="Arial"/>
          <w:color w:val="FF0000"/>
        </w:rPr>
        <w:t xml:space="preserve"> agree, but solid forms only are </w:t>
      </w:r>
      <w:r w:rsidRPr="002F3D57">
        <w:rPr>
          <w:rFonts w:cs="Arial"/>
          <w:color w:val="FF0000"/>
          <w:u w:val="single"/>
        </w:rPr>
        <w:t>not enough</w:t>
      </w:r>
      <w:r>
        <w:rPr>
          <w:rFonts w:cs="Arial"/>
          <w:color w:val="FF0000"/>
        </w:rPr>
        <w:t>.</w:t>
      </w:r>
      <w:r w:rsidR="002F4C73" w:rsidRPr="002F4C73">
        <w:rPr>
          <w:rFonts w:cs="Arial"/>
          <w:color w:val="FF0000"/>
        </w:rPr>
        <w:t xml:space="preserve"> In addition </w:t>
      </w:r>
      <w:r w:rsidR="005F3A20">
        <w:rPr>
          <w:rFonts w:cs="Arial"/>
          <w:color w:val="FF0000"/>
          <w:u w:val="single"/>
        </w:rPr>
        <w:t>l</w:t>
      </w:r>
      <w:r w:rsidR="002F4C73" w:rsidRPr="006C63DC">
        <w:rPr>
          <w:rFonts w:cs="Arial"/>
          <w:color w:val="FF0000"/>
          <w:u w:val="single"/>
        </w:rPr>
        <w:t>iquid and gaseous fuels</w:t>
      </w:r>
      <w:r w:rsidR="002F4C73" w:rsidRPr="002F4C73">
        <w:rPr>
          <w:rFonts w:cs="Arial"/>
          <w:color w:val="FF0000"/>
        </w:rPr>
        <w:t xml:space="preserve"> should be disclosed too because of their adverse impact</w:t>
      </w:r>
      <w:r w:rsidR="005F3A20">
        <w:rPr>
          <w:rFonts w:cs="Arial"/>
          <w:color w:val="FF0000"/>
        </w:rPr>
        <w:t>s</w:t>
      </w:r>
      <w:r w:rsidR="002F4C73" w:rsidRPr="002F4C73">
        <w:rPr>
          <w:rFonts w:cs="Arial"/>
          <w:color w:val="FF0000"/>
        </w:rPr>
        <w:t xml:space="preserve"> on the environment. </w:t>
      </w:r>
      <w:r>
        <w:rPr>
          <w:rFonts w:cs="Arial"/>
          <w:color w:val="FF0000"/>
        </w:rPr>
        <w:t xml:space="preserve"> </w:t>
      </w:r>
      <w:r w:rsidR="00A1682A">
        <w:rPr>
          <w:rFonts w:cs="Arial"/>
          <w:color w:val="FF0000"/>
        </w:rPr>
        <w:t>P</w:t>
      </w:r>
      <w:r w:rsidR="006C63DC">
        <w:rPr>
          <w:rFonts w:cs="Arial"/>
          <w:color w:val="FF0000"/>
        </w:rPr>
        <w:t xml:space="preserve">etroleum and diesel are forms of liquid fuels and their production and combustion do contribute to global warming and to polluting the environment, </w:t>
      </w:r>
      <w:r w:rsidR="00A1682A">
        <w:rPr>
          <w:rFonts w:cs="Arial"/>
          <w:color w:val="FF0000"/>
        </w:rPr>
        <w:t>which is contrary to</w:t>
      </w:r>
      <w:r w:rsidR="006C63DC">
        <w:rPr>
          <w:rFonts w:cs="Arial"/>
          <w:color w:val="FF0000"/>
        </w:rPr>
        <w:t xml:space="preserve"> the “</w:t>
      </w:r>
      <w:r w:rsidR="006C63DC" w:rsidRPr="002F3D57">
        <w:rPr>
          <w:rFonts w:cs="Arial"/>
          <w:b/>
          <w:bCs/>
          <w:color w:val="FF0000"/>
        </w:rPr>
        <w:t>Do Not Significantly Harm</w:t>
      </w:r>
      <w:r w:rsidR="006C63DC">
        <w:rPr>
          <w:rFonts w:cs="Arial"/>
          <w:color w:val="FF0000"/>
        </w:rPr>
        <w:t>”</w:t>
      </w:r>
      <w:r w:rsidR="005F3A20">
        <w:rPr>
          <w:rFonts w:cs="Arial"/>
          <w:color w:val="FF0000"/>
        </w:rPr>
        <w:t xml:space="preserve"> principle of the Taxonomy.</w:t>
      </w:r>
    </w:p>
    <w:p w14:paraId="2E585624" w14:textId="3F72B92A" w:rsidR="005F3A20" w:rsidRDefault="005F3A20" w:rsidP="002F3D57">
      <w:pPr>
        <w:jc w:val="both"/>
        <w:rPr>
          <w:rFonts w:cs="Arial"/>
          <w:color w:val="FF0000"/>
        </w:rPr>
      </w:pPr>
      <w:r>
        <w:rPr>
          <w:rFonts w:cs="Arial"/>
          <w:color w:val="FF0000"/>
        </w:rPr>
        <w:t>Burning natural gas, a gaseous fossil fuel, produces carbon dioxide gas and pollutes the air. Some ways of its production u</w:t>
      </w:r>
      <w:r w:rsidR="003A108E">
        <w:rPr>
          <w:rFonts w:cs="Arial"/>
          <w:color w:val="FF0000"/>
        </w:rPr>
        <w:t xml:space="preserve">sing </w:t>
      </w:r>
      <w:r w:rsidR="003A108E" w:rsidRPr="002F3D57">
        <w:rPr>
          <w:rFonts w:cs="Arial"/>
          <w:color w:val="FF0000"/>
          <w:u w:val="single"/>
        </w:rPr>
        <w:t>fracking</w:t>
      </w:r>
      <w:r w:rsidR="003A108E">
        <w:rPr>
          <w:rFonts w:cs="Arial"/>
          <w:color w:val="FF0000"/>
        </w:rPr>
        <w:t xml:space="preserve"> techniques induce </w:t>
      </w:r>
      <w:r>
        <w:rPr>
          <w:rFonts w:cs="Arial"/>
          <w:color w:val="FF0000"/>
        </w:rPr>
        <w:t>adverse impacts in polluting water sources and ecosystems.</w:t>
      </w:r>
    </w:p>
    <w:p w14:paraId="32BC0DE7" w14:textId="77777777" w:rsidR="006C63DC" w:rsidRDefault="006C63DC" w:rsidP="002F3D57">
      <w:pPr>
        <w:jc w:val="both"/>
        <w:rPr>
          <w:rFonts w:cs="Arial"/>
          <w:color w:val="FF0000"/>
        </w:rPr>
      </w:pPr>
    </w:p>
    <w:p w14:paraId="1BB65C1B" w14:textId="5EF38267" w:rsidR="002F4C73" w:rsidRPr="002F4C73" w:rsidRDefault="002F4C73" w:rsidP="002F3D57">
      <w:pPr>
        <w:jc w:val="both"/>
        <w:rPr>
          <w:rFonts w:cs="Arial"/>
          <w:color w:val="FF0000"/>
        </w:rPr>
      </w:pPr>
      <w:r w:rsidRPr="002F3D57">
        <w:rPr>
          <w:rFonts w:cs="Arial"/>
          <w:b/>
          <w:bCs/>
          <w:color w:val="FF0000"/>
        </w:rPr>
        <w:t>Nuclear energy</w:t>
      </w:r>
      <w:r w:rsidRPr="002F4C73">
        <w:rPr>
          <w:rFonts w:cs="Arial"/>
          <w:color w:val="FF0000"/>
        </w:rPr>
        <w:t xml:space="preserve"> should be disclosed too, especially where / how-much / how nuclear </w:t>
      </w:r>
      <w:r w:rsidRPr="002F3D57">
        <w:rPr>
          <w:rFonts w:cs="Arial"/>
          <w:b/>
          <w:bCs/>
          <w:color w:val="FF0000"/>
        </w:rPr>
        <w:t>waste</w:t>
      </w:r>
      <w:r w:rsidRPr="002F4C73">
        <w:rPr>
          <w:rFonts w:cs="Arial"/>
          <w:color w:val="FF0000"/>
        </w:rPr>
        <w:t xml:space="preserve"> end.</w:t>
      </w:r>
    </w:p>
    <w:permEnd w:id="669663577"/>
    <w:p w14:paraId="4B36BA28" w14:textId="24B3AB10"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2DB44768" w:rsidR="003E573C" w:rsidRDefault="003E573C" w:rsidP="003E573C">
      <w:pPr>
        <w:rPr>
          <w:rFonts w:cs="Arial"/>
        </w:rPr>
      </w:pPr>
      <w:r>
        <w:rPr>
          <w:rFonts w:cs="Arial"/>
        </w:rPr>
        <w:t>&lt;ESA_QUESTION_</w:t>
      </w:r>
      <w:r w:rsidR="00C86E1C">
        <w:rPr>
          <w:rFonts w:cs="Arial"/>
        </w:rPr>
        <w:t>ESG</w:t>
      </w:r>
      <w:r>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t>&lt;ESA_QUESTION_</w:t>
      </w:r>
      <w:r w:rsidR="00C86E1C">
        <w:rPr>
          <w:rFonts w:cs="Arial"/>
        </w:rPr>
        <w:t>ESG</w:t>
      </w:r>
      <w:r>
        <w:rPr>
          <w:rFonts w:cs="Arial"/>
        </w:rPr>
        <w:t>_21&gt;</w:t>
      </w:r>
    </w:p>
    <w:p w14:paraId="2F31071F" w14:textId="2D7E9865" w:rsidR="00C85C80" w:rsidRPr="00C85C80" w:rsidRDefault="00C85C80" w:rsidP="002F3D57">
      <w:pPr>
        <w:jc w:val="both"/>
        <w:rPr>
          <w:rFonts w:cs="Arial"/>
          <w:color w:val="FF0000"/>
        </w:rPr>
      </w:pPr>
      <w:permStart w:id="2245015" w:edGrp="everyone"/>
      <w:r w:rsidRPr="002F3D57">
        <w:rPr>
          <w:rFonts w:cs="Arial"/>
          <w:b/>
          <w:bCs/>
          <w:color w:val="FF0000"/>
        </w:rPr>
        <w:t>Good governance is the prerequisite</w:t>
      </w:r>
      <w:r w:rsidRPr="00C85C80">
        <w:rPr>
          <w:rFonts w:cs="Arial"/>
          <w:color w:val="FF0000"/>
        </w:rPr>
        <w:t xml:space="preserve"> for all types of investments truly respectful of the environment and the society. Thus, Yes the RTS requirements should include al</w:t>
      </w:r>
      <w:r w:rsidR="001D2478">
        <w:rPr>
          <w:rFonts w:cs="Arial"/>
          <w:color w:val="FF0000"/>
        </w:rPr>
        <w:t>so these stringent and relevant</w:t>
      </w:r>
      <w:r w:rsidRPr="00C85C80">
        <w:rPr>
          <w:rFonts w:cs="Arial"/>
          <w:color w:val="FF0000"/>
        </w:rPr>
        <w:t xml:space="preserve"> elements.</w:t>
      </w:r>
    </w:p>
    <w:permEnd w:id="2245015"/>
    <w:p w14:paraId="3E1B08DB" w14:textId="7EC38E24"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lastRenderedPageBreak/>
        <w:t>&lt;ESA_QUESTION_</w:t>
      </w:r>
      <w:r w:rsidR="00C86E1C">
        <w:rPr>
          <w:rFonts w:cs="Arial"/>
        </w:rPr>
        <w:t>ESG</w:t>
      </w:r>
      <w:r>
        <w:rPr>
          <w:rFonts w:cs="Arial"/>
        </w:rPr>
        <w:t>_22&gt;</w:t>
      </w:r>
    </w:p>
    <w:p w14:paraId="5F95ABFF" w14:textId="1F1EB48F" w:rsidR="003E573C" w:rsidRDefault="00D01EB3" w:rsidP="003E573C">
      <w:pPr>
        <w:rPr>
          <w:rFonts w:cs="Arial"/>
        </w:rPr>
      </w:pPr>
      <w:permStart w:id="1182486711" w:edGrp="everyone"/>
      <w:r w:rsidRPr="00D01EB3">
        <w:rPr>
          <w:rFonts w:cs="Arial"/>
          <w:color w:val="FF0000"/>
        </w:rPr>
        <w:t xml:space="preserve">The “Do Not Significant Harm” principle is justified and is the minimum to guarantee that investments that harm the sustainable objectives promoted by Article 8 and 9 be excluded. </w:t>
      </w:r>
      <w:r w:rsidR="00111F3A">
        <w:rPr>
          <w:rFonts w:cs="Arial"/>
          <w:color w:val="FF0000"/>
        </w:rPr>
        <w:t>And a</w:t>
      </w:r>
      <w:r w:rsidRPr="00D01EB3">
        <w:rPr>
          <w:rFonts w:cs="Arial"/>
          <w:color w:val="FF0000"/>
        </w:rPr>
        <w:t>s mentioned in</w:t>
      </w:r>
      <w:r>
        <w:rPr>
          <w:rFonts w:cs="Arial"/>
          <w:color w:val="FF0000"/>
        </w:rPr>
        <w:t xml:space="preserve"> question 13 in </w:t>
      </w:r>
      <w:r w:rsidRPr="00D803D0">
        <w:rPr>
          <w:rFonts w:cs="Arial"/>
          <w:b/>
          <w:color w:val="FF0000"/>
        </w:rPr>
        <w:t>to prevent from any harm in all the matters defended by the Taxonomy and the EU regulations</w:t>
      </w:r>
      <w:r w:rsidR="00D803D0">
        <w:rPr>
          <w:rFonts w:cs="Arial"/>
          <w:color w:val="FF0000"/>
        </w:rPr>
        <w:t xml:space="preserve"> in a holistic consistent approach</w:t>
      </w:r>
      <w:r w:rsidRPr="00AD1C60">
        <w:rPr>
          <w:rFonts w:cs="Arial"/>
          <w:color w:val="FF0000"/>
        </w:rPr>
        <w:t>, the “</w:t>
      </w:r>
      <w:r w:rsidRPr="00AD1C60">
        <w:rPr>
          <w:rFonts w:cs="Arial"/>
          <w:b/>
          <w:color w:val="FF0000"/>
        </w:rPr>
        <w:t>Do Not Significant Harm</w:t>
      </w:r>
      <w:r w:rsidRPr="00AD1C60">
        <w:rPr>
          <w:rFonts w:cs="Arial"/>
          <w:color w:val="FF0000"/>
        </w:rPr>
        <w:t xml:space="preserve">” principle of the Taxonomy should be </w:t>
      </w:r>
      <w:proofErr w:type="gramStart"/>
      <w:r w:rsidRPr="00AD1C60">
        <w:rPr>
          <w:rFonts w:cs="Arial"/>
          <w:color w:val="FF0000"/>
        </w:rPr>
        <w:t>apply</w:t>
      </w:r>
      <w:proofErr w:type="gramEnd"/>
      <w:r w:rsidRPr="00AD1C60">
        <w:rPr>
          <w:rFonts w:cs="Arial"/>
          <w:color w:val="FF0000"/>
        </w:rPr>
        <w:t xml:space="preserve"> to all themes mentioned by the Regulation in Tables 1,2,3 and 4 (proposed), </w:t>
      </w:r>
      <w:r w:rsidRPr="00AD1C60">
        <w:rPr>
          <w:rFonts w:cs="Arial"/>
          <w:bCs/>
          <w:color w:val="FF0000"/>
          <w:szCs w:val="20"/>
          <w:lang w:val="en-US" w:eastAsia="en-GB"/>
        </w:rPr>
        <w:t xml:space="preserve">the Taxonomy, and </w:t>
      </w:r>
      <w:r w:rsidRPr="00AD1C60">
        <w:rPr>
          <w:rFonts w:cs="Arial"/>
          <w:b/>
          <w:bCs/>
          <w:color w:val="FF0000"/>
          <w:szCs w:val="20"/>
          <w:lang w:val="en-US" w:eastAsia="en-GB"/>
        </w:rPr>
        <w:t>all EU regulations</w:t>
      </w:r>
      <w:r w:rsidRPr="00D01EB3">
        <w:rPr>
          <w:rFonts w:cs="Arial"/>
          <w:color w:val="FF0000"/>
        </w:rPr>
        <w:t xml:space="preserve"> </w:t>
      </w:r>
      <w:permEnd w:id="1182486711"/>
      <w:r w:rsidR="003E573C">
        <w:rPr>
          <w:rFonts w:cs="Arial"/>
        </w:rPr>
        <w:t>&lt;ESA_QUESTION_</w:t>
      </w:r>
      <w:r w:rsidR="00C86E1C">
        <w:rPr>
          <w:rFonts w:cs="Arial"/>
        </w:rPr>
        <w:t>ESG</w:t>
      </w:r>
      <w:r w:rsidR="003E573C">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t>&lt;ESA_QUESTION_</w:t>
      </w:r>
      <w:r w:rsidR="00C86E1C">
        <w:rPr>
          <w:rFonts w:cs="Arial"/>
        </w:rPr>
        <w:t>ESG</w:t>
      </w:r>
      <w:r>
        <w:rPr>
          <w:rFonts w:cs="Arial"/>
        </w:rPr>
        <w:t>_23&gt;</w:t>
      </w:r>
    </w:p>
    <w:p w14:paraId="198A0B16" w14:textId="38F0CBE5" w:rsidR="001D2478" w:rsidRPr="006D142D" w:rsidRDefault="001D2478" w:rsidP="003C6AAD">
      <w:pPr>
        <w:jc w:val="both"/>
        <w:rPr>
          <w:rFonts w:cs="Arial"/>
          <w:color w:val="FF0000"/>
        </w:rPr>
      </w:pPr>
      <w:permStart w:id="1634935588" w:edGrp="everyone"/>
      <w:r w:rsidRPr="006D142D">
        <w:rPr>
          <w:rFonts w:cs="Arial"/>
          <w:color w:val="FF0000"/>
        </w:rPr>
        <w:t>Yes, it would be useful that the Financial Market Participants disclose on their strategies because it would allow better comparability between them. The recommended compulsory indicators are:</w:t>
      </w:r>
    </w:p>
    <w:p w14:paraId="79EF0E21" w14:textId="75510F9D" w:rsidR="001D2478" w:rsidRPr="006D142D" w:rsidRDefault="001D2478" w:rsidP="00C543DA">
      <w:pPr>
        <w:pStyle w:val="Paragraphedeliste"/>
        <w:numPr>
          <w:ilvl w:val="0"/>
          <w:numId w:val="37"/>
        </w:numPr>
        <w:jc w:val="both"/>
        <w:rPr>
          <w:rFonts w:cs="Arial"/>
          <w:color w:val="FF0000"/>
        </w:rPr>
      </w:pPr>
      <w:r w:rsidRPr="006D142D">
        <w:rPr>
          <w:rFonts w:cs="Arial"/>
          <w:color w:val="FF0000"/>
        </w:rPr>
        <w:t>Share of investments that follow the “Best in Class” strategy with objectives and short to mid-term deadlines</w:t>
      </w:r>
    </w:p>
    <w:p w14:paraId="6E203CE4" w14:textId="1FE30626" w:rsidR="001D2478" w:rsidRPr="006D142D" w:rsidRDefault="001D2478" w:rsidP="00C543DA">
      <w:pPr>
        <w:pStyle w:val="Paragraphedeliste"/>
        <w:numPr>
          <w:ilvl w:val="0"/>
          <w:numId w:val="37"/>
        </w:numPr>
        <w:jc w:val="both"/>
        <w:rPr>
          <w:rFonts w:cs="Arial"/>
          <w:color w:val="FF0000"/>
        </w:rPr>
      </w:pPr>
      <w:r w:rsidRPr="006D142D">
        <w:rPr>
          <w:rFonts w:cs="Arial"/>
          <w:color w:val="FF0000"/>
        </w:rPr>
        <w:t>Share of investments that follow the “Best in Universe” strategy with objectives and short to mid-term deadlines</w:t>
      </w:r>
    </w:p>
    <w:p w14:paraId="0241AB84" w14:textId="5F35F00D" w:rsidR="001D2478" w:rsidRDefault="001D2478" w:rsidP="00C543DA">
      <w:pPr>
        <w:pStyle w:val="Paragraphedeliste"/>
        <w:numPr>
          <w:ilvl w:val="0"/>
          <w:numId w:val="37"/>
        </w:numPr>
        <w:jc w:val="both"/>
        <w:rPr>
          <w:rFonts w:cs="Arial"/>
          <w:color w:val="FF0000"/>
        </w:rPr>
      </w:pPr>
      <w:r w:rsidRPr="006D142D">
        <w:rPr>
          <w:rFonts w:cs="Arial"/>
          <w:color w:val="FF0000"/>
        </w:rPr>
        <w:t>Share of investments that follow the “Best Effort” strategy with objectives and short to mid-term deadlines</w:t>
      </w:r>
    </w:p>
    <w:p w14:paraId="3346FB84" w14:textId="1BB47678" w:rsidR="006D142D" w:rsidRDefault="006D142D" w:rsidP="00C543DA">
      <w:pPr>
        <w:pStyle w:val="Paragraphedeliste"/>
        <w:numPr>
          <w:ilvl w:val="0"/>
          <w:numId w:val="37"/>
        </w:numPr>
        <w:jc w:val="both"/>
        <w:rPr>
          <w:rFonts w:cs="Arial"/>
          <w:color w:val="FF0000"/>
        </w:rPr>
      </w:pPr>
      <w:r w:rsidRPr="006D142D">
        <w:rPr>
          <w:rFonts w:cs="Arial"/>
          <w:color w:val="FF0000"/>
        </w:rPr>
        <w:t xml:space="preserve">Share of </w:t>
      </w:r>
      <w:r w:rsidRPr="003C6AAD">
        <w:rPr>
          <w:rFonts w:cs="Arial"/>
          <w:b/>
          <w:bCs/>
          <w:color w:val="FF0000"/>
        </w:rPr>
        <w:t>labelled sustainable investments</w:t>
      </w:r>
      <w:r>
        <w:rPr>
          <w:rFonts w:cs="Arial"/>
          <w:color w:val="FF0000"/>
        </w:rPr>
        <w:t xml:space="preserve"> with breakdown by type of label</w:t>
      </w:r>
    </w:p>
    <w:p w14:paraId="753199A8" w14:textId="75D0E3CB" w:rsidR="006D142D" w:rsidRPr="006D142D" w:rsidRDefault="006D142D" w:rsidP="00C543DA">
      <w:pPr>
        <w:pStyle w:val="Paragraphedeliste"/>
        <w:numPr>
          <w:ilvl w:val="0"/>
          <w:numId w:val="37"/>
        </w:numPr>
        <w:jc w:val="both"/>
        <w:rPr>
          <w:rFonts w:cs="Arial"/>
          <w:color w:val="FF0000"/>
        </w:rPr>
      </w:pPr>
      <w:r>
        <w:rPr>
          <w:rFonts w:cs="Arial"/>
          <w:color w:val="FF0000"/>
        </w:rPr>
        <w:t xml:space="preserve">Share of </w:t>
      </w:r>
      <w:r w:rsidRPr="003C6AAD">
        <w:rPr>
          <w:rFonts w:cs="Arial"/>
          <w:b/>
          <w:bCs/>
          <w:color w:val="FF0000"/>
        </w:rPr>
        <w:t>impact investments</w:t>
      </w:r>
    </w:p>
    <w:p w14:paraId="41D0E6E8" w14:textId="2B759CC8" w:rsidR="001D2478" w:rsidRPr="003C6AAD" w:rsidRDefault="001D2478" w:rsidP="00C543DA">
      <w:pPr>
        <w:pStyle w:val="Paragraphedeliste"/>
        <w:numPr>
          <w:ilvl w:val="0"/>
          <w:numId w:val="37"/>
        </w:numPr>
        <w:jc w:val="both"/>
        <w:rPr>
          <w:rFonts w:cs="Arial"/>
          <w:b/>
          <w:bCs/>
          <w:color w:val="FF0000"/>
        </w:rPr>
      </w:pPr>
      <w:r w:rsidRPr="003C6AAD">
        <w:rPr>
          <w:rFonts w:cs="Arial"/>
          <w:b/>
          <w:bCs/>
          <w:color w:val="FF0000"/>
        </w:rPr>
        <w:t>List of activities excluded and their precise criteria</w:t>
      </w:r>
      <w:r w:rsidR="003C6AAD">
        <w:rPr>
          <w:rFonts w:cs="Arial"/>
          <w:b/>
          <w:bCs/>
          <w:color w:val="FF0000"/>
        </w:rPr>
        <w:t xml:space="preserve"> (List of exclusions)</w:t>
      </w:r>
    </w:p>
    <w:p w14:paraId="4869662B" w14:textId="3950B025" w:rsidR="00295E3A" w:rsidRDefault="006D142D" w:rsidP="00C543DA">
      <w:pPr>
        <w:pStyle w:val="Paragraphedeliste"/>
        <w:numPr>
          <w:ilvl w:val="0"/>
          <w:numId w:val="37"/>
        </w:numPr>
        <w:jc w:val="both"/>
        <w:rPr>
          <w:rFonts w:cs="Arial"/>
          <w:color w:val="FF0000"/>
        </w:rPr>
      </w:pPr>
      <w:r w:rsidRPr="003C6AAD">
        <w:rPr>
          <w:rFonts w:cs="Arial"/>
          <w:b/>
          <w:bCs/>
          <w:color w:val="FF0000"/>
        </w:rPr>
        <w:t>Share of investments excluded</w:t>
      </w:r>
      <w:r w:rsidRPr="006D142D">
        <w:rPr>
          <w:rFonts w:cs="Arial"/>
          <w:color w:val="FF0000"/>
        </w:rPr>
        <w:t xml:space="preserve"> when the exclusion activity or sector was announced</w:t>
      </w:r>
      <w:r w:rsidR="00DF22A6">
        <w:rPr>
          <w:rFonts w:cs="Arial"/>
          <w:color w:val="FF0000"/>
        </w:rPr>
        <w:t>.</w:t>
      </w:r>
    </w:p>
    <w:p w14:paraId="67825A39" w14:textId="24F2655D" w:rsidR="00C21B78" w:rsidRDefault="00C21B78" w:rsidP="00C21B78">
      <w:pPr>
        <w:jc w:val="both"/>
        <w:rPr>
          <w:rFonts w:cs="Arial"/>
          <w:color w:val="FF0000"/>
        </w:rPr>
      </w:pPr>
    </w:p>
    <w:p w14:paraId="3E088FC6" w14:textId="30254F7E" w:rsidR="00C21B78" w:rsidRPr="00B2438F" w:rsidRDefault="001B1ECB" w:rsidP="00C21B78">
      <w:pPr>
        <w:rPr>
          <w:rFonts w:cs="Arial"/>
          <w:color w:val="FF0000"/>
        </w:rPr>
      </w:pPr>
      <w:r>
        <w:rPr>
          <w:rFonts w:cs="Arial"/>
          <w:color w:val="FF0000"/>
        </w:rPr>
        <w:t xml:space="preserve">In </w:t>
      </w:r>
      <w:proofErr w:type="gramStart"/>
      <w:r>
        <w:rPr>
          <w:rFonts w:cs="Arial"/>
          <w:color w:val="FF0000"/>
        </w:rPr>
        <w:t>addition :</w:t>
      </w:r>
      <w:proofErr w:type="gramEnd"/>
      <w:r>
        <w:rPr>
          <w:rFonts w:cs="Arial"/>
          <w:color w:val="FF0000"/>
        </w:rPr>
        <w:t xml:space="preserve"> the </w:t>
      </w:r>
      <w:r w:rsidR="00C21B78" w:rsidRPr="00B2438F">
        <w:rPr>
          <w:rFonts w:cs="Arial"/>
          <w:color w:val="FF0000"/>
        </w:rPr>
        <w:t>“</w:t>
      </w:r>
      <w:r w:rsidR="00C21B78" w:rsidRPr="00B75CD3">
        <w:rPr>
          <w:rFonts w:cs="Arial"/>
          <w:b/>
          <w:bCs/>
          <w:color w:val="FF0000"/>
        </w:rPr>
        <w:t xml:space="preserve">Do Not Significantly Harm” (DNSH) </w:t>
      </w:r>
      <w:r w:rsidR="00C21B78">
        <w:rPr>
          <w:rFonts w:cs="Arial"/>
          <w:color w:val="FF0000"/>
        </w:rPr>
        <w:t>principle</w:t>
      </w:r>
      <w:r w:rsidR="00C21B78" w:rsidRPr="00B2438F">
        <w:rPr>
          <w:rFonts w:cs="Arial"/>
          <w:color w:val="FF0000"/>
        </w:rPr>
        <w:t xml:space="preserve"> is based on the fact that all activities are interconnected. “</w:t>
      </w:r>
      <w:r w:rsidR="00C21B78" w:rsidRPr="00B75CD3">
        <w:rPr>
          <w:rFonts w:cs="Arial"/>
          <w:b/>
          <w:bCs/>
          <w:color w:val="FF0000"/>
        </w:rPr>
        <w:t>Best in Class strategy</w:t>
      </w:r>
      <w:r w:rsidR="00C21B78" w:rsidRPr="00B2438F">
        <w:rPr>
          <w:rFonts w:cs="Arial"/>
          <w:color w:val="FF0000"/>
        </w:rPr>
        <w:t>” allows to keep the leaders within an industry, even if the industry</w:t>
      </w:r>
      <w:r w:rsidR="00C21B78">
        <w:rPr>
          <w:rFonts w:cs="Arial"/>
          <w:color w:val="FF0000"/>
        </w:rPr>
        <w:t>’s activities</w:t>
      </w:r>
      <w:r w:rsidR="00C21B78" w:rsidRPr="00B2438F">
        <w:rPr>
          <w:rFonts w:cs="Arial"/>
          <w:color w:val="FF0000"/>
        </w:rPr>
        <w:t xml:space="preserve"> harm the </w:t>
      </w:r>
      <w:r w:rsidR="00C21B78">
        <w:rPr>
          <w:rFonts w:cs="Arial"/>
          <w:color w:val="FF0000"/>
        </w:rPr>
        <w:t xml:space="preserve">other sectors, the environment and the </w:t>
      </w:r>
      <w:r w:rsidR="00C21B78" w:rsidRPr="00B2438F">
        <w:rPr>
          <w:rFonts w:cs="Arial"/>
          <w:color w:val="FF0000"/>
        </w:rPr>
        <w:t xml:space="preserve">society, for instance by keeping on polluting. Thus, </w:t>
      </w:r>
      <w:r w:rsidR="00C21B78">
        <w:rPr>
          <w:rFonts w:cs="Arial"/>
          <w:color w:val="FF0000"/>
        </w:rPr>
        <w:t>the</w:t>
      </w:r>
      <w:r w:rsidR="00C21B78" w:rsidRPr="00B2438F">
        <w:rPr>
          <w:rFonts w:cs="Arial"/>
          <w:color w:val="FF0000"/>
        </w:rPr>
        <w:t xml:space="preserve"> DNSH </w:t>
      </w:r>
      <w:r w:rsidR="00C21B78">
        <w:rPr>
          <w:rFonts w:cs="Arial"/>
          <w:color w:val="FF0000"/>
        </w:rPr>
        <w:t xml:space="preserve">principle </w:t>
      </w:r>
      <w:r w:rsidR="00C21B78" w:rsidRPr="00B2438F">
        <w:rPr>
          <w:rFonts w:cs="Arial"/>
          <w:color w:val="FF0000"/>
        </w:rPr>
        <w:t xml:space="preserve">should promote a transition </w:t>
      </w:r>
      <w:r w:rsidR="00C21B78">
        <w:rPr>
          <w:rFonts w:cs="Arial"/>
          <w:color w:val="FF0000"/>
        </w:rPr>
        <w:t>from</w:t>
      </w:r>
      <w:r w:rsidR="00C21B78" w:rsidRPr="00B2438F">
        <w:rPr>
          <w:rFonts w:cs="Arial"/>
          <w:color w:val="FF0000"/>
        </w:rPr>
        <w:t xml:space="preserve"> the “Best in Class” to the “</w:t>
      </w:r>
      <w:r w:rsidR="00C21B78" w:rsidRPr="00C46B06">
        <w:rPr>
          <w:rFonts w:cs="Arial"/>
          <w:b/>
          <w:bCs/>
          <w:color w:val="00B050"/>
        </w:rPr>
        <w:t>Best in Universe</w:t>
      </w:r>
      <w:r w:rsidR="00C21B78" w:rsidRPr="00C46B06">
        <w:rPr>
          <w:rFonts w:cs="Arial"/>
          <w:color w:val="00B050"/>
        </w:rPr>
        <w:t>” strategy</w:t>
      </w:r>
      <w:r w:rsidR="00C21B78" w:rsidRPr="00B2438F">
        <w:rPr>
          <w:rFonts w:cs="Arial"/>
          <w:color w:val="FF0000"/>
        </w:rPr>
        <w:t xml:space="preserve">. </w:t>
      </w:r>
    </w:p>
    <w:p w14:paraId="02277037" w14:textId="77777777" w:rsidR="00C21B78" w:rsidRPr="00C21B78" w:rsidRDefault="00C21B78" w:rsidP="00C21B78">
      <w:pPr>
        <w:jc w:val="both"/>
        <w:rPr>
          <w:rFonts w:cs="Arial"/>
          <w:color w:val="FF0000"/>
        </w:rPr>
      </w:pPr>
    </w:p>
    <w:p w14:paraId="2577589B" w14:textId="77777777" w:rsidR="001D2478" w:rsidRDefault="001D2478" w:rsidP="003E573C">
      <w:pPr>
        <w:rPr>
          <w:rFonts w:cs="Arial"/>
        </w:rPr>
      </w:pPr>
    </w:p>
    <w:permEnd w:id="1634935588"/>
    <w:p w14:paraId="0C17FC2A" w14:textId="4BD99D4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44"/>
        </w:numPr>
      </w:pP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46B45C9C" w14:textId="77777777" w:rsidR="006920C8" w:rsidRDefault="006920C8" w:rsidP="006920C8">
      <w:pPr>
        <w:pStyle w:val="Questionstyle"/>
        <w:numPr>
          <w:ilvl w:val="0"/>
          <w:numId w:val="44"/>
        </w:numPr>
      </w:pPr>
      <w:r>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44"/>
        </w:numPr>
      </w:pPr>
      <w:r>
        <w:lastRenderedPageBreak/>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44"/>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Is it better to include a separate section on information on how the use of derivatives meets each of the environmental or social characteristics or sustainable investment objectives promoted by the financial product, as in the below draft RTS under Article 19 and article 28, or 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735B8564"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1CEF26AE"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D4976" w14:textId="77777777" w:rsidR="00A0184E" w:rsidRDefault="00A0184E">
      <w:r>
        <w:separator/>
      </w:r>
    </w:p>
    <w:p w14:paraId="32082430" w14:textId="77777777" w:rsidR="00A0184E" w:rsidRDefault="00A0184E"/>
  </w:endnote>
  <w:endnote w:type="continuationSeparator" w:id="0">
    <w:p w14:paraId="0DD50830" w14:textId="77777777" w:rsidR="00A0184E" w:rsidRDefault="00A0184E">
      <w:r>
        <w:continuationSeparator/>
      </w:r>
    </w:p>
    <w:p w14:paraId="40A7E50A" w14:textId="77777777" w:rsidR="00A0184E" w:rsidRDefault="00A0184E"/>
  </w:endnote>
  <w:endnote w:type="continuationNotice" w:id="1">
    <w:p w14:paraId="25046365" w14:textId="77777777" w:rsidR="00A0184E" w:rsidRDefault="00A01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4F5D4B" w:rsidRDefault="004F5D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5D4B" w:rsidRPr="00616B9B" w14:paraId="6A3CB0EF" w14:textId="77777777" w:rsidTr="00315E96">
      <w:trPr>
        <w:trHeight w:val="284"/>
      </w:trPr>
      <w:tc>
        <w:tcPr>
          <w:tcW w:w="8460" w:type="dxa"/>
        </w:tcPr>
        <w:p w14:paraId="6A3CB0ED" w14:textId="77777777" w:rsidR="004F5D4B" w:rsidRPr="00315E96" w:rsidRDefault="004F5D4B" w:rsidP="00315E96">
          <w:pPr>
            <w:pStyle w:val="00Footer"/>
            <w:rPr>
              <w:lang w:val="fr-FR"/>
            </w:rPr>
          </w:pPr>
        </w:p>
      </w:tc>
      <w:tc>
        <w:tcPr>
          <w:tcW w:w="952" w:type="dxa"/>
        </w:tcPr>
        <w:p w14:paraId="6A3CB0EE" w14:textId="1E0FC2AC" w:rsidR="004F5D4B" w:rsidRPr="00616B9B" w:rsidRDefault="004F5D4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13</w:t>
          </w:r>
          <w:r w:rsidRPr="00616B9B">
            <w:rPr>
              <w:rFonts w:cs="Arial"/>
              <w:noProof/>
              <w:sz w:val="22"/>
              <w:szCs w:val="22"/>
            </w:rPr>
            <w:fldChar w:fldCharType="end"/>
          </w:r>
        </w:p>
      </w:tc>
    </w:tr>
  </w:tbl>
  <w:p w14:paraId="6A3CB0F0" w14:textId="77777777" w:rsidR="004F5D4B" w:rsidRDefault="004F5D4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4F5D4B" w:rsidRDefault="004F5D4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4F5D4B" w:rsidRDefault="004F5D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598E8" w14:textId="77777777" w:rsidR="00A0184E" w:rsidRDefault="00A0184E">
      <w:r>
        <w:separator/>
      </w:r>
    </w:p>
    <w:p w14:paraId="7327BC91" w14:textId="77777777" w:rsidR="00A0184E" w:rsidRDefault="00A0184E"/>
  </w:footnote>
  <w:footnote w:type="continuationSeparator" w:id="0">
    <w:p w14:paraId="21868193" w14:textId="77777777" w:rsidR="00A0184E" w:rsidRDefault="00A0184E">
      <w:r>
        <w:continuationSeparator/>
      </w:r>
    </w:p>
    <w:p w14:paraId="4025ACEF" w14:textId="77777777" w:rsidR="00A0184E" w:rsidRDefault="00A0184E"/>
  </w:footnote>
  <w:footnote w:type="continuationNotice" w:id="1">
    <w:p w14:paraId="35A324D0" w14:textId="77777777" w:rsidR="00A0184E" w:rsidRDefault="00A0184E"/>
  </w:footnote>
  <w:footnote w:id="2">
    <w:p w14:paraId="52F26208" w14:textId="77777777" w:rsidR="004F5D4B" w:rsidRDefault="004F5D4B" w:rsidP="00197794">
      <w:pPr>
        <w:pStyle w:val="Notedebasdepage"/>
      </w:pPr>
      <w:r>
        <w:rPr>
          <w:rStyle w:val="Appelnotedebasdep"/>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4F5D4B" w:rsidRDefault="004F5D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4F5D4B" w:rsidRDefault="004F5D4B">
    <w:pPr>
      <w:pStyle w:val="En-tte"/>
    </w:pPr>
    <w:r>
      <w:rPr>
        <w:noProof/>
        <w:lang w:val="en-US" w:eastAsia="en-US"/>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inline>
      </w:drawing>
    </w:r>
    <w:r>
      <w:rPr>
        <w:noProof/>
        <w:lang w:val="en-US" w:eastAsia="en-US"/>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C25E4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4F5D4B" w:rsidRDefault="004F5D4B" w:rsidP="00013CCE">
    <w:pPr>
      <w:pStyle w:val="En-tte"/>
      <w:jc w:val="right"/>
    </w:pPr>
    <w:r>
      <w:rPr>
        <w:noProof/>
        <w:lang w:val="en-US" w:eastAsia="en-US"/>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inline>
      </w:drawing>
    </w:r>
    <w:r>
      <w:rPr>
        <w:noProof/>
        <w:lang w:val="en-US" w:eastAsia="en-US"/>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4F5D4B" w:rsidRDefault="004F5D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5D4B" w:rsidRPr="002F4496" w14:paraId="6A3CB0F5" w14:textId="77777777" w:rsidTr="000C06C9">
      <w:trPr>
        <w:trHeight w:val="284"/>
      </w:trPr>
      <w:tc>
        <w:tcPr>
          <w:tcW w:w="8460" w:type="dxa"/>
        </w:tcPr>
        <w:p w14:paraId="6A3CB0F3" w14:textId="77777777" w:rsidR="004F5D4B" w:rsidRPr="000C3B6D" w:rsidRDefault="004F5D4B" w:rsidP="000C06C9">
          <w:pPr>
            <w:pStyle w:val="00Footer"/>
            <w:rPr>
              <w:lang w:val="fr-FR"/>
            </w:rPr>
          </w:pPr>
        </w:p>
      </w:tc>
      <w:tc>
        <w:tcPr>
          <w:tcW w:w="952" w:type="dxa"/>
        </w:tcPr>
        <w:p w14:paraId="6A3CB0F4" w14:textId="77777777" w:rsidR="004F5D4B" w:rsidRPr="00146B34" w:rsidRDefault="004F5D4B" w:rsidP="000C06C9">
          <w:pPr>
            <w:pStyle w:val="00aPagenumber"/>
            <w:rPr>
              <w:lang w:val="fr-FR"/>
            </w:rPr>
          </w:pPr>
        </w:p>
      </w:tc>
    </w:tr>
  </w:tbl>
  <w:p w14:paraId="6A3CB0F6" w14:textId="77777777" w:rsidR="004F5D4B" w:rsidRPr="00DB46C3" w:rsidRDefault="004F5D4B">
    <w:pPr>
      <w:rPr>
        <w:lang w:val="fr-FR"/>
      </w:rPr>
    </w:pPr>
  </w:p>
  <w:p w14:paraId="6A3CB0F7" w14:textId="77777777" w:rsidR="004F5D4B" w:rsidRPr="002F4496" w:rsidRDefault="004F5D4B">
    <w:pPr>
      <w:pStyle w:val="En-tte"/>
      <w:rPr>
        <w:lang w:val="fr-FR"/>
      </w:rPr>
    </w:pPr>
  </w:p>
  <w:p w14:paraId="6A3CB0F8" w14:textId="77777777" w:rsidR="004F5D4B" w:rsidRPr="002F4496" w:rsidRDefault="004F5D4B" w:rsidP="000C06C9">
    <w:pPr>
      <w:pStyle w:val="En-tte"/>
      <w:tabs>
        <w:tab w:val="clear" w:pos="4536"/>
        <w:tab w:val="clear" w:pos="9072"/>
        <w:tab w:val="left" w:pos="8227"/>
      </w:tabs>
      <w:rPr>
        <w:lang w:val="fr-FR"/>
      </w:rPr>
    </w:pPr>
  </w:p>
  <w:p w14:paraId="6A3CB0F9" w14:textId="77777777" w:rsidR="004F5D4B" w:rsidRPr="002F4496" w:rsidRDefault="004F5D4B" w:rsidP="000C06C9">
    <w:pPr>
      <w:pStyle w:val="En-tte"/>
      <w:tabs>
        <w:tab w:val="clear" w:pos="4536"/>
        <w:tab w:val="clear" w:pos="9072"/>
        <w:tab w:val="left" w:pos="8227"/>
      </w:tabs>
      <w:rPr>
        <w:lang w:val="fr-FR"/>
      </w:rPr>
    </w:pPr>
  </w:p>
  <w:p w14:paraId="6A3CB0FA" w14:textId="77777777" w:rsidR="004F5D4B" w:rsidRPr="002F4496" w:rsidRDefault="004F5D4B">
    <w:pPr>
      <w:pStyle w:val="En-tte"/>
      <w:rPr>
        <w:lang w:val="fr-FR"/>
      </w:rPr>
    </w:pPr>
  </w:p>
  <w:p w14:paraId="6A3CB0FB" w14:textId="77777777" w:rsidR="004F5D4B" w:rsidRPr="002F4496" w:rsidRDefault="004F5D4B">
    <w:pPr>
      <w:pStyle w:val="En-tte"/>
      <w:rPr>
        <w:lang w:val="fr-FR"/>
      </w:rPr>
    </w:pPr>
  </w:p>
  <w:p w14:paraId="6A3CB0FC" w14:textId="77777777" w:rsidR="004F5D4B" w:rsidRPr="002F4496" w:rsidRDefault="004F5D4B">
    <w:pPr>
      <w:pStyle w:val="En-tte"/>
      <w:rPr>
        <w:lang w:val="fr-FR"/>
      </w:rPr>
    </w:pPr>
  </w:p>
  <w:p w14:paraId="6A3CB0FD" w14:textId="77777777" w:rsidR="004F5D4B" w:rsidRPr="002F4496" w:rsidRDefault="004F5D4B">
    <w:pPr>
      <w:pStyle w:val="En-tte"/>
      <w:rPr>
        <w:lang w:val="fr-FR"/>
      </w:rPr>
    </w:pPr>
  </w:p>
  <w:p w14:paraId="6A3CB0FE" w14:textId="77777777" w:rsidR="004F5D4B" w:rsidRPr="002F4496" w:rsidRDefault="004F5D4B">
    <w:pPr>
      <w:pStyle w:val="En-tte"/>
      <w:rPr>
        <w:highlight w:val="yellow"/>
        <w:lang w:val="fr-FR"/>
      </w:rPr>
    </w:pPr>
  </w:p>
  <w:p w14:paraId="6A3CB0FF" w14:textId="05D5FF53" w:rsidR="004F5D4B" w:rsidRDefault="004F5D4B">
    <w:pPr>
      <w:pStyle w:val="En-tte"/>
    </w:pPr>
    <w:r>
      <w:rPr>
        <w:noProof/>
        <w:lang w:val="en-US" w:eastAsia="en-US"/>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5CD5E4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CC0275"/>
    <w:multiLevelType w:val="hybridMultilevel"/>
    <w:tmpl w:val="F9025E8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9F4A7C"/>
    <w:multiLevelType w:val="hybridMultilevel"/>
    <w:tmpl w:val="941A3030"/>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B34405"/>
    <w:multiLevelType w:val="hybridMultilevel"/>
    <w:tmpl w:val="504829E2"/>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F957BD"/>
    <w:multiLevelType w:val="hybridMultilevel"/>
    <w:tmpl w:val="DFD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A1761"/>
    <w:multiLevelType w:val="hybridMultilevel"/>
    <w:tmpl w:val="42A89E7A"/>
    <w:lvl w:ilvl="0" w:tplc="040C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400FE9"/>
    <w:multiLevelType w:val="hybridMultilevel"/>
    <w:tmpl w:val="CD90BF44"/>
    <w:lvl w:ilvl="0" w:tplc="040C0011">
      <w:start w:val="1"/>
      <w:numFmt w:val="decimal"/>
      <w:lvlText w:val="%1)"/>
      <w:lvlJc w:val="left"/>
      <w:pPr>
        <w:ind w:left="720" w:hanging="360"/>
      </w:pPr>
    </w:lvl>
    <w:lvl w:ilvl="1" w:tplc="0C3CCC7A">
      <w:start w:val="1"/>
      <w:numFmt w:val="lowerLetter"/>
      <w:lvlText w:val="%2."/>
      <w:lvlJc w:val="left"/>
      <w:pPr>
        <w:ind w:left="1440" w:hanging="360"/>
      </w:pPr>
      <w:rPr>
        <w:b w:val="0"/>
        <w:bCs/>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89302E"/>
    <w:multiLevelType w:val="hybridMultilevel"/>
    <w:tmpl w:val="30F8E604"/>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1"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D7B61"/>
    <w:multiLevelType w:val="hybridMultilevel"/>
    <w:tmpl w:val="F49EEEB2"/>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0971B8"/>
    <w:multiLevelType w:val="hybridMultilevel"/>
    <w:tmpl w:val="E13A02D6"/>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17959A0"/>
    <w:multiLevelType w:val="hybridMultilevel"/>
    <w:tmpl w:val="26FAA4F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2C60BE5"/>
    <w:multiLevelType w:val="hybridMultilevel"/>
    <w:tmpl w:val="0FDEF498"/>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AA39F1"/>
    <w:multiLevelType w:val="hybridMultilevel"/>
    <w:tmpl w:val="426A6580"/>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b w:val="0"/>
        <w:bCs/>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4"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9" w15:restartNumberingAfterBreak="0">
    <w:nsid w:val="45E22BDD"/>
    <w:multiLevelType w:val="hybridMultilevel"/>
    <w:tmpl w:val="F12CCA1C"/>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7BC2E2C"/>
    <w:multiLevelType w:val="hybridMultilevel"/>
    <w:tmpl w:val="FFD65000"/>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7CF09A7"/>
    <w:multiLevelType w:val="hybridMultilevel"/>
    <w:tmpl w:val="E12CE12E"/>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5" w15:restartNumberingAfterBreak="0">
    <w:nsid w:val="4C26029E"/>
    <w:multiLevelType w:val="hybridMultilevel"/>
    <w:tmpl w:val="15E2C1FC"/>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CB46308"/>
    <w:multiLevelType w:val="hybridMultilevel"/>
    <w:tmpl w:val="E6C0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DD491F"/>
    <w:multiLevelType w:val="hybridMultilevel"/>
    <w:tmpl w:val="CD42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E4309"/>
    <w:multiLevelType w:val="hybridMultilevel"/>
    <w:tmpl w:val="E5128436"/>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b w:val="0"/>
        <w:bCs/>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4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3"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D067216"/>
    <w:multiLevelType w:val="hybridMultilevel"/>
    <w:tmpl w:val="25EAC6D8"/>
    <w:lvl w:ilvl="0" w:tplc="040C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9"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51" w15:restartNumberingAfterBreak="0">
    <w:nsid w:val="688D29E1"/>
    <w:multiLevelType w:val="hybridMultilevel"/>
    <w:tmpl w:val="A1CE0AD8"/>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752B4D5D"/>
    <w:multiLevelType w:val="hybridMultilevel"/>
    <w:tmpl w:val="57583EF6"/>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8" w15:restartNumberingAfterBreak="0">
    <w:nsid w:val="79742EB4"/>
    <w:multiLevelType w:val="hybridMultilevel"/>
    <w:tmpl w:val="FA6485C8"/>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0" w15:restartNumberingAfterBreak="0">
    <w:nsid w:val="7F355D6A"/>
    <w:multiLevelType w:val="hybridMultilevel"/>
    <w:tmpl w:val="00B4550C"/>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28"/>
  </w:num>
  <w:num w:numId="3">
    <w:abstractNumId w:val="22"/>
  </w:num>
  <w:num w:numId="4">
    <w:abstractNumId w:val="40"/>
  </w:num>
  <w:num w:numId="5">
    <w:abstractNumId w:val="43"/>
  </w:num>
  <w:num w:numId="6">
    <w:abstractNumId w:val="0"/>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49"/>
  </w:num>
  <w:num w:numId="14">
    <w:abstractNumId w:val="36"/>
  </w:num>
  <w:num w:numId="15">
    <w:abstractNumId w:val="18"/>
  </w:num>
  <w:num w:numId="16">
    <w:abstractNumId w:val="1"/>
  </w:num>
  <w:num w:numId="17">
    <w:abstractNumId w:val="24"/>
  </w:num>
  <w:num w:numId="18">
    <w:abstractNumId w:val="25"/>
  </w:num>
  <w:num w:numId="19">
    <w:abstractNumId w:val="27"/>
  </w:num>
  <w:num w:numId="20">
    <w:abstractNumId w:val="44"/>
  </w:num>
  <w:num w:numId="21">
    <w:abstractNumId w:val="55"/>
  </w:num>
  <w:num w:numId="22">
    <w:abstractNumId w:val="42"/>
  </w:num>
  <w:num w:numId="23">
    <w:abstractNumId w:val="17"/>
  </w:num>
  <w:num w:numId="24">
    <w:abstractNumId w:val="48"/>
  </w:num>
  <w:num w:numId="25">
    <w:abstractNumId w:val="47"/>
  </w:num>
  <w:num w:numId="26">
    <w:abstractNumId w:val="32"/>
  </w:num>
  <w:num w:numId="27">
    <w:abstractNumId w:val="52"/>
  </w:num>
  <w:num w:numId="28">
    <w:abstractNumId w:val="59"/>
  </w:num>
  <w:num w:numId="29">
    <w:abstractNumId w:val="15"/>
  </w:num>
  <w:num w:numId="30">
    <w:abstractNumId w:val="7"/>
  </w:num>
  <w:num w:numId="31">
    <w:abstractNumId w:val="34"/>
  </w:num>
  <w:num w:numId="32">
    <w:abstractNumId w:val="33"/>
  </w:num>
  <w:num w:numId="33">
    <w:abstractNumId w:val="54"/>
  </w:num>
  <w:num w:numId="34">
    <w:abstractNumId w:val="53"/>
  </w:num>
  <w:num w:numId="35">
    <w:abstractNumId w:val="19"/>
  </w:num>
  <w:num w:numId="36">
    <w:abstractNumId w:val="41"/>
  </w:num>
  <w:num w:numId="37">
    <w:abstractNumId w:val="38"/>
  </w:num>
  <w:num w:numId="38">
    <w:abstractNumId w:val="37"/>
  </w:num>
  <w:num w:numId="39">
    <w:abstractNumId w:val="5"/>
  </w:num>
  <w:num w:numId="40">
    <w:abstractNumId w:val="46"/>
  </w:num>
  <w:num w:numId="41">
    <w:abstractNumId w:val="31"/>
  </w:num>
  <w:num w:numId="42">
    <w:abstractNumId w:val="2"/>
  </w:num>
  <w:num w:numId="43">
    <w:abstractNumId w:val="8"/>
  </w:num>
  <w:num w:numId="44">
    <w:abstractNumId w:val="6"/>
  </w:num>
  <w:num w:numId="45">
    <w:abstractNumId w:val="58"/>
  </w:num>
  <w:num w:numId="46">
    <w:abstractNumId w:val="13"/>
  </w:num>
  <w:num w:numId="47">
    <w:abstractNumId w:val="14"/>
  </w:num>
  <w:num w:numId="48">
    <w:abstractNumId w:val="21"/>
  </w:num>
  <w:num w:numId="49">
    <w:abstractNumId w:val="39"/>
  </w:num>
  <w:num w:numId="50">
    <w:abstractNumId w:val="9"/>
  </w:num>
  <w:num w:numId="51">
    <w:abstractNumId w:val="60"/>
  </w:num>
  <w:num w:numId="52">
    <w:abstractNumId w:val="30"/>
  </w:num>
  <w:num w:numId="53">
    <w:abstractNumId w:val="51"/>
  </w:num>
  <w:num w:numId="54">
    <w:abstractNumId w:val="29"/>
  </w:num>
  <w:num w:numId="55">
    <w:abstractNumId w:val="35"/>
  </w:num>
  <w:num w:numId="56">
    <w:abstractNumId w:val="4"/>
  </w:num>
  <w:num w:numId="57">
    <w:abstractNumId w:val="56"/>
  </w:num>
  <w:num w:numId="58">
    <w:abstractNumId w:val="20"/>
  </w:num>
  <w:num w:numId="59">
    <w:abstractNumId w:val="3"/>
  </w:num>
  <w:num w:numId="60">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26A9"/>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17CE7"/>
    <w:rsid w:val="00020D0F"/>
    <w:rsid w:val="000215EB"/>
    <w:rsid w:val="00021E83"/>
    <w:rsid w:val="00023713"/>
    <w:rsid w:val="00023C4D"/>
    <w:rsid w:val="00025E71"/>
    <w:rsid w:val="00026035"/>
    <w:rsid w:val="00026269"/>
    <w:rsid w:val="00027154"/>
    <w:rsid w:val="00027ECF"/>
    <w:rsid w:val="000303BE"/>
    <w:rsid w:val="000321C9"/>
    <w:rsid w:val="00032A49"/>
    <w:rsid w:val="000344D6"/>
    <w:rsid w:val="00034960"/>
    <w:rsid w:val="00036FAE"/>
    <w:rsid w:val="00041858"/>
    <w:rsid w:val="0004389E"/>
    <w:rsid w:val="000439D8"/>
    <w:rsid w:val="00043ACC"/>
    <w:rsid w:val="00044126"/>
    <w:rsid w:val="000463A6"/>
    <w:rsid w:val="00046CC9"/>
    <w:rsid w:val="00046E91"/>
    <w:rsid w:val="000502FE"/>
    <w:rsid w:val="0005126D"/>
    <w:rsid w:val="00051992"/>
    <w:rsid w:val="00051DFE"/>
    <w:rsid w:val="00051E9A"/>
    <w:rsid w:val="000521A7"/>
    <w:rsid w:val="00052F47"/>
    <w:rsid w:val="0005399B"/>
    <w:rsid w:val="00054DE6"/>
    <w:rsid w:val="000562AA"/>
    <w:rsid w:val="000569D7"/>
    <w:rsid w:val="00056E5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35B0"/>
    <w:rsid w:val="000744C3"/>
    <w:rsid w:val="0007463D"/>
    <w:rsid w:val="000749F0"/>
    <w:rsid w:val="00075438"/>
    <w:rsid w:val="0007609D"/>
    <w:rsid w:val="00077C67"/>
    <w:rsid w:val="00080976"/>
    <w:rsid w:val="00081148"/>
    <w:rsid w:val="00081820"/>
    <w:rsid w:val="00081CEB"/>
    <w:rsid w:val="00081E60"/>
    <w:rsid w:val="0008230A"/>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958"/>
    <w:rsid w:val="000A7B53"/>
    <w:rsid w:val="000A7B64"/>
    <w:rsid w:val="000A7D5F"/>
    <w:rsid w:val="000B145F"/>
    <w:rsid w:val="000B275C"/>
    <w:rsid w:val="000B2C3D"/>
    <w:rsid w:val="000B3991"/>
    <w:rsid w:val="000B55C0"/>
    <w:rsid w:val="000B5DF2"/>
    <w:rsid w:val="000B7FDA"/>
    <w:rsid w:val="000C06C9"/>
    <w:rsid w:val="000C0A24"/>
    <w:rsid w:val="000C1DCC"/>
    <w:rsid w:val="000C1FBC"/>
    <w:rsid w:val="000C2B6A"/>
    <w:rsid w:val="000C2F88"/>
    <w:rsid w:val="000C55C8"/>
    <w:rsid w:val="000C57C4"/>
    <w:rsid w:val="000C5FD3"/>
    <w:rsid w:val="000C701D"/>
    <w:rsid w:val="000C7C4A"/>
    <w:rsid w:val="000D17AA"/>
    <w:rsid w:val="000D2D0B"/>
    <w:rsid w:val="000D340A"/>
    <w:rsid w:val="000D4660"/>
    <w:rsid w:val="000D5BFA"/>
    <w:rsid w:val="000D5D1A"/>
    <w:rsid w:val="000D705D"/>
    <w:rsid w:val="000D7EB9"/>
    <w:rsid w:val="000E0223"/>
    <w:rsid w:val="000E0CF3"/>
    <w:rsid w:val="000E18A8"/>
    <w:rsid w:val="000E1AEC"/>
    <w:rsid w:val="000E2CA7"/>
    <w:rsid w:val="000E3937"/>
    <w:rsid w:val="000E4926"/>
    <w:rsid w:val="000E5F7F"/>
    <w:rsid w:val="000E667A"/>
    <w:rsid w:val="000E7086"/>
    <w:rsid w:val="000E7C65"/>
    <w:rsid w:val="000F04D2"/>
    <w:rsid w:val="000F2F9F"/>
    <w:rsid w:val="000F3BDC"/>
    <w:rsid w:val="000F55B7"/>
    <w:rsid w:val="000F604F"/>
    <w:rsid w:val="000F7399"/>
    <w:rsid w:val="001027F1"/>
    <w:rsid w:val="00104F2E"/>
    <w:rsid w:val="001072DD"/>
    <w:rsid w:val="00110D7A"/>
    <w:rsid w:val="00110FF0"/>
    <w:rsid w:val="00111464"/>
    <w:rsid w:val="0011167D"/>
    <w:rsid w:val="00111F3A"/>
    <w:rsid w:val="00111FF1"/>
    <w:rsid w:val="00112892"/>
    <w:rsid w:val="00112E48"/>
    <w:rsid w:val="001130EA"/>
    <w:rsid w:val="00114259"/>
    <w:rsid w:val="001148DD"/>
    <w:rsid w:val="001168B2"/>
    <w:rsid w:val="00117C20"/>
    <w:rsid w:val="00120F0E"/>
    <w:rsid w:val="00121BED"/>
    <w:rsid w:val="00123D39"/>
    <w:rsid w:val="001244CD"/>
    <w:rsid w:val="0012566F"/>
    <w:rsid w:val="001262B1"/>
    <w:rsid w:val="00127A3E"/>
    <w:rsid w:val="00130473"/>
    <w:rsid w:val="00130F41"/>
    <w:rsid w:val="00130FAF"/>
    <w:rsid w:val="00131A1F"/>
    <w:rsid w:val="00133E00"/>
    <w:rsid w:val="00135F2B"/>
    <w:rsid w:val="001372DD"/>
    <w:rsid w:val="001405BA"/>
    <w:rsid w:val="00141497"/>
    <w:rsid w:val="0014253A"/>
    <w:rsid w:val="001425C8"/>
    <w:rsid w:val="001431AE"/>
    <w:rsid w:val="00143B87"/>
    <w:rsid w:val="001459E3"/>
    <w:rsid w:val="00146A0B"/>
    <w:rsid w:val="0014761E"/>
    <w:rsid w:val="00150AB2"/>
    <w:rsid w:val="00151907"/>
    <w:rsid w:val="001544C8"/>
    <w:rsid w:val="00155FAB"/>
    <w:rsid w:val="001567A1"/>
    <w:rsid w:val="00156857"/>
    <w:rsid w:val="00157E79"/>
    <w:rsid w:val="00157EED"/>
    <w:rsid w:val="0016087A"/>
    <w:rsid w:val="00160A5C"/>
    <w:rsid w:val="001613EC"/>
    <w:rsid w:val="0016358A"/>
    <w:rsid w:val="001638D4"/>
    <w:rsid w:val="00164197"/>
    <w:rsid w:val="00164664"/>
    <w:rsid w:val="00164F15"/>
    <w:rsid w:val="001651A4"/>
    <w:rsid w:val="0016552B"/>
    <w:rsid w:val="00166B04"/>
    <w:rsid w:val="001670A6"/>
    <w:rsid w:val="001701FA"/>
    <w:rsid w:val="001707B9"/>
    <w:rsid w:val="00170D44"/>
    <w:rsid w:val="00171183"/>
    <w:rsid w:val="00171283"/>
    <w:rsid w:val="001725A5"/>
    <w:rsid w:val="00172681"/>
    <w:rsid w:val="00173AC7"/>
    <w:rsid w:val="00174392"/>
    <w:rsid w:val="001745D7"/>
    <w:rsid w:val="00175754"/>
    <w:rsid w:val="00176982"/>
    <w:rsid w:val="0017701C"/>
    <w:rsid w:val="00181264"/>
    <w:rsid w:val="001817D7"/>
    <w:rsid w:val="00181BD1"/>
    <w:rsid w:val="0018204A"/>
    <w:rsid w:val="00182AFE"/>
    <w:rsid w:val="00182F7C"/>
    <w:rsid w:val="00183346"/>
    <w:rsid w:val="001843B5"/>
    <w:rsid w:val="00186829"/>
    <w:rsid w:val="00186885"/>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0C"/>
    <w:rsid w:val="001A7D73"/>
    <w:rsid w:val="001B0363"/>
    <w:rsid w:val="001B125E"/>
    <w:rsid w:val="001B1355"/>
    <w:rsid w:val="001B1ECB"/>
    <w:rsid w:val="001B3138"/>
    <w:rsid w:val="001B38DE"/>
    <w:rsid w:val="001B3C63"/>
    <w:rsid w:val="001B4E4B"/>
    <w:rsid w:val="001B50AC"/>
    <w:rsid w:val="001B55FB"/>
    <w:rsid w:val="001B5E05"/>
    <w:rsid w:val="001B62EE"/>
    <w:rsid w:val="001B6D68"/>
    <w:rsid w:val="001B6F2E"/>
    <w:rsid w:val="001C0344"/>
    <w:rsid w:val="001C0F2A"/>
    <w:rsid w:val="001C16BA"/>
    <w:rsid w:val="001C1A59"/>
    <w:rsid w:val="001C240F"/>
    <w:rsid w:val="001C270F"/>
    <w:rsid w:val="001C4679"/>
    <w:rsid w:val="001C5770"/>
    <w:rsid w:val="001C6195"/>
    <w:rsid w:val="001C669F"/>
    <w:rsid w:val="001D000A"/>
    <w:rsid w:val="001D0883"/>
    <w:rsid w:val="001D1129"/>
    <w:rsid w:val="001D12A2"/>
    <w:rsid w:val="001D2205"/>
    <w:rsid w:val="001D2478"/>
    <w:rsid w:val="001D3A1F"/>
    <w:rsid w:val="001D3FB6"/>
    <w:rsid w:val="001D4550"/>
    <w:rsid w:val="001D5360"/>
    <w:rsid w:val="001D5498"/>
    <w:rsid w:val="001D5BAF"/>
    <w:rsid w:val="001D6401"/>
    <w:rsid w:val="001D66C9"/>
    <w:rsid w:val="001D722A"/>
    <w:rsid w:val="001E04FC"/>
    <w:rsid w:val="001E26AC"/>
    <w:rsid w:val="001E407D"/>
    <w:rsid w:val="001E40FB"/>
    <w:rsid w:val="001E48CF"/>
    <w:rsid w:val="001E4CDE"/>
    <w:rsid w:val="001E629E"/>
    <w:rsid w:val="001E66EC"/>
    <w:rsid w:val="001E68C5"/>
    <w:rsid w:val="001F0F63"/>
    <w:rsid w:val="001F3996"/>
    <w:rsid w:val="001F44A4"/>
    <w:rsid w:val="001F579D"/>
    <w:rsid w:val="001F65EF"/>
    <w:rsid w:val="001F697B"/>
    <w:rsid w:val="0020039A"/>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667"/>
    <w:rsid w:val="00223788"/>
    <w:rsid w:val="00223D11"/>
    <w:rsid w:val="002242D3"/>
    <w:rsid w:val="00227032"/>
    <w:rsid w:val="002301E6"/>
    <w:rsid w:val="00232F90"/>
    <w:rsid w:val="00233B08"/>
    <w:rsid w:val="00233C3B"/>
    <w:rsid w:val="0023499C"/>
    <w:rsid w:val="00235CE3"/>
    <w:rsid w:val="0023636A"/>
    <w:rsid w:val="00236F34"/>
    <w:rsid w:val="002372F7"/>
    <w:rsid w:val="002377EB"/>
    <w:rsid w:val="00240651"/>
    <w:rsid w:val="00240803"/>
    <w:rsid w:val="0024426D"/>
    <w:rsid w:val="00244F1D"/>
    <w:rsid w:val="00245004"/>
    <w:rsid w:val="00245FB4"/>
    <w:rsid w:val="002479F3"/>
    <w:rsid w:val="00250898"/>
    <w:rsid w:val="00251EA9"/>
    <w:rsid w:val="00252843"/>
    <w:rsid w:val="002543F8"/>
    <w:rsid w:val="002551A4"/>
    <w:rsid w:val="0025554B"/>
    <w:rsid w:val="002559F3"/>
    <w:rsid w:val="00256DFE"/>
    <w:rsid w:val="00260BDA"/>
    <w:rsid w:val="00261D56"/>
    <w:rsid w:val="00261FD3"/>
    <w:rsid w:val="00264077"/>
    <w:rsid w:val="00265360"/>
    <w:rsid w:val="00266B9A"/>
    <w:rsid w:val="00267699"/>
    <w:rsid w:val="0027048C"/>
    <w:rsid w:val="00270E54"/>
    <w:rsid w:val="00273681"/>
    <w:rsid w:val="002754B5"/>
    <w:rsid w:val="00275C41"/>
    <w:rsid w:val="002764C5"/>
    <w:rsid w:val="002772AE"/>
    <w:rsid w:val="00280613"/>
    <w:rsid w:val="0028274D"/>
    <w:rsid w:val="00282B96"/>
    <w:rsid w:val="00282DFB"/>
    <w:rsid w:val="002833D6"/>
    <w:rsid w:val="00283F51"/>
    <w:rsid w:val="00285236"/>
    <w:rsid w:val="00286064"/>
    <w:rsid w:val="002867B1"/>
    <w:rsid w:val="00287BBB"/>
    <w:rsid w:val="00287E3B"/>
    <w:rsid w:val="00290638"/>
    <w:rsid w:val="0029080A"/>
    <w:rsid w:val="00291763"/>
    <w:rsid w:val="00291D80"/>
    <w:rsid w:val="00293156"/>
    <w:rsid w:val="00293BE7"/>
    <w:rsid w:val="002946DC"/>
    <w:rsid w:val="00295E3A"/>
    <w:rsid w:val="00296005"/>
    <w:rsid w:val="002A0C82"/>
    <w:rsid w:val="002A0CD8"/>
    <w:rsid w:val="002A13EB"/>
    <w:rsid w:val="002A24C4"/>
    <w:rsid w:val="002A35EF"/>
    <w:rsid w:val="002A3DE0"/>
    <w:rsid w:val="002A40EA"/>
    <w:rsid w:val="002A459E"/>
    <w:rsid w:val="002A46E8"/>
    <w:rsid w:val="002A491C"/>
    <w:rsid w:val="002A73F1"/>
    <w:rsid w:val="002B1FEF"/>
    <w:rsid w:val="002B2DF8"/>
    <w:rsid w:val="002B3129"/>
    <w:rsid w:val="002B354F"/>
    <w:rsid w:val="002B3581"/>
    <w:rsid w:val="002B3614"/>
    <w:rsid w:val="002B45D1"/>
    <w:rsid w:val="002B4ED8"/>
    <w:rsid w:val="002B4FAA"/>
    <w:rsid w:val="002B52C2"/>
    <w:rsid w:val="002B7656"/>
    <w:rsid w:val="002C07AD"/>
    <w:rsid w:val="002C0A30"/>
    <w:rsid w:val="002C1492"/>
    <w:rsid w:val="002C1E8B"/>
    <w:rsid w:val="002C2EFE"/>
    <w:rsid w:val="002C3E49"/>
    <w:rsid w:val="002C423F"/>
    <w:rsid w:val="002C53AA"/>
    <w:rsid w:val="002C5B2D"/>
    <w:rsid w:val="002C6AF9"/>
    <w:rsid w:val="002C7DFC"/>
    <w:rsid w:val="002D14F3"/>
    <w:rsid w:val="002D16E4"/>
    <w:rsid w:val="002D2F00"/>
    <w:rsid w:val="002D2FEF"/>
    <w:rsid w:val="002D36C2"/>
    <w:rsid w:val="002D3FCB"/>
    <w:rsid w:val="002D4FEF"/>
    <w:rsid w:val="002D502D"/>
    <w:rsid w:val="002D63F5"/>
    <w:rsid w:val="002D6E1A"/>
    <w:rsid w:val="002E036D"/>
    <w:rsid w:val="002E0D94"/>
    <w:rsid w:val="002E1517"/>
    <w:rsid w:val="002E18AB"/>
    <w:rsid w:val="002E1B22"/>
    <w:rsid w:val="002E30BB"/>
    <w:rsid w:val="002E387F"/>
    <w:rsid w:val="002E4F86"/>
    <w:rsid w:val="002E6B1C"/>
    <w:rsid w:val="002E7113"/>
    <w:rsid w:val="002E7F4B"/>
    <w:rsid w:val="002E7FB3"/>
    <w:rsid w:val="002F087B"/>
    <w:rsid w:val="002F0C91"/>
    <w:rsid w:val="002F0E3E"/>
    <w:rsid w:val="002F1B19"/>
    <w:rsid w:val="002F1FBF"/>
    <w:rsid w:val="002F3D57"/>
    <w:rsid w:val="002F4139"/>
    <w:rsid w:val="002F4C73"/>
    <w:rsid w:val="002F7F87"/>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746"/>
    <w:rsid w:val="00315895"/>
    <w:rsid w:val="00315E96"/>
    <w:rsid w:val="00317CA8"/>
    <w:rsid w:val="00317FC8"/>
    <w:rsid w:val="00320B9B"/>
    <w:rsid w:val="003223D7"/>
    <w:rsid w:val="003233DA"/>
    <w:rsid w:val="00323D9F"/>
    <w:rsid w:val="00324011"/>
    <w:rsid w:val="00324FDB"/>
    <w:rsid w:val="003258DC"/>
    <w:rsid w:val="00325F48"/>
    <w:rsid w:val="003273FE"/>
    <w:rsid w:val="0033194F"/>
    <w:rsid w:val="00332304"/>
    <w:rsid w:val="00332406"/>
    <w:rsid w:val="00332D8D"/>
    <w:rsid w:val="00336420"/>
    <w:rsid w:val="00336B56"/>
    <w:rsid w:val="00337A3F"/>
    <w:rsid w:val="00341B25"/>
    <w:rsid w:val="00341D95"/>
    <w:rsid w:val="00341EC0"/>
    <w:rsid w:val="0034240C"/>
    <w:rsid w:val="00344496"/>
    <w:rsid w:val="0034486F"/>
    <w:rsid w:val="00345968"/>
    <w:rsid w:val="00347667"/>
    <w:rsid w:val="003507E2"/>
    <w:rsid w:val="003522B2"/>
    <w:rsid w:val="0035455E"/>
    <w:rsid w:val="00354A6F"/>
    <w:rsid w:val="00354B48"/>
    <w:rsid w:val="00355789"/>
    <w:rsid w:val="003557F4"/>
    <w:rsid w:val="00356778"/>
    <w:rsid w:val="00357C60"/>
    <w:rsid w:val="003609B6"/>
    <w:rsid w:val="00361119"/>
    <w:rsid w:val="003617A7"/>
    <w:rsid w:val="00362BE3"/>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5FB9"/>
    <w:rsid w:val="003865E5"/>
    <w:rsid w:val="00386BB8"/>
    <w:rsid w:val="0039056F"/>
    <w:rsid w:val="003926C1"/>
    <w:rsid w:val="00392900"/>
    <w:rsid w:val="00392FFE"/>
    <w:rsid w:val="00393357"/>
    <w:rsid w:val="00394CE6"/>
    <w:rsid w:val="00395E7B"/>
    <w:rsid w:val="00395F4C"/>
    <w:rsid w:val="0039695F"/>
    <w:rsid w:val="003A108E"/>
    <w:rsid w:val="003A5DAC"/>
    <w:rsid w:val="003A6591"/>
    <w:rsid w:val="003A6E9A"/>
    <w:rsid w:val="003B08C8"/>
    <w:rsid w:val="003B218C"/>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AAD"/>
    <w:rsid w:val="003C6E49"/>
    <w:rsid w:val="003C74B0"/>
    <w:rsid w:val="003D0CBF"/>
    <w:rsid w:val="003D0DD6"/>
    <w:rsid w:val="003D4B73"/>
    <w:rsid w:val="003D503B"/>
    <w:rsid w:val="003D605E"/>
    <w:rsid w:val="003D61D1"/>
    <w:rsid w:val="003D6780"/>
    <w:rsid w:val="003D6FCB"/>
    <w:rsid w:val="003D77E1"/>
    <w:rsid w:val="003D7CBE"/>
    <w:rsid w:val="003E0F84"/>
    <w:rsid w:val="003E1FF3"/>
    <w:rsid w:val="003E25CF"/>
    <w:rsid w:val="003E3ACA"/>
    <w:rsid w:val="003E50EA"/>
    <w:rsid w:val="003E573C"/>
    <w:rsid w:val="003E68C7"/>
    <w:rsid w:val="003E69DB"/>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668B"/>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6B38"/>
    <w:rsid w:val="00437929"/>
    <w:rsid w:val="00437A4A"/>
    <w:rsid w:val="00440541"/>
    <w:rsid w:val="00440A4D"/>
    <w:rsid w:val="0044162D"/>
    <w:rsid w:val="0044277A"/>
    <w:rsid w:val="00444E8F"/>
    <w:rsid w:val="004456DC"/>
    <w:rsid w:val="00447FBE"/>
    <w:rsid w:val="0045035E"/>
    <w:rsid w:val="0045175A"/>
    <w:rsid w:val="00451ED9"/>
    <w:rsid w:val="00452180"/>
    <w:rsid w:val="00453072"/>
    <w:rsid w:val="004539F8"/>
    <w:rsid w:val="00453F26"/>
    <w:rsid w:val="0045503F"/>
    <w:rsid w:val="00455273"/>
    <w:rsid w:val="00455BE5"/>
    <w:rsid w:val="00460905"/>
    <w:rsid w:val="00461E35"/>
    <w:rsid w:val="004621DB"/>
    <w:rsid w:val="0046247E"/>
    <w:rsid w:val="00462615"/>
    <w:rsid w:val="004634A7"/>
    <w:rsid w:val="00463787"/>
    <w:rsid w:val="00466926"/>
    <w:rsid w:val="00466FDA"/>
    <w:rsid w:val="004671D0"/>
    <w:rsid w:val="004674D1"/>
    <w:rsid w:val="00470773"/>
    <w:rsid w:val="00471FF9"/>
    <w:rsid w:val="00473E74"/>
    <w:rsid w:val="00473FEF"/>
    <w:rsid w:val="00474398"/>
    <w:rsid w:val="00475B8E"/>
    <w:rsid w:val="0048104E"/>
    <w:rsid w:val="004814BB"/>
    <w:rsid w:val="004815DA"/>
    <w:rsid w:val="00482345"/>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AC0"/>
    <w:rsid w:val="004A572D"/>
    <w:rsid w:val="004B0335"/>
    <w:rsid w:val="004B0F1C"/>
    <w:rsid w:val="004B1D0D"/>
    <w:rsid w:val="004B1E61"/>
    <w:rsid w:val="004B21AB"/>
    <w:rsid w:val="004B59E0"/>
    <w:rsid w:val="004B667B"/>
    <w:rsid w:val="004B71C7"/>
    <w:rsid w:val="004C03AA"/>
    <w:rsid w:val="004C0455"/>
    <w:rsid w:val="004C0B9A"/>
    <w:rsid w:val="004C14E7"/>
    <w:rsid w:val="004C1D89"/>
    <w:rsid w:val="004C2A94"/>
    <w:rsid w:val="004C2CB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5D4B"/>
    <w:rsid w:val="004F6376"/>
    <w:rsid w:val="004F6A93"/>
    <w:rsid w:val="004F6F14"/>
    <w:rsid w:val="004F76D9"/>
    <w:rsid w:val="004F79A6"/>
    <w:rsid w:val="00501BF5"/>
    <w:rsid w:val="00501D8B"/>
    <w:rsid w:val="005039AE"/>
    <w:rsid w:val="00503A3E"/>
    <w:rsid w:val="00503F59"/>
    <w:rsid w:val="005049A7"/>
    <w:rsid w:val="005053B2"/>
    <w:rsid w:val="00506331"/>
    <w:rsid w:val="00507D11"/>
    <w:rsid w:val="00510662"/>
    <w:rsid w:val="005109B7"/>
    <w:rsid w:val="00510A19"/>
    <w:rsid w:val="00511299"/>
    <w:rsid w:val="0051162A"/>
    <w:rsid w:val="00511AAB"/>
    <w:rsid w:val="00514D10"/>
    <w:rsid w:val="00515006"/>
    <w:rsid w:val="00515371"/>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26EA1"/>
    <w:rsid w:val="00530A8D"/>
    <w:rsid w:val="00531428"/>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2FF"/>
    <w:rsid w:val="00550F4E"/>
    <w:rsid w:val="005532B5"/>
    <w:rsid w:val="005544BF"/>
    <w:rsid w:val="00554A05"/>
    <w:rsid w:val="00555849"/>
    <w:rsid w:val="005559A8"/>
    <w:rsid w:val="00557048"/>
    <w:rsid w:val="00557FB5"/>
    <w:rsid w:val="00561AED"/>
    <w:rsid w:val="00562F58"/>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96DFD"/>
    <w:rsid w:val="005A150A"/>
    <w:rsid w:val="005A2B3E"/>
    <w:rsid w:val="005A3644"/>
    <w:rsid w:val="005A4087"/>
    <w:rsid w:val="005A4B18"/>
    <w:rsid w:val="005A537E"/>
    <w:rsid w:val="005A6F43"/>
    <w:rsid w:val="005A767D"/>
    <w:rsid w:val="005B00F1"/>
    <w:rsid w:val="005B0CE7"/>
    <w:rsid w:val="005B10E2"/>
    <w:rsid w:val="005B1803"/>
    <w:rsid w:val="005B2F1A"/>
    <w:rsid w:val="005B4079"/>
    <w:rsid w:val="005B428E"/>
    <w:rsid w:val="005B5B3C"/>
    <w:rsid w:val="005B64CB"/>
    <w:rsid w:val="005B65C0"/>
    <w:rsid w:val="005B6AAA"/>
    <w:rsid w:val="005B7554"/>
    <w:rsid w:val="005B7C78"/>
    <w:rsid w:val="005C0FB2"/>
    <w:rsid w:val="005C1169"/>
    <w:rsid w:val="005C14C1"/>
    <w:rsid w:val="005C16E2"/>
    <w:rsid w:val="005C211C"/>
    <w:rsid w:val="005C24EF"/>
    <w:rsid w:val="005C2796"/>
    <w:rsid w:val="005C3C6C"/>
    <w:rsid w:val="005C3F4C"/>
    <w:rsid w:val="005C43AA"/>
    <w:rsid w:val="005C48C8"/>
    <w:rsid w:val="005C4E0E"/>
    <w:rsid w:val="005C5AE2"/>
    <w:rsid w:val="005C5F4D"/>
    <w:rsid w:val="005C6485"/>
    <w:rsid w:val="005C6597"/>
    <w:rsid w:val="005C663C"/>
    <w:rsid w:val="005D0594"/>
    <w:rsid w:val="005D0A13"/>
    <w:rsid w:val="005D1023"/>
    <w:rsid w:val="005D148F"/>
    <w:rsid w:val="005D2AD2"/>
    <w:rsid w:val="005D4A86"/>
    <w:rsid w:val="005D5EB1"/>
    <w:rsid w:val="005D6A29"/>
    <w:rsid w:val="005D6E89"/>
    <w:rsid w:val="005E0481"/>
    <w:rsid w:val="005E10BF"/>
    <w:rsid w:val="005E1834"/>
    <w:rsid w:val="005E1C28"/>
    <w:rsid w:val="005E49E5"/>
    <w:rsid w:val="005E5481"/>
    <w:rsid w:val="005E55E4"/>
    <w:rsid w:val="005E6C5F"/>
    <w:rsid w:val="005E7636"/>
    <w:rsid w:val="005F028E"/>
    <w:rsid w:val="005F04B4"/>
    <w:rsid w:val="005F0908"/>
    <w:rsid w:val="005F11A4"/>
    <w:rsid w:val="005F19F8"/>
    <w:rsid w:val="005F3A20"/>
    <w:rsid w:val="005F3A40"/>
    <w:rsid w:val="005F3FB1"/>
    <w:rsid w:val="005F4760"/>
    <w:rsid w:val="005F5ACF"/>
    <w:rsid w:val="005F60DC"/>
    <w:rsid w:val="006000DD"/>
    <w:rsid w:val="00600F63"/>
    <w:rsid w:val="006012E1"/>
    <w:rsid w:val="00602253"/>
    <w:rsid w:val="006023E1"/>
    <w:rsid w:val="00602D71"/>
    <w:rsid w:val="006036BB"/>
    <w:rsid w:val="00604BAA"/>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3D5"/>
    <w:rsid w:val="00617520"/>
    <w:rsid w:val="00617AD0"/>
    <w:rsid w:val="00620D7C"/>
    <w:rsid w:val="00621089"/>
    <w:rsid w:val="00621E1F"/>
    <w:rsid w:val="006228B2"/>
    <w:rsid w:val="006228E1"/>
    <w:rsid w:val="00622E32"/>
    <w:rsid w:val="00623688"/>
    <w:rsid w:val="006247E0"/>
    <w:rsid w:val="00625F82"/>
    <w:rsid w:val="00627480"/>
    <w:rsid w:val="00627999"/>
    <w:rsid w:val="00630CD7"/>
    <w:rsid w:val="00630FF7"/>
    <w:rsid w:val="0063181B"/>
    <w:rsid w:val="00631F5E"/>
    <w:rsid w:val="006325A5"/>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A0C"/>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57828"/>
    <w:rsid w:val="00660B0D"/>
    <w:rsid w:val="00660BF0"/>
    <w:rsid w:val="00661239"/>
    <w:rsid w:val="0066189C"/>
    <w:rsid w:val="006630CF"/>
    <w:rsid w:val="00663EFF"/>
    <w:rsid w:val="006642FA"/>
    <w:rsid w:val="00666F74"/>
    <w:rsid w:val="00667FEA"/>
    <w:rsid w:val="006710D2"/>
    <w:rsid w:val="00671A8B"/>
    <w:rsid w:val="00671F53"/>
    <w:rsid w:val="006725A0"/>
    <w:rsid w:val="00674CAD"/>
    <w:rsid w:val="0067555E"/>
    <w:rsid w:val="00676004"/>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2BD"/>
    <w:rsid w:val="006966CD"/>
    <w:rsid w:val="00696735"/>
    <w:rsid w:val="006975D4"/>
    <w:rsid w:val="0069780E"/>
    <w:rsid w:val="00697865"/>
    <w:rsid w:val="00697D13"/>
    <w:rsid w:val="006A24C8"/>
    <w:rsid w:val="006A24D5"/>
    <w:rsid w:val="006A2CA2"/>
    <w:rsid w:val="006A46B5"/>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2D5F"/>
    <w:rsid w:val="006C4198"/>
    <w:rsid w:val="006C4334"/>
    <w:rsid w:val="006C4B0F"/>
    <w:rsid w:val="006C550A"/>
    <w:rsid w:val="006C5CE6"/>
    <w:rsid w:val="006C5E96"/>
    <w:rsid w:val="006C63DC"/>
    <w:rsid w:val="006D142D"/>
    <w:rsid w:val="006D399F"/>
    <w:rsid w:val="006D4F0C"/>
    <w:rsid w:val="006D5645"/>
    <w:rsid w:val="006E0A4F"/>
    <w:rsid w:val="006E0C8A"/>
    <w:rsid w:val="006E2A23"/>
    <w:rsid w:val="006E35E5"/>
    <w:rsid w:val="006E3C72"/>
    <w:rsid w:val="006E4F20"/>
    <w:rsid w:val="006E649A"/>
    <w:rsid w:val="006F08CA"/>
    <w:rsid w:val="006F08DC"/>
    <w:rsid w:val="006F1D42"/>
    <w:rsid w:val="006F3948"/>
    <w:rsid w:val="006F4244"/>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58F"/>
    <w:rsid w:val="00710D37"/>
    <w:rsid w:val="00710F6E"/>
    <w:rsid w:val="00711663"/>
    <w:rsid w:val="007116B4"/>
    <w:rsid w:val="00712580"/>
    <w:rsid w:val="00712C2A"/>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2831"/>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DC1"/>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1DE4"/>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13"/>
    <w:rsid w:val="007C02B0"/>
    <w:rsid w:val="007C063E"/>
    <w:rsid w:val="007C0DC8"/>
    <w:rsid w:val="007C1901"/>
    <w:rsid w:val="007C49C0"/>
    <w:rsid w:val="007C55C1"/>
    <w:rsid w:val="007C5738"/>
    <w:rsid w:val="007C5772"/>
    <w:rsid w:val="007C5AC3"/>
    <w:rsid w:val="007C7233"/>
    <w:rsid w:val="007D10EE"/>
    <w:rsid w:val="007D1193"/>
    <w:rsid w:val="007D21D5"/>
    <w:rsid w:val="007D2FEF"/>
    <w:rsid w:val="007D3E8D"/>
    <w:rsid w:val="007D4B0D"/>
    <w:rsid w:val="007D5519"/>
    <w:rsid w:val="007D5915"/>
    <w:rsid w:val="007D5B4F"/>
    <w:rsid w:val="007D5C30"/>
    <w:rsid w:val="007E0660"/>
    <w:rsid w:val="007E1411"/>
    <w:rsid w:val="007E1882"/>
    <w:rsid w:val="007E1BB4"/>
    <w:rsid w:val="007E3514"/>
    <w:rsid w:val="007E4AAA"/>
    <w:rsid w:val="007E4BD2"/>
    <w:rsid w:val="007E4C29"/>
    <w:rsid w:val="007E58A7"/>
    <w:rsid w:val="007E5C91"/>
    <w:rsid w:val="007E5E44"/>
    <w:rsid w:val="007F0DDA"/>
    <w:rsid w:val="007F170C"/>
    <w:rsid w:val="007F1939"/>
    <w:rsid w:val="007F365C"/>
    <w:rsid w:val="007F4A2A"/>
    <w:rsid w:val="007F5066"/>
    <w:rsid w:val="007F621C"/>
    <w:rsid w:val="007F7155"/>
    <w:rsid w:val="007F7B93"/>
    <w:rsid w:val="00800C28"/>
    <w:rsid w:val="0080245E"/>
    <w:rsid w:val="00803480"/>
    <w:rsid w:val="008034B6"/>
    <w:rsid w:val="0080359C"/>
    <w:rsid w:val="008037AE"/>
    <w:rsid w:val="008043F4"/>
    <w:rsid w:val="00804BB4"/>
    <w:rsid w:val="00805BE8"/>
    <w:rsid w:val="00805D9F"/>
    <w:rsid w:val="008077C8"/>
    <w:rsid w:val="00807A4D"/>
    <w:rsid w:val="00807F30"/>
    <w:rsid w:val="008103DC"/>
    <w:rsid w:val="0081119F"/>
    <w:rsid w:val="008112ED"/>
    <w:rsid w:val="0081134D"/>
    <w:rsid w:val="00811EDA"/>
    <w:rsid w:val="00812403"/>
    <w:rsid w:val="00812FD7"/>
    <w:rsid w:val="00813D61"/>
    <w:rsid w:val="00820623"/>
    <w:rsid w:val="00820644"/>
    <w:rsid w:val="00820785"/>
    <w:rsid w:val="00820CBA"/>
    <w:rsid w:val="00821747"/>
    <w:rsid w:val="008229A3"/>
    <w:rsid w:val="00822DFB"/>
    <w:rsid w:val="00822F64"/>
    <w:rsid w:val="00824EAF"/>
    <w:rsid w:val="008253A6"/>
    <w:rsid w:val="00825A6B"/>
    <w:rsid w:val="00825C50"/>
    <w:rsid w:val="0082606A"/>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1C42"/>
    <w:rsid w:val="0084310C"/>
    <w:rsid w:val="00844515"/>
    <w:rsid w:val="0084465A"/>
    <w:rsid w:val="00844DFF"/>
    <w:rsid w:val="00845D87"/>
    <w:rsid w:val="00846C3A"/>
    <w:rsid w:val="008477BF"/>
    <w:rsid w:val="008503DA"/>
    <w:rsid w:val="00850B68"/>
    <w:rsid w:val="00850E82"/>
    <w:rsid w:val="0085122D"/>
    <w:rsid w:val="008519E8"/>
    <w:rsid w:val="00852286"/>
    <w:rsid w:val="008525FF"/>
    <w:rsid w:val="00852C03"/>
    <w:rsid w:val="00853779"/>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D6B"/>
    <w:rsid w:val="00885E6F"/>
    <w:rsid w:val="00885F25"/>
    <w:rsid w:val="008861AC"/>
    <w:rsid w:val="008868E4"/>
    <w:rsid w:val="00886A60"/>
    <w:rsid w:val="0088759B"/>
    <w:rsid w:val="008909B4"/>
    <w:rsid w:val="008922E8"/>
    <w:rsid w:val="00893916"/>
    <w:rsid w:val="008941B9"/>
    <w:rsid w:val="0089442C"/>
    <w:rsid w:val="00895818"/>
    <w:rsid w:val="0089792E"/>
    <w:rsid w:val="00897ACC"/>
    <w:rsid w:val="008A2585"/>
    <w:rsid w:val="008A2718"/>
    <w:rsid w:val="008A4CF6"/>
    <w:rsid w:val="008A4E42"/>
    <w:rsid w:val="008A51AA"/>
    <w:rsid w:val="008A6A12"/>
    <w:rsid w:val="008B0DC6"/>
    <w:rsid w:val="008B20AB"/>
    <w:rsid w:val="008B2B9E"/>
    <w:rsid w:val="008B31F5"/>
    <w:rsid w:val="008B4C79"/>
    <w:rsid w:val="008B5D2D"/>
    <w:rsid w:val="008B6361"/>
    <w:rsid w:val="008C0320"/>
    <w:rsid w:val="008C22C4"/>
    <w:rsid w:val="008C2A81"/>
    <w:rsid w:val="008C3863"/>
    <w:rsid w:val="008C38F0"/>
    <w:rsid w:val="008C48A6"/>
    <w:rsid w:val="008C4BDC"/>
    <w:rsid w:val="008C50FF"/>
    <w:rsid w:val="008C5435"/>
    <w:rsid w:val="008C6BD1"/>
    <w:rsid w:val="008D2DB5"/>
    <w:rsid w:val="008D2DF3"/>
    <w:rsid w:val="008D3F10"/>
    <w:rsid w:val="008D423D"/>
    <w:rsid w:val="008D611D"/>
    <w:rsid w:val="008E0A93"/>
    <w:rsid w:val="008E1B6A"/>
    <w:rsid w:val="008E3054"/>
    <w:rsid w:val="008E32FF"/>
    <w:rsid w:val="008E3C0C"/>
    <w:rsid w:val="008E452F"/>
    <w:rsid w:val="008E5625"/>
    <w:rsid w:val="008E5C5B"/>
    <w:rsid w:val="008E5CC5"/>
    <w:rsid w:val="008E6A37"/>
    <w:rsid w:val="008E7FB1"/>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6C12"/>
    <w:rsid w:val="00907631"/>
    <w:rsid w:val="00907776"/>
    <w:rsid w:val="00913401"/>
    <w:rsid w:val="00913567"/>
    <w:rsid w:val="009137B6"/>
    <w:rsid w:val="00915441"/>
    <w:rsid w:val="00915EBA"/>
    <w:rsid w:val="00917093"/>
    <w:rsid w:val="0092030E"/>
    <w:rsid w:val="009203D0"/>
    <w:rsid w:val="009217B1"/>
    <w:rsid w:val="00921A42"/>
    <w:rsid w:val="00921A87"/>
    <w:rsid w:val="009223BB"/>
    <w:rsid w:val="00922491"/>
    <w:rsid w:val="00923BCF"/>
    <w:rsid w:val="009252EC"/>
    <w:rsid w:val="00925AEC"/>
    <w:rsid w:val="00925D72"/>
    <w:rsid w:val="0092751A"/>
    <w:rsid w:val="009305C4"/>
    <w:rsid w:val="00931FAF"/>
    <w:rsid w:val="009360F6"/>
    <w:rsid w:val="009371DC"/>
    <w:rsid w:val="0093759D"/>
    <w:rsid w:val="00940239"/>
    <w:rsid w:val="00942BD6"/>
    <w:rsid w:val="00942DED"/>
    <w:rsid w:val="00944404"/>
    <w:rsid w:val="009452D7"/>
    <w:rsid w:val="00945FD1"/>
    <w:rsid w:val="0094635A"/>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03"/>
    <w:rsid w:val="00963FDF"/>
    <w:rsid w:val="00964780"/>
    <w:rsid w:val="00964C32"/>
    <w:rsid w:val="0096528F"/>
    <w:rsid w:val="009653F2"/>
    <w:rsid w:val="009661DF"/>
    <w:rsid w:val="009667BD"/>
    <w:rsid w:val="009670EC"/>
    <w:rsid w:val="00967674"/>
    <w:rsid w:val="00967CE2"/>
    <w:rsid w:val="00971DA3"/>
    <w:rsid w:val="00972161"/>
    <w:rsid w:val="0097261B"/>
    <w:rsid w:val="00972789"/>
    <w:rsid w:val="00974881"/>
    <w:rsid w:val="0097606C"/>
    <w:rsid w:val="009771D1"/>
    <w:rsid w:val="0098012D"/>
    <w:rsid w:val="00980845"/>
    <w:rsid w:val="00981BD9"/>
    <w:rsid w:val="0098225F"/>
    <w:rsid w:val="0098257B"/>
    <w:rsid w:val="00983A3C"/>
    <w:rsid w:val="00983EFA"/>
    <w:rsid w:val="00984C15"/>
    <w:rsid w:val="00987829"/>
    <w:rsid w:val="00991276"/>
    <w:rsid w:val="009923E7"/>
    <w:rsid w:val="00992697"/>
    <w:rsid w:val="00992D4E"/>
    <w:rsid w:val="00993986"/>
    <w:rsid w:val="00993D1B"/>
    <w:rsid w:val="00994621"/>
    <w:rsid w:val="009947FF"/>
    <w:rsid w:val="0099544B"/>
    <w:rsid w:val="00996770"/>
    <w:rsid w:val="009A053D"/>
    <w:rsid w:val="009A075C"/>
    <w:rsid w:val="009A07A6"/>
    <w:rsid w:val="009A0D56"/>
    <w:rsid w:val="009A3017"/>
    <w:rsid w:val="009A31B9"/>
    <w:rsid w:val="009A4D4F"/>
    <w:rsid w:val="009A53D8"/>
    <w:rsid w:val="009A597F"/>
    <w:rsid w:val="009A7B72"/>
    <w:rsid w:val="009A7F49"/>
    <w:rsid w:val="009B0116"/>
    <w:rsid w:val="009B03C4"/>
    <w:rsid w:val="009B0AA2"/>
    <w:rsid w:val="009B1D02"/>
    <w:rsid w:val="009B23F4"/>
    <w:rsid w:val="009B7133"/>
    <w:rsid w:val="009B7658"/>
    <w:rsid w:val="009B7CD1"/>
    <w:rsid w:val="009B7E22"/>
    <w:rsid w:val="009B7E78"/>
    <w:rsid w:val="009C1023"/>
    <w:rsid w:val="009C10FE"/>
    <w:rsid w:val="009C13BC"/>
    <w:rsid w:val="009C1CA4"/>
    <w:rsid w:val="009C2532"/>
    <w:rsid w:val="009C27B4"/>
    <w:rsid w:val="009C2BA4"/>
    <w:rsid w:val="009C6091"/>
    <w:rsid w:val="009C634F"/>
    <w:rsid w:val="009C6C20"/>
    <w:rsid w:val="009C74FA"/>
    <w:rsid w:val="009D0219"/>
    <w:rsid w:val="009D0D55"/>
    <w:rsid w:val="009D2295"/>
    <w:rsid w:val="009D2511"/>
    <w:rsid w:val="009D291D"/>
    <w:rsid w:val="009D3433"/>
    <w:rsid w:val="009D3E7C"/>
    <w:rsid w:val="009D55CA"/>
    <w:rsid w:val="009D5EF0"/>
    <w:rsid w:val="009D6401"/>
    <w:rsid w:val="009E0711"/>
    <w:rsid w:val="009E1917"/>
    <w:rsid w:val="009E2FDB"/>
    <w:rsid w:val="009E3594"/>
    <w:rsid w:val="009E39AE"/>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84E"/>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82A"/>
    <w:rsid w:val="00A16DC9"/>
    <w:rsid w:val="00A20225"/>
    <w:rsid w:val="00A20CC0"/>
    <w:rsid w:val="00A24269"/>
    <w:rsid w:val="00A243E4"/>
    <w:rsid w:val="00A25ED4"/>
    <w:rsid w:val="00A263DA"/>
    <w:rsid w:val="00A26C5C"/>
    <w:rsid w:val="00A30167"/>
    <w:rsid w:val="00A30293"/>
    <w:rsid w:val="00A30BDE"/>
    <w:rsid w:val="00A3131C"/>
    <w:rsid w:val="00A31F14"/>
    <w:rsid w:val="00A324DC"/>
    <w:rsid w:val="00A32B5A"/>
    <w:rsid w:val="00A33CCC"/>
    <w:rsid w:val="00A33ECB"/>
    <w:rsid w:val="00A34DE0"/>
    <w:rsid w:val="00A353A3"/>
    <w:rsid w:val="00A35728"/>
    <w:rsid w:val="00A36EE3"/>
    <w:rsid w:val="00A37435"/>
    <w:rsid w:val="00A40DA9"/>
    <w:rsid w:val="00A4173D"/>
    <w:rsid w:val="00A41A95"/>
    <w:rsid w:val="00A4248B"/>
    <w:rsid w:val="00A42D60"/>
    <w:rsid w:val="00A4376E"/>
    <w:rsid w:val="00A4572B"/>
    <w:rsid w:val="00A46246"/>
    <w:rsid w:val="00A46349"/>
    <w:rsid w:val="00A46D5E"/>
    <w:rsid w:val="00A50847"/>
    <w:rsid w:val="00A512C7"/>
    <w:rsid w:val="00A54BFF"/>
    <w:rsid w:val="00A54C63"/>
    <w:rsid w:val="00A54FBB"/>
    <w:rsid w:val="00A55BB1"/>
    <w:rsid w:val="00A55D89"/>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3B7"/>
    <w:rsid w:val="00A67DFD"/>
    <w:rsid w:val="00A74201"/>
    <w:rsid w:val="00A74F9F"/>
    <w:rsid w:val="00A750B3"/>
    <w:rsid w:val="00A75559"/>
    <w:rsid w:val="00A7623D"/>
    <w:rsid w:val="00A77197"/>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3C1A"/>
    <w:rsid w:val="00AA4B5D"/>
    <w:rsid w:val="00AA5F4C"/>
    <w:rsid w:val="00AA615C"/>
    <w:rsid w:val="00AA6711"/>
    <w:rsid w:val="00AB0A26"/>
    <w:rsid w:val="00AB2AEC"/>
    <w:rsid w:val="00AB2DC1"/>
    <w:rsid w:val="00AB3102"/>
    <w:rsid w:val="00AB3A32"/>
    <w:rsid w:val="00AB3D9A"/>
    <w:rsid w:val="00AB4B1D"/>
    <w:rsid w:val="00AB6B5E"/>
    <w:rsid w:val="00AC02C5"/>
    <w:rsid w:val="00AC033E"/>
    <w:rsid w:val="00AC047F"/>
    <w:rsid w:val="00AC3934"/>
    <w:rsid w:val="00AC50C8"/>
    <w:rsid w:val="00AC5581"/>
    <w:rsid w:val="00AC5660"/>
    <w:rsid w:val="00AC56AD"/>
    <w:rsid w:val="00AC61BD"/>
    <w:rsid w:val="00AC61BE"/>
    <w:rsid w:val="00AD0CB4"/>
    <w:rsid w:val="00AD11E9"/>
    <w:rsid w:val="00AD1C60"/>
    <w:rsid w:val="00AD1FF2"/>
    <w:rsid w:val="00AD2A21"/>
    <w:rsid w:val="00AD3B43"/>
    <w:rsid w:val="00AD4FF2"/>
    <w:rsid w:val="00AD506C"/>
    <w:rsid w:val="00AD6BE5"/>
    <w:rsid w:val="00AD7675"/>
    <w:rsid w:val="00AD783E"/>
    <w:rsid w:val="00AE1393"/>
    <w:rsid w:val="00AE22EF"/>
    <w:rsid w:val="00AE3BC6"/>
    <w:rsid w:val="00AE3E2F"/>
    <w:rsid w:val="00AE4464"/>
    <w:rsid w:val="00AE4D4F"/>
    <w:rsid w:val="00AE61AE"/>
    <w:rsid w:val="00AE627C"/>
    <w:rsid w:val="00AE62B0"/>
    <w:rsid w:val="00AE68A2"/>
    <w:rsid w:val="00AF0029"/>
    <w:rsid w:val="00AF0354"/>
    <w:rsid w:val="00AF1236"/>
    <w:rsid w:val="00AF345B"/>
    <w:rsid w:val="00AF38AF"/>
    <w:rsid w:val="00AF3C29"/>
    <w:rsid w:val="00AF4401"/>
    <w:rsid w:val="00AF4463"/>
    <w:rsid w:val="00AF53CB"/>
    <w:rsid w:val="00AF65C5"/>
    <w:rsid w:val="00B03CE2"/>
    <w:rsid w:val="00B043D3"/>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38F"/>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16B4"/>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91D"/>
    <w:rsid w:val="00B54BD3"/>
    <w:rsid w:val="00B54BD9"/>
    <w:rsid w:val="00B5503C"/>
    <w:rsid w:val="00B55640"/>
    <w:rsid w:val="00B57107"/>
    <w:rsid w:val="00B60D27"/>
    <w:rsid w:val="00B619E4"/>
    <w:rsid w:val="00B61D0B"/>
    <w:rsid w:val="00B6411F"/>
    <w:rsid w:val="00B6439A"/>
    <w:rsid w:val="00B6443B"/>
    <w:rsid w:val="00B6517B"/>
    <w:rsid w:val="00B65E71"/>
    <w:rsid w:val="00B66C26"/>
    <w:rsid w:val="00B705C4"/>
    <w:rsid w:val="00B71FB3"/>
    <w:rsid w:val="00B73492"/>
    <w:rsid w:val="00B7512A"/>
    <w:rsid w:val="00B75CD3"/>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1C91"/>
    <w:rsid w:val="00BB238D"/>
    <w:rsid w:val="00BB37CC"/>
    <w:rsid w:val="00BB48C4"/>
    <w:rsid w:val="00BB5C6F"/>
    <w:rsid w:val="00BB6907"/>
    <w:rsid w:val="00BB6D45"/>
    <w:rsid w:val="00BB7A20"/>
    <w:rsid w:val="00BC15B1"/>
    <w:rsid w:val="00BC16E9"/>
    <w:rsid w:val="00BC20E3"/>
    <w:rsid w:val="00BC3C06"/>
    <w:rsid w:val="00BC4E8B"/>
    <w:rsid w:val="00BC5622"/>
    <w:rsid w:val="00BC6060"/>
    <w:rsid w:val="00BC6596"/>
    <w:rsid w:val="00BC7897"/>
    <w:rsid w:val="00BC7ADA"/>
    <w:rsid w:val="00BD0F35"/>
    <w:rsid w:val="00BD22ED"/>
    <w:rsid w:val="00BD3C97"/>
    <w:rsid w:val="00BD45A4"/>
    <w:rsid w:val="00BD4A5F"/>
    <w:rsid w:val="00BD59AA"/>
    <w:rsid w:val="00BD65E6"/>
    <w:rsid w:val="00BD6AF7"/>
    <w:rsid w:val="00BD7A6D"/>
    <w:rsid w:val="00BE19EF"/>
    <w:rsid w:val="00BE425B"/>
    <w:rsid w:val="00BE4631"/>
    <w:rsid w:val="00BE51BB"/>
    <w:rsid w:val="00BE7595"/>
    <w:rsid w:val="00BE77D3"/>
    <w:rsid w:val="00BE7C87"/>
    <w:rsid w:val="00BF0138"/>
    <w:rsid w:val="00BF114B"/>
    <w:rsid w:val="00BF1620"/>
    <w:rsid w:val="00BF1AC3"/>
    <w:rsid w:val="00BF28DA"/>
    <w:rsid w:val="00BF373A"/>
    <w:rsid w:val="00BF5351"/>
    <w:rsid w:val="00BF557C"/>
    <w:rsid w:val="00BF62D2"/>
    <w:rsid w:val="00BF6D9E"/>
    <w:rsid w:val="00BF6E3E"/>
    <w:rsid w:val="00BF71BB"/>
    <w:rsid w:val="00BF76F7"/>
    <w:rsid w:val="00BF7C9F"/>
    <w:rsid w:val="00C00012"/>
    <w:rsid w:val="00C000A5"/>
    <w:rsid w:val="00C006B4"/>
    <w:rsid w:val="00C00938"/>
    <w:rsid w:val="00C00E2A"/>
    <w:rsid w:val="00C0213B"/>
    <w:rsid w:val="00C025B9"/>
    <w:rsid w:val="00C03EA2"/>
    <w:rsid w:val="00C044B4"/>
    <w:rsid w:val="00C05105"/>
    <w:rsid w:val="00C05A5D"/>
    <w:rsid w:val="00C0622F"/>
    <w:rsid w:val="00C0654A"/>
    <w:rsid w:val="00C06DE3"/>
    <w:rsid w:val="00C06F97"/>
    <w:rsid w:val="00C071D3"/>
    <w:rsid w:val="00C10B11"/>
    <w:rsid w:val="00C10BE6"/>
    <w:rsid w:val="00C11296"/>
    <w:rsid w:val="00C11905"/>
    <w:rsid w:val="00C1234A"/>
    <w:rsid w:val="00C12661"/>
    <w:rsid w:val="00C126E3"/>
    <w:rsid w:val="00C1330F"/>
    <w:rsid w:val="00C13ED7"/>
    <w:rsid w:val="00C14615"/>
    <w:rsid w:val="00C14F48"/>
    <w:rsid w:val="00C15296"/>
    <w:rsid w:val="00C17750"/>
    <w:rsid w:val="00C17EA9"/>
    <w:rsid w:val="00C2094B"/>
    <w:rsid w:val="00C20DC5"/>
    <w:rsid w:val="00C21B78"/>
    <w:rsid w:val="00C2294E"/>
    <w:rsid w:val="00C22A5B"/>
    <w:rsid w:val="00C23412"/>
    <w:rsid w:val="00C264C7"/>
    <w:rsid w:val="00C271C4"/>
    <w:rsid w:val="00C274F3"/>
    <w:rsid w:val="00C30A54"/>
    <w:rsid w:val="00C316F7"/>
    <w:rsid w:val="00C31BB2"/>
    <w:rsid w:val="00C31DF0"/>
    <w:rsid w:val="00C32578"/>
    <w:rsid w:val="00C33916"/>
    <w:rsid w:val="00C33BCF"/>
    <w:rsid w:val="00C34D1D"/>
    <w:rsid w:val="00C353A0"/>
    <w:rsid w:val="00C368D7"/>
    <w:rsid w:val="00C36FD1"/>
    <w:rsid w:val="00C371A5"/>
    <w:rsid w:val="00C37321"/>
    <w:rsid w:val="00C400B0"/>
    <w:rsid w:val="00C40F4E"/>
    <w:rsid w:val="00C413F1"/>
    <w:rsid w:val="00C413FC"/>
    <w:rsid w:val="00C422C5"/>
    <w:rsid w:val="00C43D33"/>
    <w:rsid w:val="00C44407"/>
    <w:rsid w:val="00C456E8"/>
    <w:rsid w:val="00C461F1"/>
    <w:rsid w:val="00C46630"/>
    <w:rsid w:val="00C46B06"/>
    <w:rsid w:val="00C47A2F"/>
    <w:rsid w:val="00C50315"/>
    <w:rsid w:val="00C50D18"/>
    <w:rsid w:val="00C51179"/>
    <w:rsid w:val="00C5282C"/>
    <w:rsid w:val="00C52FBE"/>
    <w:rsid w:val="00C5355E"/>
    <w:rsid w:val="00C535E2"/>
    <w:rsid w:val="00C539FF"/>
    <w:rsid w:val="00C53FC1"/>
    <w:rsid w:val="00C543DA"/>
    <w:rsid w:val="00C56438"/>
    <w:rsid w:val="00C570B3"/>
    <w:rsid w:val="00C6009F"/>
    <w:rsid w:val="00C60417"/>
    <w:rsid w:val="00C6046F"/>
    <w:rsid w:val="00C638C2"/>
    <w:rsid w:val="00C63DE8"/>
    <w:rsid w:val="00C64D78"/>
    <w:rsid w:val="00C651D4"/>
    <w:rsid w:val="00C6669E"/>
    <w:rsid w:val="00C672B0"/>
    <w:rsid w:val="00C72135"/>
    <w:rsid w:val="00C729C7"/>
    <w:rsid w:val="00C761FA"/>
    <w:rsid w:val="00C777AD"/>
    <w:rsid w:val="00C80C53"/>
    <w:rsid w:val="00C81195"/>
    <w:rsid w:val="00C85387"/>
    <w:rsid w:val="00C85C80"/>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64ED"/>
    <w:rsid w:val="00CA7120"/>
    <w:rsid w:val="00CA715B"/>
    <w:rsid w:val="00CA7328"/>
    <w:rsid w:val="00CA74B0"/>
    <w:rsid w:val="00CA7988"/>
    <w:rsid w:val="00CA7BA2"/>
    <w:rsid w:val="00CB09ED"/>
    <w:rsid w:val="00CB0B78"/>
    <w:rsid w:val="00CB12A5"/>
    <w:rsid w:val="00CB17FA"/>
    <w:rsid w:val="00CB23D8"/>
    <w:rsid w:val="00CB2ED9"/>
    <w:rsid w:val="00CB36A5"/>
    <w:rsid w:val="00CB3721"/>
    <w:rsid w:val="00CB56B4"/>
    <w:rsid w:val="00CB6548"/>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0B57"/>
    <w:rsid w:val="00CD1FAE"/>
    <w:rsid w:val="00CD232F"/>
    <w:rsid w:val="00CD279E"/>
    <w:rsid w:val="00CD2F92"/>
    <w:rsid w:val="00CD4EB0"/>
    <w:rsid w:val="00CD512D"/>
    <w:rsid w:val="00CD5831"/>
    <w:rsid w:val="00CD693C"/>
    <w:rsid w:val="00CD6F6E"/>
    <w:rsid w:val="00CE08D1"/>
    <w:rsid w:val="00CE157F"/>
    <w:rsid w:val="00CE1966"/>
    <w:rsid w:val="00CE1ED4"/>
    <w:rsid w:val="00CE2216"/>
    <w:rsid w:val="00CE3014"/>
    <w:rsid w:val="00CE30E5"/>
    <w:rsid w:val="00CE38A8"/>
    <w:rsid w:val="00CE6FC6"/>
    <w:rsid w:val="00CE7EA4"/>
    <w:rsid w:val="00CF1134"/>
    <w:rsid w:val="00CF2056"/>
    <w:rsid w:val="00CF4471"/>
    <w:rsid w:val="00CF51C0"/>
    <w:rsid w:val="00CF5B2A"/>
    <w:rsid w:val="00CF5F57"/>
    <w:rsid w:val="00CF64A7"/>
    <w:rsid w:val="00CF6730"/>
    <w:rsid w:val="00CF70E5"/>
    <w:rsid w:val="00CF791B"/>
    <w:rsid w:val="00CF7CEC"/>
    <w:rsid w:val="00D00656"/>
    <w:rsid w:val="00D00B0F"/>
    <w:rsid w:val="00D01BF4"/>
    <w:rsid w:val="00D01EB3"/>
    <w:rsid w:val="00D02434"/>
    <w:rsid w:val="00D0272C"/>
    <w:rsid w:val="00D045CE"/>
    <w:rsid w:val="00D05082"/>
    <w:rsid w:val="00D06163"/>
    <w:rsid w:val="00D07AFD"/>
    <w:rsid w:val="00D106D4"/>
    <w:rsid w:val="00D11749"/>
    <w:rsid w:val="00D11AE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012F"/>
    <w:rsid w:val="00D40DDE"/>
    <w:rsid w:val="00D416A8"/>
    <w:rsid w:val="00D4217D"/>
    <w:rsid w:val="00D4257C"/>
    <w:rsid w:val="00D425AC"/>
    <w:rsid w:val="00D42823"/>
    <w:rsid w:val="00D42D5E"/>
    <w:rsid w:val="00D43F14"/>
    <w:rsid w:val="00D44C18"/>
    <w:rsid w:val="00D44C9A"/>
    <w:rsid w:val="00D4556D"/>
    <w:rsid w:val="00D45CCE"/>
    <w:rsid w:val="00D504FC"/>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7C0"/>
    <w:rsid w:val="00D63EBD"/>
    <w:rsid w:val="00D64B69"/>
    <w:rsid w:val="00D67101"/>
    <w:rsid w:val="00D7106D"/>
    <w:rsid w:val="00D71B45"/>
    <w:rsid w:val="00D71F8A"/>
    <w:rsid w:val="00D75603"/>
    <w:rsid w:val="00D75FEE"/>
    <w:rsid w:val="00D76933"/>
    <w:rsid w:val="00D76D88"/>
    <w:rsid w:val="00D77CC9"/>
    <w:rsid w:val="00D803D0"/>
    <w:rsid w:val="00D8396F"/>
    <w:rsid w:val="00D83D4B"/>
    <w:rsid w:val="00D871C6"/>
    <w:rsid w:val="00D91010"/>
    <w:rsid w:val="00D9120E"/>
    <w:rsid w:val="00D94EB7"/>
    <w:rsid w:val="00DA0FA7"/>
    <w:rsid w:val="00DA12B0"/>
    <w:rsid w:val="00DA2BA0"/>
    <w:rsid w:val="00DA36F6"/>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22A6"/>
    <w:rsid w:val="00DF3575"/>
    <w:rsid w:val="00DF3B6F"/>
    <w:rsid w:val="00DF3F1D"/>
    <w:rsid w:val="00DF456F"/>
    <w:rsid w:val="00DF595C"/>
    <w:rsid w:val="00DF7EA7"/>
    <w:rsid w:val="00E03B55"/>
    <w:rsid w:val="00E04548"/>
    <w:rsid w:val="00E0484E"/>
    <w:rsid w:val="00E063F8"/>
    <w:rsid w:val="00E074FD"/>
    <w:rsid w:val="00E079AF"/>
    <w:rsid w:val="00E114D6"/>
    <w:rsid w:val="00E1166E"/>
    <w:rsid w:val="00E11DBD"/>
    <w:rsid w:val="00E13211"/>
    <w:rsid w:val="00E16F57"/>
    <w:rsid w:val="00E16FB5"/>
    <w:rsid w:val="00E16FE3"/>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5CDF"/>
    <w:rsid w:val="00E47430"/>
    <w:rsid w:val="00E47DC6"/>
    <w:rsid w:val="00E50FB7"/>
    <w:rsid w:val="00E5199F"/>
    <w:rsid w:val="00E5201E"/>
    <w:rsid w:val="00E526DF"/>
    <w:rsid w:val="00E53624"/>
    <w:rsid w:val="00E53C15"/>
    <w:rsid w:val="00E54EE6"/>
    <w:rsid w:val="00E55487"/>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77ABB"/>
    <w:rsid w:val="00E808BE"/>
    <w:rsid w:val="00E81E36"/>
    <w:rsid w:val="00E81E40"/>
    <w:rsid w:val="00E82ECE"/>
    <w:rsid w:val="00E84EB8"/>
    <w:rsid w:val="00E8713B"/>
    <w:rsid w:val="00E90C61"/>
    <w:rsid w:val="00E92A82"/>
    <w:rsid w:val="00E92AA8"/>
    <w:rsid w:val="00E9344E"/>
    <w:rsid w:val="00E93E39"/>
    <w:rsid w:val="00E94391"/>
    <w:rsid w:val="00E96AA1"/>
    <w:rsid w:val="00E97E2B"/>
    <w:rsid w:val="00EA08CA"/>
    <w:rsid w:val="00EA0C0C"/>
    <w:rsid w:val="00EA2AEA"/>
    <w:rsid w:val="00EA332B"/>
    <w:rsid w:val="00EA3D36"/>
    <w:rsid w:val="00EA40AA"/>
    <w:rsid w:val="00EA57E2"/>
    <w:rsid w:val="00EA6B8A"/>
    <w:rsid w:val="00EA7186"/>
    <w:rsid w:val="00EB018B"/>
    <w:rsid w:val="00EB071A"/>
    <w:rsid w:val="00EB1003"/>
    <w:rsid w:val="00EB1132"/>
    <w:rsid w:val="00EB167E"/>
    <w:rsid w:val="00EB24ED"/>
    <w:rsid w:val="00EB2A00"/>
    <w:rsid w:val="00EB2A3F"/>
    <w:rsid w:val="00EB2CEC"/>
    <w:rsid w:val="00EB309B"/>
    <w:rsid w:val="00EB3AA2"/>
    <w:rsid w:val="00EB4763"/>
    <w:rsid w:val="00EB4F65"/>
    <w:rsid w:val="00EB5B17"/>
    <w:rsid w:val="00EB6CB7"/>
    <w:rsid w:val="00EB79FB"/>
    <w:rsid w:val="00EC078B"/>
    <w:rsid w:val="00EC07A0"/>
    <w:rsid w:val="00EC08E4"/>
    <w:rsid w:val="00EC1154"/>
    <w:rsid w:val="00EC1A23"/>
    <w:rsid w:val="00EC2029"/>
    <w:rsid w:val="00EC3CB4"/>
    <w:rsid w:val="00EC4290"/>
    <w:rsid w:val="00EC443E"/>
    <w:rsid w:val="00EC4D83"/>
    <w:rsid w:val="00EC4EEE"/>
    <w:rsid w:val="00EC634F"/>
    <w:rsid w:val="00EC6550"/>
    <w:rsid w:val="00EC7B97"/>
    <w:rsid w:val="00ED049C"/>
    <w:rsid w:val="00ED07B7"/>
    <w:rsid w:val="00ED19D7"/>
    <w:rsid w:val="00ED2167"/>
    <w:rsid w:val="00ED351E"/>
    <w:rsid w:val="00ED4063"/>
    <w:rsid w:val="00ED4B27"/>
    <w:rsid w:val="00ED4F89"/>
    <w:rsid w:val="00ED543C"/>
    <w:rsid w:val="00ED6BA4"/>
    <w:rsid w:val="00ED7DA7"/>
    <w:rsid w:val="00EE0598"/>
    <w:rsid w:val="00EE311C"/>
    <w:rsid w:val="00EE56FF"/>
    <w:rsid w:val="00EE5886"/>
    <w:rsid w:val="00EE5FBF"/>
    <w:rsid w:val="00EE6472"/>
    <w:rsid w:val="00EE76F2"/>
    <w:rsid w:val="00EF0769"/>
    <w:rsid w:val="00EF0D7C"/>
    <w:rsid w:val="00EF2A04"/>
    <w:rsid w:val="00EF40E2"/>
    <w:rsid w:val="00EF5C08"/>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3A33"/>
    <w:rsid w:val="00F143BA"/>
    <w:rsid w:val="00F14D98"/>
    <w:rsid w:val="00F162F0"/>
    <w:rsid w:val="00F2063F"/>
    <w:rsid w:val="00F2081B"/>
    <w:rsid w:val="00F20A43"/>
    <w:rsid w:val="00F20C51"/>
    <w:rsid w:val="00F21049"/>
    <w:rsid w:val="00F218AE"/>
    <w:rsid w:val="00F219AC"/>
    <w:rsid w:val="00F22232"/>
    <w:rsid w:val="00F2228E"/>
    <w:rsid w:val="00F22D3C"/>
    <w:rsid w:val="00F23AD4"/>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1C1C"/>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57A87"/>
    <w:rsid w:val="00F6031F"/>
    <w:rsid w:val="00F61664"/>
    <w:rsid w:val="00F61B99"/>
    <w:rsid w:val="00F61BA8"/>
    <w:rsid w:val="00F64C45"/>
    <w:rsid w:val="00F6502B"/>
    <w:rsid w:val="00F65811"/>
    <w:rsid w:val="00F6612A"/>
    <w:rsid w:val="00F66724"/>
    <w:rsid w:val="00F67F04"/>
    <w:rsid w:val="00F70207"/>
    <w:rsid w:val="00F702CB"/>
    <w:rsid w:val="00F707FA"/>
    <w:rsid w:val="00F70F4A"/>
    <w:rsid w:val="00F71AC2"/>
    <w:rsid w:val="00F739D4"/>
    <w:rsid w:val="00F76C23"/>
    <w:rsid w:val="00F77D43"/>
    <w:rsid w:val="00F80953"/>
    <w:rsid w:val="00F81312"/>
    <w:rsid w:val="00F81B90"/>
    <w:rsid w:val="00F81E6F"/>
    <w:rsid w:val="00F81F84"/>
    <w:rsid w:val="00F82FF3"/>
    <w:rsid w:val="00F8453C"/>
    <w:rsid w:val="00F84D4C"/>
    <w:rsid w:val="00F8657D"/>
    <w:rsid w:val="00F8730F"/>
    <w:rsid w:val="00F87DA3"/>
    <w:rsid w:val="00F90004"/>
    <w:rsid w:val="00F90A57"/>
    <w:rsid w:val="00F90EF4"/>
    <w:rsid w:val="00F917BF"/>
    <w:rsid w:val="00F920B4"/>
    <w:rsid w:val="00F925AB"/>
    <w:rsid w:val="00F9260D"/>
    <w:rsid w:val="00F92727"/>
    <w:rsid w:val="00F93CCF"/>
    <w:rsid w:val="00F94307"/>
    <w:rsid w:val="00F9580B"/>
    <w:rsid w:val="00F95F15"/>
    <w:rsid w:val="00F975CA"/>
    <w:rsid w:val="00F9761F"/>
    <w:rsid w:val="00FA0B60"/>
    <w:rsid w:val="00FA2528"/>
    <w:rsid w:val="00FA5535"/>
    <w:rsid w:val="00FA625B"/>
    <w:rsid w:val="00FA7206"/>
    <w:rsid w:val="00FA7EFB"/>
    <w:rsid w:val="00FB0816"/>
    <w:rsid w:val="00FB08C2"/>
    <w:rsid w:val="00FB1875"/>
    <w:rsid w:val="00FB2361"/>
    <w:rsid w:val="00FB3DD1"/>
    <w:rsid w:val="00FB51FD"/>
    <w:rsid w:val="00FB5247"/>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070"/>
    <w:rsid w:val="00FD232F"/>
    <w:rsid w:val="00FD5EC4"/>
    <w:rsid w:val="00FD7858"/>
    <w:rsid w:val="00FD7A8D"/>
    <w:rsid w:val="00FE0138"/>
    <w:rsid w:val="00FE1330"/>
    <w:rsid w:val="00FE1CE5"/>
    <w:rsid w:val="00FE2832"/>
    <w:rsid w:val="00FE2D38"/>
    <w:rsid w:val="00FE3929"/>
    <w:rsid w:val="00FE45A6"/>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phedeliste"/>
    <w:qFormat/>
    <w:rsid w:val="00407232"/>
    <w:pPr>
      <w:numPr>
        <w:numId w:val="36"/>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Appelnotedebasdep"/>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62761866">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ESMA34-45-904</_dlc_DocId>
    <_dlc_DocIdUrl xmlns="35c8e399-07b8-49e4-91bf-01a20105d4df">
      <Url>https://sherpa.esma.europa.eu/sites/INIIVM/_layouts/15/DocIdRedir.aspx?ID=ESMA34-45-904</Url>
      <Description>ESMA34-45-904</Description>
    </_dlc_DocIdUrl>
    <MeetingDate xmlns="35c8e399-07b8-49e4-91bf-01a20105d4df" xsi:nil="true"/>
    <TaxCatchAll xmlns="35c8e399-07b8-49e4-91bf-01a20105d4df">
      <Value>66</Value>
      <Value>38</Value>
      <Value>72</Value>
      <Value>85</Value>
    </TaxCatchAll>
    <Year xmlns="35c8e399-07b8-49e4-91bf-01a20105d4df">2020</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MMF</TermName>
          <TermId xmlns="http://schemas.microsoft.com/office/infopath/2007/PartnerControls">2682d9f9-17ef-452e-b9a4-b56d32a15999</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5.xml><?xml version="1.0" encoding="utf-8"?>
<ds:datastoreItem xmlns:ds="http://schemas.openxmlformats.org/officeDocument/2006/customXml" ds:itemID="{BFA68963-8190-4D86-993F-BCF9A5FDA4A4}">
  <ds:schemaRefs>
    <ds:schemaRef ds:uri="http://schemas.openxmlformats.org/officeDocument/2006/bibliography"/>
  </ds:schemaRefs>
</ds:datastoreItem>
</file>

<file path=customXml/itemProps6.xml><?xml version="1.0" encoding="utf-8"?>
<ds:datastoreItem xmlns:ds="http://schemas.openxmlformats.org/officeDocument/2006/customXml" ds:itemID="{5E765ACF-95B6-4565-80B9-EB378301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15</Pages>
  <Words>5431</Words>
  <Characters>30959</Characters>
  <Application>Microsoft Office Word</Application>
  <DocSecurity>8</DocSecurity>
  <Lines>257</Lines>
  <Paragraphs>72</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36318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Van Dinh Tran</cp:lastModifiedBy>
  <cp:revision>292</cp:revision>
  <cp:lastPrinted>2015-02-18T11:01:00Z</cp:lastPrinted>
  <dcterms:created xsi:type="dcterms:W3CDTF">2020-04-23T07:26:00Z</dcterms:created>
  <dcterms:modified xsi:type="dcterms:W3CDTF">2020-08-31T08:22:00Z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