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SubtleEmphasis"/>
          <w:b w:val="0"/>
          <w:bCs/>
          <w:sz w:val="22"/>
        </w:rPr>
      </w:pPr>
      <w:r w:rsidRPr="00754AC4">
        <w:rPr>
          <w:rStyle w:val="SubtleEmphasis"/>
          <w:b w:val="0"/>
          <w:bCs/>
          <w:sz w:val="22"/>
        </w:rPr>
        <w:t>The European Supervisory Authorities (ESAs) invite comments on all matters in this consultation paper</w:t>
      </w:r>
      <w:r>
        <w:rPr>
          <w:rStyle w:val="SubtleEmphasis"/>
          <w:b w:val="0"/>
          <w:bCs/>
          <w:sz w:val="22"/>
        </w:rPr>
        <w:t xml:space="preserve"> on ESG disclosures under Regulation (EU) 2019/2088</w:t>
      </w:r>
      <w:r w:rsidRPr="00754AC4">
        <w:rPr>
          <w:rStyle w:val="SubtleEmphasis"/>
          <w:b w:val="0"/>
          <w:bCs/>
          <w:sz w:val="22"/>
        </w:rPr>
        <w:t xml:space="preserve"> </w:t>
      </w:r>
      <w:r>
        <w:rPr>
          <w:rStyle w:val="SubtleEmphasis"/>
          <w:b w:val="0"/>
          <w:bCs/>
          <w:sz w:val="22"/>
        </w:rPr>
        <w:t xml:space="preserve">on sustainability-related </w:t>
      </w:r>
      <w:r w:rsidR="00BE7C87">
        <w:rPr>
          <w:rStyle w:val="SubtleEmphasis"/>
          <w:b w:val="0"/>
          <w:bCs/>
          <w:sz w:val="22"/>
        </w:rPr>
        <w:t>disclosures</w:t>
      </w:r>
      <w:r>
        <w:rPr>
          <w:rStyle w:val="SubtleEmphasis"/>
          <w:b w:val="0"/>
          <w:bCs/>
          <w:sz w:val="22"/>
        </w:rPr>
        <w:t xml:space="preserve"> in the financial sector (hereinafter “SFDR”) </w:t>
      </w:r>
      <w:r w:rsidRPr="00754AC4">
        <w:rPr>
          <w:rStyle w:val="SubtleEmphasis"/>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14:paraId="443F1C2C" w14:textId="77777777"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contain a clear rationale; and</w:t>
      </w:r>
    </w:p>
    <w:p w14:paraId="44288AF1" w14:textId="77777777"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describe any alternatives the ESAs should consider.</w:t>
      </w:r>
    </w:p>
    <w:p w14:paraId="122FDDB2" w14:textId="5647B0AF"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681A708"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14:paraId="180C2205" w14:textId="19B88CA2"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w:t>
      </w:r>
      <w:r w:rsidRPr="001C240F">
        <w:rPr>
          <w:rStyle w:val="SubtleEmphasis"/>
          <w:b w:val="0"/>
          <w:sz w:val="22"/>
        </w:rPr>
        <w:t xml:space="preserve">by </w:t>
      </w:r>
      <w:r w:rsidR="00D5594A" w:rsidRPr="001C240F">
        <w:rPr>
          <w:rStyle w:val="SubtleEmphasis"/>
          <w:sz w:val="22"/>
        </w:rPr>
        <w:t>1 September</w:t>
      </w:r>
      <w:r w:rsidRPr="001C240F">
        <w:rPr>
          <w:rStyle w:val="SubtleEmphasis"/>
          <w:sz w:val="22"/>
        </w:rPr>
        <w:t xml:space="preserve"> 2020</w:t>
      </w:r>
      <w:r w:rsidRPr="00197794">
        <w:rPr>
          <w:rStyle w:val="SubtleEmphasis"/>
          <w:b w:val="0"/>
          <w:sz w:val="22"/>
        </w:rPr>
        <w:t>.</w:t>
      </w:r>
    </w:p>
    <w:p w14:paraId="2481E1E6" w14:textId="67CDDA3F"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leEmphasis"/>
          <w:b w:val="0"/>
          <w:sz w:val="22"/>
        </w:rPr>
      </w:pPr>
    </w:p>
    <w:p w14:paraId="5E94D042" w14:textId="77777777" w:rsidR="00D5594A" w:rsidRPr="00197794" w:rsidRDefault="00D5594A"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5A573352" w:rsidR="00B327E9" w:rsidRPr="00AB6D88" w:rsidRDefault="0045008D" w:rsidP="0045008D">
                <w:pPr>
                  <w:rPr>
                    <w:rStyle w:val="PlaceholderText"/>
                    <w:rFonts w:cs="Arial"/>
                  </w:rPr>
                </w:pPr>
                <w:r>
                  <w:rPr>
                    <w:rStyle w:val="PlaceholderText"/>
                    <w:rFonts w:cs="Arial"/>
                  </w:rPr>
                  <w:t>Swiss Sustainable Finance</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0FB186AF" w:rsidR="00B327E9" w:rsidRPr="00AB6D88" w:rsidRDefault="00A3607C"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5008D">
                  <w:rPr>
                    <w:rFonts w:cs="Arial"/>
                  </w:rPr>
                  <w:t>Other Financial service providers</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6CC6B097" w:rsidR="00B327E9" w:rsidRPr="00AB6D88" w:rsidRDefault="00962617"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077E0218" w:rsidR="00B327E9" w:rsidRPr="00AB6D88" w:rsidRDefault="00962617" w:rsidP="00F136AD">
                <w:pPr>
                  <w:rPr>
                    <w:rFonts w:cs="Arial"/>
                  </w:rPr>
                </w:pPr>
                <w:r>
                  <w:rPr>
                    <w:rFonts w:cs="Arial"/>
                  </w:rPr>
                  <w:t>Switzerland</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leEmphasis"/>
          <w:b w:val="0"/>
          <w:sz w:val="22"/>
        </w:rPr>
        <w:t>ESG</w:t>
      </w:r>
      <w:r w:rsidRPr="006F4535">
        <w:t>_1&gt;</w:t>
      </w:r>
    </w:p>
    <w:p w14:paraId="6A3CB061" w14:textId="58CD78C7" w:rsidR="00B327E9" w:rsidRDefault="00962617" w:rsidP="00B327E9">
      <w:permStart w:id="411981036" w:edGrp="everyone"/>
      <w:r>
        <w:t>Swiss Sustainable Finance is an industry association representing over 150 separate organisations active in the area of sustainable finance. Our answers are based on a consultation amongst these members.</w:t>
      </w:r>
    </w:p>
    <w:permEnd w:id="411981036"/>
    <w:p w14:paraId="6A3CB062" w14:textId="67968787" w:rsidR="00B327E9" w:rsidRPr="00BF28DA" w:rsidRDefault="00B327E9" w:rsidP="00B327E9">
      <w:r w:rsidRPr="00BF28DA">
        <w:t>&lt;ESA_COMMENT_</w:t>
      </w:r>
      <w:r w:rsidR="00C86E1C">
        <w:rPr>
          <w:rStyle w:val="SubtleEmphasis"/>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0FD4A99F" w14:textId="77777777" w:rsidR="00962617" w:rsidRPr="000C0FE0" w:rsidRDefault="00962617" w:rsidP="00436221">
      <w:pPr>
        <w:rPr>
          <w:rFonts w:ascii="Corbel" w:hAnsi="Corbel"/>
          <w:sz w:val="22"/>
          <w:szCs w:val="22"/>
          <w:lang w:val="en-US"/>
        </w:rPr>
      </w:pPr>
      <w:permStart w:id="1221819945" w:edGrp="everyone"/>
      <w:r w:rsidRPr="000C0FE0">
        <w:rPr>
          <w:rFonts w:ascii="Corbel" w:hAnsi="Corbel"/>
          <w:sz w:val="22"/>
          <w:szCs w:val="22"/>
        </w:rPr>
        <w:t>We find that this approach could lead to confusing results for investors. For example, in</w:t>
      </w:r>
      <w:proofErr w:type="spellStart"/>
      <w:r w:rsidRPr="000C0FE0">
        <w:rPr>
          <w:rFonts w:ascii="Corbel" w:hAnsi="Corbel"/>
          <w:sz w:val="22"/>
          <w:szCs w:val="22"/>
          <w:lang w:val="en-US"/>
        </w:rPr>
        <w:t>dicators</w:t>
      </w:r>
      <w:proofErr w:type="spellEnd"/>
      <w:r w:rsidRPr="000C0FE0">
        <w:rPr>
          <w:rFonts w:ascii="Corbel" w:hAnsi="Corbel"/>
          <w:sz w:val="22"/>
          <w:szCs w:val="22"/>
          <w:lang w:val="en-US"/>
        </w:rPr>
        <w:t xml:space="preserve"> on carbon emission and carbon footprint will always result in positive values and trigger a PAI; however, such an investment could be Taxonomy aligned (regarding climate mitigation). This may be misleading for retail investors.</w:t>
      </w:r>
    </w:p>
    <w:p w14:paraId="6C7BFDC5" w14:textId="77777777" w:rsidR="00962617" w:rsidRPr="000C0FE0" w:rsidRDefault="00962617" w:rsidP="00436221">
      <w:pPr>
        <w:rPr>
          <w:rFonts w:ascii="Corbel" w:hAnsi="Corbel"/>
          <w:sz w:val="22"/>
          <w:szCs w:val="22"/>
          <w:lang w:val="en-US"/>
        </w:rPr>
      </w:pPr>
    </w:p>
    <w:p w14:paraId="6BC36A92" w14:textId="77777777" w:rsidR="00962617" w:rsidRPr="000C0FE0" w:rsidRDefault="00962617" w:rsidP="00436221">
      <w:pPr>
        <w:rPr>
          <w:rFonts w:ascii="Corbel" w:hAnsi="Corbel"/>
          <w:sz w:val="22"/>
          <w:szCs w:val="22"/>
          <w:lang w:val="en-US"/>
        </w:rPr>
      </w:pPr>
      <w:r w:rsidRPr="000C0FE0">
        <w:rPr>
          <w:rFonts w:ascii="Corbel" w:hAnsi="Corbel"/>
          <w:sz w:val="22"/>
          <w:szCs w:val="22"/>
          <w:lang w:val="en-US"/>
        </w:rPr>
        <w:t>Additionally, our members feel that the list of mandatory indicators is too long and should be simplified to ones for which data is likely already available, as a starting point. The materiality of the indicators for specific investments/sectors should also be reflected, as some indicators may be immaterial depending on the underlying investments (see for example the SASB framework, which identifies sector relevant KPIs).</w:t>
      </w:r>
    </w:p>
    <w:p w14:paraId="42DC548E" w14:textId="77777777" w:rsidR="00962617" w:rsidRPr="000C0FE0" w:rsidRDefault="00962617" w:rsidP="00436221">
      <w:pPr>
        <w:rPr>
          <w:rFonts w:ascii="Corbel" w:hAnsi="Corbel"/>
          <w:sz w:val="22"/>
          <w:szCs w:val="22"/>
          <w:lang w:val="en-US"/>
        </w:rPr>
      </w:pPr>
    </w:p>
    <w:p w14:paraId="798A5AD1" w14:textId="77777777" w:rsidR="00962617" w:rsidRDefault="00962617" w:rsidP="003E573C">
      <w:pPr>
        <w:rPr>
          <w:rFonts w:ascii="Corbel" w:hAnsi="Corbel"/>
          <w:sz w:val="22"/>
          <w:szCs w:val="22"/>
          <w:lang w:val="en-US"/>
        </w:rPr>
      </w:pPr>
      <w:r w:rsidRPr="000C0FE0">
        <w:rPr>
          <w:rFonts w:ascii="Corbel" w:hAnsi="Corbel"/>
          <w:sz w:val="22"/>
          <w:szCs w:val="22"/>
          <w:lang w:val="en-US"/>
        </w:rPr>
        <w:t>Another point that will be very challenging is that non-EU companies are not yet required to report on these indicators. Therefore the data availability could be problematic and lead to very low coverage ratios for portfolios.</w:t>
      </w:r>
    </w:p>
    <w:permEnd w:id="1221819945"/>
    <w:p w14:paraId="0F1F4245" w14:textId="287DB4B5"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67306921" w14:textId="77777777" w:rsidR="00962617" w:rsidRPr="000C0FE0" w:rsidRDefault="00962617" w:rsidP="00436221">
      <w:pPr>
        <w:rPr>
          <w:rFonts w:ascii="Corbel" w:hAnsi="Corbel"/>
          <w:sz w:val="22"/>
          <w:szCs w:val="22"/>
        </w:rPr>
      </w:pPr>
      <w:permStart w:id="729947415" w:edGrp="everyone"/>
      <w:r w:rsidRPr="000C0FE0">
        <w:rPr>
          <w:rFonts w:ascii="Corbel" w:hAnsi="Corbel"/>
          <w:sz w:val="22"/>
          <w:szCs w:val="22"/>
        </w:rPr>
        <w:t>Smaller asset managers will be at a disadvantage, as they will not have the same resources to collect and also repot on the data.</w:t>
      </w:r>
    </w:p>
    <w:p w14:paraId="473E0CDA" w14:textId="77777777" w:rsidR="00962617" w:rsidRPr="000C0FE0" w:rsidRDefault="00962617" w:rsidP="00436221">
      <w:pPr>
        <w:rPr>
          <w:rFonts w:ascii="Corbel" w:hAnsi="Corbel"/>
          <w:sz w:val="22"/>
          <w:szCs w:val="22"/>
        </w:rPr>
      </w:pPr>
    </w:p>
    <w:p w14:paraId="4D98178F" w14:textId="77777777" w:rsidR="00962617" w:rsidRDefault="00962617" w:rsidP="003E573C">
      <w:pPr>
        <w:rPr>
          <w:rFonts w:ascii="Corbel" w:hAnsi="Corbel"/>
          <w:sz w:val="22"/>
          <w:szCs w:val="22"/>
        </w:rPr>
      </w:pPr>
      <w:r w:rsidRPr="000C0FE0">
        <w:rPr>
          <w:rFonts w:ascii="Corbel" w:hAnsi="Corbel"/>
          <w:sz w:val="22"/>
          <w:szCs w:val="22"/>
        </w:rPr>
        <w:t>In addition, entity level reporting will be very difficult for larger asset managers with products based on many different asset classes. The PAIs are not easily applied to asset classes, such as commodities and sovereign bonds.</w:t>
      </w:r>
    </w:p>
    <w:permEnd w:id="729947415"/>
    <w:p w14:paraId="6415E03C" w14:textId="05314105"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085EF6D9" w14:textId="77777777" w:rsidR="00962617" w:rsidRDefault="00962617" w:rsidP="003E573C">
      <w:pPr>
        <w:rPr>
          <w:rFonts w:ascii="Corbel" w:hAnsi="Corbel"/>
          <w:sz w:val="22"/>
          <w:szCs w:val="22"/>
        </w:rPr>
      </w:pPr>
      <w:permStart w:id="677205538" w:edGrp="everyone"/>
      <w:r w:rsidRPr="000C0FE0">
        <w:rPr>
          <w:rFonts w:ascii="Corbel" w:hAnsi="Corbel"/>
          <w:sz w:val="22"/>
          <w:szCs w:val="22"/>
        </w:rPr>
        <w:t>Amongst our members, there is a call for a much more simplified set of mandatory indicators with all other indicators being voluntary. It was also proposed that a better method of reporting may be on a product-level (rather than entity level) for financial market players.</w:t>
      </w:r>
    </w:p>
    <w:permEnd w:id="677205538"/>
    <w:p w14:paraId="54D6583E" w14:textId="1F6F355D"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3EE7B4C0" w14:textId="77777777" w:rsidR="00962617" w:rsidRDefault="00962617" w:rsidP="003E573C">
      <w:pPr>
        <w:rPr>
          <w:rFonts w:ascii="Corbel" w:hAnsi="Corbel"/>
          <w:sz w:val="22"/>
          <w:szCs w:val="22"/>
        </w:rPr>
      </w:pPr>
      <w:permStart w:id="1220688604" w:edGrp="everyone"/>
      <w:r w:rsidRPr="000C0FE0">
        <w:rPr>
          <w:rFonts w:ascii="Corbel" w:hAnsi="Corbel"/>
          <w:sz w:val="22"/>
          <w:szCs w:val="22"/>
        </w:rPr>
        <w:lastRenderedPageBreak/>
        <w:t>As mentioned in our previous responses, the template outlines too many indicators, which will make it very difficult for market participants to come to a meaningful, representative aggregated value which retail investors can easily understand.</w:t>
      </w:r>
    </w:p>
    <w:permEnd w:id="1220688604"/>
    <w:p w14:paraId="53DA6878" w14:textId="6C6D79D4"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630C62F8" w14:textId="77777777" w:rsidR="000322DA" w:rsidRPr="000C0FE0" w:rsidRDefault="000322DA" w:rsidP="000322DA">
      <w:pPr>
        <w:rPr>
          <w:rFonts w:ascii="Corbel" w:hAnsi="Corbel"/>
          <w:sz w:val="22"/>
          <w:szCs w:val="22"/>
        </w:rPr>
      </w:pPr>
      <w:permStart w:id="209390932" w:edGrp="everyone"/>
      <w:r w:rsidRPr="000C0FE0">
        <w:rPr>
          <w:rFonts w:ascii="Corbel" w:hAnsi="Corbel"/>
          <w:sz w:val="22"/>
          <w:szCs w:val="22"/>
        </w:rPr>
        <w:t>We do not recommend any further KPIs as we already think the current 32 are too extensive based on data availability and the resources of market players to obtain the data. We fear the indicators will be very difficult to obtain from non-EU companies that do not fall under the same reporting requirements.</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5F81997B" w14:textId="77777777" w:rsidR="000322DA" w:rsidRPr="000C0FE0" w:rsidRDefault="000322DA" w:rsidP="000322DA">
      <w:pPr>
        <w:rPr>
          <w:rFonts w:ascii="Corbel" w:hAnsi="Corbel"/>
          <w:sz w:val="22"/>
          <w:szCs w:val="22"/>
        </w:rPr>
      </w:pPr>
      <w:permStart w:id="418122716" w:edGrp="everyone"/>
      <w:r w:rsidRPr="000C0FE0">
        <w:rPr>
          <w:rFonts w:ascii="Corbel" w:hAnsi="Corbel"/>
          <w:sz w:val="22"/>
          <w:szCs w:val="22"/>
        </w:rPr>
        <w:t>We recommend refraining from adding further mandatory indicators. If these indicators are to be considered, we feel this should be on a purely voluntary basis.</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3A6B072B" w14:textId="77777777" w:rsidR="000660CA" w:rsidRPr="000C0FE0" w:rsidRDefault="000660CA" w:rsidP="000660CA">
      <w:pPr>
        <w:rPr>
          <w:rFonts w:ascii="Corbel" w:hAnsi="Corbel"/>
          <w:sz w:val="22"/>
          <w:szCs w:val="22"/>
        </w:rPr>
      </w:pPr>
      <w:permStart w:id="569465455" w:edGrp="everyone"/>
      <w:r w:rsidRPr="000C0FE0">
        <w:rPr>
          <w:rFonts w:ascii="Corbel" w:hAnsi="Corbel"/>
          <w:sz w:val="22"/>
          <w:szCs w:val="22"/>
        </w:rPr>
        <w:t>We are concerned that this double metric may confuse investors. We would advise to avoid a double metric.</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ListParagraph"/>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ListParagraph"/>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79212808" w14:textId="77777777" w:rsidR="000660CA" w:rsidRPr="000C0FE0" w:rsidRDefault="000660CA" w:rsidP="000660CA">
      <w:pPr>
        <w:rPr>
          <w:rFonts w:ascii="Corbel" w:hAnsi="Corbel"/>
          <w:sz w:val="22"/>
          <w:szCs w:val="22"/>
        </w:rPr>
      </w:pPr>
      <w:permStart w:id="1713528049" w:edGrp="everyone"/>
      <w:r w:rsidRPr="000C0FE0">
        <w:rPr>
          <w:rFonts w:ascii="Corbel" w:hAnsi="Corbel"/>
          <w:sz w:val="22"/>
          <w:szCs w:val="22"/>
        </w:rPr>
        <w:t>No – we believe the aim should be to reduce the proposed indicators. Additionally, it is likely a better approach to first see if the data is available for the already proposed indicators before implementing new indicators.</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76F4A6AB" w14:textId="77777777" w:rsidR="000660CA" w:rsidRPr="000C0FE0" w:rsidRDefault="000660CA" w:rsidP="000660CA">
      <w:pPr>
        <w:rPr>
          <w:rFonts w:ascii="Corbel" w:hAnsi="Corbel"/>
          <w:sz w:val="22"/>
          <w:szCs w:val="22"/>
        </w:rPr>
      </w:pPr>
      <w:permStart w:id="221670941" w:edGrp="everyone"/>
      <w:r w:rsidRPr="000C0FE0">
        <w:rPr>
          <w:rFonts w:ascii="Corbel" w:hAnsi="Corbel"/>
          <w:sz w:val="22"/>
          <w:szCs w:val="22"/>
        </w:rPr>
        <w:lastRenderedPageBreak/>
        <w:t>We agree that indicators for social and employee matters can be delivered simultaneously to environmental indicators. However, we stress here that the list of indicators is long and detailed and that data may be more difficult to obtain than for Environmental indicators. In a first step, such indicators could perhaps be voluntary until we achieve better data availability and/or once the taxonomy has concretely defined social indicators.</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1"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1"/>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4C4A3BEE" w14:textId="77777777" w:rsidR="000660CA" w:rsidRPr="000C0FE0" w:rsidRDefault="000660CA" w:rsidP="000660CA">
      <w:pPr>
        <w:rPr>
          <w:rFonts w:ascii="Corbel" w:hAnsi="Corbel"/>
          <w:sz w:val="22"/>
          <w:szCs w:val="22"/>
        </w:rPr>
      </w:pPr>
      <w:permStart w:id="610013876" w:edGrp="everyone"/>
      <w:r w:rsidRPr="000C0FE0">
        <w:rPr>
          <w:rFonts w:ascii="Corbel" w:hAnsi="Corbel"/>
          <w:sz w:val="22"/>
          <w:szCs w:val="22"/>
        </w:rPr>
        <w:t>We do not agree. We feel this goes far beyond what the SFDR (level 1 regulation) requires.</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7C44E005" w14:textId="77777777" w:rsidR="000660CA" w:rsidRPr="000C0FE0" w:rsidRDefault="000660CA" w:rsidP="00436221">
      <w:pPr>
        <w:rPr>
          <w:rFonts w:ascii="Corbel" w:hAnsi="Corbel"/>
          <w:sz w:val="22"/>
          <w:szCs w:val="22"/>
        </w:rPr>
      </w:pPr>
      <w:permStart w:id="790175202" w:edGrp="everyone"/>
      <w:r w:rsidRPr="000C0FE0">
        <w:rPr>
          <w:rFonts w:ascii="Corbel" w:hAnsi="Corbel"/>
          <w:sz w:val="22"/>
          <w:szCs w:val="22"/>
        </w:rPr>
        <w:t>Yes, we would highly recommend to harmonize methodology and timing with other required reporting.</w:t>
      </w:r>
    </w:p>
    <w:p w14:paraId="79530C16" w14:textId="77777777" w:rsidR="000660CA" w:rsidRPr="000C0FE0" w:rsidRDefault="000660CA" w:rsidP="00436221">
      <w:pPr>
        <w:rPr>
          <w:rFonts w:ascii="Corbel" w:hAnsi="Corbel"/>
          <w:sz w:val="22"/>
          <w:szCs w:val="22"/>
        </w:rPr>
      </w:pPr>
    </w:p>
    <w:p w14:paraId="1AF78ED1" w14:textId="77777777" w:rsidR="000660CA" w:rsidRDefault="000660CA" w:rsidP="003E573C">
      <w:pPr>
        <w:rPr>
          <w:rFonts w:ascii="Corbel" w:hAnsi="Corbel"/>
          <w:sz w:val="22"/>
          <w:szCs w:val="22"/>
        </w:rPr>
      </w:pPr>
      <w:r w:rsidRPr="000C0FE0">
        <w:rPr>
          <w:rFonts w:ascii="Corbel" w:hAnsi="Corbel"/>
          <w:sz w:val="22"/>
          <w:szCs w:val="22"/>
        </w:rPr>
        <w:t>Regarding “window dressing”, we feel perhaps the concept of materiality should be more strongly reflected within the SFDR as this topic was part of the proposed NFDR. We feel information is only of use if it can be justified to be material to the company, its stakeholders, as well as to society and the environment.</w:t>
      </w:r>
    </w:p>
    <w:permEnd w:id="790175202"/>
    <w:p w14:paraId="140C09C0" w14:textId="6CBC9D9D" w:rsidR="003E573C" w:rsidRDefault="003E573C" w:rsidP="003E573C">
      <w:pPr>
        <w:rPr>
          <w:rFonts w:cs="Arial"/>
        </w:rPr>
      </w:pPr>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036DAD15" w14:textId="77777777" w:rsidR="000660CA" w:rsidRPr="000C0FE0" w:rsidRDefault="000660CA" w:rsidP="00436221">
      <w:pPr>
        <w:rPr>
          <w:rFonts w:ascii="Corbel" w:hAnsi="Corbel"/>
          <w:sz w:val="22"/>
          <w:szCs w:val="22"/>
        </w:rPr>
      </w:pPr>
      <w:permStart w:id="800330460" w:edGrp="everyone"/>
      <w:r w:rsidRPr="000C0FE0">
        <w:rPr>
          <w:rFonts w:ascii="Corbel" w:hAnsi="Corbel"/>
          <w:sz w:val="22"/>
          <w:szCs w:val="22"/>
        </w:rPr>
        <w:t>We agree that providing reasonable templates with only a select number of mandatory indicators (see answers above) is advisable in order to produce consistency amongst market players. We note that such templates would need to be adapted to the various asset classes. Such templates may only be applied to retail products/clients, as professional/institutional clients require tailor-made information and have the internal capacity to question and compare the provided information.</w:t>
      </w:r>
    </w:p>
    <w:p w14:paraId="6AC4356D" w14:textId="77777777" w:rsidR="000660CA" w:rsidRDefault="000660CA" w:rsidP="003E573C">
      <w:pPr>
        <w:rPr>
          <w:rFonts w:ascii="Corbel" w:hAnsi="Corbel"/>
          <w:sz w:val="22"/>
          <w:szCs w:val="22"/>
        </w:rPr>
      </w:pPr>
      <w:r w:rsidRPr="000C0FE0">
        <w:rPr>
          <w:rFonts w:ascii="Corbel" w:hAnsi="Corbel"/>
          <w:sz w:val="22"/>
          <w:szCs w:val="22"/>
        </w:rPr>
        <w:t>In addition, at this point in time, if such new templates are developed, market players will need ample time to implement them within their systems, which normally take some time to adjust.</w:t>
      </w:r>
    </w:p>
    <w:permEnd w:id="800330460"/>
    <w:p w14:paraId="7F118029" w14:textId="22A9E508"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139B9FC1" w14:textId="77777777" w:rsidR="000660CA" w:rsidRPr="000C0FE0" w:rsidRDefault="000660CA" w:rsidP="000660CA">
      <w:pPr>
        <w:rPr>
          <w:rFonts w:ascii="Corbel" w:hAnsi="Corbel"/>
          <w:sz w:val="22"/>
          <w:szCs w:val="22"/>
        </w:rPr>
      </w:pPr>
      <w:permStart w:id="1179406826" w:edGrp="everyone"/>
      <w:r w:rsidRPr="000C0FE0">
        <w:rPr>
          <w:rFonts w:ascii="Corbel" w:hAnsi="Corbel"/>
          <w:sz w:val="22"/>
          <w:szCs w:val="22"/>
        </w:rPr>
        <w:lastRenderedPageBreak/>
        <w:t>Clear, pre-defined templates for investee companies and product manufacturers can ensure proper data flow between all parties in the value chain. These templates must focus on a limited number of material indicators so as to keep the reporting burden low.</w:t>
      </w:r>
    </w:p>
    <w:permEnd w:id="1179406826"/>
    <w:p w14:paraId="39C16C25" w14:textId="12218D08"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4D27EE23" w14:textId="77777777" w:rsidR="003E573C" w:rsidRDefault="003E573C" w:rsidP="003E573C">
      <w:pPr>
        <w:rPr>
          <w:rFonts w:cs="Arial"/>
        </w:rPr>
      </w:pPr>
      <w:permStart w:id="1646396141" w:edGrp="everyone"/>
      <w:r>
        <w:rPr>
          <w:rFonts w:cs="Arial"/>
        </w:rPr>
        <w:t>TYPE YOUR TEXT HERE</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60730685" w14:textId="77777777" w:rsidR="00A3607C" w:rsidRDefault="000660CA" w:rsidP="003E573C">
      <w:pPr>
        <w:rPr>
          <w:rFonts w:ascii="Corbel" w:hAnsi="Corbel"/>
          <w:sz w:val="22"/>
          <w:szCs w:val="22"/>
        </w:rPr>
      </w:pPr>
      <w:permStart w:id="1271138379" w:edGrp="everyone"/>
      <w:r w:rsidRPr="000C0FE0">
        <w:rPr>
          <w:rFonts w:ascii="Corbel" w:hAnsi="Corbel"/>
          <w:sz w:val="22"/>
          <w:szCs w:val="22"/>
        </w:rPr>
        <w:t>We feel if this clause is retained, then, especially for publically available information on company websites, reporting should only be required for retail products. Professional/institutional clients require tailor-made information and have the internal capacity to question and compare the provided information. All website disclosures for not publicly distributed products may only get published in a password protected space of the website. Otherwise such information may qualify as marketing material and this will lead to conflicts with compulsory distribution restrictions for products and services which are not suitable for retail investors. In particular for asset management products and services provided to a single client, such website disclosure creates issues with confidentiality of contractual agreements. Therefore for single investor funds as well as managed accounts, the required website disclosure (in particular on the level of the product) does not make sense and should be shifted to a disclosure requirements which has to be provided directly to the investor/client.</w:t>
      </w:r>
    </w:p>
    <w:p w14:paraId="5A098E3E" w14:textId="6D047E6D" w:rsidR="003E573C" w:rsidRDefault="003E573C" w:rsidP="003E573C">
      <w:pPr>
        <w:rPr>
          <w:rFonts w:cs="Arial"/>
        </w:rPr>
      </w:pPr>
      <w:bookmarkStart w:id="2" w:name="_GoBack"/>
      <w:bookmarkEnd w:id="2"/>
      <w:permEnd w:id="1271138379"/>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56FE8BDD" w14:textId="77777777" w:rsidR="000660CA" w:rsidRPr="000C0FE0" w:rsidRDefault="000660CA" w:rsidP="000660CA">
      <w:pPr>
        <w:rPr>
          <w:rFonts w:ascii="Corbel" w:hAnsi="Corbel"/>
          <w:sz w:val="22"/>
          <w:szCs w:val="22"/>
        </w:rPr>
      </w:pPr>
      <w:permStart w:id="739535953" w:edGrp="everyone"/>
      <w:r w:rsidRPr="000C0FE0">
        <w:rPr>
          <w:rFonts w:ascii="Corbel" w:hAnsi="Corbel"/>
          <w:sz w:val="22"/>
          <w:szCs w:val="22"/>
        </w:rPr>
        <w:t>We feel there is still considerable confusion between Article 8 and Article 9 products.</w:t>
      </w:r>
    </w:p>
    <w:p w14:paraId="7E488043" w14:textId="77777777" w:rsidR="000660CA" w:rsidRPr="000C0FE0" w:rsidRDefault="000660CA" w:rsidP="000660CA">
      <w:pPr>
        <w:rPr>
          <w:rFonts w:ascii="Corbel" w:hAnsi="Corbel"/>
          <w:sz w:val="22"/>
          <w:szCs w:val="22"/>
        </w:rPr>
      </w:pPr>
    </w:p>
    <w:p w14:paraId="3E6D8885" w14:textId="77777777" w:rsidR="000660CA" w:rsidRPr="000C0FE0" w:rsidRDefault="000660CA" w:rsidP="000660CA">
      <w:pPr>
        <w:rPr>
          <w:rFonts w:ascii="Corbel" w:hAnsi="Corbel"/>
          <w:sz w:val="22"/>
          <w:szCs w:val="22"/>
        </w:rPr>
      </w:pPr>
      <w:r w:rsidRPr="000C0FE0">
        <w:rPr>
          <w:rFonts w:ascii="Corbel" w:hAnsi="Corbel"/>
          <w:sz w:val="22"/>
          <w:szCs w:val="22"/>
        </w:rPr>
        <w:t xml:space="preserve">The main conceptual difference is that while Article 9 products strive to achieve specific sustainability objectives alongside financial yield, Article 8 products define only financial return objectives, but in order to achieve those select their investments in accordance with a dedicated ESG strategy. We feel that many products falling under article 8 could be slightly altered to fall under article 9 and vice versa. </w:t>
      </w:r>
    </w:p>
    <w:p w14:paraId="0B1B2BAA" w14:textId="77777777" w:rsidR="000660CA" w:rsidRPr="000C0FE0" w:rsidRDefault="000660CA" w:rsidP="000660CA">
      <w:pPr>
        <w:rPr>
          <w:rFonts w:ascii="Corbel" w:hAnsi="Corbel"/>
          <w:sz w:val="22"/>
          <w:szCs w:val="22"/>
        </w:rPr>
      </w:pPr>
    </w:p>
    <w:p w14:paraId="2C66C7F7" w14:textId="77777777" w:rsidR="000660CA" w:rsidRPr="000C0FE0" w:rsidRDefault="000660CA" w:rsidP="000660CA">
      <w:pPr>
        <w:rPr>
          <w:rFonts w:ascii="Corbel" w:hAnsi="Corbel"/>
          <w:sz w:val="22"/>
          <w:szCs w:val="22"/>
        </w:rPr>
      </w:pPr>
      <w:r w:rsidRPr="000C0FE0">
        <w:rPr>
          <w:rFonts w:ascii="Corbel" w:hAnsi="Corbel"/>
          <w:sz w:val="22"/>
          <w:szCs w:val="22"/>
        </w:rPr>
        <w:t>Additionally, if stringent additional requirements apply to article 8 and 9 products, financial market players may avoid the use of these designations for products that still pursue ESG objectives, but will not “promote” this in the official product documentation, or worse, create new wording and definitions to indicate a sustainable product, so as not to be subject to the regulations.</w:t>
      </w:r>
    </w:p>
    <w:permEnd w:id="739535953"/>
    <w:p w14:paraId="3D245DDC" w14:textId="14A1806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lastRenderedPageBreak/>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0ADDC51A" w14:textId="77777777" w:rsidR="003E573C" w:rsidRDefault="003E573C" w:rsidP="003E573C">
      <w:pPr>
        <w:rPr>
          <w:rFonts w:cs="Arial"/>
        </w:rPr>
      </w:pPr>
      <w:permStart w:id="225396737" w:edGrp="everyone"/>
      <w:r>
        <w:rPr>
          <w:rFonts w:cs="Arial"/>
        </w:rPr>
        <w:t>TYPE YOUR TEXT HERE</w:t>
      </w: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1ACD1118" w14:textId="77777777" w:rsidR="000660CA" w:rsidRPr="000C0FE0" w:rsidRDefault="000660CA" w:rsidP="000660CA">
      <w:pPr>
        <w:rPr>
          <w:rFonts w:ascii="Corbel" w:hAnsi="Corbel"/>
          <w:sz w:val="22"/>
          <w:szCs w:val="22"/>
        </w:rPr>
      </w:pPr>
      <w:permStart w:id="1687822303" w:edGrp="everyone"/>
      <w:r w:rsidRPr="000C0FE0">
        <w:rPr>
          <w:rFonts w:ascii="Corbel" w:hAnsi="Corbel"/>
          <w:sz w:val="22"/>
          <w:szCs w:val="22"/>
        </w:rPr>
        <w:t>In general, a graphical representation of proportion of investments screened would be a valid option for retail investors to more easily be able to visualise the differences between products. There must, however, be a category for “not-screened” AS WELL as “not applicable” (i.e. commodities etc.) in order to provide true comparability. This is to make sure that products with a large share of “non-</w:t>
      </w:r>
      <w:proofErr w:type="spellStart"/>
      <w:r w:rsidRPr="000C0FE0">
        <w:rPr>
          <w:rFonts w:ascii="Corbel" w:hAnsi="Corbel"/>
          <w:sz w:val="22"/>
          <w:szCs w:val="22"/>
        </w:rPr>
        <w:t>screenable</w:t>
      </w:r>
      <w:proofErr w:type="spellEnd"/>
      <w:r w:rsidRPr="000C0FE0">
        <w:rPr>
          <w:rFonts w:ascii="Corbel" w:hAnsi="Corbel"/>
          <w:sz w:val="22"/>
          <w:szCs w:val="22"/>
        </w:rPr>
        <w:t>” assets will not be unfairly represented by the mandatory reporting requirements.</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61960580" w14:textId="77777777" w:rsidR="000660CA" w:rsidRPr="000C0FE0" w:rsidRDefault="000660CA" w:rsidP="00436221">
      <w:pPr>
        <w:rPr>
          <w:rFonts w:ascii="Corbel" w:hAnsi="Corbel"/>
          <w:sz w:val="22"/>
          <w:szCs w:val="22"/>
        </w:rPr>
      </w:pPr>
      <w:permStart w:id="669663577" w:edGrp="everyone"/>
      <w:r w:rsidRPr="000C0FE0">
        <w:rPr>
          <w:rFonts w:ascii="Corbel" w:hAnsi="Corbel"/>
          <w:sz w:val="22"/>
          <w:szCs w:val="22"/>
        </w:rPr>
        <w:t>We do not agree, as this type of reporting is only relevant for certain asset classes. For example, government/sovereign investments may not be able to fulfil such disclosure requirements.</w:t>
      </w:r>
    </w:p>
    <w:p w14:paraId="535DEC98" w14:textId="77777777" w:rsidR="000660CA" w:rsidRPr="000C0FE0" w:rsidRDefault="000660CA" w:rsidP="00436221">
      <w:pPr>
        <w:rPr>
          <w:rFonts w:ascii="Corbel" w:hAnsi="Corbel"/>
          <w:sz w:val="22"/>
          <w:szCs w:val="22"/>
        </w:rPr>
      </w:pPr>
    </w:p>
    <w:p w14:paraId="45E693F0" w14:textId="77777777" w:rsidR="000660CA" w:rsidRDefault="000660CA" w:rsidP="003E573C">
      <w:pPr>
        <w:rPr>
          <w:rFonts w:ascii="Corbel" w:hAnsi="Corbel"/>
          <w:noProof/>
          <w:color w:val="000000"/>
          <w:sz w:val="22"/>
          <w:szCs w:val="22"/>
          <w:lang w:eastAsia="fr-FR"/>
        </w:rPr>
      </w:pPr>
      <w:r w:rsidRPr="000C0FE0">
        <w:rPr>
          <w:rFonts w:ascii="Corbel" w:hAnsi="Corbel"/>
          <w:sz w:val="22"/>
          <w:szCs w:val="22"/>
        </w:rPr>
        <w:t xml:space="preserve">Regarding nuclear energy, we acknowledge that there is still much debate around the role of nuclear energy in reaching a low-carbon economy. </w:t>
      </w:r>
      <w:r w:rsidRPr="000C0FE0">
        <w:rPr>
          <w:rFonts w:ascii="Corbel" w:hAnsi="Corbel"/>
          <w:noProof/>
          <w:color w:val="000000"/>
          <w:sz w:val="22"/>
          <w:szCs w:val="22"/>
          <w:lang w:eastAsia="fr-FR"/>
        </w:rPr>
        <w:t>We would therefore refrain from adding nuclear energy as an additional exposure disclosure required by financial market participants.</w:t>
      </w:r>
    </w:p>
    <w:permEnd w:id="669663577"/>
    <w:p w14:paraId="4B36BA28" w14:textId="518DBF09"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7DDB304F" w14:textId="77777777" w:rsidR="000660CA" w:rsidRPr="000C0FE0" w:rsidRDefault="000660CA" w:rsidP="000660CA">
      <w:pPr>
        <w:rPr>
          <w:rFonts w:ascii="Corbel" w:hAnsi="Corbel"/>
          <w:sz w:val="22"/>
          <w:szCs w:val="22"/>
        </w:rPr>
      </w:pPr>
      <w:permStart w:id="806708611" w:edGrp="everyone"/>
      <w:r w:rsidRPr="000C0FE0">
        <w:rPr>
          <w:rFonts w:ascii="Corbel" w:hAnsi="Corbel"/>
          <w:sz w:val="22"/>
          <w:szCs w:val="22"/>
        </w:rPr>
        <w:t>We have some concerns that treating retail products similarly to professional/institutional products could be in conflict with contractual agreements. If we interpret the RTS to apply also to single investor products/portfolios, the website disclosure requirements may be in conflict with confidentiality duties. We feel it would be more practical to report consistently on underlying products (albeit products to which the reporting can be applied (i.e. equity/bond products), rather than on full diversified portfolios.</w:t>
      </w: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 xml:space="preserve">While Article 8 SFDR suggests investee companies should have “good governance practices”, Article 2(17) SFDR includes specific details for good governance practices for sustainable investment investee companies including “sound management structures, employee relations, </w:t>
      </w:r>
      <w:r w:rsidR="002A73F1" w:rsidRPr="002A73F1">
        <w:lastRenderedPageBreak/>
        <w:t>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625A527A" w14:textId="77777777" w:rsidR="003E573C" w:rsidRDefault="003E573C" w:rsidP="003E573C">
      <w:pPr>
        <w:rPr>
          <w:rFonts w:cs="Arial"/>
        </w:rPr>
      </w:pPr>
      <w:permStart w:id="2245015" w:edGrp="everyone"/>
      <w:r>
        <w:rPr>
          <w:rFonts w:cs="Arial"/>
        </w:rPr>
        <w:t>TYPE YOUR TEXT HERE</w:t>
      </w:r>
    </w:p>
    <w:permEnd w:id="2245015"/>
    <w:p w14:paraId="3E1B08DB" w14:textId="6D981451"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50C1A157" w14:textId="77777777" w:rsidR="000660CA" w:rsidRPr="000C0FE0" w:rsidRDefault="000660CA" w:rsidP="00436221">
      <w:pPr>
        <w:rPr>
          <w:rFonts w:ascii="Corbel" w:hAnsi="Corbel"/>
          <w:sz w:val="22"/>
          <w:szCs w:val="22"/>
        </w:rPr>
      </w:pPr>
      <w:permStart w:id="1182486711" w:edGrp="everyone"/>
      <w:r w:rsidRPr="000C0FE0">
        <w:rPr>
          <w:rFonts w:ascii="Corbel" w:hAnsi="Corbel"/>
          <w:sz w:val="22"/>
          <w:szCs w:val="22"/>
        </w:rPr>
        <w:t xml:space="preserve">We feel the taxonomy DNSH may have been prematurely used for the RTS. To our understanding, DNSH criteria are not expected to be delivered in reporting until 2022 and are still subject to change. </w:t>
      </w:r>
    </w:p>
    <w:p w14:paraId="779232F3" w14:textId="77777777" w:rsidR="000660CA" w:rsidRDefault="000660CA" w:rsidP="003E573C">
      <w:pPr>
        <w:rPr>
          <w:rFonts w:ascii="Corbel" w:hAnsi="Corbel"/>
          <w:sz w:val="22"/>
          <w:szCs w:val="22"/>
        </w:rPr>
      </w:pPr>
      <w:r w:rsidRPr="000C0FE0">
        <w:rPr>
          <w:rFonts w:ascii="Corbel" w:hAnsi="Corbel"/>
          <w:sz w:val="22"/>
          <w:szCs w:val="22"/>
        </w:rPr>
        <w:t>There must be a 100% overlap of the taxonomy DNSH/minimum safeguards and the DNSH/PAI approach. The RTS will need to ensure this is the case so as not to over burden financial market participants.</w:t>
      </w:r>
    </w:p>
    <w:permEnd w:id="1182486711"/>
    <w:p w14:paraId="5F95ABFF" w14:textId="292E7D85"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1D0507DD" w14:textId="77777777" w:rsidR="000660CA" w:rsidRPr="000C0FE0" w:rsidRDefault="000660CA" w:rsidP="000660CA">
      <w:pPr>
        <w:rPr>
          <w:rFonts w:ascii="Corbel" w:hAnsi="Corbel"/>
          <w:sz w:val="22"/>
          <w:szCs w:val="22"/>
        </w:rPr>
      </w:pPr>
      <w:permStart w:id="1634935588" w:edGrp="everyone"/>
      <w:r w:rsidRPr="000C0FE0">
        <w:rPr>
          <w:rFonts w:ascii="Corbel" w:hAnsi="Corbel"/>
          <w:sz w:val="22"/>
          <w:szCs w:val="22"/>
        </w:rPr>
        <w:t xml:space="preserve">No we would not support this. We would aim to allow for maximum flexibility and further development within the industry. Many market studies, including the annual SSF market study, do put a focus on the most commonly used strategies, however, we see that players are continuously striving to improve on these strategies, as well as looking to expand the currently available approaches. </w:t>
      </w:r>
    </w:p>
    <w:p w14:paraId="650B714A" w14:textId="77777777" w:rsidR="000660CA" w:rsidRPr="000C0FE0" w:rsidRDefault="000660CA" w:rsidP="000660CA">
      <w:pPr>
        <w:rPr>
          <w:rFonts w:ascii="Corbel" w:hAnsi="Corbel"/>
          <w:sz w:val="22"/>
          <w:szCs w:val="22"/>
        </w:rPr>
      </w:pPr>
    </w:p>
    <w:p w14:paraId="67D9F4D4" w14:textId="77777777" w:rsidR="000660CA" w:rsidRDefault="000660CA" w:rsidP="003E573C">
      <w:pPr>
        <w:rPr>
          <w:rFonts w:ascii="Corbel" w:hAnsi="Corbel"/>
          <w:sz w:val="22"/>
          <w:szCs w:val="22"/>
        </w:rPr>
      </w:pPr>
      <w:r w:rsidRPr="000C0FE0">
        <w:rPr>
          <w:rFonts w:ascii="Corbel" w:hAnsi="Corbel"/>
          <w:sz w:val="22"/>
          <w:szCs w:val="22"/>
        </w:rPr>
        <w:t>See: https://www.sustainablefinance.ch/en/swiss-sustainable-investment-market-study-2020-_content---1--3037--35722.html</w:t>
      </w:r>
    </w:p>
    <w:permEnd w:id="1634935588"/>
    <w:p w14:paraId="0C17FC2A" w14:textId="0942EF10"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4EC19D04" w14:textId="77777777" w:rsidR="000660CA" w:rsidRPr="000C0FE0" w:rsidRDefault="000660CA" w:rsidP="000660CA">
      <w:pPr>
        <w:rPr>
          <w:rFonts w:ascii="Corbel" w:hAnsi="Corbel"/>
          <w:sz w:val="22"/>
          <w:szCs w:val="22"/>
        </w:rPr>
      </w:pPr>
      <w:permStart w:id="872961277" w:edGrp="everyone"/>
      <w:r w:rsidRPr="000C0FE0">
        <w:rPr>
          <w:rFonts w:ascii="Corbel" w:hAnsi="Corbel"/>
          <w:sz w:val="22"/>
          <w:szCs w:val="22"/>
        </w:rPr>
        <w:t xml:space="preserve">Disclosing the top 25 holdings seems to be a lot. This would be disclosure of full portfolios for some managers, which is not always desirable for fund managers. Perhaps the RTS could consider the option to disclose the top 5-10 holdings OR holdings representing, for instance, 50% of the maximum amount invested. </w:t>
      </w:r>
    </w:p>
    <w:permEnd w:id="872961277"/>
    <w:p w14:paraId="10059834" w14:textId="626AE791"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50"/>
        </w:numPr>
      </w:pPr>
      <w:r>
        <w:lastRenderedPageBreak/>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50"/>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50"/>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50"/>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4359F47E" w14:textId="77777777" w:rsidR="00B048BB" w:rsidRPr="000C0FE0" w:rsidRDefault="00B048BB" w:rsidP="00B048BB">
      <w:pPr>
        <w:rPr>
          <w:rFonts w:ascii="Corbel" w:hAnsi="Corbel"/>
          <w:sz w:val="22"/>
          <w:szCs w:val="22"/>
        </w:rPr>
      </w:pPr>
      <w:permStart w:id="374105505" w:edGrp="everyone"/>
      <w:r w:rsidRPr="000C0FE0">
        <w:rPr>
          <w:rFonts w:ascii="Corbel" w:hAnsi="Corbel"/>
          <w:sz w:val="22"/>
          <w:szCs w:val="22"/>
        </w:rPr>
        <w:t>For all four elements, we would recommend website disclosure. Of course contractual agreements with clients must be respected and, should this information be confidential, it would need to appear on a protected area of the website.</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7811769E" w14:textId="77777777" w:rsidR="00B048BB" w:rsidRPr="000C0FE0" w:rsidRDefault="00B048BB" w:rsidP="00B048BB">
      <w:pPr>
        <w:rPr>
          <w:rFonts w:ascii="Corbel" w:hAnsi="Corbel"/>
          <w:sz w:val="22"/>
          <w:szCs w:val="22"/>
        </w:rPr>
      </w:pPr>
      <w:permStart w:id="624894902" w:edGrp="everyone"/>
      <w:r w:rsidRPr="000C0FE0">
        <w:rPr>
          <w:rFonts w:ascii="Corbel" w:hAnsi="Corbel"/>
          <w:sz w:val="22"/>
          <w:szCs w:val="22"/>
        </w:rPr>
        <w:t>Derivatives are mainly used to hedge against interest rate or currency changes, meaning their use is not related to sustainability. Therefore we feel this information is not necessary as the links to sustainability are not there. If anything, a short narrative could be included simply stating the fact that derivatives are used and for which reasons.</w:t>
      </w:r>
    </w:p>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1FF5D6F1" w14:textId="77777777" w:rsidR="00B048BB" w:rsidRPr="000C0FE0" w:rsidRDefault="00B048BB" w:rsidP="00B048BB">
      <w:pPr>
        <w:rPr>
          <w:rFonts w:ascii="Corbel" w:hAnsi="Corbel"/>
          <w:sz w:val="22"/>
          <w:szCs w:val="22"/>
        </w:rPr>
      </w:pPr>
      <w:permStart w:id="1007688109" w:edGrp="everyone"/>
      <w:r w:rsidRPr="000C0FE0">
        <w:rPr>
          <w:rFonts w:ascii="Corbel" w:hAnsi="Corbel"/>
          <w:sz w:val="22"/>
          <w:szCs w:val="22"/>
        </w:rPr>
        <w:t xml:space="preserve">SSF member organisations predict that the fees for ESG data will significantly increase and additional </w:t>
      </w:r>
      <w:r w:rsidRPr="000C0FE0">
        <w:rPr>
          <w:rFonts w:ascii="Corbel" w:hAnsi="Corbel"/>
          <w:noProof/>
          <w:color w:val="000000"/>
          <w:sz w:val="22"/>
          <w:szCs w:val="22"/>
          <w:lang w:eastAsia="fr-FR"/>
        </w:rPr>
        <w:t>ongoing compliance costs will also be higher.</w:t>
      </w:r>
    </w:p>
    <w:permEnd w:id="1007688109"/>
    <w:p w14:paraId="60AE9CFD" w14:textId="1CEF26AE"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A614B" w14:textId="77777777" w:rsidR="00703E9A" w:rsidRDefault="00703E9A">
      <w:r>
        <w:separator/>
      </w:r>
    </w:p>
    <w:p w14:paraId="6A035954" w14:textId="77777777" w:rsidR="00703E9A" w:rsidRDefault="00703E9A"/>
  </w:endnote>
  <w:endnote w:type="continuationSeparator" w:id="0">
    <w:p w14:paraId="5930C47E" w14:textId="77777777" w:rsidR="00703E9A" w:rsidRDefault="00703E9A">
      <w:r>
        <w:continuationSeparator/>
      </w:r>
    </w:p>
    <w:p w14:paraId="3EEEFE39" w14:textId="77777777" w:rsidR="00703E9A" w:rsidRDefault="00703E9A"/>
  </w:endnote>
  <w:endnote w:type="continuationNotice" w:id="1">
    <w:p w14:paraId="7D1B40D2" w14:textId="77777777" w:rsidR="00703E9A" w:rsidRDefault="00703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80E59" w14:textId="77777777" w:rsidR="008F65D5" w:rsidRDefault="008F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0A229403"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A3607C">
            <w:rPr>
              <w:rFonts w:cs="Arial"/>
              <w:noProof/>
              <w:sz w:val="22"/>
              <w:szCs w:val="22"/>
            </w:rPr>
            <w:t>11</w:t>
          </w:r>
          <w:r w:rsidRPr="00616B9B">
            <w:rPr>
              <w:rFonts w:cs="Arial"/>
              <w:noProof/>
              <w:sz w:val="22"/>
              <w:szCs w:val="22"/>
            </w:rPr>
            <w:fldChar w:fldCharType="end"/>
          </w:r>
        </w:p>
      </w:tc>
    </w:tr>
  </w:tbl>
  <w:p w14:paraId="6A3CB0F0" w14:textId="77777777" w:rsidR="00811EDA" w:rsidRDefault="00811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AD7D7" w14:textId="77777777" w:rsidR="008F65D5" w:rsidRDefault="008F6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100"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EF10C" w14:textId="77777777" w:rsidR="00703E9A" w:rsidRDefault="00703E9A">
      <w:r>
        <w:separator/>
      </w:r>
    </w:p>
    <w:p w14:paraId="11D2549F" w14:textId="77777777" w:rsidR="00703E9A" w:rsidRDefault="00703E9A"/>
  </w:footnote>
  <w:footnote w:type="continuationSeparator" w:id="0">
    <w:p w14:paraId="5464E227" w14:textId="77777777" w:rsidR="00703E9A" w:rsidRDefault="00703E9A">
      <w:r>
        <w:continuationSeparator/>
      </w:r>
    </w:p>
    <w:p w14:paraId="3D44CE08" w14:textId="77777777" w:rsidR="00703E9A" w:rsidRDefault="00703E9A"/>
  </w:footnote>
  <w:footnote w:type="continuationNotice" w:id="1">
    <w:p w14:paraId="1C615F7F" w14:textId="77777777" w:rsidR="00703E9A" w:rsidRDefault="00703E9A"/>
  </w:footnote>
  <w:footnote w:id="2">
    <w:p w14:paraId="52F26208" w14:textId="77777777" w:rsidR="00197794" w:rsidRDefault="00197794"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5DCD1" w14:textId="77777777" w:rsidR="008F65D5" w:rsidRDefault="008F6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0EC" w14:textId="0B1FCCA2" w:rsidR="00811EDA" w:rsidRDefault="008F65D5">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0F1" w14:textId="57FA93C8" w:rsidR="00811EDA" w:rsidRDefault="008F65D5"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05D5FF53"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683C2294"/>
    <w:lvl w:ilvl="0">
      <w:start w:val="1"/>
      <w:numFmt w:val="decimal"/>
      <w:lvlText w:val="%1."/>
      <w:lvlJc w:val="left"/>
      <w:pPr>
        <w:ind w:left="436" w:hanging="284"/>
      </w:pPr>
      <w:rPr>
        <w:b w:val="0"/>
        <w:bCs w:val="0"/>
        <w:color w:val="auto"/>
        <w:sz w:val="22"/>
        <w:szCs w:val="22"/>
      </w:rPr>
    </w:lvl>
    <w:lvl w:ilvl="1">
      <w:start w:val="1"/>
      <w:numFmt w:val="lowerLetter"/>
      <w:lvlText w:val="%2."/>
      <w:lvlJc w:val="left"/>
      <w:pPr>
        <w:ind w:left="796" w:hanging="360"/>
      </w:pPr>
      <w:rPr>
        <w:rFonts w:ascii="Arial" w:hAnsi="Arial" w:cs="Arial"/>
        <w:b w:val="0"/>
        <w:bCs w:val="0"/>
        <w:spacing w:val="-1"/>
        <w:sz w:val="22"/>
        <w:szCs w:val="22"/>
      </w:rPr>
    </w:lvl>
    <w:lvl w:ilvl="2">
      <w:numFmt w:val="bullet"/>
      <w:lvlText w:val=""/>
      <w:lvlJc w:val="left"/>
      <w:pPr>
        <w:ind w:left="1156" w:hanging="360"/>
      </w:pPr>
      <w:rPr>
        <w:rFonts w:ascii="Symbol" w:hAnsi="Symbol"/>
        <w:b w:val="0"/>
        <w:sz w:val="22"/>
      </w:rPr>
    </w:lvl>
    <w:lvl w:ilvl="3">
      <w:numFmt w:val="bullet"/>
      <w:lvlText w:val="•"/>
      <w:lvlJc w:val="left"/>
      <w:pPr>
        <w:ind w:left="2242" w:hanging="360"/>
      </w:pPr>
    </w:lvl>
    <w:lvl w:ilvl="4">
      <w:numFmt w:val="bullet"/>
      <w:lvlText w:val="•"/>
      <w:lvlJc w:val="left"/>
      <w:pPr>
        <w:ind w:left="3329" w:hanging="360"/>
      </w:pPr>
    </w:lvl>
    <w:lvl w:ilvl="5">
      <w:numFmt w:val="bullet"/>
      <w:lvlText w:val="•"/>
      <w:lvlJc w:val="left"/>
      <w:pPr>
        <w:ind w:left="4416" w:hanging="360"/>
      </w:pPr>
    </w:lvl>
    <w:lvl w:ilvl="6">
      <w:numFmt w:val="bullet"/>
      <w:lvlText w:val="•"/>
      <w:lvlJc w:val="left"/>
      <w:pPr>
        <w:ind w:left="5502" w:hanging="360"/>
      </w:pPr>
    </w:lvl>
    <w:lvl w:ilvl="7">
      <w:numFmt w:val="bullet"/>
      <w:lvlText w:val="•"/>
      <w:lvlJc w:val="left"/>
      <w:pPr>
        <w:ind w:left="6589" w:hanging="360"/>
      </w:pPr>
    </w:lvl>
    <w:lvl w:ilvl="8">
      <w:numFmt w:val="bullet"/>
      <w:lvlText w:val="•"/>
      <w:lvlJc w:val="left"/>
      <w:pPr>
        <w:ind w:left="7675" w:hanging="360"/>
      </w:pPr>
    </w:lvl>
  </w:abstractNum>
  <w:abstractNum w:abstractNumId="1"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9084AAD"/>
    <w:multiLevelType w:val="hybridMultilevel"/>
    <w:tmpl w:val="4C76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B823C0"/>
    <w:multiLevelType w:val="hybridMultilevel"/>
    <w:tmpl w:val="DA06D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5" w15:restartNumberingAfterBreak="0">
    <w:nsid w:val="56890A73"/>
    <w:multiLevelType w:val="hybridMultilevel"/>
    <w:tmpl w:val="2108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1" w15:restartNumberingAfterBreak="0">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2"/>
  </w:num>
  <w:num w:numId="3">
    <w:abstractNumId w:val="14"/>
  </w:num>
  <w:num w:numId="4">
    <w:abstractNumId w:val="30"/>
  </w:num>
  <w:num w:numId="5">
    <w:abstractNumId w:val="33"/>
  </w:num>
  <w:num w:numId="6">
    <w:abstractNumId w:val="1"/>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9"/>
  </w:num>
  <w:num w:numId="14">
    <w:abstractNumId w:val="27"/>
  </w:num>
  <w:num w:numId="15">
    <w:abstractNumId w:val="10"/>
  </w:num>
  <w:num w:numId="16">
    <w:abstractNumId w:val="2"/>
  </w:num>
  <w:num w:numId="17">
    <w:abstractNumId w:val="17"/>
  </w:num>
  <w:num w:numId="18">
    <w:abstractNumId w:val="18"/>
  </w:num>
  <w:num w:numId="19">
    <w:abstractNumId w:val="20"/>
  </w:num>
  <w:num w:numId="20">
    <w:abstractNumId w:val="34"/>
  </w:num>
  <w:num w:numId="21">
    <w:abstractNumId w:val="46"/>
  </w:num>
  <w:num w:numId="22">
    <w:abstractNumId w:val="32"/>
  </w:num>
  <w:num w:numId="23">
    <w:abstractNumId w:val="9"/>
  </w:num>
  <w:num w:numId="24">
    <w:abstractNumId w:val="38"/>
  </w:num>
  <w:num w:numId="25">
    <w:abstractNumId w:val="37"/>
  </w:num>
  <w:num w:numId="26">
    <w:abstractNumId w:val="23"/>
  </w:num>
  <w:num w:numId="27">
    <w:abstractNumId w:val="42"/>
  </w:num>
  <w:num w:numId="28">
    <w:abstractNumId w:val="48"/>
  </w:num>
  <w:num w:numId="29">
    <w:abstractNumId w:val="6"/>
  </w:num>
  <w:num w:numId="30">
    <w:abstractNumId w:val="3"/>
  </w:num>
  <w:num w:numId="31">
    <w:abstractNumId w:val="26"/>
  </w:num>
  <w:num w:numId="32">
    <w:abstractNumId w:val="24"/>
  </w:num>
  <w:num w:numId="33">
    <w:abstractNumId w:val="45"/>
  </w:num>
  <w:num w:numId="34">
    <w:abstractNumId w:val="44"/>
  </w:num>
  <w:num w:numId="35">
    <w:abstractNumId w:val="11"/>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8"/>
  </w:num>
  <w:num w:numId="39">
    <w:abstractNumId w:val="15"/>
  </w:num>
  <w:num w:numId="40">
    <w:abstractNumId w:val="12"/>
  </w:num>
  <w:num w:numId="41">
    <w:abstractNumId w:val="21"/>
  </w:num>
  <w:num w:numId="42">
    <w:abstractNumId w:val="41"/>
  </w:num>
  <w:num w:numId="43">
    <w:abstractNumId w:val="31"/>
  </w:num>
  <w:num w:numId="44">
    <w:abstractNumId w:val="31"/>
    <w:lvlOverride w:ilvl="0">
      <w:startOverride w:val="1"/>
    </w:lvlOverride>
  </w:num>
  <w:num w:numId="45">
    <w:abstractNumId w:val="29"/>
  </w:num>
  <w:num w:numId="46">
    <w:abstractNumId w:val="8"/>
  </w:num>
  <w:num w:numId="47">
    <w:abstractNumId w:val="35"/>
  </w:num>
  <w:num w:numId="48">
    <w:abstractNumId w:val="0"/>
  </w:num>
  <w:num w:numId="49">
    <w:abstractNumId w:val="25"/>
  </w:num>
  <w:num w:numId="50">
    <w:abstractNumId w:val="4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2252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22DA"/>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0CA"/>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08D"/>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617"/>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07C"/>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48BB"/>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0392"/>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uiPriority w:val="99"/>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 w:type="table" w:styleId="GridTable4-Accent1">
    <w:name w:val="Grid Table 4 Accent 1"/>
    <w:basedOn w:val="TableNormal"/>
    <w:uiPriority w:val="49"/>
    <w:rsid w:val="000322DA"/>
    <w:rPr>
      <w:rFonts w:asciiTheme="minorHAnsi" w:eastAsiaTheme="minorHAnsi" w:hAnsiTheme="minorHAnsi" w:cstheme="minorBidi"/>
      <w:sz w:val="22"/>
      <w:szCs w:val="22"/>
      <w:lang w:val="de-CH"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 ds:uri="http://schemas.microsoft.com/office/infopath/2007/PartnerControls"/>
    <ds:schemaRef ds:uri="35c8e399-07b8-49e4-91bf-01a20105d4df"/>
    <ds:schemaRef ds:uri="http://www.w3.org/XML/1998/namespace"/>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782D2779-B949-4A19-BA59-A0F96DDD5DD1}">
  <ds:schemaRefs>
    <ds:schemaRef ds:uri="http://schemas.openxmlformats.org/officeDocument/2006/bibliography"/>
  </ds:schemaRefs>
</ds:datastoreItem>
</file>

<file path=customXml/itemProps6.xml><?xml version="1.0" encoding="utf-8"?>
<ds:datastoreItem xmlns:ds="http://schemas.openxmlformats.org/officeDocument/2006/customXml" ds:itemID="{E99AA944-1B6E-47D7-B3E1-BDA14B22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A35E45C8.dotm</Template>
  <TotalTime>0</TotalTime>
  <Pages>11</Pages>
  <Words>3308</Words>
  <Characters>19070</Characters>
  <Application>Microsoft Office Word</Application>
  <DocSecurity>8</DocSecurity>
  <Lines>158</Lines>
  <Paragraphs>44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22334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Kelly Hess 2</cp:lastModifiedBy>
  <cp:revision>3</cp:revision>
  <cp:lastPrinted>2015-02-18T11:01:00Z</cp:lastPrinted>
  <dcterms:created xsi:type="dcterms:W3CDTF">2020-08-30T10:28:00Z</dcterms:created>
  <dcterms:modified xsi:type="dcterms:W3CDTF">2020-08-30T10:32:00Z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