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tc>
          <w:tcPr>
            <w:tcW w:w="5595" w:type="dxa"/>
            <w:shd w:val="clear" w:color="auto" w:fill="auto"/>
          </w:tcPr>
          <w:p w14:paraId="6A3CB051" w14:textId="69AC7DB6" w:rsidR="00B327E9" w:rsidRPr="00AB6D88" w:rsidRDefault="00B15A49" w:rsidP="00F136AD">
            <w:pPr>
              <w:rPr>
                <w:rStyle w:val="PlaceholderText"/>
                <w:rFonts w:cs="Arial"/>
              </w:rPr>
            </w:pPr>
            <w:r>
              <w:rPr>
                <w:rStyle w:val="PlaceholderText"/>
                <w:rFonts w:cs="Arial"/>
              </w:rPr>
              <w:t>Centre for Housing Law, Rights and Policy, National University of Ireland Galway.</w:t>
            </w:r>
          </w:p>
        </w:tc>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0733E26" w:rsidR="00B327E9" w:rsidRPr="00AB6D88" w:rsidRDefault="004C65F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15A49">
                  <w:rPr>
                    <w:rFonts w:cs="Arial"/>
                  </w:rPr>
                  <w:t>Audit/Legal/Individual</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1709AFDD" w:rsidR="00B327E9" w:rsidRPr="00AB6D88" w:rsidRDefault="00B15A4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DF3F1AC" w:rsidR="00B327E9" w:rsidRPr="00AB6D88" w:rsidRDefault="00B15A49" w:rsidP="00F136AD">
                <w:pPr>
                  <w:rPr>
                    <w:rFonts w:cs="Arial"/>
                  </w:rPr>
                </w:pPr>
                <w:r>
                  <w:rPr>
                    <w:rFonts w:cs="Arial"/>
                  </w:rPr>
                  <w:t>Ireland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4FB623E4" w14:textId="77777777" w:rsidR="00B15A49" w:rsidRDefault="00B15A49" w:rsidP="00B327E9">
      <w:permStart w:id="411981036" w:edGrp="everyone"/>
      <w:r>
        <w:t xml:space="preserve">The proposed environmental, social and governance disclosure standards for financial market participants, advisers and products represent a very valuable development in EU governance. This response seeks to highlight the obligations of the European Supervisory Authorities to respect the rights, observe the principles and promote the application of the EU Charter of Fundamental Rights in the creation and supervision of Regulatory Technical Standards, building on the valuable human rights indicators already set out in the proposals. </w:t>
      </w:r>
    </w:p>
    <w:permEnd w:id="411981036"/>
    <w:p w14:paraId="6A3CB062" w14:textId="5FAECB32"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4C693AB4" w:rsidR="003E573C" w:rsidRDefault="00B15A49" w:rsidP="003E573C">
      <w:pPr>
        <w:rPr>
          <w:rFonts w:cs="Arial"/>
        </w:rPr>
      </w:pPr>
      <w:permStart w:id="1221819945" w:edGrp="everyone"/>
      <w:r>
        <w:rPr>
          <w:rFonts w:cs="Arial"/>
        </w:rPr>
        <w:t>I agree that the indicators set out in table 1 require consistent disclosure, but I think that there should not be an opt out for tables 2 and 3</w:t>
      </w:r>
      <w:r w:rsidR="00B255F8">
        <w:rPr>
          <w:rFonts w:cs="Arial"/>
        </w:rPr>
        <w:t>, a</w:t>
      </w:r>
      <w:r>
        <w:rPr>
          <w:rFonts w:cs="Arial"/>
        </w:rPr>
        <w:t xml:space="preserve">s these issues are </w:t>
      </w:r>
      <w:r w:rsidR="00B255F8">
        <w:rPr>
          <w:rFonts w:cs="Arial"/>
        </w:rPr>
        <w:t>enormously significant and governments as well as the EU have made binding commitments on many of these issues.</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5FA75D41" w14:textId="77777777" w:rsidR="00B255F8" w:rsidRDefault="00B255F8" w:rsidP="003E573C">
      <w:pPr>
        <w:rPr>
          <w:rFonts w:cs="Arial"/>
        </w:rPr>
      </w:pPr>
      <w:permStart w:id="729947415" w:edGrp="everyone"/>
      <w:proofErr w:type="gramStart"/>
      <w:r>
        <w:rPr>
          <w:rFonts w:cs="Arial"/>
        </w:rPr>
        <w:t>Yes</w:t>
      </w:r>
      <w:proofErr w:type="gramEnd"/>
      <w:r>
        <w:rPr>
          <w:rFonts w:cs="Arial"/>
        </w:rPr>
        <w:t xml:space="preserve"> it represents a good approach.</w:t>
      </w:r>
    </w:p>
    <w:permEnd w:id="729947415"/>
    <w:p w14:paraId="6415E03C" w14:textId="4FFE08E0"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27F84B2C" w14:textId="78A81525" w:rsidR="00084D8D" w:rsidRPr="00084D8D" w:rsidRDefault="00B255F8" w:rsidP="00084D8D">
      <w:pPr>
        <w:rPr>
          <w:rFonts w:cs="Arial"/>
          <w:szCs w:val="20"/>
          <w:lang w:eastAsia="en-GB"/>
        </w:rPr>
      </w:pPr>
      <w:permStart w:id="1220688604" w:edGrp="everyone"/>
      <w:r w:rsidRPr="00084D8D">
        <w:rPr>
          <w:rFonts w:cs="Arial"/>
          <w:szCs w:val="20"/>
        </w:rPr>
        <w:t xml:space="preserve">Yes. In relation to the section on human rights policy, </w:t>
      </w:r>
      <w:r w:rsidR="00C876C0" w:rsidRPr="00084D8D">
        <w:rPr>
          <w:rFonts w:cs="Arial"/>
          <w:szCs w:val="20"/>
        </w:rPr>
        <w:t xml:space="preserve">set out indicators 23-29. These are valuable human </w:t>
      </w:r>
      <w:proofErr w:type="gramStart"/>
      <w:r w:rsidR="00C876C0" w:rsidRPr="00084D8D">
        <w:rPr>
          <w:rFonts w:cs="Arial"/>
          <w:szCs w:val="20"/>
        </w:rPr>
        <w:t>rights standards, and</w:t>
      </w:r>
      <w:proofErr w:type="gramEnd"/>
      <w:r w:rsidR="00C876C0" w:rsidRPr="00084D8D">
        <w:rPr>
          <w:rFonts w:cs="Arial"/>
          <w:szCs w:val="20"/>
        </w:rPr>
        <w:t xml:space="preserve"> represent major development in the implementation of the UN Business and Human rights standards within the regulatory architecture of the EU. </w:t>
      </w:r>
      <w:r w:rsidR="00A9574E" w:rsidRPr="00084D8D">
        <w:rPr>
          <w:rFonts w:cs="Arial"/>
          <w:szCs w:val="20"/>
        </w:rPr>
        <w:t xml:space="preserve">The focus on preventing trafficking, child labour, forced labour, human rights abuses, anti-corruption, land mines and cluster bombs is </w:t>
      </w:r>
      <w:proofErr w:type="gramStart"/>
      <w:r w:rsidR="00A9574E" w:rsidRPr="00084D8D">
        <w:rPr>
          <w:rFonts w:cs="Arial"/>
          <w:szCs w:val="20"/>
        </w:rPr>
        <w:t>enormously  valuable</w:t>
      </w:r>
      <w:proofErr w:type="gramEnd"/>
      <w:r w:rsidR="00A9574E" w:rsidRPr="00084D8D">
        <w:rPr>
          <w:rFonts w:cs="Arial"/>
          <w:szCs w:val="20"/>
        </w:rPr>
        <w:t xml:space="preserve"> for the advancement of human rights. However, as all EU institutions have an </w:t>
      </w:r>
      <w:proofErr w:type="gramStart"/>
      <w:r w:rsidR="00A9574E" w:rsidRPr="00084D8D">
        <w:rPr>
          <w:rFonts w:cs="Arial"/>
          <w:szCs w:val="20"/>
        </w:rPr>
        <w:t>obligations</w:t>
      </w:r>
      <w:proofErr w:type="gramEnd"/>
      <w:r w:rsidR="00A9574E" w:rsidRPr="00084D8D">
        <w:rPr>
          <w:rFonts w:cs="Arial"/>
          <w:szCs w:val="20"/>
        </w:rPr>
        <w:t xml:space="preserve"> to respect the rights, observe the principles and promote the application of the EU Charter of Fundamental Rights within their mandates and competences, it is important to include the full range of rights and principles set out in the Charter</w:t>
      </w:r>
      <w:r w:rsidR="00461EDF">
        <w:rPr>
          <w:rFonts w:cs="Arial"/>
          <w:szCs w:val="20"/>
        </w:rPr>
        <w:t xml:space="preserve">. </w:t>
      </w:r>
      <w:r w:rsidR="00A9574E" w:rsidRPr="00084D8D">
        <w:rPr>
          <w:rFonts w:cs="Arial"/>
          <w:szCs w:val="20"/>
        </w:rPr>
        <w:t xml:space="preserve">This would provide a more Europe-centred approach where the human rights standards are more developed and broader. See </w:t>
      </w:r>
      <w:r w:rsidR="00A9574E" w:rsidRPr="00084D8D">
        <w:rPr>
          <w:rFonts w:cs="Arial"/>
          <w:szCs w:val="20"/>
          <w:lang w:eastAsia="en-GB"/>
        </w:rPr>
        <w:t>Charter of Fundamental Rights of the European Union, OJ 2010/C 83/02</w:t>
      </w:r>
      <w:r w:rsidR="00084D8D" w:rsidRPr="00084D8D">
        <w:rPr>
          <w:rFonts w:cs="Arial"/>
          <w:szCs w:val="20"/>
          <w:lang w:eastAsia="en-GB"/>
        </w:rPr>
        <w:t xml:space="preserve"> and </w:t>
      </w:r>
      <w:r w:rsidR="00084D8D" w:rsidRPr="00084D8D">
        <w:rPr>
          <w:rFonts w:cs="Arial"/>
          <w:i/>
          <w:iCs/>
          <w:szCs w:val="20"/>
          <w:lang w:eastAsia="en-GB"/>
        </w:rPr>
        <w:t>Briefing Paper 3: Integrating Charter Housing Rights into EU Economic Governance and Financial Supervision</w:t>
      </w:r>
      <w:r w:rsidR="00084D8D" w:rsidRPr="00084D8D">
        <w:rPr>
          <w:rFonts w:cs="Arial"/>
          <w:szCs w:val="20"/>
          <w:lang w:eastAsia="en-GB"/>
        </w:rPr>
        <w:t xml:space="preserve"> available at: </w:t>
      </w:r>
      <w:hyperlink r:id="rId23" w:history="1">
        <w:r w:rsidR="00084D8D" w:rsidRPr="00084D8D">
          <w:rPr>
            <w:rStyle w:val="Hyperlink"/>
            <w:rFonts w:cs="Arial"/>
            <w:szCs w:val="20"/>
          </w:rPr>
          <w:t>http://www.nuigalway.ie/media/housinglawrightsandpolicy/files/Briefing-3-Integration-EU-Charter-Housing-Rights-into-EU-Economic-Governance-and-Financial-Supervision--.pdf</w:t>
        </w:r>
      </w:hyperlink>
    </w:p>
    <w:p w14:paraId="44E9641A" w14:textId="77777777" w:rsidR="00084D8D" w:rsidRPr="00084D8D" w:rsidRDefault="00084D8D" w:rsidP="00FF7A3C">
      <w:pPr>
        <w:rPr>
          <w:rFonts w:cs="Arial"/>
          <w:szCs w:val="20"/>
        </w:rPr>
      </w:pPr>
    </w:p>
    <w:p w14:paraId="6E52AA15" w14:textId="77777777" w:rsidR="00461EDF" w:rsidRPr="00461EDF" w:rsidRDefault="00461EDF" w:rsidP="00461EDF">
      <w:pPr>
        <w:spacing w:line="276" w:lineRule="auto"/>
        <w:jc w:val="both"/>
        <w:rPr>
          <w:rFonts w:cs="Arial"/>
          <w:szCs w:val="20"/>
        </w:rPr>
      </w:pPr>
      <w:r w:rsidRPr="00461EDF">
        <w:rPr>
          <w:rFonts w:cs="Arial"/>
          <w:szCs w:val="20"/>
        </w:rPr>
        <w:t xml:space="preserve">Articles of the Charter recognise that human dignity is inviolable and must be respected and protected. The Charter contains rights to respect for family life and home, primacy of the best interests of children, adequate supply of housing for families (in the widest sense), access to services of general economic interest (which </w:t>
      </w:r>
      <w:r w:rsidRPr="00461EDF">
        <w:rPr>
          <w:rFonts w:cs="Arial"/>
          <w:szCs w:val="20"/>
        </w:rPr>
        <w:lastRenderedPageBreak/>
        <w:t>includes social housing), fair procedures in protection of rights,</w:t>
      </w:r>
      <w:r w:rsidRPr="00461EDF">
        <w:rPr>
          <w:rStyle w:val="FootnoteReference"/>
          <w:rFonts w:cs="Arial"/>
          <w:szCs w:val="20"/>
        </w:rPr>
        <w:footnoteReference w:id="3"/>
      </w:r>
      <w:r w:rsidRPr="00461EDF">
        <w:rPr>
          <w:rFonts w:cs="Arial"/>
          <w:szCs w:val="20"/>
        </w:rPr>
        <w:t xml:space="preserve"> and a right to social and housing assistance so as to ensure a decent existence for all who lack sufficient resources.</w:t>
      </w:r>
      <w:r w:rsidRPr="00461EDF">
        <w:rPr>
          <w:rStyle w:val="FootnoteReference"/>
          <w:rFonts w:cs="Arial"/>
          <w:szCs w:val="20"/>
        </w:rPr>
        <w:footnoteReference w:id="4"/>
      </w:r>
      <w:r w:rsidRPr="00461EDF">
        <w:rPr>
          <w:rFonts w:cs="Arial"/>
          <w:szCs w:val="20"/>
        </w:rPr>
        <w:t xml:space="preserve"> </w:t>
      </w:r>
    </w:p>
    <w:p w14:paraId="7453EA73" w14:textId="77777777" w:rsidR="00461EDF" w:rsidRPr="00461EDF" w:rsidRDefault="00461EDF" w:rsidP="00461EDF">
      <w:pPr>
        <w:spacing w:line="276" w:lineRule="auto"/>
        <w:jc w:val="both"/>
        <w:rPr>
          <w:rFonts w:cs="Arial"/>
          <w:szCs w:val="20"/>
        </w:rPr>
      </w:pPr>
    </w:p>
    <w:p w14:paraId="4E7B0E83" w14:textId="3C2F169E" w:rsidR="00461EDF" w:rsidRPr="00461EDF" w:rsidRDefault="00461EDF" w:rsidP="00461EDF">
      <w:pPr>
        <w:spacing w:line="276" w:lineRule="auto"/>
        <w:jc w:val="both"/>
        <w:rPr>
          <w:rFonts w:cs="Arial"/>
          <w:szCs w:val="20"/>
        </w:rPr>
      </w:pPr>
      <w:r w:rsidRPr="00461EDF">
        <w:rPr>
          <w:rFonts w:cs="Arial"/>
          <w:color w:val="000000" w:themeColor="text1"/>
          <w:szCs w:val="20"/>
        </w:rPr>
        <w:t xml:space="preserve">Article 51 on the field of application of the Charter </w:t>
      </w:r>
      <w:r w:rsidRPr="00461EDF">
        <w:rPr>
          <w:rFonts w:cs="Arial"/>
          <w:szCs w:val="20"/>
        </w:rPr>
        <w:t>establishes clearly that it applies primarily to the institutions, agencies, offices and bodies of the Union, in line with the principle of subsidiarity.</w:t>
      </w:r>
      <w:r w:rsidRPr="00461EDF">
        <w:rPr>
          <w:rStyle w:val="FootnoteReference"/>
          <w:rFonts w:cs="Arial"/>
          <w:color w:val="000000" w:themeColor="text1"/>
          <w:szCs w:val="20"/>
        </w:rPr>
        <w:footnoteReference w:id="5"/>
      </w:r>
      <w:r w:rsidRPr="00461EDF">
        <w:rPr>
          <w:rFonts w:cs="Arial"/>
          <w:color w:val="000000" w:themeColor="text1"/>
          <w:szCs w:val="20"/>
        </w:rPr>
        <w:t xml:space="preserve"> These must </w:t>
      </w:r>
      <w:r w:rsidRPr="00461EDF">
        <w:rPr>
          <w:rFonts w:cs="Arial"/>
          <w:szCs w:val="20"/>
        </w:rPr>
        <w:t>respect the rights, observe the principles and promote the application of the Charter within their respective competences and mandates. It</w:t>
      </w:r>
      <w:r w:rsidRPr="00461EDF">
        <w:rPr>
          <w:rFonts w:cs="Arial"/>
          <w:color w:val="000000" w:themeColor="text1"/>
          <w:szCs w:val="20"/>
        </w:rPr>
        <w:t xml:space="preserve"> </w:t>
      </w:r>
      <w:r w:rsidRPr="00461EDF">
        <w:rPr>
          <w:rFonts w:eastAsiaTheme="minorEastAsia" w:cs="Arial"/>
          <w:color w:val="000000" w:themeColor="text1"/>
          <w:szCs w:val="20"/>
        </w:rPr>
        <w:t>is incontrovertible that any act produced by EU institutions having legal effects vis-à-vis third parties must comply with the Charter.</w:t>
      </w:r>
      <w:r w:rsidRPr="00461EDF">
        <w:rPr>
          <w:rStyle w:val="FootnoteReference"/>
          <w:rFonts w:eastAsiaTheme="minorEastAsia" w:cs="Arial"/>
          <w:color w:val="000000" w:themeColor="text1"/>
          <w:szCs w:val="20"/>
        </w:rPr>
        <w:footnoteReference w:id="6"/>
      </w:r>
      <w:r w:rsidRPr="00461EDF">
        <w:rPr>
          <w:rFonts w:eastAsiaTheme="minorEastAsia" w:cs="Arial"/>
          <w:color w:val="000000" w:themeColor="text1"/>
          <w:szCs w:val="20"/>
        </w:rPr>
        <w:t xml:space="preserve"> The EU Agency for Fundamental Rights has recently pointed out that </w:t>
      </w:r>
      <w:r w:rsidRPr="00461EDF">
        <w:rPr>
          <w:rFonts w:cs="Arial"/>
          <w:color w:val="000000" w:themeColor="text1"/>
          <w:szCs w:val="20"/>
        </w:rPr>
        <w:t>the Charter, in its entirety, addresses and is applicable to the institutions, bodies, offices and agencies of the Union.</w:t>
      </w:r>
      <w:r w:rsidRPr="00461EDF">
        <w:rPr>
          <w:rStyle w:val="FootnoteReference"/>
          <w:rFonts w:cs="Arial"/>
          <w:color w:val="000000" w:themeColor="text1"/>
          <w:szCs w:val="20"/>
        </w:rPr>
        <w:footnoteReference w:id="7"/>
      </w:r>
    </w:p>
    <w:p w14:paraId="328D35B8" w14:textId="77777777" w:rsidR="00461EDF" w:rsidRDefault="00461EDF" w:rsidP="00FF7A3C">
      <w:pPr>
        <w:rPr>
          <w:rFonts w:cs="Arial"/>
          <w:szCs w:val="20"/>
        </w:rPr>
      </w:pPr>
    </w:p>
    <w:p w14:paraId="6B3D6ECF" w14:textId="61E89446" w:rsidR="00175210" w:rsidRPr="00084D8D" w:rsidRDefault="007A2AA3" w:rsidP="00FF7A3C">
      <w:pPr>
        <w:rPr>
          <w:rFonts w:cs="Arial"/>
          <w:szCs w:val="20"/>
        </w:rPr>
      </w:pPr>
      <w:r w:rsidRPr="00084D8D">
        <w:rPr>
          <w:rFonts w:cs="Arial"/>
          <w:szCs w:val="20"/>
        </w:rPr>
        <w:t xml:space="preserve">I would suggest that ESAs should </w:t>
      </w:r>
      <w:r w:rsidR="00B11449" w:rsidRPr="00084D8D">
        <w:rPr>
          <w:rFonts w:cs="Arial"/>
          <w:szCs w:val="20"/>
        </w:rPr>
        <w:t xml:space="preserve">integrate the Charter fully into the </w:t>
      </w:r>
      <w:r w:rsidR="00B11449" w:rsidRPr="00084D8D">
        <w:rPr>
          <w:rFonts w:cs="Arial"/>
          <w:bCs/>
          <w:color w:val="000000" w:themeColor="text1"/>
          <w:szCs w:val="20"/>
        </w:rPr>
        <w:t>financial regulation and supervision</w:t>
      </w:r>
      <w:r w:rsidR="00B11449" w:rsidRPr="00084D8D">
        <w:rPr>
          <w:rFonts w:cs="Arial"/>
          <w:bCs/>
          <w:color w:val="000000" w:themeColor="text1"/>
          <w:szCs w:val="20"/>
        </w:rPr>
        <w:t xml:space="preserve"> framework and regulatory standards. </w:t>
      </w:r>
      <w:r w:rsidRPr="00084D8D">
        <w:rPr>
          <w:rFonts w:cs="Arial"/>
          <w:szCs w:val="20"/>
        </w:rPr>
        <w:t xml:space="preserve">Explicit references to Charter rights need to be visible within the </w:t>
      </w:r>
      <w:r w:rsidR="00B11449" w:rsidRPr="00084D8D">
        <w:rPr>
          <w:rFonts w:cs="Arial"/>
          <w:szCs w:val="20"/>
        </w:rPr>
        <w:t xml:space="preserve">regulatory </w:t>
      </w:r>
      <w:r w:rsidRPr="00084D8D">
        <w:rPr>
          <w:rFonts w:cs="Arial"/>
          <w:szCs w:val="20"/>
        </w:rPr>
        <w:t xml:space="preserve">legal framework </w:t>
      </w:r>
      <w:r w:rsidR="00084D8D" w:rsidRPr="00084D8D">
        <w:rPr>
          <w:rFonts w:cs="Arial"/>
          <w:szCs w:val="20"/>
        </w:rPr>
        <w:t xml:space="preserve">and indicators </w:t>
      </w:r>
      <w:r w:rsidR="00B11449" w:rsidRPr="00084D8D">
        <w:rPr>
          <w:rFonts w:cs="Arial"/>
          <w:szCs w:val="20"/>
        </w:rPr>
        <w:t>of ESAs</w:t>
      </w:r>
      <w:r w:rsidR="00FF7A3C" w:rsidRPr="00084D8D">
        <w:rPr>
          <w:rFonts w:cs="Arial"/>
          <w:szCs w:val="20"/>
        </w:rPr>
        <w:t xml:space="preserve">. </w:t>
      </w:r>
    </w:p>
    <w:p w14:paraId="4B14FF48" w14:textId="77777777" w:rsidR="00175210" w:rsidRPr="00084D8D" w:rsidRDefault="00175210" w:rsidP="00FF7A3C">
      <w:pPr>
        <w:rPr>
          <w:rFonts w:cs="Arial"/>
          <w:szCs w:val="20"/>
        </w:rPr>
      </w:pPr>
    </w:p>
    <w:p w14:paraId="3CBCED6F" w14:textId="483A3AA1" w:rsidR="007A2AA3" w:rsidRPr="00084D8D" w:rsidRDefault="007A2AA3" w:rsidP="00FF7A3C">
      <w:pPr>
        <w:rPr>
          <w:rFonts w:cs="Arial"/>
          <w:color w:val="000000" w:themeColor="text1"/>
          <w:szCs w:val="20"/>
        </w:rPr>
      </w:pPr>
      <w:r w:rsidRPr="00084D8D">
        <w:rPr>
          <w:rFonts w:cs="Arial"/>
          <w:szCs w:val="20"/>
        </w:rPr>
        <w:t xml:space="preserve">In its assessment of risk, </w:t>
      </w:r>
      <w:r w:rsidR="00FF7A3C" w:rsidRPr="00084D8D">
        <w:rPr>
          <w:rFonts w:cs="Arial"/>
          <w:szCs w:val="20"/>
        </w:rPr>
        <w:t xml:space="preserve">ESAs </w:t>
      </w:r>
      <w:r w:rsidRPr="00084D8D">
        <w:rPr>
          <w:rFonts w:cs="Arial"/>
          <w:szCs w:val="20"/>
        </w:rPr>
        <w:t xml:space="preserve">must address risk to EU citizens, </w:t>
      </w:r>
      <w:r w:rsidR="00084D8D" w:rsidRPr="00084D8D">
        <w:rPr>
          <w:rFonts w:cs="Arial"/>
          <w:szCs w:val="20"/>
        </w:rPr>
        <w:t xml:space="preserve">in relation to the array of rights set out in the Charter, including health, social security, housing and </w:t>
      </w:r>
      <w:proofErr w:type="gramStart"/>
      <w:r w:rsidR="00084D8D" w:rsidRPr="00084D8D">
        <w:rPr>
          <w:rFonts w:cs="Arial"/>
          <w:szCs w:val="20"/>
        </w:rPr>
        <w:t>others</w:t>
      </w:r>
      <w:proofErr w:type="gramEnd"/>
      <w:r w:rsidR="00084D8D" w:rsidRPr="00084D8D">
        <w:rPr>
          <w:rFonts w:cs="Arial"/>
          <w:szCs w:val="20"/>
        </w:rPr>
        <w:t xml:space="preserve"> areas. Risks </w:t>
      </w:r>
      <w:r w:rsidRPr="00084D8D">
        <w:rPr>
          <w:rFonts w:cs="Arial"/>
          <w:szCs w:val="20"/>
        </w:rPr>
        <w:t>against income loss, illness, or other unforeseen events, which could result in loss of home or homelessness</w:t>
      </w:r>
      <w:r w:rsidR="00084D8D" w:rsidRPr="00084D8D">
        <w:rPr>
          <w:rFonts w:cs="Arial"/>
          <w:szCs w:val="20"/>
        </w:rPr>
        <w:t xml:space="preserve"> must be addressed. </w:t>
      </w:r>
      <w:r w:rsidR="00FF7A3C" w:rsidRPr="00084D8D">
        <w:rPr>
          <w:rFonts w:cs="Arial"/>
          <w:szCs w:val="20"/>
        </w:rPr>
        <w:t xml:space="preserve">ESAs </w:t>
      </w:r>
      <w:r w:rsidRPr="00084D8D">
        <w:rPr>
          <w:rFonts w:cs="Arial"/>
          <w:szCs w:val="20"/>
        </w:rPr>
        <w:t xml:space="preserve">should develop enhanced forms of consultation, impact assessments, including specific gender impact assessments, and legal scrutiny, with the involvement of independent experts in the field of fundamental rights. </w:t>
      </w:r>
      <w:r w:rsidR="00FF7A3C" w:rsidRPr="00084D8D">
        <w:rPr>
          <w:rFonts w:cs="Arial"/>
          <w:szCs w:val="20"/>
        </w:rPr>
        <w:t xml:space="preserve">This could particularly involve: </w:t>
      </w:r>
    </w:p>
    <w:p w14:paraId="36ED879A" w14:textId="77777777" w:rsidR="007A2AA3" w:rsidRPr="00084D8D" w:rsidRDefault="007A2AA3" w:rsidP="007A2AA3">
      <w:pPr>
        <w:pStyle w:val="ListParagraph"/>
        <w:jc w:val="both"/>
        <w:rPr>
          <w:rFonts w:cs="Arial"/>
          <w:color w:val="000000" w:themeColor="text1"/>
          <w:szCs w:val="20"/>
          <w:lang w:eastAsia="en-IE"/>
        </w:rPr>
      </w:pPr>
    </w:p>
    <w:p w14:paraId="137A6634" w14:textId="77777777" w:rsidR="007A2AA3" w:rsidRPr="00084D8D" w:rsidRDefault="007A2AA3" w:rsidP="004C65FF">
      <w:pPr>
        <w:pStyle w:val="ListParagraph"/>
        <w:numPr>
          <w:ilvl w:val="1"/>
          <w:numId w:val="41"/>
        </w:numPr>
        <w:spacing w:before="120" w:after="120" w:line="276" w:lineRule="auto"/>
        <w:jc w:val="both"/>
        <w:rPr>
          <w:rFonts w:cs="Arial"/>
          <w:color w:val="000000" w:themeColor="text1"/>
          <w:szCs w:val="20"/>
        </w:rPr>
      </w:pPr>
      <w:r w:rsidRPr="00084D8D">
        <w:rPr>
          <w:rFonts w:cs="Arial"/>
          <w:szCs w:val="20"/>
        </w:rPr>
        <w:t xml:space="preserve">adopting a fundamental rights strategy, with time-bound commitments; </w:t>
      </w:r>
    </w:p>
    <w:p w14:paraId="59AF926F" w14:textId="77777777" w:rsidR="007A2AA3" w:rsidRPr="00084D8D" w:rsidRDefault="007A2AA3" w:rsidP="004C65FF">
      <w:pPr>
        <w:pStyle w:val="ListParagraph"/>
        <w:numPr>
          <w:ilvl w:val="1"/>
          <w:numId w:val="41"/>
        </w:numPr>
        <w:autoSpaceDE w:val="0"/>
        <w:autoSpaceDN w:val="0"/>
        <w:adjustRightInd w:val="0"/>
        <w:spacing w:line="276" w:lineRule="auto"/>
        <w:jc w:val="both"/>
        <w:rPr>
          <w:rFonts w:cs="Arial"/>
          <w:szCs w:val="20"/>
        </w:rPr>
      </w:pPr>
      <w:r w:rsidRPr="00084D8D">
        <w:rPr>
          <w:rFonts w:cs="Arial"/>
          <w:szCs w:val="20"/>
        </w:rPr>
        <w:t xml:space="preserve">including a reference to fundamental rights in a code of conduct for staff; </w:t>
      </w:r>
    </w:p>
    <w:p w14:paraId="3F919958" w14:textId="77777777" w:rsidR="007A2AA3" w:rsidRPr="00084D8D" w:rsidRDefault="007A2AA3" w:rsidP="004C65FF">
      <w:pPr>
        <w:pStyle w:val="ListParagraph"/>
        <w:numPr>
          <w:ilvl w:val="1"/>
          <w:numId w:val="41"/>
        </w:numPr>
        <w:autoSpaceDE w:val="0"/>
        <w:autoSpaceDN w:val="0"/>
        <w:adjustRightInd w:val="0"/>
        <w:spacing w:line="276" w:lineRule="auto"/>
        <w:jc w:val="both"/>
        <w:rPr>
          <w:rFonts w:cs="Arial"/>
          <w:szCs w:val="20"/>
        </w:rPr>
      </w:pPr>
      <w:r w:rsidRPr="00084D8D">
        <w:rPr>
          <w:rFonts w:cs="Arial"/>
          <w:szCs w:val="20"/>
        </w:rPr>
        <w:t xml:space="preserve">setting up mechanisms ensuring that any violation of fundamental rights be detected and reported, and that risks of such violations be swiftly brought to the attention of the main bodies of the agency; </w:t>
      </w:r>
    </w:p>
    <w:p w14:paraId="4FB4A9D2" w14:textId="77777777" w:rsidR="007A2AA3" w:rsidRPr="00084D8D" w:rsidRDefault="007A2AA3" w:rsidP="004C65FF">
      <w:pPr>
        <w:pStyle w:val="ListParagraph"/>
        <w:numPr>
          <w:ilvl w:val="1"/>
          <w:numId w:val="41"/>
        </w:numPr>
        <w:autoSpaceDE w:val="0"/>
        <w:autoSpaceDN w:val="0"/>
        <w:adjustRightInd w:val="0"/>
        <w:spacing w:line="276" w:lineRule="auto"/>
        <w:jc w:val="both"/>
        <w:rPr>
          <w:rFonts w:cs="Arial"/>
          <w:szCs w:val="20"/>
        </w:rPr>
      </w:pPr>
      <w:r w:rsidRPr="00084D8D">
        <w:rPr>
          <w:rFonts w:cs="Arial"/>
          <w:szCs w:val="20"/>
        </w:rPr>
        <w:t xml:space="preserve">establishing the position of a fundamental rights officer: </w:t>
      </w:r>
    </w:p>
    <w:p w14:paraId="60E3C9DC" w14:textId="77777777" w:rsidR="007A2AA3" w:rsidRPr="00084D8D" w:rsidRDefault="007A2AA3" w:rsidP="004C65FF">
      <w:pPr>
        <w:pStyle w:val="ListParagraph"/>
        <w:numPr>
          <w:ilvl w:val="1"/>
          <w:numId w:val="41"/>
        </w:numPr>
        <w:autoSpaceDE w:val="0"/>
        <w:autoSpaceDN w:val="0"/>
        <w:adjustRightInd w:val="0"/>
        <w:spacing w:line="276" w:lineRule="auto"/>
        <w:jc w:val="both"/>
        <w:rPr>
          <w:rFonts w:cs="Arial"/>
          <w:szCs w:val="20"/>
        </w:rPr>
      </w:pPr>
      <w:r w:rsidRPr="00084D8D">
        <w:rPr>
          <w:rFonts w:cs="Arial"/>
          <w:szCs w:val="20"/>
        </w:rPr>
        <w:t xml:space="preserve">developing a regular dialogue with civil society organisations and relevant international organisations on fundamental rights issues; </w:t>
      </w:r>
    </w:p>
    <w:p w14:paraId="1DC3DE55" w14:textId="77777777" w:rsidR="007A2AA3" w:rsidRPr="00084D8D" w:rsidRDefault="007A2AA3" w:rsidP="004C65FF">
      <w:pPr>
        <w:pStyle w:val="ListParagraph"/>
        <w:numPr>
          <w:ilvl w:val="1"/>
          <w:numId w:val="41"/>
        </w:numPr>
        <w:autoSpaceDE w:val="0"/>
        <w:autoSpaceDN w:val="0"/>
        <w:adjustRightInd w:val="0"/>
        <w:spacing w:line="276" w:lineRule="auto"/>
        <w:jc w:val="both"/>
        <w:rPr>
          <w:rFonts w:cs="Arial"/>
          <w:color w:val="000000" w:themeColor="text1"/>
          <w:szCs w:val="20"/>
        </w:rPr>
      </w:pPr>
      <w:r w:rsidRPr="00084D8D">
        <w:rPr>
          <w:rFonts w:cs="Arial"/>
          <w:szCs w:val="20"/>
        </w:rPr>
        <w:t>ensuring that compliance with fundamental rights becomes a central component of the terms of reference of the collaboration of the EU agency concerned with external actors, including in particular members of national administrations with whom they interact at operational level.</w:t>
      </w:r>
      <w:r w:rsidRPr="00084D8D">
        <w:rPr>
          <w:rStyle w:val="FootnoteReference"/>
          <w:rFonts w:cs="Arial"/>
          <w:szCs w:val="20"/>
        </w:rPr>
        <w:footnoteReference w:id="8"/>
      </w:r>
    </w:p>
    <w:p w14:paraId="7E351B72" w14:textId="77777777" w:rsidR="007A2AA3" w:rsidRPr="00BC013C" w:rsidRDefault="007A2AA3" w:rsidP="007A2AA3">
      <w:pPr>
        <w:pStyle w:val="ListParagraph"/>
        <w:autoSpaceDE w:val="0"/>
        <w:autoSpaceDN w:val="0"/>
        <w:adjustRightInd w:val="0"/>
        <w:spacing w:line="276" w:lineRule="auto"/>
        <w:jc w:val="both"/>
        <w:rPr>
          <w:rFonts w:ascii="Roboto" w:hAnsi="Roboto" w:cstheme="minorHAnsi"/>
          <w:color w:val="000000" w:themeColor="text1"/>
          <w:sz w:val="22"/>
        </w:rPr>
      </w:pPr>
    </w:p>
    <w:permEnd w:id="1220688604"/>
    <w:p w14:paraId="53DA6878" w14:textId="5607403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0C4888F4" w14:textId="65901DD4" w:rsidR="00A9574E" w:rsidRDefault="00A9574E" w:rsidP="003E573C">
      <w:pPr>
        <w:rPr>
          <w:rFonts w:cs="Arial"/>
        </w:rPr>
      </w:pPr>
      <w:permStart w:id="209390932" w:edGrp="everyone"/>
      <w:r>
        <w:rPr>
          <w:rFonts w:cs="Arial"/>
        </w:rPr>
        <w:t xml:space="preserve">The indicators are very </w:t>
      </w:r>
      <w:proofErr w:type="gramStart"/>
      <w:r>
        <w:rPr>
          <w:rFonts w:cs="Arial"/>
        </w:rPr>
        <w:t>valuable</w:t>
      </w:r>
      <w:proofErr w:type="gramEnd"/>
      <w:r>
        <w:rPr>
          <w:rFonts w:cs="Arial"/>
        </w:rPr>
        <w:t xml:space="preserve"> and I agree with them. However, other human rights indicators </w:t>
      </w:r>
      <w:r w:rsidR="00084D8D">
        <w:rPr>
          <w:rFonts w:cs="Arial"/>
        </w:rPr>
        <w:t xml:space="preserve">could </w:t>
      </w:r>
      <w:proofErr w:type="gramStart"/>
      <w:r w:rsidR="00084D8D">
        <w:rPr>
          <w:rFonts w:cs="Arial"/>
        </w:rPr>
        <w:t xml:space="preserve">be </w:t>
      </w:r>
      <w:r>
        <w:rPr>
          <w:rFonts w:cs="Arial"/>
        </w:rPr>
        <w:t xml:space="preserve"> added</w:t>
      </w:r>
      <w:proofErr w:type="gramEnd"/>
      <w:r>
        <w:rPr>
          <w:rFonts w:cs="Arial"/>
        </w:rPr>
        <w:t xml:space="preserve"> to address the obligations of European Union Supervisory Authorities as EU institutions in the development of these regulatory standards. </w:t>
      </w:r>
    </w:p>
    <w:permEnd w:id="209390932"/>
    <w:p w14:paraId="61BD6C84" w14:textId="153ACFF4"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5F823153" w:rsidR="003E573C" w:rsidRDefault="00A9574E" w:rsidP="003E573C">
      <w:pPr>
        <w:rPr>
          <w:rFonts w:cs="Arial"/>
        </w:rPr>
      </w:pPr>
      <w:permStart w:id="418122716" w:edGrp="everyone"/>
      <w:r>
        <w:rPr>
          <w:rFonts w:cs="Arial"/>
        </w:rPr>
        <w:t xml:space="preserve">Yes to a. </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6F71703C" w:rsidR="003E573C" w:rsidRDefault="00C0569A" w:rsidP="003E573C">
      <w:pPr>
        <w:rPr>
          <w:rFonts w:cs="Arial"/>
        </w:rPr>
      </w:pPr>
      <w:permStart w:id="221670941" w:edGrp="everyone"/>
      <w:r>
        <w:rPr>
          <w:rFonts w:cs="Arial"/>
        </w:rPr>
        <w:t>Yes, these are all matters to which the EU and national governments have made binding commitments through a variety of agreements and treaties, as well as through EU law, particularly the EU Charter of Fundamental Rights.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lastRenderedPageBreak/>
        <w:t>&lt;ESA_QUESTION_</w:t>
      </w:r>
      <w:r w:rsidR="00C86E1C">
        <w:rPr>
          <w:rFonts w:cs="Arial"/>
        </w:rPr>
        <w:t>ESG</w:t>
      </w:r>
      <w:r>
        <w:rPr>
          <w:rFonts w:cs="Arial"/>
        </w:rPr>
        <w:t>_10&gt;</w:t>
      </w:r>
    </w:p>
    <w:p w14:paraId="3D5354FE" w14:textId="7A1B0249" w:rsidR="003E573C" w:rsidRDefault="00C0569A" w:rsidP="003E573C">
      <w:pPr>
        <w:rPr>
          <w:rFonts w:cs="Arial"/>
        </w:rPr>
      </w:pPr>
      <w:permStart w:id="610013876" w:edGrp="everyone"/>
      <w:r>
        <w:rPr>
          <w:rFonts w:cs="Arial"/>
        </w:rPr>
        <w:t>yes</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3B514C10" w:rsidR="003E573C" w:rsidRDefault="00084D8D" w:rsidP="003E573C">
      <w:pPr>
        <w:rPr>
          <w:rFonts w:cs="Arial"/>
        </w:rPr>
      </w:pPr>
      <w:permStart w:id="790175202" w:edGrp="everyone"/>
      <w:r>
        <w:rPr>
          <w:rFonts w:cs="Arial"/>
        </w:rPr>
        <w:t xml:space="preserve">This is a very important issue, and the risks of creative compliance are increased when the indicators are not precise. The solution should be an ongoing </w:t>
      </w:r>
      <w:r w:rsidRPr="00084D8D">
        <w:rPr>
          <w:rFonts w:cs="Arial"/>
          <w:szCs w:val="20"/>
        </w:rPr>
        <w:t xml:space="preserve">involvement </w:t>
      </w:r>
      <w:r>
        <w:rPr>
          <w:rFonts w:cs="Arial"/>
          <w:szCs w:val="20"/>
        </w:rPr>
        <w:t xml:space="preserve">with </w:t>
      </w:r>
      <w:r w:rsidRPr="00084D8D">
        <w:rPr>
          <w:rFonts w:cs="Arial"/>
          <w:szCs w:val="20"/>
        </w:rPr>
        <w:t xml:space="preserve">independent experts </w:t>
      </w:r>
      <w:r>
        <w:rPr>
          <w:rFonts w:cs="Arial"/>
          <w:szCs w:val="20"/>
        </w:rPr>
        <w:t xml:space="preserve">and NGOs in the fields of environmental, human rights and governance. The social and employee, respect for human rights, anti-corruption and anti-bribery matters need to be monitored by the ESAs, AND a consultative panel of experts in these areas, particularly trade unions to monitor </w:t>
      </w:r>
      <w:r w:rsidR="00461EDF">
        <w:rPr>
          <w:rFonts w:cs="Arial"/>
          <w:szCs w:val="20"/>
        </w:rPr>
        <w:t>non-compliance and highlight any deficiencies in the reporting framework.</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BF24A41" w:rsidR="003E573C" w:rsidRDefault="00461EDF" w:rsidP="003E573C">
      <w:pPr>
        <w:rPr>
          <w:rFonts w:cs="Arial"/>
        </w:rPr>
      </w:pPr>
      <w:permStart w:id="800330460" w:edGrp="everyone"/>
      <w:r>
        <w:rPr>
          <w:rFonts w:cs="Arial"/>
        </w:rPr>
        <w:t>Y</w:t>
      </w:r>
      <w:r w:rsidR="00C0569A">
        <w:rPr>
          <w:rFonts w:cs="Arial"/>
        </w:rPr>
        <w:t xml:space="preserve">es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lastRenderedPageBreak/>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lastRenderedPageBreak/>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51B245CC" w14:textId="7D2DC060" w:rsidR="00461EDF" w:rsidRDefault="00461EDF" w:rsidP="003E573C">
      <w:pPr>
        <w:rPr>
          <w:rFonts w:cs="Arial"/>
        </w:rPr>
      </w:pPr>
      <w:permStart w:id="1182486711" w:edGrp="everyone"/>
      <w:r>
        <w:rPr>
          <w:rFonts w:cs="Arial"/>
        </w:rPr>
        <w:t xml:space="preserve">The requirement to explain how the investment of the financial product </w:t>
      </w:r>
      <w:r w:rsidR="005B0E6A">
        <w:rPr>
          <w:rFonts w:cs="Arial"/>
        </w:rPr>
        <w:t>does not significantly harm the sustainable objectives is quite innovative and valuable as it requires consideration of the climate and environmental factors, social and employee, human rights, anti-corruption and anti-bribery issues set out in Annex 1. Requiring that those investments which are significantly harmful to these objectives is very valuable also. The question is whether “significant harm” is too weak a standard when any harm constitutes a breach of existing agreed EU and Member States obligations in these areas. Should the ESG disclosures involve a lower standard than that agreed by Member States and the EU in these areas? Any harm to the sustainability objectives might be a better standard.</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3591C10E" w14:textId="77777777" w:rsidR="005B0E6A" w:rsidRDefault="005B0E6A" w:rsidP="003E573C">
      <w:pPr>
        <w:rPr>
          <w:rFonts w:cs="Arial"/>
        </w:rPr>
      </w:pPr>
      <w:permStart w:id="1634935588" w:edGrp="everyone"/>
      <w:r>
        <w:rPr>
          <w:rFonts w:cs="Arial"/>
        </w:rPr>
        <w:t xml:space="preserve">There is merit in terms of providing good examples. </w:t>
      </w:r>
    </w:p>
    <w:permEnd w:id="1634935588"/>
    <w:p w14:paraId="0C17FC2A" w14:textId="38C696BE"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510EBB1D" w:rsidR="003E573C" w:rsidRDefault="005B0E6A" w:rsidP="003E573C">
      <w:pPr>
        <w:rPr>
          <w:rFonts w:cs="Arial"/>
        </w:rPr>
      </w:pPr>
      <w:permStart w:id="872961277" w:edGrp="everyone"/>
      <w:r>
        <w:rPr>
          <w:rFonts w:cs="Arial"/>
        </w:rPr>
        <w:t>Yes</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lastRenderedPageBreak/>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1DA6ED27" w:rsidR="003E573C" w:rsidRDefault="00EF5B77" w:rsidP="003E573C">
      <w:pPr>
        <w:rPr>
          <w:rFonts w:cs="Arial"/>
        </w:rPr>
      </w:pPr>
      <w:permStart w:id="624894902" w:edGrp="everyone"/>
      <w:r>
        <w:rPr>
          <w:rFonts w:cs="Arial"/>
        </w:rPr>
        <w:t>The former as the impact of derivatives is more complex.</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5FA80" w14:textId="77777777" w:rsidR="004C65FF" w:rsidRDefault="004C65FF">
      <w:r>
        <w:separator/>
      </w:r>
    </w:p>
    <w:p w14:paraId="1207FA1D" w14:textId="77777777" w:rsidR="004C65FF" w:rsidRDefault="004C65FF"/>
  </w:endnote>
  <w:endnote w:type="continuationSeparator" w:id="0">
    <w:p w14:paraId="08BC77B3" w14:textId="77777777" w:rsidR="004C65FF" w:rsidRDefault="004C65FF">
      <w:r>
        <w:continuationSeparator/>
      </w:r>
    </w:p>
    <w:p w14:paraId="4148B72A" w14:textId="77777777" w:rsidR="004C65FF" w:rsidRDefault="004C65FF"/>
  </w:endnote>
  <w:endnote w:type="continuationNotice" w:id="1">
    <w:p w14:paraId="411AA33F" w14:textId="77777777" w:rsidR="004C65FF" w:rsidRDefault="004C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A0BA" w14:textId="77777777" w:rsidR="004C65FF" w:rsidRDefault="004C65FF">
      <w:r>
        <w:separator/>
      </w:r>
    </w:p>
    <w:p w14:paraId="077AD3F1" w14:textId="77777777" w:rsidR="004C65FF" w:rsidRDefault="004C65FF"/>
  </w:footnote>
  <w:footnote w:type="continuationSeparator" w:id="0">
    <w:p w14:paraId="380E934C" w14:textId="77777777" w:rsidR="004C65FF" w:rsidRDefault="004C65FF">
      <w:r>
        <w:continuationSeparator/>
      </w:r>
    </w:p>
    <w:p w14:paraId="2235A3DA" w14:textId="77777777" w:rsidR="004C65FF" w:rsidRDefault="004C65FF"/>
  </w:footnote>
  <w:footnote w:type="continuationNotice" w:id="1">
    <w:p w14:paraId="4AF5430B" w14:textId="77777777" w:rsidR="004C65FF" w:rsidRDefault="004C65FF"/>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097CD583" w14:textId="77777777" w:rsidR="00461EDF" w:rsidRPr="001419F2" w:rsidRDefault="00461EDF" w:rsidP="00461EDF">
      <w:pPr>
        <w:pStyle w:val="FootnoteText"/>
        <w:rPr>
          <w:rFonts w:ascii="Roboto" w:hAnsi="Roboto" w:cs="Calibri"/>
          <w:sz w:val="20"/>
        </w:rPr>
      </w:pPr>
      <w:r w:rsidRPr="001419F2">
        <w:rPr>
          <w:rStyle w:val="FootnoteReference"/>
          <w:rFonts w:ascii="Roboto" w:hAnsi="Roboto" w:cs="Calibri"/>
          <w:sz w:val="20"/>
        </w:rPr>
        <w:footnoteRef/>
      </w:r>
      <w:r w:rsidRPr="001419F2">
        <w:rPr>
          <w:rFonts w:ascii="Roboto" w:hAnsi="Roboto" w:cs="Calibri"/>
          <w:sz w:val="20"/>
        </w:rPr>
        <w:t xml:space="preserve"> See </w:t>
      </w:r>
      <w:hyperlink r:id="rId1" w:history="1">
        <w:r w:rsidRPr="001419F2">
          <w:rPr>
            <w:rStyle w:val="Hyperlink"/>
            <w:rFonts w:ascii="Roboto" w:hAnsi="Roboto" w:cs="Calibri"/>
            <w:i/>
            <w:iCs/>
            <w:color w:val="000000" w:themeColor="text1"/>
            <w:sz w:val="20"/>
          </w:rPr>
          <w:t>Access to Justice and the ECB – A Study of ECB Directly Supervised and other Mortgage Possession Cases in Ireland</w:t>
        </w:r>
      </w:hyperlink>
      <w:r w:rsidRPr="001419F2">
        <w:rPr>
          <w:rFonts w:ascii="Roboto" w:hAnsi="Roboto" w:cs="Calibri"/>
          <w:i/>
          <w:iCs/>
          <w:color w:val="000000" w:themeColor="text1"/>
          <w:sz w:val="20"/>
          <w:shd w:val="clear" w:color="auto" w:fill="FFFFFF"/>
        </w:rPr>
        <w:t xml:space="preserve"> </w:t>
      </w:r>
      <w:r w:rsidRPr="001419F2">
        <w:rPr>
          <w:rFonts w:ascii="Roboto" w:hAnsi="Roboto" w:cs="Calibri"/>
          <w:color w:val="000000" w:themeColor="text1"/>
          <w:sz w:val="20"/>
          <w:shd w:val="clear" w:color="auto" w:fill="FFFFFF"/>
        </w:rPr>
        <w:t>(2018).</w:t>
      </w:r>
    </w:p>
  </w:footnote>
  <w:footnote w:id="4">
    <w:p w14:paraId="1517C2CE" w14:textId="77777777" w:rsidR="00461EDF" w:rsidRPr="001419F2" w:rsidRDefault="00461EDF" w:rsidP="00461EDF">
      <w:pPr>
        <w:pStyle w:val="FootnoteText"/>
        <w:rPr>
          <w:rFonts w:ascii="Roboto" w:hAnsi="Roboto" w:cs="Calibri"/>
          <w:sz w:val="20"/>
        </w:rPr>
      </w:pPr>
      <w:r w:rsidRPr="001419F2">
        <w:rPr>
          <w:rStyle w:val="FootnoteReference"/>
          <w:rFonts w:ascii="Roboto" w:hAnsi="Roboto" w:cs="Calibri"/>
          <w:sz w:val="20"/>
        </w:rPr>
        <w:footnoteRef/>
      </w:r>
      <w:r w:rsidRPr="001419F2">
        <w:rPr>
          <w:rFonts w:ascii="Roboto" w:hAnsi="Roboto" w:cs="Calibri"/>
          <w:sz w:val="20"/>
        </w:rPr>
        <w:t xml:space="preserve"> Kenna, P., ‘Housing rights after the Treaty of Lisbon – Are they Minimum Core Obligations?</w:t>
      </w:r>
      <w:proofErr w:type="gramStart"/>
      <w:r w:rsidRPr="001419F2">
        <w:rPr>
          <w:rFonts w:ascii="Roboto" w:hAnsi="Roboto" w:cs="Calibri"/>
          <w:sz w:val="20"/>
        </w:rPr>
        <w:t>’(</w:t>
      </w:r>
      <w:proofErr w:type="gramEnd"/>
      <w:r w:rsidRPr="001419F2">
        <w:rPr>
          <w:rFonts w:ascii="Roboto" w:hAnsi="Roboto" w:cs="Calibri"/>
          <w:sz w:val="20"/>
        </w:rPr>
        <w:t xml:space="preserve">2014) 3(1) </w:t>
      </w:r>
      <w:r w:rsidRPr="001419F2">
        <w:rPr>
          <w:rFonts w:ascii="Roboto" w:hAnsi="Roboto" w:cs="Calibri"/>
          <w:i/>
          <w:iCs/>
          <w:sz w:val="20"/>
        </w:rPr>
        <w:t>Cyprus Human Rights Law Review</w:t>
      </w:r>
      <w:r w:rsidRPr="001419F2">
        <w:rPr>
          <w:rFonts w:ascii="Roboto" w:hAnsi="Roboto" w:cs="Calibri"/>
          <w:sz w:val="20"/>
        </w:rPr>
        <w:t xml:space="preserve"> 13.</w:t>
      </w:r>
    </w:p>
  </w:footnote>
  <w:footnote w:id="5">
    <w:p w14:paraId="4B9925DD" w14:textId="77777777" w:rsidR="00461EDF" w:rsidRPr="001419F2" w:rsidRDefault="00461EDF" w:rsidP="00461EDF">
      <w:pPr>
        <w:pStyle w:val="FootnoteText"/>
        <w:rPr>
          <w:rFonts w:ascii="Roboto" w:hAnsi="Roboto" w:cs="Calibri"/>
          <w:sz w:val="20"/>
        </w:rPr>
      </w:pPr>
      <w:r w:rsidRPr="001419F2">
        <w:rPr>
          <w:rStyle w:val="FootnoteReference"/>
          <w:rFonts w:ascii="Roboto" w:hAnsi="Roboto" w:cs="Calibri"/>
          <w:sz w:val="20"/>
        </w:rPr>
        <w:footnoteRef/>
      </w:r>
      <w:r w:rsidRPr="001419F2">
        <w:rPr>
          <w:rFonts w:ascii="Roboto" w:hAnsi="Roboto" w:cs="Calibri"/>
          <w:sz w:val="20"/>
        </w:rPr>
        <w:t xml:space="preserve"> Article 51(2) states: ‘The Charter does not extend the field of application of Union law beyond the powers of the Union or establish any new power or task for the </w:t>
      </w:r>
      <w:proofErr w:type="gramStart"/>
      <w:r w:rsidRPr="001419F2">
        <w:rPr>
          <w:rFonts w:ascii="Roboto" w:hAnsi="Roboto" w:cs="Calibri"/>
          <w:sz w:val="20"/>
        </w:rPr>
        <w:t>Union, or</w:t>
      </w:r>
      <w:proofErr w:type="gramEnd"/>
      <w:r w:rsidRPr="001419F2">
        <w:rPr>
          <w:rFonts w:ascii="Roboto" w:hAnsi="Roboto" w:cs="Calibri"/>
          <w:sz w:val="20"/>
        </w:rPr>
        <w:t xml:space="preserve"> modify powers and tasks as defined in the Treaties.’</w:t>
      </w:r>
    </w:p>
  </w:footnote>
  <w:footnote w:id="6">
    <w:p w14:paraId="4D4E5EA2" w14:textId="77777777" w:rsidR="00461EDF" w:rsidRPr="001419F2" w:rsidRDefault="00461EDF" w:rsidP="00461EDF">
      <w:pPr>
        <w:pStyle w:val="FootnoteText"/>
        <w:rPr>
          <w:rFonts w:ascii="Roboto" w:hAnsi="Roboto" w:cs="Calibri"/>
          <w:sz w:val="20"/>
        </w:rPr>
      </w:pPr>
      <w:r w:rsidRPr="001419F2">
        <w:rPr>
          <w:rStyle w:val="FootnoteReference"/>
          <w:rFonts w:ascii="Roboto" w:hAnsi="Roboto" w:cs="Calibri"/>
          <w:sz w:val="20"/>
        </w:rPr>
        <w:footnoteRef/>
      </w:r>
      <w:r w:rsidRPr="001419F2">
        <w:rPr>
          <w:rFonts w:ascii="Roboto" w:hAnsi="Roboto" w:cs="Calibri"/>
          <w:sz w:val="20"/>
        </w:rPr>
        <w:t xml:space="preserve"> Ward, A., ‘Article 51 – Field of Application`, in S. Peers et al. (eds) (2014) </w:t>
      </w:r>
      <w:r w:rsidRPr="001419F2">
        <w:rPr>
          <w:rFonts w:ascii="Roboto" w:hAnsi="Roboto" w:cs="Calibri"/>
          <w:i/>
          <w:sz w:val="20"/>
        </w:rPr>
        <w:t>The EU Charter of Fundamental Rights. A Commentary</w:t>
      </w:r>
      <w:r w:rsidRPr="001419F2">
        <w:rPr>
          <w:rFonts w:ascii="Roboto" w:hAnsi="Roboto" w:cs="Calibri"/>
          <w:sz w:val="20"/>
        </w:rPr>
        <w:t xml:space="preserve"> (Hart Publishing), 1426.</w:t>
      </w:r>
      <w:r w:rsidRPr="001419F2">
        <w:rPr>
          <w:rFonts w:ascii="Roboto" w:hAnsi="Roboto" w:cs="Calibri"/>
          <w:i/>
          <w:iCs/>
          <w:sz w:val="20"/>
        </w:rPr>
        <w:t xml:space="preserve"> </w:t>
      </w:r>
      <w:r w:rsidRPr="001419F2">
        <w:rPr>
          <w:rFonts w:ascii="Roboto" w:hAnsi="Roboto" w:cs="Calibri"/>
          <w:sz w:val="20"/>
        </w:rPr>
        <w:t xml:space="preserve">EU institutions are defined in Article 13(1) TEU as the European Parliament, the European Council, the Council, the European Commission (hereinafter referred to as ‘the Commission’), the Court of Justice of the European Union, the European Central Bank, the Court of Auditors. For a full list see: </w:t>
      </w:r>
      <w:hyperlink r:id="rId2" w:history="1">
        <w:r w:rsidRPr="001419F2">
          <w:rPr>
            <w:rStyle w:val="Hyperlink"/>
            <w:rFonts w:ascii="Roboto" w:hAnsi="Roboto" w:cs="Calibri"/>
            <w:sz w:val="20"/>
          </w:rPr>
          <w:t>https://europa.eu/european-union/about-eu/institutions-bodies_en</w:t>
        </w:r>
      </w:hyperlink>
    </w:p>
  </w:footnote>
  <w:footnote w:id="7">
    <w:p w14:paraId="52915467" w14:textId="77777777" w:rsidR="00461EDF" w:rsidRPr="001419F2" w:rsidRDefault="00461EDF" w:rsidP="00461EDF">
      <w:pPr>
        <w:pStyle w:val="FootnoteText"/>
        <w:rPr>
          <w:rFonts w:ascii="Roboto" w:hAnsi="Roboto" w:cs="Calibri"/>
          <w:sz w:val="20"/>
        </w:rPr>
      </w:pPr>
      <w:r w:rsidRPr="001419F2">
        <w:rPr>
          <w:rStyle w:val="FootnoteReference"/>
          <w:rFonts w:ascii="Roboto" w:hAnsi="Roboto" w:cs="Calibri"/>
          <w:sz w:val="20"/>
        </w:rPr>
        <w:footnoteRef/>
      </w:r>
      <w:r w:rsidRPr="001419F2">
        <w:rPr>
          <w:rFonts w:ascii="Roboto" w:hAnsi="Roboto" w:cs="Calibri"/>
          <w:sz w:val="20"/>
        </w:rPr>
        <w:t xml:space="preserve"> Opinion of the European Union Agency for Fundamental Rights – 4/2018 [Charter of Fundamental Rights] </w:t>
      </w:r>
      <w:r w:rsidRPr="001419F2">
        <w:rPr>
          <w:rFonts w:ascii="Roboto" w:hAnsi="Roboto" w:cs="Calibri"/>
          <w:i/>
          <w:iCs/>
          <w:sz w:val="20"/>
        </w:rPr>
        <w:t>Challenges and opportunities for the implementation of the Charter of Fundamental Rights</w:t>
      </w:r>
      <w:r w:rsidRPr="001419F2">
        <w:rPr>
          <w:rFonts w:ascii="Roboto" w:hAnsi="Roboto" w:cs="Calibri"/>
          <w:sz w:val="20"/>
        </w:rPr>
        <w:t xml:space="preserve">, p. 15. </w:t>
      </w:r>
    </w:p>
  </w:footnote>
  <w:footnote w:id="8">
    <w:p w14:paraId="6CFAFCBF" w14:textId="77777777" w:rsidR="007A2AA3" w:rsidRPr="00ED3C1F" w:rsidRDefault="007A2AA3" w:rsidP="007A2AA3">
      <w:pPr>
        <w:rPr>
          <w:rFonts w:ascii="Roboto" w:hAnsi="Roboto"/>
          <w:i/>
          <w:iCs/>
          <w:szCs w:val="20"/>
        </w:rPr>
      </w:pPr>
      <w:r w:rsidRPr="00ED3C1F">
        <w:rPr>
          <w:rStyle w:val="FootnoteReference"/>
          <w:rFonts w:ascii="Roboto" w:hAnsi="Roboto"/>
          <w:szCs w:val="20"/>
        </w:rPr>
        <w:footnoteRef/>
      </w:r>
      <w:r w:rsidRPr="00ED3C1F">
        <w:rPr>
          <w:rFonts w:ascii="Roboto" w:hAnsi="Roboto"/>
          <w:szCs w:val="20"/>
        </w:rPr>
        <w:t xml:space="preserve"> </w:t>
      </w:r>
      <w:r w:rsidRPr="00ED3C1F">
        <w:rPr>
          <w:rFonts w:ascii="Roboto" w:hAnsi="Roboto" w:cstheme="minorHAnsi"/>
          <w:color w:val="000000" w:themeColor="text1"/>
          <w:szCs w:val="20"/>
        </w:rPr>
        <w:t xml:space="preserve">De </w:t>
      </w:r>
      <w:proofErr w:type="spellStart"/>
      <w:r w:rsidRPr="00ED3C1F">
        <w:rPr>
          <w:rFonts w:ascii="Roboto" w:hAnsi="Roboto" w:cstheme="minorHAnsi"/>
          <w:color w:val="000000" w:themeColor="text1"/>
          <w:szCs w:val="20"/>
        </w:rPr>
        <w:t>Schutter</w:t>
      </w:r>
      <w:proofErr w:type="spellEnd"/>
      <w:r w:rsidRPr="00ED3C1F">
        <w:rPr>
          <w:rFonts w:ascii="Roboto" w:hAnsi="Roboto" w:cstheme="minorHAnsi"/>
          <w:color w:val="000000" w:themeColor="text1"/>
          <w:szCs w:val="20"/>
        </w:rPr>
        <w:t xml:space="preserve">, O. (2016) </w:t>
      </w:r>
      <w:r w:rsidRPr="00ED3C1F">
        <w:rPr>
          <w:rFonts w:ascii="Roboto" w:hAnsi="Roboto" w:cstheme="minorHAnsi"/>
          <w:i/>
          <w:iCs/>
          <w:szCs w:val="20"/>
        </w:rPr>
        <w:t>The Implementation of the Charter of Fundamental Rights in the EU institutional framework.</w:t>
      </w:r>
      <w:r w:rsidRPr="00ED3C1F">
        <w:rPr>
          <w:rFonts w:ascii="Roboto" w:hAnsi="Roboto" w:cstheme="minorHAnsi"/>
          <w:color w:val="000000" w:themeColor="text1"/>
          <w:szCs w:val="20"/>
        </w:rPr>
        <w:t xml:space="preserve"> European Parliament's Policy Department for Citizens' Rights and Constitutional Affairs.</w:t>
      </w:r>
      <w:r w:rsidRPr="00ED3C1F">
        <w:rPr>
          <w:rFonts w:ascii="Roboto" w:hAnsi="Roboto"/>
          <w:szCs w:val="20"/>
        </w:rPr>
        <w:t xml:space="preserve"> </w:t>
      </w:r>
      <w:hyperlink r:id="rId3" w:history="1">
        <w:r w:rsidRPr="00ED3C1F">
          <w:rPr>
            <w:rStyle w:val="Hyperlink"/>
            <w:rFonts w:ascii="Roboto" w:eastAsiaTheme="majorEastAsia" w:hAnsi="Roboto"/>
            <w:szCs w:val="20"/>
          </w:rPr>
          <w:t>https://www.europarl.europa.eu/RegData/etudes/STUD/2016/571397/IPOL_STU(2016)571397_EN.pdf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290F2B"/>
    <w:multiLevelType w:val="hybridMultilevel"/>
    <w:tmpl w:val="03367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8"/>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40"/>
  </w:num>
  <w:num w:numId="29">
    <w:abstractNumId w:val="5"/>
  </w:num>
  <w:num w:numId="30">
    <w:abstractNumId w:val="2"/>
  </w:num>
  <w:num w:numId="31">
    <w:abstractNumId w:val="22"/>
  </w:num>
  <w:num w:numId="32">
    <w:abstractNumId w:val="20"/>
  </w:num>
  <w:num w:numId="33">
    <w:abstractNumId w:val="37"/>
  </w:num>
  <w:num w:numId="34">
    <w:abstractNumId w:val="36"/>
  </w:num>
  <w:num w:numId="35">
    <w:abstractNumId w:val="9"/>
  </w:num>
  <w:num w:numId="36">
    <w:abstractNumId w:val="10"/>
  </w:num>
  <w:num w:numId="37">
    <w:abstractNumId w:val="12"/>
  </w:num>
  <w:num w:numId="38">
    <w:abstractNumId w:val="25"/>
  </w:num>
  <w:num w:numId="39">
    <w:abstractNumId w:val="21"/>
  </w:num>
  <w:num w:numId="40">
    <w:abstractNumId w:val="35"/>
  </w:num>
  <w:num w:numId="4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4D8D"/>
    <w:rsid w:val="00085947"/>
    <w:rsid w:val="000868FE"/>
    <w:rsid w:val="000878D1"/>
    <w:rsid w:val="000921AE"/>
    <w:rsid w:val="000921D7"/>
    <w:rsid w:val="000925FF"/>
    <w:rsid w:val="000932E0"/>
    <w:rsid w:val="00094C4C"/>
    <w:rsid w:val="0009530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210"/>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1EDF"/>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5FF"/>
    <w:rsid w:val="004C6E76"/>
    <w:rsid w:val="004C77DD"/>
    <w:rsid w:val="004C7826"/>
    <w:rsid w:val="004C7B33"/>
    <w:rsid w:val="004C7D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0E6A"/>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AA3"/>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15"/>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74E"/>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1449"/>
    <w:rsid w:val="00B12128"/>
    <w:rsid w:val="00B12945"/>
    <w:rsid w:val="00B12C1E"/>
    <w:rsid w:val="00B155DF"/>
    <w:rsid w:val="00B156CF"/>
    <w:rsid w:val="00B1570E"/>
    <w:rsid w:val="00B15A49"/>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5F8"/>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BA"/>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69A"/>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876C0"/>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B77"/>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 w:val="00FF7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o"/>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CarCharCarCharCarCharCharCharCharCharCharChar">
    <w:name w:val="Car Char Car Char Car Char Char Char Char Char Char Char"/>
    <w:aliases w:val="Footnote Refernece Char,Footnote Refernece Char Char Char Char"/>
    <w:basedOn w:val="Normal"/>
    <w:uiPriority w:val="99"/>
    <w:rsid w:val="007A2AA3"/>
    <w:pPr>
      <w:autoSpaceDE w:val="0"/>
      <w:autoSpaceDN w:val="0"/>
      <w:spacing w:before="120" w:after="160" w:line="240" w:lineRule="exact"/>
      <w:jc w:val="both"/>
    </w:pPr>
    <w:rPr>
      <w:rFonts w:asciiTheme="minorHAnsi" w:eastAsiaTheme="minorHAnsi" w:hAnsiTheme="minorHAnsi" w:cstheme="minorBidi"/>
      <w:sz w:val="24"/>
      <w:vertAlign w:val="superscript"/>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2246060">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1307766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uigalway.ie/media/housinglawrightsandpolicy/files/Briefing-3-Integration-EU-Charter-Housing-Rights-into-EU-Economic-Governance-and-Financial-Supervision--.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6/571397/IPOL_STU(2016)571397_EN.pdf" TargetMode="External"/><Relationship Id="rId2" Type="http://schemas.openxmlformats.org/officeDocument/2006/relationships/hyperlink" Target="https://europa.eu/european-union/about-eu/institutions-bodies_en" TargetMode="External"/><Relationship Id="rId1" Type="http://schemas.openxmlformats.org/officeDocument/2006/relationships/hyperlink" Target="http://abusivelending.org/sites/default/files/Access%20to%20Justice%20and%20the%20ECB%20Report%20CHLRP%20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3340</Words>
  <Characters>16233</Characters>
  <Application>Microsoft Office Word</Application>
  <DocSecurity>8</DocSecurity>
  <Lines>324</Lines>
  <Paragraphs>99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19474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Kenna, Padraic</cp:lastModifiedBy>
  <cp:revision>2</cp:revision>
  <cp:lastPrinted>2020-08-25T11:01:00Z</cp:lastPrinted>
  <dcterms:created xsi:type="dcterms:W3CDTF">2020-08-25T14:51:00Z</dcterms:created>
  <dcterms:modified xsi:type="dcterms:W3CDTF">2020-08-25T14:51:00Z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