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3775DE7" w:rsidR="00B327E9" w:rsidRPr="00AB6D88" w:rsidRDefault="00A01F79" w:rsidP="00F136AD">
                <w:pPr>
                  <w:rPr>
                    <w:rStyle w:val="PlaceholderText"/>
                    <w:rFonts w:cs="Arial"/>
                  </w:rPr>
                </w:pPr>
                <w:r w:rsidRPr="00A01F79">
                  <w:rPr>
                    <w:rStyle w:val="PlaceholderText"/>
                    <w:rFonts w:cs="Arial"/>
                  </w:rPr>
                  <w:t>Index Industry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85D989D" w:rsidR="00B327E9" w:rsidRPr="00AB6D88" w:rsidRDefault="0083659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01F79">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077D4722" w:rsidR="00B327E9" w:rsidRPr="00AB6D88" w:rsidRDefault="00A01F7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87C80A7" w:rsidR="00B327E9" w:rsidRPr="00AB6D88" w:rsidRDefault="00A01F79" w:rsidP="00F136AD">
                <w:pPr>
                  <w:rPr>
                    <w:rFonts w:cs="Arial"/>
                  </w:rPr>
                </w:pPr>
                <w:proofErr w:type="gramStart"/>
                <w:r>
                  <w:rPr>
                    <w:rFonts w:cs="Arial"/>
                  </w:rPr>
                  <w:t>North-America</w:t>
                </w:r>
                <w:proofErr w:type="gramEnd"/>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05CFBCBA" w14:textId="77777777" w:rsidR="00590603" w:rsidRDefault="00A01F79" w:rsidP="00B327E9">
      <w:permStart w:id="411981036" w:edGrp="everyone"/>
      <w:r w:rsidRPr="00A01F79">
        <w:t>The Index Industry Association (IIA) is the first-ever trade association for the index industry globally. The IIA’s mandate is to educate investors on the attributes and role of indexes within the investment process, to advocate the interests of index users and providers worldwide, and to push for industry standards of best practice, independence and transparency.</w:t>
      </w:r>
    </w:p>
    <w:p w14:paraId="2ECCD4D2" w14:textId="77777777" w:rsidR="00590603" w:rsidRDefault="00590603" w:rsidP="00B327E9"/>
    <w:p w14:paraId="342CFD3B" w14:textId="54D6DFBD" w:rsidR="00590603" w:rsidRDefault="00590603" w:rsidP="00590603">
      <w:r>
        <w:t>The IIA and its members fully support transparency for the benchmarks they administer, which includes a growing number of ESG benchmarks. We strongly encourage a holistic and coherent approach across relevant financial services legislation regarding sustainable finance disclosures and metrics where possible. Hence, we are very concerned about the lack of harmonization with other EU regulations, the short implementation period to meet these requirements, and the unintended duplicative obligations that could stem from the Delegated Regulation supplementing the SFDR (‘SFDR DR’</w:t>
      </w:r>
      <w:r w:rsidR="006C12FE" w:rsidRPr="009976EA">
        <w:rPr>
          <w:rFonts w:eastAsia="Calibri" w:cs="Arial"/>
          <w:sz w:val="18"/>
          <w:szCs w:val="18"/>
          <w:vertAlign w:val="superscript"/>
          <w:lang w:val="en-US" w:eastAsia="en-US"/>
        </w:rPr>
        <w:footnoteRef/>
      </w:r>
      <w:r>
        <w:t xml:space="preserve">). </w:t>
      </w:r>
    </w:p>
    <w:p w14:paraId="3CFB9DB8" w14:textId="77777777" w:rsidR="00590603" w:rsidRDefault="00590603" w:rsidP="00590603"/>
    <w:p w14:paraId="1BDE7B28" w14:textId="59221980" w:rsidR="00590603" w:rsidRDefault="00590603" w:rsidP="00590603">
      <w:r>
        <w:t>Within the new amendments to Regulation 2016/1011 by the Delegated Acts under amending regulation 2019/2089 for the EU Climate Transition Benchmarks (CTB), EU Paris-aligned Benchmarks (PAB) and sustainability-related disclosures for benchmarks, there are specific ESG disclosure rules that benchmark administrators must meet, which are comprehensive and designed to improve comparability.  Introducing SFDR metrics for index users through the SFDR leads to inconsistency, which can have ramifications for index providers. To that end, we believe that this conflicts with one of ESAs’ stated goals, which is to align with the transparency requirements for administrators</w:t>
      </w:r>
      <w:r w:rsidR="006C12FE" w:rsidRPr="006C12FE">
        <w:rPr>
          <w:rFonts w:eastAsia="Calibri" w:cs="Arial"/>
          <w:sz w:val="18"/>
          <w:szCs w:val="18"/>
          <w:vertAlign w:val="superscript"/>
          <w:lang w:val="en-US" w:eastAsia="en-US"/>
        </w:rPr>
        <w:t>2</w:t>
      </w:r>
      <w:r>
        <w:t>.</w:t>
      </w:r>
    </w:p>
    <w:p w14:paraId="412762CE" w14:textId="77777777" w:rsidR="00590603" w:rsidRDefault="00590603" w:rsidP="00590603"/>
    <w:p w14:paraId="695D8183" w14:textId="44134B2A" w:rsidR="006C12FE" w:rsidRDefault="00590603" w:rsidP="00B327E9">
      <w:r>
        <w:t>While the SFDR does not intend to regulate benchmark administrators, SFDR DR will result in the imposition of additional ESG disclosure obligations on benchmark administrators, if adopted unaltered. This is because financial market participants (FMPs) will expect administrators to provide the indicators and metrics as laid out in Annex 1 in relation to their indexes, and administrators will need to support their clients for index-linked financial products by providing that data. This is against the backdrop of a lack of underlying corporate data that needs to be considered within the EU NFRD Review.</w:t>
      </w:r>
    </w:p>
    <w:p w14:paraId="33377495" w14:textId="7180484D" w:rsidR="006C12FE" w:rsidRDefault="006C12FE" w:rsidP="00B327E9"/>
    <w:p w14:paraId="2C6111DD" w14:textId="77777777" w:rsidR="006C12FE" w:rsidRDefault="006C12FE" w:rsidP="006C12FE">
      <w:r>
        <w:t>Limitation to EU climate indices</w:t>
      </w:r>
    </w:p>
    <w:p w14:paraId="61629972" w14:textId="22F72414" w:rsidR="006C12FE" w:rsidRDefault="006C12FE" w:rsidP="006C12FE">
      <w:r>
        <w:t>In addition, the restriction in Recital 29 of the draft RTS that financial products pursuing low carbon investment can only use EU Climate Transition Benchmarks and EU Paris-aligned Benchmarks (or demonstrate how the financial product complies with the relevant standards applicable to such benchmarks) should be deleted or amended to better reflect the content and spirit of Level 1. The ESAs proposal also goes against the principle that the benchmark used for performance attribution should be “appropriate” in its ability to capture all the beta factors of the reference market. Further, given the climate challenges facing the world, we think limiting the available horizon for investments in climate indices and limiting investor choice, would run counter to the initial objectives of the EU’s action plan on sustainable finance.</w:t>
      </w:r>
    </w:p>
    <w:p w14:paraId="4BD5CE7C" w14:textId="77777777" w:rsidR="006C12FE" w:rsidRDefault="006C12FE" w:rsidP="00B327E9"/>
    <w:p w14:paraId="194AEB6D" w14:textId="77777777" w:rsidR="006C12FE" w:rsidRDefault="006C12FE" w:rsidP="00B327E9">
      <w:pPr>
        <w:rPr>
          <w:rFonts w:cs="Arial"/>
          <w:iCs/>
          <w:color w:val="222222"/>
          <w:sz w:val="18"/>
          <w:szCs w:val="18"/>
          <w:shd w:val="clear" w:color="auto" w:fill="FFFFFF"/>
          <w:lang w:val="en-US" w:eastAsia="en-US"/>
        </w:rPr>
      </w:pPr>
      <w:r w:rsidRPr="009976EA">
        <w:rPr>
          <w:rFonts w:eastAsia="Calibri" w:cs="Arial"/>
          <w:sz w:val="18"/>
          <w:szCs w:val="18"/>
          <w:vertAlign w:val="superscript"/>
          <w:lang w:val="en-US" w:eastAsia="en-US"/>
        </w:rPr>
        <w:footnoteRef/>
      </w:r>
      <w:r w:rsidRPr="009976EA">
        <w:rPr>
          <w:rFonts w:eastAsia="Calibri" w:cs="Arial"/>
          <w:sz w:val="18"/>
          <w:szCs w:val="18"/>
          <w:lang w:val="en-US" w:eastAsia="en-US"/>
        </w:rPr>
        <w:t xml:space="preserve"> </w:t>
      </w:r>
      <w:r w:rsidRPr="009976EA">
        <w:rPr>
          <w:rFonts w:cs="Arial"/>
          <w:iCs/>
          <w:color w:val="222222"/>
          <w:sz w:val="18"/>
          <w:szCs w:val="18"/>
          <w:shd w:val="clear" w:color="auto" w:fill="FFFFFF"/>
          <w:lang w:val="en-US" w:eastAsia="en-US"/>
        </w:rPr>
        <w:t xml:space="preserve">Draft regulatory technical standards </w:t>
      </w:r>
      <w:proofErr w:type="gramStart"/>
      <w:r w:rsidRPr="009976EA">
        <w:rPr>
          <w:rFonts w:cs="Arial"/>
          <w:iCs/>
          <w:color w:val="222222"/>
          <w:sz w:val="18"/>
          <w:szCs w:val="18"/>
          <w:shd w:val="clear" w:color="auto" w:fill="FFFFFF"/>
          <w:lang w:val="en-US" w:eastAsia="en-US"/>
        </w:rPr>
        <w:t>with regard to</w:t>
      </w:r>
      <w:proofErr w:type="gramEnd"/>
      <w:r w:rsidRPr="009976EA">
        <w:rPr>
          <w:rFonts w:cs="Arial"/>
          <w:iCs/>
          <w:color w:val="222222"/>
          <w:sz w:val="18"/>
          <w:szCs w:val="18"/>
          <w:shd w:val="clear" w:color="auto" w:fill="FFFFFF"/>
          <w:lang w:val="en-US" w:eastAsia="en-US"/>
        </w:rPr>
        <w:t xml:space="preserve"> the content, methodologies and presentation of disclosures pursuant to Article 2a, Article 4(6) and (7), Article 8(3), Article 9(5), Article 10(2) and Article 11(4) of Regulation (EU) 2019/2088</w:t>
      </w:r>
    </w:p>
    <w:p w14:paraId="6A3CB062" w14:textId="267BFB6C" w:rsidR="00B327E9" w:rsidRPr="00BF28DA" w:rsidRDefault="006C12FE" w:rsidP="00B327E9">
      <w:r w:rsidRPr="006C12FE">
        <w:rPr>
          <w:rFonts w:eastAsia="Calibri" w:cs="Arial"/>
          <w:sz w:val="18"/>
          <w:szCs w:val="18"/>
          <w:vertAlign w:val="superscript"/>
          <w:lang w:val="en-US" w:eastAsia="en-US"/>
        </w:rPr>
        <w:t>2</w:t>
      </w:r>
      <w:r w:rsidRPr="009976EA">
        <w:rPr>
          <w:rFonts w:eastAsia="Calibri" w:cs="Arial"/>
          <w:sz w:val="18"/>
          <w:szCs w:val="18"/>
          <w:lang w:val="en-US" w:eastAsia="en-US"/>
        </w:rPr>
        <w:t xml:space="preserve">European Supervisory Authorities </w:t>
      </w:r>
      <w:r w:rsidRPr="009976EA">
        <w:rPr>
          <w:rFonts w:eastAsia="Calibri" w:cs="Arial"/>
          <w:sz w:val="18"/>
          <w:szCs w:val="18"/>
          <w:lang w:eastAsia="en-US"/>
        </w:rPr>
        <w:t xml:space="preserve">Joint Consultation Paper ESG Disclosures page </w:t>
      </w:r>
      <w:proofErr w:type="gramStart"/>
      <w:r w:rsidRPr="009976EA">
        <w:rPr>
          <w:rFonts w:eastAsia="Calibri" w:cs="Arial"/>
          <w:sz w:val="18"/>
          <w:szCs w:val="18"/>
          <w:lang w:eastAsia="en-US"/>
        </w:rPr>
        <w:t>14</w:t>
      </w:r>
      <w:r w:rsidR="00590603">
        <w:t xml:space="preserve"> </w:t>
      </w:r>
      <w:r w:rsidR="00A01F79" w:rsidRPr="00A01F79">
        <w:t xml:space="preserve"> </w:t>
      </w:r>
      <w:permEnd w:id="411981036"/>
      <w:r w:rsidR="00B327E9" w:rsidRPr="00BF28DA">
        <w:t>&lt;</w:t>
      </w:r>
      <w:proofErr w:type="gramEnd"/>
      <w:r w:rsidR="00B327E9" w:rsidRPr="00BF28DA">
        <w:t>ESA_COMMENT_</w:t>
      </w:r>
      <w:r w:rsidR="00C86E1C">
        <w:rPr>
          <w:rStyle w:val="SubtleEmphasis"/>
          <w:b w:val="0"/>
          <w:sz w:val="22"/>
        </w:rPr>
        <w:t>ESG</w:t>
      </w:r>
      <w:r w:rsidR="000A58BE">
        <w:t>_</w:t>
      </w:r>
      <w:r w:rsidR="00B327E9"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lastRenderedPageBreak/>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1"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1"/>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64E69A51" w14:textId="77777777" w:rsidR="009976EA" w:rsidRPr="009976EA" w:rsidRDefault="009976EA" w:rsidP="009976EA">
      <w:pPr>
        <w:rPr>
          <w:rFonts w:cs="Arial"/>
        </w:rPr>
      </w:pPr>
      <w:permStart w:id="790175202" w:edGrp="everyone"/>
      <w:r w:rsidRPr="009976EA">
        <w:rPr>
          <w:rFonts w:cs="Arial"/>
        </w:rPr>
        <w:t xml:space="preserve">The SFDR imposes different disclosure obligations on product and entity level that may create direct effects for benchmark administrators. We are particularly concerned about the disclosure obligation arising from the principal adverse impact criteria under Article 7 RTS and Recital 20 in connection with Article 4 SFDR. </w:t>
      </w:r>
    </w:p>
    <w:p w14:paraId="7DBB0871" w14:textId="77777777" w:rsidR="009976EA" w:rsidRPr="009976EA" w:rsidRDefault="009976EA" w:rsidP="009976EA">
      <w:pPr>
        <w:rPr>
          <w:rFonts w:cs="Arial"/>
        </w:rPr>
      </w:pPr>
    </w:p>
    <w:p w14:paraId="27D910E7" w14:textId="1D490881" w:rsidR="009976EA" w:rsidRDefault="009976EA" w:rsidP="009976EA">
      <w:pPr>
        <w:rPr>
          <w:rFonts w:cs="Arial"/>
        </w:rPr>
      </w:pPr>
      <w:r w:rsidRPr="009976EA">
        <w:rPr>
          <w:rFonts w:cs="Arial"/>
        </w:rPr>
        <w:t xml:space="preserve">Whereas, the SFDR principal adverse impact criteria should be understood as those impacts of investment decisions and advice that result in negative effects on sustainability factors, the Regulation (EU) 2019/2089 amending the BMR prescribes that the ‘Do no significant harm (DNSH) principle’ has only to be taken into account by benchmark administrators when they design the methodologies of </w:t>
      </w:r>
      <w:r w:rsidR="001336DD">
        <w:rPr>
          <w:rFonts w:cs="Arial"/>
        </w:rPr>
        <w:t>relevant EU Climate Benchmarks.</w:t>
      </w:r>
    </w:p>
    <w:p w14:paraId="15D7F044" w14:textId="77777777" w:rsidR="001336DD" w:rsidRPr="009976EA" w:rsidRDefault="001336DD" w:rsidP="009976EA">
      <w:pPr>
        <w:rPr>
          <w:rFonts w:cs="Arial"/>
        </w:rPr>
      </w:pPr>
      <w:bookmarkStart w:id="2" w:name="_GoBack"/>
      <w:bookmarkEnd w:id="2"/>
    </w:p>
    <w:p w14:paraId="4D6A285D" w14:textId="77777777" w:rsidR="009976EA" w:rsidRPr="009976EA" w:rsidRDefault="009976EA" w:rsidP="009976EA">
      <w:pPr>
        <w:rPr>
          <w:rFonts w:cs="Arial"/>
        </w:rPr>
      </w:pPr>
      <w:r w:rsidRPr="009976EA">
        <w:rPr>
          <w:rFonts w:cs="Arial"/>
        </w:rPr>
        <w:lastRenderedPageBreak/>
        <w:t>On the other hand, for those benchmarks or families of benchmarks that pursue ESG objectives, while not meeting the requirements of CTB and PAB, the regulation only foresees certain ESG disclosure rules. These specifications under the BMR regulation should not be undermined by introducing further-reaching ESG disclosure for index-linked financial products in the SFDR DR.</w:t>
      </w:r>
    </w:p>
    <w:p w14:paraId="7C9B4555" w14:textId="77777777" w:rsidR="009976EA" w:rsidRPr="009976EA" w:rsidRDefault="009976EA" w:rsidP="009976EA">
      <w:pPr>
        <w:rPr>
          <w:rFonts w:cs="Arial"/>
        </w:rPr>
      </w:pPr>
    </w:p>
    <w:p w14:paraId="6BBFCE01" w14:textId="77777777" w:rsidR="009976EA" w:rsidRPr="009976EA" w:rsidRDefault="009976EA" w:rsidP="009976EA">
      <w:pPr>
        <w:rPr>
          <w:rFonts w:cs="Arial"/>
        </w:rPr>
      </w:pPr>
      <w:r w:rsidRPr="009976EA">
        <w:rPr>
          <w:rFonts w:cs="Arial"/>
        </w:rPr>
        <w:t>Where FMPs use an index as underlying for a financial product, the FMPs should be allowed to refer to the benchmark statement of the respective underlying index to comply with the product-related disclosure obligation under SFDR.</w:t>
      </w:r>
    </w:p>
    <w:p w14:paraId="384EED95" w14:textId="77777777" w:rsidR="009976EA" w:rsidRPr="009976EA" w:rsidRDefault="009976EA" w:rsidP="009976EA">
      <w:pPr>
        <w:rPr>
          <w:rFonts w:cs="Arial"/>
        </w:rPr>
      </w:pPr>
    </w:p>
    <w:p w14:paraId="46FD324A" w14:textId="77777777" w:rsidR="009976EA" w:rsidRPr="009976EA" w:rsidRDefault="009976EA" w:rsidP="009976EA">
      <w:pPr>
        <w:rPr>
          <w:rFonts w:cs="Arial"/>
        </w:rPr>
      </w:pPr>
      <w:r w:rsidRPr="009976EA">
        <w:rPr>
          <w:rFonts w:cs="Arial"/>
        </w:rPr>
        <w:t>If that is not permitted, then there will be an indirect requirement for benchmark administrators to provide the additional disclosures for the indicators under the SDFR DR. This would be on top of the approximately 20 existing indicators (depending on asset class) required under Regulation (EU) 2019/2089 amending the BMR whose delegated acts are currently subject to parliamentary scrutiny. Because only 7 data points overlap, the combination of the two sets of regulations will require administrators to be able to provide dozens more metrics to be able to support their clients (either with entity level or product level disclosures). It is unclear why there is so little harmonization.  It is not only unnecessarily burdensome for the industry but will also be confusing for investors as they will be faced with two different sets of metrics that are ostensibly measuring the same thing.</w:t>
      </w:r>
    </w:p>
    <w:p w14:paraId="7A7F0D75" w14:textId="77777777" w:rsidR="009976EA" w:rsidRPr="009976EA" w:rsidRDefault="009976EA" w:rsidP="009976EA">
      <w:pPr>
        <w:rPr>
          <w:rFonts w:cs="Arial"/>
        </w:rPr>
      </w:pPr>
      <w:r w:rsidRPr="009976EA">
        <w:rPr>
          <w:rFonts w:cs="Arial"/>
        </w:rPr>
        <w:t xml:space="preserve"> </w:t>
      </w:r>
    </w:p>
    <w:p w14:paraId="773433C4" w14:textId="77777777" w:rsidR="009976EA" w:rsidRPr="009976EA" w:rsidRDefault="009976EA" w:rsidP="009976EA">
      <w:pPr>
        <w:rPr>
          <w:rFonts w:cs="Arial"/>
        </w:rPr>
      </w:pPr>
      <w:r w:rsidRPr="009976EA">
        <w:rPr>
          <w:rFonts w:cs="Arial"/>
        </w:rPr>
        <w:t>As such, the approach in the SFDR DR is disproportionate, costly and disruptive, especially given the short time periods for implementation and the consequent ‘knock-on’ effects to administrators. Administrators will need to spend resources, time and effort implementing solutions well before the requirements are finalized to help their clients with reporting in time for March 2021. Furthermore, as the SFDR DR is not yet aligned with the Taxonomy Regulation, this will be subject to more change, adding more cost, disruption and confusion to the market.</w:t>
      </w:r>
    </w:p>
    <w:p w14:paraId="28B2E68F" w14:textId="77777777" w:rsidR="009976EA" w:rsidRPr="009976EA" w:rsidRDefault="009976EA" w:rsidP="009976EA">
      <w:pPr>
        <w:rPr>
          <w:rFonts w:cs="Arial"/>
        </w:rPr>
      </w:pPr>
      <w:r w:rsidRPr="009976EA">
        <w:rPr>
          <w:rFonts w:cs="Arial"/>
        </w:rPr>
        <w:t xml:space="preserve"> </w:t>
      </w:r>
    </w:p>
    <w:p w14:paraId="140C09C0" w14:textId="06D8BE90" w:rsidR="003E573C" w:rsidRDefault="009976EA" w:rsidP="003E573C">
      <w:pPr>
        <w:rPr>
          <w:rFonts w:cs="Arial"/>
        </w:rPr>
      </w:pPr>
      <w:r w:rsidRPr="009976EA">
        <w:rPr>
          <w:rFonts w:cs="Arial"/>
        </w:rPr>
        <w:t>Given the timeframes and the fact that many of the SFDR DR indicators are unavailable or open to interpretation because they are unclear, the IIA recommends using the approximately 20 indicators – which are based on the asset class of the index constituents – required under the recent delegated acts to Regulation (EU) 2019/2089 amending the BMR. This approach would ensure that the industry is using a consistent set of ESG indicators and the index and index linked products are using the same ESG disclosures. This is better for investors and will lead to less confusion. Further indicators (including for other asset classes) can then be consulted on and added over time and will allow more time as upcoming changes to the NFRD are made and  the Commission develops its approach following the recent Consultation of the Renewed Sustainable Finance Strategy.</w:t>
      </w:r>
      <w:permEnd w:id="790175202"/>
      <w:r w:rsidR="003E573C">
        <w:rPr>
          <w:rFonts w:cs="Arial"/>
        </w:rPr>
        <w:t>&lt;ESA_QUESTION_</w:t>
      </w:r>
      <w:r w:rsidR="00C86E1C">
        <w:rPr>
          <w:rFonts w:cs="Arial"/>
        </w:rPr>
        <w:t>ESG</w:t>
      </w:r>
      <w:r w:rsidR="003E573C">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lastRenderedPageBreak/>
        <w:t>&lt;ESA_QUESTION_</w:t>
      </w:r>
      <w:r w:rsidR="00C86E1C">
        <w:rPr>
          <w:rFonts w:cs="Arial"/>
        </w:rPr>
        <w:t>ESG</w:t>
      </w:r>
      <w:r>
        <w:rPr>
          <w:rFonts w:cs="Arial"/>
        </w:rPr>
        <w:t>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3D245DDC" w14:textId="59DB9553" w:rsidR="003E573C" w:rsidRDefault="009976EA" w:rsidP="003E573C">
      <w:pPr>
        <w:rPr>
          <w:rFonts w:cs="Arial"/>
        </w:rPr>
      </w:pPr>
      <w:permStart w:id="739535953" w:edGrp="everyone"/>
      <w:r w:rsidRPr="009976EA">
        <w:rPr>
          <w:rFonts w:cs="Arial"/>
        </w:rPr>
        <w:t xml:space="preserve">The IIA is also concerned that the Article 8 and Article 9 products are not consistently defined and there is a risk that different managers/product providers using the same indexes will designate their products differently, leading to significant investor confusion in the market. Article 9 products can be distinguished by “adding” the “do no significant </w:t>
      </w:r>
      <w:proofErr w:type="gramStart"/>
      <w:r w:rsidRPr="009976EA">
        <w:rPr>
          <w:rFonts w:cs="Arial"/>
        </w:rPr>
        <w:t>harm”(</w:t>
      </w:r>
      <w:proofErr w:type="gramEnd"/>
      <w:r w:rsidRPr="009976EA">
        <w:rPr>
          <w:rFonts w:cs="Arial"/>
        </w:rPr>
        <w:t xml:space="preserve">DNSH) principle  but it should be linked to the Taxonomy’s aims and definition of DNSH and not an assessment against the SFDR DR indicators. Having different DNSH approaches will be very confusing for </w:t>
      </w:r>
      <w:proofErr w:type="gramStart"/>
      <w:r w:rsidRPr="009976EA">
        <w:rPr>
          <w:rFonts w:cs="Arial"/>
        </w:rPr>
        <w:t>investors.</w:t>
      </w:r>
      <w:permEnd w:id="739535953"/>
      <w:r w:rsidR="003E573C">
        <w:rPr>
          <w:rFonts w:cs="Arial"/>
        </w:rPr>
        <w:t>&lt;</w:t>
      </w:r>
      <w:proofErr w:type="gramEnd"/>
      <w:r w:rsidR="003E573C">
        <w:rPr>
          <w:rFonts w:cs="Arial"/>
        </w:rPr>
        <w:t>ESA_QUESTION_</w:t>
      </w:r>
      <w:r w:rsidR="00C86E1C">
        <w:rPr>
          <w:rFonts w:cs="Arial"/>
        </w:rPr>
        <w:t>ESG</w:t>
      </w:r>
      <w:r w:rsidR="003E573C">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lastRenderedPageBreak/>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 xml:space="preserve">an indication of any commitment of a minimum reduction rate of the investments (sometimes referred to as the "investable universe") considered prior to the application </w:t>
      </w:r>
      <w:r>
        <w:lastRenderedPageBreak/>
        <w:t>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FE0C" w14:textId="77777777" w:rsidR="00836594" w:rsidRDefault="00836594">
      <w:r>
        <w:separator/>
      </w:r>
    </w:p>
    <w:p w14:paraId="3132C10A" w14:textId="77777777" w:rsidR="00836594" w:rsidRDefault="00836594"/>
  </w:endnote>
  <w:endnote w:type="continuationSeparator" w:id="0">
    <w:p w14:paraId="29D066E6" w14:textId="77777777" w:rsidR="00836594" w:rsidRDefault="00836594">
      <w:r>
        <w:continuationSeparator/>
      </w:r>
    </w:p>
    <w:p w14:paraId="3B083BCE" w14:textId="77777777" w:rsidR="00836594" w:rsidRDefault="00836594"/>
  </w:endnote>
  <w:endnote w:type="continuationNotice" w:id="1">
    <w:p w14:paraId="69FC0268" w14:textId="77777777" w:rsidR="00836594" w:rsidRDefault="00836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60D3" w14:textId="77777777" w:rsidR="00836594" w:rsidRDefault="00836594">
      <w:r>
        <w:separator/>
      </w:r>
    </w:p>
    <w:p w14:paraId="632544B5" w14:textId="77777777" w:rsidR="00836594" w:rsidRDefault="00836594"/>
  </w:footnote>
  <w:footnote w:type="continuationSeparator" w:id="0">
    <w:p w14:paraId="03E0DAAC" w14:textId="77777777" w:rsidR="00836594" w:rsidRDefault="00836594">
      <w:r>
        <w:continuationSeparator/>
      </w:r>
    </w:p>
    <w:p w14:paraId="6431B087" w14:textId="77777777" w:rsidR="00836594" w:rsidRDefault="00836594"/>
  </w:footnote>
  <w:footnote w:type="continuationNotice" w:id="1">
    <w:p w14:paraId="0E1A6A5B" w14:textId="77777777" w:rsidR="00836594" w:rsidRDefault="00836594"/>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36DD"/>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0603"/>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12FE"/>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594"/>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76EA"/>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1F79"/>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B75E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613"/>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514DE-7A01-4936-B400-D15DA745F3BF}">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1FBDFFE0-BDAC-489B-A2A2-49311D92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3036</Words>
  <Characters>17309</Characters>
  <Application>Microsoft Office Word</Application>
  <DocSecurity>8</DocSecurity>
  <Lines>144</Lines>
  <Paragraphs>40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20305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Rivella, Leonardo Nello</cp:lastModifiedBy>
  <cp:revision>5</cp:revision>
  <cp:lastPrinted>2015-02-18T11:01:00Z</cp:lastPrinted>
  <dcterms:created xsi:type="dcterms:W3CDTF">2020-08-31T08:43:00Z</dcterms:created>
  <dcterms:modified xsi:type="dcterms:W3CDTF">2020-08-31T14:33:00Z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