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1E5DFD">
        <w:tc>
          <w:tcPr>
            <w:tcW w:w="3929" w:type="dxa"/>
            <w:shd w:val="clear" w:color="auto" w:fill="auto"/>
          </w:tcPr>
          <w:p w14:paraId="6A3CB050" w14:textId="77777777" w:rsidR="00B327E9" w:rsidRPr="00E40A5C" w:rsidRDefault="00B327E9" w:rsidP="001E5DF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00BBEACA" w:rsidR="00B327E9" w:rsidRPr="00AB6D88" w:rsidRDefault="001E5DFD" w:rsidP="001E5DFD">
                <w:pPr>
                  <w:rPr>
                    <w:rStyle w:val="PlaceholderText"/>
                    <w:rFonts w:cs="Arial"/>
                  </w:rPr>
                </w:pPr>
                <w:r>
                  <w:rPr>
                    <w:rStyle w:val="PlaceholderText"/>
                    <w:rFonts w:cs="Arial"/>
                  </w:rPr>
                  <w:t>European Banking Federation</w:t>
                </w:r>
              </w:p>
            </w:tc>
          </w:sdtContent>
        </w:sdt>
      </w:tr>
      <w:tr w:rsidR="00B327E9" w:rsidRPr="00AB6D88" w14:paraId="6A3CB055" w14:textId="77777777" w:rsidTr="001E5DFD">
        <w:tc>
          <w:tcPr>
            <w:tcW w:w="3929" w:type="dxa"/>
            <w:shd w:val="clear" w:color="auto" w:fill="auto"/>
          </w:tcPr>
          <w:p w14:paraId="6A3CB053" w14:textId="77777777" w:rsidR="00B327E9" w:rsidRPr="00E40A5C" w:rsidRDefault="00B327E9" w:rsidP="001E5DF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4EB30829" w:rsidR="00B327E9" w:rsidRPr="00AB6D88" w:rsidRDefault="00D8687D" w:rsidP="001E5DF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E5DFD">
                  <w:rPr>
                    <w:rFonts w:cs="Arial"/>
                  </w:rPr>
                  <w:t>Banking sector</w:t>
                </w:r>
              </w:sdtContent>
            </w:sdt>
          </w:p>
        </w:tc>
      </w:tr>
      <w:tr w:rsidR="00B327E9" w:rsidRPr="00AB6D88" w14:paraId="6A3CB058" w14:textId="77777777" w:rsidTr="001E5DFD">
        <w:tc>
          <w:tcPr>
            <w:tcW w:w="3929" w:type="dxa"/>
            <w:shd w:val="clear" w:color="auto" w:fill="auto"/>
          </w:tcPr>
          <w:p w14:paraId="6A3CB056" w14:textId="77777777" w:rsidR="00B327E9" w:rsidRPr="00E40A5C" w:rsidRDefault="00B327E9" w:rsidP="001E5DF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4582E1D8" w:rsidR="00B327E9" w:rsidRPr="00AB6D88" w:rsidRDefault="00D8687D" w:rsidP="001E5DFD">
                <w:pPr>
                  <w:rPr>
                    <w:rFonts w:cs="Arial"/>
                  </w:rPr>
                </w:pPr>
                <w:r>
                  <w:rPr>
                    <w:rFonts w:ascii="MS Gothic" w:eastAsia="MS Gothic" w:hAnsi="MS Gothic" w:cs="Arial" w:hint="eastAsia"/>
                  </w:rPr>
                  <w:t>☒</w:t>
                </w:r>
              </w:p>
            </w:tc>
          </w:sdtContent>
        </w:sdt>
      </w:tr>
      <w:tr w:rsidR="00B327E9" w:rsidRPr="00AB6D88" w14:paraId="6A3CB05B" w14:textId="77777777" w:rsidTr="001E5DFD">
        <w:tc>
          <w:tcPr>
            <w:tcW w:w="3929" w:type="dxa"/>
            <w:shd w:val="clear" w:color="auto" w:fill="auto"/>
          </w:tcPr>
          <w:p w14:paraId="6A3CB059" w14:textId="77777777" w:rsidR="00B327E9" w:rsidRPr="00E40A5C" w:rsidRDefault="00B327E9" w:rsidP="001E5DF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437A993F" w:rsidR="00B327E9" w:rsidRPr="00AB6D88" w:rsidRDefault="001E5DFD" w:rsidP="001E5DFD">
                <w:pPr>
                  <w:rPr>
                    <w:rFonts w:cs="Arial"/>
                  </w:rPr>
                </w:pPr>
                <w:r>
                  <w:rPr>
                    <w:rFonts w:cs="Arial"/>
                  </w:rPr>
                  <w:t>Europe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2ACC381F" w14:textId="19950B66" w:rsidR="001E5DFD" w:rsidRPr="00D34E5C" w:rsidRDefault="001E5DFD" w:rsidP="001E5DFD">
      <w:pPr>
        <w:suppressAutoHyphens/>
        <w:spacing w:after="120"/>
        <w:jc w:val="both"/>
        <w:rPr>
          <w:rFonts w:ascii="Verdana" w:eastAsia="Century Gothic" w:hAnsi="Verdana"/>
          <w:b/>
          <w:bCs/>
          <w:color w:val="2D659A"/>
          <w:szCs w:val="20"/>
        </w:rPr>
      </w:pPr>
      <w:permStart w:id="411981036" w:edGrp="everyone"/>
      <w:r w:rsidRPr="00D34E5C">
        <w:rPr>
          <w:rFonts w:ascii="Verdana" w:eastAsia="Century Gothic" w:hAnsi="Verdana"/>
          <w:b/>
          <w:bCs/>
          <w:color w:val="2D659A"/>
          <w:szCs w:val="20"/>
        </w:rPr>
        <w:t>INTRODUCTION / EXECUTIVE SUMMARY</w:t>
      </w:r>
    </w:p>
    <w:p w14:paraId="7791B6F4" w14:textId="78A66331" w:rsidR="001E5DFD" w:rsidRPr="00D34E5C" w:rsidRDefault="001E5DFD" w:rsidP="001E5DFD">
      <w:pPr>
        <w:suppressAutoHyphens/>
        <w:spacing w:after="120"/>
        <w:jc w:val="both"/>
        <w:rPr>
          <w:rFonts w:ascii="Verdana" w:eastAsia="Century Gothic" w:hAnsi="Verdana"/>
          <w:b/>
          <w:bCs/>
          <w:color w:val="2D659A"/>
          <w:szCs w:val="20"/>
        </w:rPr>
      </w:pPr>
      <w:r>
        <w:rPr>
          <w:rFonts w:cs="Arial"/>
          <w:noProof/>
          <w:szCs w:val="19"/>
        </w:rPr>
        <mc:AlternateContent>
          <mc:Choice Requires="wps">
            <w:drawing>
              <wp:anchor distT="0" distB="0" distL="114300" distR="114300" simplePos="0" relativeHeight="251659264" behindDoc="1" locked="0" layoutInCell="1" allowOverlap="1" wp14:anchorId="2876FA72" wp14:editId="172C55AB">
                <wp:simplePos x="0" y="0"/>
                <wp:positionH relativeFrom="column">
                  <wp:posOffset>-57058</wp:posOffset>
                </wp:positionH>
                <wp:positionV relativeFrom="paragraph">
                  <wp:posOffset>84818</wp:posOffset>
                </wp:positionV>
                <wp:extent cx="6112238" cy="5752465"/>
                <wp:effectExtent l="0" t="0" r="22225" b="196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2238" cy="5752465"/>
                        </a:xfrm>
                        <a:prstGeom prst="rect">
                          <a:avLst/>
                        </a:prstGeom>
                        <a:solidFill>
                          <a:sysClr val="window" lastClr="FFFFFF">
                            <a:lumMod val="95000"/>
                          </a:sysClr>
                        </a:solidFill>
                        <a:ln w="15875" cap="rnd" cmpd="sng" algn="ctr">
                          <a:solidFill>
                            <a:srgbClr val="4288C8">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5EFD9" id="Rectangle 6" o:spid="_x0000_s1026" style="position:absolute;margin-left:-4.5pt;margin-top:6.7pt;width:481.3pt;height:45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" fillcolor="#f2f2f2" strokecolor="#b3cfe9" strokeweight="1.25pt">
                <v:stroke endcap="round"/>
                <v:path arrowok="t"/>
              </v:rect>
            </w:pict>
          </mc:Fallback>
        </mc:AlternateContent>
      </w:r>
    </w:p>
    <w:p w14:paraId="2C24A999" w14:textId="77777777" w:rsidR="001E5DFD" w:rsidRPr="00A115BF" w:rsidRDefault="001E5DFD" w:rsidP="001E5DFD">
      <w:pPr>
        <w:jc w:val="both"/>
        <w:rPr>
          <w:rFonts w:ascii="Verdana" w:eastAsia="Century Gothic" w:hAnsi="Verdana"/>
          <w:color w:val="2D659A"/>
          <w:szCs w:val="20"/>
          <w:lang w:val="en-US"/>
        </w:rPr>
      </w:pPr>
      <w:r w:rsidRPr="00A115BF">
        <w:rPr>
          <w:rFonts w:ascii="Verdana" w:eastAsia="Century Gothic" w:hAnsi="Verdana"/>
          <w:color w:val="2D659A"/>
          <w:szCs w:val="20"/>
          <w:lang w:val="en-US"/>
        </w:rPr>
        <w:t>The European Banking Federation supports the efforts of European co-legislators towards financing a more sustainable economy and welcomes the recent regulation on disclosures relating to sustainable investments and sustainability risks. We are in favo</w:t>
      </w:r>
      <w:r>
        <w:rPr>
          <w:rFonts w:ascii="Verdana" w:eastAsia="Century Gothic" w:hAnsi="Verdana"/>
          <w:color w:val="2D659A"/>
          <w:szCs w:val="20"/>
          <w:lang w:val="en-US"/>
        </w:rPr>
        <w:t>r</w:t>
      </w:r>
      <w:r w:rsidRPr="00A115BF">
        <w:rPr>
          <w:rFonts w:ascii="Verdana" w:eastAsia="Century Gothic" w:hAnsi="Verdana"/>
          <w:color w:val="2D659A"/>
          <w:szCs w:val="20"/>
          <w:lang w:val="en-US"/>
        </w:rPr>
        <w:t xml:space="preserve"> of increased transparency in sustainable investments and sustainability risks, provided disclosures are balanced and help consumers make informed financial decisions aligned with their objectives.</w:t>
      </w:r>
    </w:p>
    <w:p w14:paraId="158B2F45" w14:textId="77777777" w:rsidR="001E5DFD" w:rsidRDefault="001E5DFD" w:rsidP="001E5DFD">
      <w:pPr>
        <w:jc w:val="both"/>
        <w:rPr>
          <w:szCs w:val="20"/>
          <w:lang w:val="en-US"/>
        </w:rPr>
      </w:pPr>
    </w:p>
    <w:p w14:paraId="17A137FF" w14:textId="77777777" w:rsidR="001E5DFD" w:rsidRDefault="001E5DFD" w:rsidP="001E5DFD">
      <w:pPr>
        <w:suppressAutoHyphens/>
        <w:jc w:val="both"/>
        <w:rPr>
          <w:rFonts w:ascii="Verdana" w:eastAsia="Century Gothic" w:hAnsi="Verdana"/>
          <w:color w:val="2D659A"/>
          <w:szCs w:val="20"/>
          <w:lang w:val="en-US"/>
        </w:rPr>
      </w:pPr>
      <w:r w:rsidRPr="00D34E5C">
        <w:rPr>
          <w:rFonts w:ascii="Verdana" w:eastAsia="Century Gothic" w:hAnsi="Verdana"/>
          <w:color w:val="2D659A"/>
          <w:szCs w:val="20"/>
          <w:lang w:val="en-US"/>
        </w:rPr>
        <w:t>Constant discussions, exchange of information and proactive decisions have been taken in order to ensure swift compliance to guarantee that our members apply the key regulations on Sustainable Finance put forward by the European Regulators</w:t>
      </w:r>
      <w:r>
        <w:rPr>
          <w:rFonts w:ascii="Verdana" w:eastAsia="Century Gothic" w:hAnsi="Verdana"/>
          <w:color w:val="2D659A"/>
          <w:szCs w:val="20"/>
          <w:lang w:val="en-US"/>
        </w:rPr>
        <w:t>.</w:t>
      </w:r>
    </w:p>
    <w:p w14:paraId="1EEDE185" w14:textId="77777777" w:rsidR="001E5DFD" w:rsidRDefault="001E5DFD" w:rsidP="001E5DFD">
      <w:pPr>
        <w:suppressAutoHyphens/>
        <w:jc w:val="both"/>
        <w:rPr>
          <w:rFonts w:ascii="Verdana" w:eastAsia="Century Gothic" w:hAnsi="Verdana"/>
          <w:color w:val="2D659A"/>
          <w:szCs w:val="20"/>
          <w:lang w:val="en-US"/>
        </w:rPr>
      </w:pPr>
    </w:p>
    <w:p w14:paraId="26F1616B" w14:textId="77777777" w:rsidR="001E5DFD" w:rsidRPr="00A115BF" w:rsidRDefault="001E5DFD" w:rsidP="001E5DFD">
      <w:pPr>
        <w:jc w:val="both"/>
        <w:rPr>
          <w:rFonts w:ascii="Verdana" w:eastAsia="Century Gothic" w:hAnsi="Verdana"/>
          <w:color w:val="2D659A"/>
          <w:szCs w:val="20"/>
          <w:lang w:val="en-US"/>
        </w:rPr>
      </w:pPr>
      <w:bookmarkStart w:id="1" w:name="_Hlk47341378"/>
      <w:r w:rsidRPr="00A115BF">
        <w:rPr>
          <w:rFonts w:ascii="Verdana" w:eastAsia="Century Gothic" w:hAnsi="Verdana"/>
          <w:color w:val="2D659A"/>
          <w:szCs w:val="20"/>
          <w:lang w:val="en-US"/>
        </w:rPr>
        <w:t xml:space="preserve">However, </w:t>
      </w:r>
      <w:r>
        <w:rPr>
          <w:rFonts w:ascii="Verdana" w:eastAsia="Century Gothic" w:hAnsi="Verdana"/>
          <w:color w:val="2D659A"/>
          <w:szCs w:val="20"/>
          <w:lang w:val="en-US"/>
        </w:rPr>
        <w:t xml:space="preserve">the </w:t>
      </w:r>
      <w:r w:rsidRPr="00A115BF">
        <w:rPr>
          <w:rFonts w:ascii="Verdana" w:eastAsia="Century Gothic" w:hAnsi="Verdana"/>
          <w:color w:val="2D659A"/>
          <w:szCs w:val="20"/>
          <w:lang w:val="en-US"/>
        </w:rPr>
        <w:t xml:space="preserve">EBF </w:t>
      </w:r>
      <w:r>
        <w:rPr>
          <w:rFonts w:ascii="Verdana" w:eastAsia="Century Gothic" w:hAnsi="Verdana"/>
          <w:color w:val="2D659A"/>
          <w:szCs w:val="20"/>
          <w:lang w:val="en-US"/>
        </w:rPr>
        <w:t xml:space="preserve">is concerned that </w:t>
      </w:r>
      <w:r w:rsidRPr="00A115BF">
        <w:rPr>
          <w:rFonts w:ascii="Verdana" w:eastAsia="Century Gothic" w:hAnsi="Verdana"/>
          <w:color w:val="2D659A"/>
          <w:szCs w:val="20"/>
          <w:lang w:val="en-US"/>
        </w:rPr>
        <w:t xml:space="preserve"> the proposed elements of the draft RTS supporting the Regulation </w:t>
      </w:r>
      <w:r>
        <w:rPr>
          <w:rFonts w:ascii="Verdana" w:eastAsia="Century Gothic" w:hAnsi="Verdana"/>
          <w:color w:val="2D659A"/>
          <w:szCs w:val="20"/>
          <w:lang w:val="en-US"/>
        </w:rPr>
        <w:t>might</w:t>
      </w:r>
      <w:r w:rsidRPr="00A115BF">
        <w:rPr>
          <w:rFonts w:ascii="Verdana" w:eastAsia="Century Gothic" w:hAnsi="Verdana"/>
          <w:color w:val="2D659A"/>
          <w:szCs w:val="20"/>
          <w:lang w:val="en-US"/>
        </w:rPr>
        <w:t xml:space="preserve"> lead to a miscount of adverse impacts, create confusion and </w:t>
      </w:r>
      <w:r>
        <w:rPr>
          <w:rFonts w:ascii="Verdana" w:eastAsia="Century Gothic" w:hAnsi="Verdana"/>
          <w:color w:val="2D659A"/>
          <w:szCs w:val="20"/>
          <w:lang w:val="en-US"/>
        </w:rPr>
        <w:t>could</w:t>
      </w:r>
      <w:r w:rsidRPr="00A115BF">
        <w:rPr>
          <w:rFonts w:ascii="Verdana" w:eastAsia="Century Gothic" w:hAnsi="Verdana"/>
          <w:color w:val="2D659A"/>
          <w:szCs w:val="20"/>
          <w:lang w:val="en-US"/>
        </w:rPr>
        <w:t xml:space="preserve"> be counterproductive with the </w:t>
      </w:r>
      <w:r>
        <w:rPr>
          <w:rFonts w:ascii="Verdana" w:eastAsia="Century Gothic" w:hAnsi="Verdana"/>
          <w:color w:val="2D659A"/>
          <w:szCs w:val="20"/>
          <w:lang w:val="en-US"/>
        </w:rPr>
        <w:t xml:space="preserve">very </w:t>
      </w:r>
      <w:r w:rsidRPr="00A115BF">
        <w:rPr>
          <w:rFonts w:ascii="Verdana" w:eastAsia="Century Gothic" w:hAnsi="Verdana"/>
          <w:color w:val="2D659A"/>
          <w:szCs w:val="20"/>
          <w:lang w:val="en-US"/>
        </w:rPr>
        <w:t xml:space="preserve">aims of the regulation and the broader sustainable finance growth EU strategy. The indicators proposed </w:t>
      </w:r>
      <w:r>
        <w:rPr>
          <w:rFonts w:ascii="Verdana" w:eastAsia="Century Gothic" w:hAnsi="Verdana"/>
          <w:color w:val="2D659A"/>
          <w:szCs w:val="20"/>
          <w:lang w:val="en-US"/>
        </w:rPr>
        <w:t>seem to be</w:t>
      </w:r>
      <w:r w:rsidRPr="00A115BF">
        <w:rPr>
          <w:rFonts w:ascii="Verdana" w:eastAsia="Century Gothic" w:hAnsi="Verdana"/>
          <w:color w:val="2D659A"/>
          <w:szCs w:val="20"/>
          <w:lang w:val="en-US"/>
        </w:rPr>
        <w:t xml:space="preserve"> not coherent with the broader package of EU disclosure requirements.</w:t>
      </w:r>
    </w:p>
    <w:bookmarkEnd w:id="1"/>
    <w:p w14:paraId="1532FEE5" w14:textId="77777777" w:rsidR="001E5DFD" w:rsidRPr="00D34E5C" w:rsidRDefault="001E5DFD" w:rsidP="001E5DFD">
      <w:pPr>
        <w:suppressAutoHyphens/>
        <w:jc w:val="both"/>
        <w:rPr>
          <w:rFonts w:ascii="Verdana" w:eastAsia="Century Gothic" w:hAnsi="Verdana"/>
          <w:color w:val="2D659A"/>
          <w:szCs w:val="20"/>
          <w:lang w:val="en-US"/>
        </w:rPr>
      </w:pPr>
      <w:r>
        <w:rPr>
          <w:rFonts w:ascii="Verdana" w:eastAsia="Century Gothic" w:hAnsi="Verdana"/>
          <w:color w:val="2D659A"/>
          <w:szCs w:val="20"/>
          <w:lang w:val="en-US"/>
        </w:rPr>
        <w:t xml:space="preserve"> </w:t>
      </w:r>
    </w:p>
    <w:p w14:paraId="6069536F" w14:textId="77777777" w:rsidR="001E5DFD" w:rsidRPr="00E902E3" w:rsidRDefault="001E5DFD" w:rsidP="001E5DFD">
      <w:pPr>
        <w:jc w:val="both"/>
        <w:rPr>
          <w:szCs w:val="20"/>
          <w:lang w:val="en-US"/>
        </w:rPr>
      </w:pPr>
      <w:r w:rsidRPr="009444DB">
        <w:rPr>
          <w:rFonts w:ascii="Verdana" w:eastAsia="Century Gothic" w:hAnsi="Verdana"/>
          <w:color w:val="2D659A"/>
          <w:szCs w:val="20"/>
          <w:lang w:val="en-US"/>
        </w:rPr>
        <w:t>The path to make the Action Plan on Financing a Sustainable Growth a practicable reality and to be able to finance the Green Deal is forcing answers that are not always aligned to the practical reality both in data production and material outcome. That because the majority of firms (issuers) are not capable yet to provide sound and reliable sets of data by themselves. Instead, they need to buy their own data and related services to correctly respond to the need of the future disclosure of the impacts, whatever they will look like.</w:t>
      </w:r>
    </w:p>
    <w:p w14:paraId="43B2A4A9" w14:textId="77777777" w:rsidR="001E5DFD" w:rsidRDefault="001E5DFD" w:rsidP="001E5DFD">
      <w:pPr>
        <w:suppressAutoHyphens/>
        <w:spacing w:after="120"/>
        <w:jc w:val="both"/>
        <w:rPr>
          <w:rFonts w:ascii="Verdana" w:eastAsia="Century Gothic" w:hAnsi="Verdana"/>
          <w:color w:val="2D659A"/>
          <w:szCs w:val="20"/>
          <w:lang w:val="en-US"/>
        </w:rPr>
      </w:pPr>
    </w:p>
    <w:p w14:paraId="3763D158" w14:textId="77777777"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We envisage the complexity of this consultation through a few headlines further explained in the body of </w:t>
      </w:r>
      <w:r>
        <w:rPr>
          <w:rFonts w:ascii="Verdana" w:eastAsia="Century Gothic" w:hAnsi="Verdana"/>
          <w:color w:val="2D659A"/>
          <w:szCs w:val="20"/>
          <w:lang w:val="en-US"/>
        </w:rPr>
        <w:t>this document</w:t>
      </w:r>
      <w:r w:rsidRPr="00D34E5C">
        <w:rPr>
          <w:rFonts w:ascii="Verdana" w:eastAsia="Century Gothic" w:hAnsi="Verdana"/>
          <w:color w:val="2D659A"/>
          <w:szCs w:val="20"/>
          <w:lang w:val="en-US"/>
        </w:rPr>
        <w:t>:</w:t>
      </w:r>
    </w:p>
    <w:p w14:paraId="0B62F0AB" w14:textId="77777777" w:rsidR="001E5DFD" w:rsidRPr="00D34E5C" w:rsidRDefault="001E5DFD" w:rsidP="001313EE">
      <w:pPr>
        <w:numPr>
          <w:ilvl w:val="0"/>
          <w:numId w:val="43"/>
        </w:num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Timeline</w:t>
      </w:r>
      <w:r>
        <w:rPr>
          <w:rFonts w:ascii="Verdana" w:eastAsia="Century Gothic" w:hAnsi="Verdana"/>
          <w:color w:val="2D659A"/>
          <w:szCs w:val="20"/>
          <w:lang w:val="en-US"/>
        </w:rPr>
        <w:t>s</w:t>
      </w:r>
      <w:r w:rsidRPr="00D34E5C">
        <w:rPr>
          <w:rFonts w:ascii="Verdana" w:eastAsia="Century Gothic" w:hAnsi="Verdana"/>
          <w:color w:val="2D659A"/>
          <w:szCs w:val="20"/>
          <w:lang w:val="en-US"/>
        </w:rPr>
        <w:t xml:space="preserve"> overlap for different pieces of legislation the consultation refers to (chapter 6 page 4)</w:t>
      </w:r>
      <w:r>
        <w:rPr>
          <w:rFonts w:ascii="Verdana" w:eastAsia="Century Gothic" w:hAnsi="Verdana"/>
          <w:color w:val="2D659A"/>
          <w:szCs w:val="20"/>
          <w:lang w:val="en-US"/>
        </w:rPr>
        <w:t>;</w:t>
      </w:r>
    </w:p>
    <w:p w14:paraId="6DB77F79" w14:textId="77777777" w:rsidR="001E5DFD" w:rsidRPr="00D34E5C" w:rsidRDefault="001E5DFD" w:rsidP="001313EE">
      <w:pPr>
        <w:numPr>
          <w:ilvl w:val="0"/>
          <w:numId w:val="43"/>
        </w:num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Data still not available in a standardized </w:t>
      </w:r>
      <w:r>
        <w:rPr>
          <w:rFonts w:ascii="Verdana" w:eastAsia="Century Gothic" w:hAnsi="Verdana"/>
          <w:color w:val="2D659A"/>
          <w:szCs w:val="20"/>
          <w:lang w:val="en-US"/>
        </w:rPr>
        <w:t xml:space="preserve">and </w:t>
      </w:r>
      <w:r w:rsidRPr="00D34E5C">
        <w:rPr>
          <w:rFonts w:ascii="Verdana" w:eastAsia="Century Gothic" w:hAnsi="Verdana"/>
          <w:color w:val="2D659A"/>
          <w:szCs w:val="20"/>
          <w:lang w:val="en-US"/>
        </w:rPr>
        <w:t>reliable way (table 2 page 19)</w:t>
      </w:r>
      <w:r>
        <w:rPr>
          <w:rFonts w:ascii="Verdana" w:eastAsia="Century Gothic" w:hAnsi="Verdana"/>
          <w:color w:val="2D659A"/>
          <w:szCs w:val="20"/>
          <w:lang w:val="en-US"/>
        </w:rPr>
        <w:t>;</w:t>
      </w:r>
    </w:p>
    <w:p w14:paraId="33A23D5E" w14:textId="77777777" w:rsidR="001E5DFD" w:rsidRPr="00D34E5C" w:rsidRDefault="001E5DFD" w:rsidP="001313EE">
      <w:pPr>
        <w:numPr>
          <w:ilvl w:val="0"/>
          <w:numId w:val="43"/>
        </w:num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Need for cost proportionality among </w:t>
      </w:r>
      <w:r>
        <w:rPr>
          <w:rFonts w:ascii="Verdana" w:eastAsia="Century Gothic" w:hAnsi="Verdana"/>
          <w:color w:val="2D659A"/>
          <w:szCs w:val="20"/>
          <w:lang w:val="en-US"/>
        </w:rPr>
        <w:t xml:space="preserve">different </w:t>
      </w:r>
      <w:r w:rsidRPr="00D34E5C">
        <w:rPr>
          <w:rFonts w:ascii="Verdana" w:eastAsia="Century Gothic" w:hAnsi="Verdana"/>
          <w:color w:val="2D659A"/>
          <w:szCs w:val="20"/>
          <w:lang w:val="en-US"/>
        </w:rPr>
        <w:t>market players (chapter 7 page 6)</w:t>
      </w:r>
      <w:r>
        <w:rPr>
          <w:rFonts w:ascii="Verdana" w:eastAsia="Century Gothic" w:hAnsi="Verdana"/>
          <w:color w:val="2D659A"/>
          <w:szCs w:val="20"/>
          <w:lang w:val="en-US"/>
        </w:rPr>
        <w:t>;</w:t>
      </w:r>
    </w:p>
    <w:p w14:paraId="72191517" w14:textId="5EF9271F" w:rsidR="001E5DFD" w:rsidRPr="00D34E5C" w:rsidRDefault="001E5DFD" w:rsidP="001313EE">
      <w:pPr>
        <w:numPr>
          <w:ilvl w:val="0"/>
          <w:numId w:val="43"/>
        </w:num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EU issuers and issues are screened differently than those outside the EU border (chapter 5 page 5)</w:t>
      </w:r>
      <w:r>
        <w:rPr>
          <w:rFonts w:ascii="Verdana" w:eastAsia="Century Gothic" w:hAnsi="Verdana"/>
          <w:color w:val="2D659A"/>
          <w:szCs w:val="20"/>
          <w:lang w:val="en-US"/>
        </w:rPr>
        <w:t>;</w:t>
      </w:r>
    </w:p>
    <w:p w14:paraId="474AFA4F" w14:textId="5EC203F8" w:rsidR="001E5DFD" w:rsidRPr="00D34E5C" w:rsidRDefault="001E5DFD" w:rsidP="001313EE">
      <w:pPr>
        <w:numPr>
          <w:ilvl w:val="0"/>
          <w:numId w:val="43"/>
        </w:num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Need for a clear definition of entity vs product disclosure in the data collecting tables (Q2 page 16)</w:t>
      </w:r>
      <w:r>
        <w:rPr>
          <w:rFonts w:ascii="Verdana" w:eastAsia="Century Gothic" w:hAnsi="Verdana"/>
          <w:color w:val="2D659A"/>
          <w:szCs w:val="20"/>
          <w:lang w:val="en-US"/>
        </w:rPr>
        <w:t>;</w:t>
      </w:r>
    </w:p>
    <w:p w14:paraId="2271725B" w14:textId="541F2DBD" w:rsidR="001E5DFD" w:rsidRDefault="001E5DFD" w:rsidP="001313EE">
      <w:pPr>
        <w:numPr>
          <w:ilvl w:val="0"/>
          <w:numId w:val="43"/>
        </w:numPr>
        <w:suppressAutoHyphens/>
        <w:spacing w:after="120"/>
        <w:jc w:val="both"/>
        <w:rPr>
          <w:rFonts w:ascii="Verdana" w:eastAsia="Century Gothic" w:hAnsi="Verdana"/>
          <w:color w:val="2D659A"/>
          <w:szCs w:val="20"/>
          <w:lang w:val="en-US"/>
        </w:rPr>
      </w:pPr>
      <w:r>
        <w:rPr>
          <w:rFonts w:cs="Arial"/>
          <w:noProof/>
          <w:szCs w:val="19"/>
          <w:lang w:val="nl-NL"/>
        </w:rPr>
        <w:lastRenderedPageBreak/>
        <mc:AlternateContent>
          <mc:Choice Requires="wps">
            <w:drawing>
              <wp:anchor distT="0" distB="0" distL="114300" distR="114300" simplePos="0" relativeHeight="251660288" behindDoc="1" locked="0" layoutInCell="1" allowOverlap="1" wp14:anchorId="7772BA5B" wp14:editId="4A5D806C">
                <wp:simplePos x="0" y="0"/>
                <wp:positionH relativeFrom="column">
                  <wp:posOffset>-40731</wp:posOffset>
                </wp:positionH>
                <wp:positionV relativeFrom="paragraph">
                  <wp:posOffset>-191408</wp:posOffset>
                </wp:positionV>
                <wp:extent cx="6123215" cy="8594271"/>
                <wp:effectExtent l="0" t="0" r="11430"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3215" cy="8594271"/>
                        </a:xfrm>
                        <a:prstGeom prst="rect">
                          <a:avLst/>
                        </a:prstGeom>
                        <a:solidFill>
                          <a:sysClr val="window" lastClr="FFFFFF">
                            <a:lumMod val="95000"/>
                          </a:sysClr>
                        </a:solidFill>
                        <a:ln w="15875" cap="rnd" cmpd="sng" algn="ctr">
                          <a:solidFill>
                            <a:srgbClr val="4288C8">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9D600" id="Rectangle 4" o:spid="_x0000_s1026" style="position:absolute;margin-left:-3.2pt;margin-top:-15.05pt;width:482.15pt;height:67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" fillcolor="#f2f2f2" strokecolor="#b3cfe9" strokeweight="1.25pt">
                <v:stroke endcap="round"/>
                <v:path arrowok="t"/>
              </v:rect>
            </w:pict>
          </mc:Fallback>
        </mc:AlternateContent>
      </w:r>
      <w:r w:rsidRPr="00BE6149">
        <w:rPr>
          <w:rFonts w:ascii="Verdana" w:eastAsia="Century Gothic" w:hAnsi="Verdana"/>
          <w:color w:val="2D659A"/>
          <w:szCs w:val="20"/>
          <w:lang w:val="en-US"/>
        </w:rPr>
        <w:t>Need for clarity on how to deal with different types of products under art. 8 and art. 9 (table 1 page 9, L1 4. Page 11)</w:t>
      </w:r>
      <w:r>
        <w:rPr>
          <w:rFonts w:ascii="Verdana" w:eastAsia="Century Gothic" w:hAnsi="Verdana"/>
          <w:color w:val="2D659A"/>
          <w:szCs w:val="20"/>
          <w:lang w:val="en-US"/>
        </w:rPr>
        <w:t>;</w:t>
      </w:r>
    </w:p>
    <w:p w14:paraId="753CD5BC" w14:textId="77777777" w:rsidR="001E5DFD" w:rsidRPr="003B4C11" w:rsidRDefault="001E5DFD" w:rsidP="001313EE">
      <w:pPr>
        <w:numPr>
          <w:ilvl w:val="0"/>
          <w:numId w:val="43"/>
        </w:numPr>
        <w:suppressAutoHyphens/>
        <w:spacing w:after="120"/>
        <w:jc w:val="both"/>
        <w:rPr>
          <w:rFonts w:ascii="Verdana" w:eastAsia="Century Gothic" w:hAnsi="Verdana"/>
          <w:color w:val="2D659A"/>
          <w:szCs w:val="20"/>
          <w:lang w:val="en-US"/>
        </w:rPr>
      </w:pPr>
      <w:bookmarkStart w:id="2" w:name="_Hlk47348634"/>
      <w:r w:rsidRPr="003B4C11">
        <w:rPr>
          <w:rFonts w:ascii="Verdana" w:eastAsia="Century Gothic" w:hAnsi="Verdana"/>
          <w:color w:val="2D659A"/>
          <w:szCs w:val="20"/>
          <w:lang w:val="en-US"/>
        </w:rPr>
        <w:t>Impact metrics</w:t>
      </w:r>
      <w:r>
        <w:rPr>
          <w:rFonts w:ascii="Verdana" w:eastAsia="Century Gothic" w:hAnsi="Verdana"/>
          <w:color w:val="2D659A"/>
          <w:szCs w:val="20"/>
          <w:lang w:val="en-US"/>
        </w:rPr>
        <w:t xml:space="preserve"> &amp; u</w:t>
      </w:r>
      <w:r w:rsidRPr="003B4C11">
        <w:rPr>
          <w:rFonts w:ascii="Verdana" w:eastAsia="Century Gothic" w:hAnsi="Verdana"/>
          <w:color w:val="2D659A"/>
          <w:szCs w:val="20"/>
          <w:lang w:val="en-US"/>
        </w:rPr>
        <w:t>nworkable underlying methodologies</w:t>
      </w:r>
      <w:r>
        <w:rPr>
          <w:rFonts w:ascii="Verdana" w:eastAsia="Century Gothic" w:hAnsi="Verdana"/>
          <w:color w:val="2D659A"/>
          <w:szCs w:val="20"/>
          <w:lang w:val="en-US"/>
        </w:rPr>
        <w:t xml:space="preserve"> (page 10, Table 2 page 25)</w:t>
      </w:r>
      <w:r w:rsidRPr="003B4C11">
        <w:rPr>
          <w:rFonts w:ascii="Verdana" w:eastAsia="Century Gothic" w:hAnsi="Verdana"/>
          <w:color w:val="2D659A"/>
          <w:szCs w:val="20"/>
          <w:lang w:val="en-US"/>
        </w:rPr>
        <w:t xml:space="preserve">. </w:t>
      </w:r>
    </w:p>
    <w:bookmarkEnd w:id="2"/>
    <w:p w14:paraId="39E094D8" w14:textId="77777777" w:rsidR="001E5DFD" w:rsidRDefault="001E5DFD" w:rsidP="001E5DFD">
      <w:pPr>
        <w:suppressAutoHyphens/>
        <w:spacing w:after="120"/>
        <w:jc w:val="both"/>
        <w:rPr>
          <w:rFonts w:ascii="Verdana" w:eastAsia="Century Gothic" w:hAnsi="Verdana"/>
          <w:color w:val="2D659A"/>
          <w:szCs w:val="20"/>
          <w:lang w:val="en-US"/>
        </w:rPr>
      </w:pPr>
    </w:p>
    <w:p w14:paraId="77BAEC92" w14:textId="77777777"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In synthesis:</w:t>
      </w:r>
    </w:p>
    <w:p w14:paraId="59128F87" w14:textId="77777777" w:rsidR="001E5DFD" w:rsidRPr="00D34E5C" w:rsidRDefault="001E5DFD" w:rsidP="001313EE">
      <w:pPr>
        <w:numPr>
          <w:ilvl w:val="0"/>
          <w:numId w:val="44"/>
        </w:numPr>
        <w:suppressAutoHyphens/>
        <w:spacing w:after="120"/>
        <w:jc w:val="both"/>
        <w:rPr>
          <w:rFonts w:ascii="Verdana" w:eastAsia="Century Gothic" w:hAnsi="Verdana"/>
          <w:color w:val="2D659A"/>
          <w:szCs w:val="20"/>
          <w:lang w:val="en-US"/>
        </w:rPr>
      </w:pPr>
      <w:r w:rsidRPr="009674D1">
        <w:rPr>
          <w:rFonts w:ascii="Verdana" w:eastAsia="Century Gothic" w:hAnsi="Verdana"/>
          <w:color w:val="2D659A"/>
          <w:szCs w:val="20"/>
          <w:lang w:val="en-US"/>
        </w:rPr>
        <w:t xml:space="preserve">Financial market participants will need to carefully assess the systems and procedures that will have to be put in place for the 10 March 2021 deadline in relation to the initial Disclosure Regulation requirements to check if they are still </w:t>
      </w:r>
      <w:r w:rsidRPr="00D34E5C">
        <w:rPr>
          <w:rFonts w:ascii="Verdana" w:eastAsia="Century Gothic" w:hAnsi="Verdana"/>
          <w:color w:val="2D659A"/>
          <w:szCs w:val="20"/>
          <w:lang w:val="en-US"/>
        </w:rPr>
        <w:t>compliant with the changes introduced as a result of the Taxonomy Regulation coming into force only a few months later. Please consider that:</w:t>
      </w:r>
    </w:p>
    <w:p w14:paraId="38191CDD" w14:textId="77777777" w:rsidR="001E5DFD" w:rsidRPr="00BE6149" w:rsidRDefault="001E5DFD" w:rsidP="001313EE">
      <w:pPr>
        <w:numPr>
          <w:ilvl w:val="1"/>
          <w:numId w:val="44"/>
        </w:numPr>
        <w:suppressAutoHyphens/>
        <w:spacing w:after="120"/>
        <w:jc w:val="both"/>
        <w:rPr>
          <w:rFonts w:ascii="Verdana" w:eastAsia="Century Gothic" w:hAnsi="Verdana"/>
          <w:color w:val="2D659A"/>
          <w:szCs w:val="20"/>
          <w:lang w:val="en-US"/>
        </w:rPr>
      </w:pPr>
      <w:r w:rsidRPr="00BE6149">
        <w:rPr>
          <w:rFonts w:ascii="Verdana" w:eastAsia="Century Gothic" w:hAnsi="Verdana"/>
          <w:color w:val="2D659A"/>
          <w:szCs w:val="20"/>
          <w:lang w:val="en-US"/>
        </w:rPr>
        <w:t>the Regulation (EU) 2020/852 (Taxonomy Regulation) has been published on 22 June 2020</w:t>
      </w:r>
      <w:r>
        <w:rPr>
          <w:rFonts w:ascii="Verdana" w:eastAsia="Century Gothic" w:hAnsi="Verdana"/>
          <w:color w:val="2D659A"/>
          <w:szCs w:val="20"/>
          <w:lang w:val="en-US"/>
        </w:rPr>
        <w:t>, and RTS for the Taxonomy are still under revision</w:t>
      </w:r>
      <w:r w:rsidRPr="00BE6149">
        <w:rPr>
          <w:rFonts w:ascii="Verdana" w:eastAsia="Century Gothic" w:hAnsi="Verdana"/>
          <w:color w:val="2D659A"/>
          <w:szCs w:val="20"/>
          <w:lang w:val="en-US"/>
        </w:rPr>
        <w:t>;</w:t>
      </w:r>
    </w:p>
    <w:p w14:paraId="36751690" w14:textId="77777777" w:rsidR="001E5DFD" w:rsidRPr="00BE6149" w:rsidRDefault="001E5DFD" w:rsidP="001313EE">
      <w:pPr>
        <w:numPr>
          <w:ilvl w:val="1"/>
          <w:numId w:val="44"/>
        </w:numPr>
        <w:suppressAutoHyphens/>
        <w:spacing w:after="120"/>
        <w:jc w:val="both"/>
        <w:rPr>
          <w:rFonts w:ascii="Verdana" w:eastAsia="Century Gothic" w:hAnsi="Verdana"/>
          <w:color w:val="2D659A"/>
          <w:szCs w:val="20"/>
          <w:lang w:val="en-US"/>
        </w:rPr>
      </w:pPr>
      <w:r>
        <w:rPr>
          <w:rFonts w:ascii="Verdana" w:eastAsia="Century Gothic" w:hAnsi="Verdana"/>
          <w:color w:val="2D659A"/>
          <w:szCs w:val="20"/>
          <w:lang w:val="en-US"/>
        </w:rPr>
        <w:t>a</w:t>
      </w:r>
      <w:r w:rsidRPr="00BE6149">
        <w:rPr>
          <w:rFonts w:ascii="Verdana" w:eastAsia="Century Gothic" w:hAnsi="Verdana"/>
          <w:color w:val="2D659A"/>
          <w:szCs w:val="20"/>
          <w:lang w:val="en-US"/>
        </w:rPr>
        <w:t>mendments to MiFID II provisions aimed at including ESG considerations within investor protection conduct rules have been submitted to public consultation on 6 June 2020 but raise several interpretative doubts especially with regard to the approach adopted in identifying financial instruments with various degrees of sustainability ambition</w:t>
      </w:r>
      <w:r>
        <w:rPr>
          <w:rFonts w:ascii="Verdana" w:eastAsia="Century Gothic" w:hAnsi="Verdana"/>
          <w:color w:val="2D659A"/>
          <w:szCs w:val="20"/>
          <w:lang w:val="en-US"/>
        </w:rPr>
        <w:t>;</w:t>
      </w:r>
      <w:r w:rsidRPr="00BE6149">
        <w:rPr>
          <w:rFonts w:ascii="Verdana" w:eastAsia="Century Gothic" w:hAnsi="Verdana"/>
          <w:color w:val="2D659A"/>
          <w:szCs w:val="20"/>
          <w:lang w:val="en-US"/>
        </w:rPr>
        <w:t xml:space="preserve"> </w:t>
      </w:r>
      <w:r>
        <w:rPr>
          <w:rFonts w:ascii="Verdana" w:eastAsia="Century Gothic" w:hAnsi="Verdana"/>
          <w:color w:val="2D659A"/>
          <w:szCs w:val="20"/>
          <w:lang w:val="en-US"/>
        </w:rPr>
        <w:t>this</w:t>
      </w:r>
      <w:r w:rsidRPr="00BE6149">
        <w:rPr>
          <w:rFonts w:ascii="Verdana" w:eastAsia="Century Gothic" w:hAnsi="Verdana"/>
          <w:color w:val="2D659A"/>
          <w:szCs w:val="20"/>
          <w:lang w:val="en-US"/>
        </w:rPr>
        <w:t xml:space="preserve"> is not consistent with the one adopted by the SFDR in this regard</w:t>
      </w:r>
      <w:r>
        <w:rPr>
          <w:rFonts w:ascii="Verdana" w:eastAsia="Century Gothic" w:hAnsi="Verdana"/>
          <w:color w:val="2D659A"/>
          <w:szCs w:val="20"/>
          <w:lang w:val="en-US"/>
        </w:rPr>
        <w:t>;</w:t>
      </w:r>
      <w:r w:rsidRPr="00BE6149">
        <w:rPr>
          <w:rFonts w:ascii="Verdana" w:eastAsia="Century Gothic" w:hAnsi="Verdana"/>
          <w:color w:val="2D659A"/>
          <w:szCs w:val="20"/>
          <w:lang w:val="en-US"/>
        </w:rPr>
        <w:t xml:space="preserve"> </w:t>
      </w:r>
    </w:p>
    <w:p w14:paraId="44EF68B4" w14:textId="77777777" w:rsidR="001E5DFD" w:rsidRPr="00D34E5C" w:rsidRDefault="001E5DFD" w:rsidP="001313EE">
      <w:pPr>
        <w:numPr>
          <w:ilvl w:val="1"/>
          <w:numId w:val="44"/>
        </w:numPr>
        <w:suppressAutoHyphens/>
        <w:spacing w:after="120"/>
        <w:jc w:val="both"/>
        <w:rPr>
          <w:rFonts w:ascii="Verdana" w:eastAsia="Century Gothic" w:hAnsi="Verdana"/>
          <w:color w:val="2D659A"/>
          <w:szCs w:val="20"/>
          <w:lang w:val="en-US"/>
        </w:rPr>
      </w:pPr>
      <w:r>
        <w:rPr>
          <w:rFonts w:ascii="Verdana" w:eastAsia="Century Gothic" w:hAnsi="Verdana"/>
          <w:color w:val="2D659A"/>
          <w:szCs w:val="20"/>
          <w:lang w:val="en-US"/>
        </w:rPr>
        <w:t>t</w:t>
      </w:r>
      <w:r w:rsidRPr="00D34E5C">
        <w:rPr>
          <w:rFonts w:ascii="Verdana" w:eastAsia="Century Gothic" w:hAnsi="Verdana"/>
          <w:color w:val="2D659A"/>
          <w:szCs w:val="20"/>
          <w:lang w:val="en-US"/>
        </w:rPr>
        <w:t xml:space="preserve">he Non-Financial Reporting Directive is still under revision and </w:t>
      </w:r>
      <w:r>
        <w:rPr>
          <w:rFonts w:ascii="Verdana" w:eastAsia="Century Gothic" w:hAnsi="Verdana"/>
          <w:color w:val="2D659A"/>
          <w:szCs w:val="20"/>
          <w:lang w:val="en-US"/>
        </w:rPr>
        <w:t>that the public consultation just ended on June 30</w:t>
      </w:r>
      <w:r w:rsidRPr="003B4C11">
        <w:rPr>
          <w:rFonts w:ascii="Verdana" w:eastAsia="Century Gothic" w:hAnsi="Verdana"/>
          <w:color w:val="2D659A"/>
          <w:szCs w:val="20"/>
          <w:vertAlign w:val="superscript"/>
          <w:lang w:val="en-US"/>
        </w:rPr>
        <w:t>th</w:t>
      </w:r>
      <w:r>
        <w:rPr>
          <w:rFonts w:ascii="Verdana" w:eastAsia="Century Gothic" w:hAnsi="Verdana"/>
          <w:color w:val="2D659A"/>
          <w:szCs w:val="20"/>
          <w:lang w:val="en-US"/>
        </w:rPr>
        <w:t>;</w:t>
      </w:r>
    </w:p>
    <w:p w14:paraId="2F90ABCA" w14:textId="77777777" w:rsidR="001E5DFD" w:rsidRPr="00D34E5C" w:rsidRDefault="001E5DFD" w:rsidP="001313EE">
      <w:pPr>
        <w:numPr>
          <w:ilvl w:val="1"/>
          <w:numId w:val="44"/>
        </w:num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UCITS and AIFMD are undergoing amendments, still underway</w:t>
      </w:r>
      <w:r>
        <w:rPr>
          <w:rFonts w:ascii="Verdana" w:eastAsia="Century Gothic" w:hAnsi="Verdana"/>
          <w:color w:val="2D659A"/>
          <w:szCs w:val="20"/>
          <w:lang w:val="en-US"/>
        </w:rPr>
        <w:t>;</w:t>
      </w:r>
    </w:p>
    <w:p w14:paraId="5C1B3B86" w14:textId="77777777" w:rsidR="001E5DFD" w:rsidRPr="00D34E5C" w:rsidRDefault="001E5DFD" w:rsidP="001313EE">
      <w:pPr>
        <w:numPr>
          <w:ilvl w:val="1"/>
          <w:numId w:val="44"/>
        </w:numPr>
        <w:suppressAutoHyphens/>
        <w:spacing w:after="120"/>
        <w:jc w:val="both"/>
        <w:rPr>
          <w:rFonts w:ascii="Verdana" w:eastAsia="Century Gothic" w:hAnsi="Verdana"/>
          <w:color w:val="2D659A"/>
          <w:szCs w:val="20"/>
          <w:lang w:val="en-US"/>
        </w:rPr>
      </w:pPr>
      <w:r>
        <w:rPr>
          <w:rFonts w:ascii="Verdana" w:eastAsia="Century Gothic" w:hAnsi="Verdana"/>
          <w:color w:val="2D659A"/>
          <w:szCs w:val="20"/>
          <w:lang w:val="en-US"/>
        </w:rPr>
        <w:t>Future r</w:t>
      </w:r>
      <w:r w:rsidRPr="00D34E5C">
        <w:rPr>
          <w:rFonts w:ascii="Verdana" w:eastAsia="Century Gothic" w:hAnsi="Verdana"/>
          <w:color w:val="2D659A"/>
          <w:szCs w:val="20"/>
          <w:lang w:val="en-US"/>
        </w:rPr>
        <w:t>egulation of ESG data providers and rating agencies</w:t>
      </w:r>
      <w:r>
        <w:rPr>
          <w:rFonts w:ascii="Verdana" w:eastAsia="Century Gothic" w:hAnsi="Verdana"/>
          <w:color w:val="2D659A"/>
          <w:szCs w:val="20"/>
          <w:lang w:val="en-US"/>
        </w:rPr>
        <w:t xml:space="preserve"> might be feasible, </w:t>
      </w:r>
      <w:r w:rsidRPr="00D34E5C">
        <w:rPr>
          <w:rFonts w:ascii="Verdana" w:eastAsia="Century Gothic" w:hAnsi="Verdana"/>
          <w:color w:val="2D659A"/>
          <w:szCs w:val="20"/>
          <w:lang w:val="en-US"/>
        </w:rPr>
        <w:t>as questioned in the EU Renewed SF Strategy CP</w:t>
      </w:r>
      <w:r>
        <w:rPr>
          <w:rFonts w:ascii="Verdana" w:eastAsia="Century Gothic" w:hAnsi="Verdana"/>
          <w:color w:val="2D659A"/>
          <w:szCs w:val="20"/>
          <w:lang w:val="en-US"/>
        </w:rPr>
        <w:t xml:space="preserve">, and should be taken into account. </w:t>
      </w:r>
    </w:p>
    <w:p w14:paraId="1BC7670A" w14:textId="77777777" w:rsidR="001E5DFD" w:rsidRPr="00D34E5C" w:rsidRDefault="001E5DFD" w:rsidP="001313EE">
      <w:pPr>
        <w:numPr>
          <w:ilvl w:val="0"/>
          <w:numId w:val="44"/>
        </w:numPr>
        <w:suppressAutoHyphens/>
        <w:spacing w:after="120"/>
        <w:jc w:val="both"/>
        <w:rPr>
          <w:rFonts w:ascii="Verdana" w:eastAsia="Century Gothic" w:hAnsi="Verdana"/>
          <w:color w:val="2D659A"/>
          <w:szCs w:val="20"/>
          <w:lang w:val="en-US"/>
        </w:rPr>
      </w:pPr>
      <w:r>
        <w:rPr>
          <w:rFonts w:ascii="Verdana" w:eastAsia="Century Gothic" w:hAnsi="Verdana"/>
          <w:color w:val="2D659A"/>
          <w:szCs w:val="20"/>
          <w:lang w:val="en-US"/>
        </w:rPr>
        <w:t>The</w:t>
      </w:r>
      <w:r w:rsidRPr="00D34E5C">
        <w:rPr>
          <w:rFonts w:ascii="Verdana" w:eastAsia="Century Gothic" w:hAnsi="Verdana"/>
          <w:color w:val="2D659A"/>
          <w:szCs w:val="20"/>
          <w:lang w:val="en-US"/>
        </w:rPr>
        <w:t xml:space="preserve"> granularity requested to appropriately fill the fields in Table 1 can possibly be achieved almost solely by acquiring data services likely from one of the three main ESG rating companies (all characterized by USA capital). These seem too small</w:t>
      </w:r>
      <w:r>
        <w:rPr>
          <w:rFonts w:ascii="Verdana" w:eastAsia="Century Gothic" w:hAnsi="Verdana"/>
          <w:color w:val="2D659A"/>
          <w:szCs w:val="20"/>
          <w:lang w:val="en-US"/>
        </w:rPr>
        <w:t>-</w:t>
      </w:r>
      <w:r w:rsidRPr="00D34E5C">
        <w:rPr>
          <w:rFonts w:ascii="Verdana" w:eastAsia="Century Gothic" w:hAnsi="Verdana"/>
          <w:color w:val="2D659A"/>
          <w:szCs w:val="20"/>
          <w:lang w:val="en-US"/>
        </w:rPr>
        <w:t>in</w:t>
      </w:r>
      <w:r>
        <w:rPr>
          <w:rFonts w:ascii="Verdana" w:eastAsia="Century Gothic" w:hAnsi="Verdana"/>
          <w:color w:val="2D659A"/>
          <w:szCs w:val="20"/>
          <w:lang w:val="en-US"/>
        </w:rPr>
        <w:t>-</w:t>
      </w:r>
      <w:r w:rsidRPr="00D34E5C">
        <w:rPr>
          <w:rFonts w:ascii="Verdana" w:eastAsia="Century Gothic" w:hAnsi="Verdana"/>
          <w:color w:val="2D659A"/>
          <w:szCs w:val="20"/>
          <w:lang w:val="en-US"/>
        </w:rPr>
        <w:t>size to provide the articulate magnitude of data required by the consultation, yet the outcome is likely to be non-satisfactory given the amount of issues that are difficult to identify and report about (e.g. Gender Pay Gap, Operations and suppliers at significant risk of incidents of forced or compulsory labour)</w:t>
      </w:r>
      <w:r>
        <w:rPr>
          <w:rFonts w:ascii="Verdana" w:eastAsia="Century Gothic" w:hAnsi="Verdana"/>
          <w:color w:val="2D659A"/>
          <w:szCs w:val="20"/>
          <w:lang w:val="en-US"/>
        </w:rPr>
        <w:t>.</w:t>
      </w:r>
    </w:p>
    <w:p w14:paraId="4BC89890" w14:textId="77777777" w:rsidR="001E5DFD" w:rsidRPr="00D34E5C" w:rsidRDefault="001E5DFD" w:rsidP="001313EE">
      <w:pPr>
        <w:numPr>
          <w:ilvl w:val="0"/>
          <w:numId w:val="44"/>
        </w:numPr>
        <w:suppressAutoHyphens/>
        <w:spacing w:after="120"/>
        <w:jc w:val="both"/>
        <w:rPr>
          <w:rFonts w:ascii="Verdana" w:eastAsia="Century Gothic" w:hAnsi="Verdana"/>
          <w:color w:val="2D659A"/>
          <w:szCs w:val="20"/>
          <w:lang w:val="en-US"/>
        </w:rPr>
      </w:pPr>
      <w:r>
        <w:rPr>
          <w:rFonts w:ascii="Verdana" w:eastAsia="Century Gothic" w:hAnsi="Verdana"/>
          <w:color w:val="2D659A"/>
          <w:szCs w:val="20"/>
          <w:lang w:val="en-US"/>
        </w:rPr>
        <w:t xml:space="preserve">Data </w:t>
      </w:r>
      <w:r w:rsidRPr="00D34E5C">
        <w:rPr>
          <w:rFonts w:ascii="Verdana" w:eastAsia="Century Gothic" w:hAnsi="Verdana"/>
          <w:color w:val="2D659A"/>
          <w:szCs w:val="20"/>
          <w:lang w:val="en-US"/>
        </w:rPr>
        <w:t>need to be material. I.e. deforestation for IT companies might be less opportune</w:t>
      </w:r>
      <w:r>
        <w:rPr>
          <w:rFonts w:ascii="Verdana" w:eastAsia="Century Gothic" w:hAnsi="Verdana"/>
          <w:color w:val="2D659A"/>
          <w:szCs w:val="20"/>
          <w:lang w:val="en-US"/>
        </w:rPr>
        <w:t xml:space="preserve"> and meaningful</w:t>
      </w:r>
      <w:r w:rsidRPr="00D34E5C">
        <w:rPr>
          <w:rFonts w:ascii="Verdana" w:eastAsia="Century Gothic" w:hAnsi="Verdana"/>
          <w:color w:val="2D659A"/>
          <w:szCs w:val="20"/>
          <w:lang w:val="en-US"/>
        </w:rPr>
        <w:t xml:space="preserve"> then for mining companies etc. </w:t>
      </w:r>
    </w:p>
    <w:p w14:paraId="6991B369" w14:textId="77777777" w:rsidR="001E5DFD" w:rsidRPr="003B4C11" w:rsidRDefault="001E5DFD" w:rsidP="001313EE">
      <w:pPr>
        <w:numPr>
          <w:ilvl w:val="0"/>
          <w:numId w:val="44"/>
        </w:numPr>
        <w:suppressAutoHyphens/>
        <w:spacing w:after="120"/>
        <w:jc w:val="both"/>
        <w:rPr>
          <w:rFonts w:ascii="Verdana" w:eastAsia="Century Gothic" w:hAnsi="Verdana"/>
          <w:color w:val="2D659A"/>
          <w:szCs w:val="20"/>
          <w:lang w:val="en-US"/>
        </w:rPr>
      </w:pPr>
      <w:r w:rsidRPr="003B4C11">
        <w:rPr>
          <w:rFonts w:ascii="Verdana" w:eastAsia="Century Gothic" w:hAnsi="Verdana"/>
          <w:color w:val="2D659A"/>
          <w:szCs w:val="20"/>
          <w:lang w:val="en-US"/>
        </w:rPr>
        <w:t>We believe that proportionality is essential in order for smaller market participants to be able to implement the disclosure requirements. Indeed, smaller market participants will find it very costly to implement all the necessary requirements if compared to larger better equipped companies; naturally, players with a large budget can invest more in data providers, hence igniting the dichotomy.</w:t>
      </w:r>
    </w:p>
    <w:p w14:paraId="159CC0F4" w14:textId="77777777" w:rsidR="001E5DFD" w:rsidRPr="003B4C11" w:rsidRDefault="001E5DFD" w:rsidP="001E5DFD">
      <w:pPr>
        <w:ind w:left="720"/>
        <w:jc w:val="both"/>
        <w:rPr>
          <w:rFonts w:ascii="Verdana" w:eastAsia="Century Gothic" w:hAnsi="Verdana"/>
          <w:color w:val="2D659A"/>
          <w:szCs w:val="20"/>
          <w:lang w:val="en-US"/>
        </w:rPr>
      </w:pPr>
      <w:r w:rsidRPr="003B4C11">
        <w:rPr>
          <w:rFonts w:ascii="Verdana" w:eastAsia="Century Gothic" w:hAnsi="Verdana"/>
          <w:color w:val="2D659A"/>
          <w:szCs w:val="20"/>
          <w:lang w:val="en-US"/>
        </w:rPr>
        <w:t>We also consider that some requirements will not bring any meaningful information to the market and will unduly over burden the operational processes. For the following requirements, some proportionality should be found:</w:t>
      </w:r>
    </w:p>
    <w:p w14:paraId="39A30325" w14:textId="62B99DE7" w:rsidR="001E5DFD" w:rsidRPr="004E06A4" w:rsidRDefault="001E5DFD" w:rsidP="001313EE">
      <w:pPr>
        <w:pStyle w:val="ListParagraph"/>
        <w:numPr>
          <w:ilvl w:val="0"/>
          <w:numId w:val="50"/>
        </w:numPr>
        <w:suppressAutoHyphens/>
        <w:spacing w:after="120"/>
        <w:jc w:val="both"/>
        <w:rPr>
          <w:szCs w:val="20"/>
          <w:lang w:val="en-US"/>
        </w:rPr>
      </w:pPr>
      <w:r>
        <w:rPr>
          <w:szCs w:val="20"/>
          <w:lang w:val="en-US"/>
        </w:rPr>
        <w:t>A</w:t>
      </w:r>
      <w:r w:rsidRPr="002C12CE">
        <w:rPr>
          <w:szCs w:val="20"/>
          <w:lang w:val="en-US"/>
        </w:rPr>
        <w:t>dverse</w:t>
      </w:r>
      <w:r>
        <w:rPr>
          <w:szCs w:val="20"/>
          <w:lang w:val="en-US"/>
        </w:rPr>
        <w:t xml:space="preserve"> </w:t>
      </w:r>
      <w:r w:rsidRPr="002C12CE">
        <w:rPr>
          <w:szCs w:val="20"/>
          <w:lang w:val="en-US"/>
        </w:rPr>
        <w:t>impact</w:t>
      </w:r>
      <w:r>
        <w:rPr>
          <w:szCs w:val="20"/>
          <w:lang w:val="en-US"/>
        </w:rPr>
        <w:t xml:space="preserve"> </w:t>
      </w:r>
      <w:r w:rsidRPr="002C12CE">
        <w:rPr>
          <w:szCs w:val="20"/>
          <w:lang w:val="en-US"/>
        </w:rPr>
        <w:t xml:space="preserve">disclosures should </w:t>
      </w:r>
      <w:r>
        <w:rPr>
          <w:szCs w:val="20"/>
          <w:lang w:val="en-US"/>
        </w:rPr>
        <w:t xml:space="preserve">not </w:t>
      </w:r>
      <w:r w:rsidRPr="002C12CE">
        <w:rPr>
          <w:szCs w:val="20"/>
          <w:lang w:val="en-US"/>
        </w:rPr>
        <w:t>relate to the entire reference period</w:t>
      </w:r>
      <w:r>
        <w:rPr>
          <w:szCs w:val="20"/>
          <w:lang w:val="en-US"/>
        </w:rPr>
        <w:t xml:space="preserve"> </w:t>
      </w:r>
      <w:r w:rsidRPr="004E06A4">
        <w:rPr>
          <w:szCs w:val="20"/>
          <w:lang w:val="en-US"/>
        </w:rPr>
        <w:t>(</w:t>
      </w:r>
      <w:r>
        <w:rPr>
          <w:szCs w:val="20"/>
          <w:lang w:val="en-US"/>
        </w:rPr>
        <w:t xml:space="preserve">i.e. </w:t>
      </w:r>
      <w:r w:rsidRPr="004E06A4">
        <w:rPr>
          <w:szCs w:val="20"/>
          <w:lang w:val="en-US"/>
        </w:rPr>
        <w:t>average positions</w:t>
      </w:r>
      <w:r>
        <w:rPr>
          <w:szCs w:val="20"/>
          <w:lang w:val="en-US"/>
        </w:rPr>
        <w:t>) but</w:t>
      </w:r>
      <w:r w:rsidRPr="004E06A4">
        <w:rPr>
          <w:szCs w:val="20"/>
          <w:lang w:val="en-US"/>
        </w:rPr>
        <w:t xml:space="preserve"> only to the portfolio as it stands at the end of the relevant reference period</w:t>
      </w:r>
      <w:r>
        <w:rPr>
          <w:szCs w:val="20"/>
          <w:lang w:val="en-US"/>
        </w:rPr>
        <w:t xml:space="preserve">; </w:t>
      </w:r>
    </w:p>
    <w:p w14:paraId="3DBC6641" w14:textId="3786A4A8" w:rsidR="001E5DFD" w:rsidRPr="002C12CE" w:rsidRDefault="001E5DFD" w:rsidP="001313EE">
      <w:pPr>
        <w:pStyle w:val="ListParagraph"/>
        <w:numPr>
          <w:ilvl w:val="0"/>
          <w:numId w:val="50"/>
        </w:numPr>
        <w:suppressAutoHyphens/>
        <w:spacing w:after="120"/>
        <w:jc w:val="both"/>
        <w:rPr>
          <w:szCs w:val="20"/>
          <w:lang w:val="en-US"/>
        </w:rPr>
      </w:pPr>
      <w:r w:rsidRPr="00AC7B9B">
        <w:rPr>
          <w:szCs w:val="20"/>
          <w:lang w:val="en-US"/>
        </w:rPr>
        <w:t>All short term holdings should be excluded</w:t>
      </w:r>
      <w:r>
        <w:rPr>
          <w:szCs w:val="20"/>
          <w:lang w:val="en-US"/>
        </w:rPr>
        <w:t xml:space="preserve"> (including derivatives). </w:t>
      </w:r>
    </w:p>
    <w:p w14:paraId="7FAB8DD9" w14:textId="05EB8A0D" w:rsidR="001E5DFD" w:rsidRPr="00D34E5C" w:rsidRDefault="001E5DFD" w:rsidP="001313EE">
      <w:pPr>
        <w:numPr>
          <w:ilvl w:val="0"/>
          <w:numId w:val="44"/>
        </w:num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Investing in stocks or funds that are not subject to the EU’s sustainable finance legislation is likely to bring confusion. Foreign stocks purchased in the same financial vehicle holding EU stocks will be favoured by not falling under the important </w:t>
      </w:r>
      <w:r>
        <w:rPr>
          <w:noProof/>
          <w:szCs w:val="20"/>
          <w:lang w:val="en-US"/>
        </w:rPr>
        <w:lastRenderedPageBreak/>
        <mc:AlternateContent>
          <mc:Choice Requires="wps">
            <w:drawing>
              <wp:anchor distT="0" distB="0" distL="114300" distR="114300" simplePos="0" relativeHeight="251661312" behindDoc="1" locked="0" layoutInCell="1" allowOverlap="1" wp14:anchorId="07643830" wp14:editId="5CED5B2D">
                <wp:simplePos x="0" y="0"/>
                <wp:positionH relativeFrom="column">
                  <wp:posOffset>166098</wp:posOffset>
                </wp:positionH>
                <wp:positionV relativeFrom="paragraph">
                  <wp:posOffset>-191407</wp:posOffset>
                </wp:positionV>
                <wp:extent cx="5921828" cy="6221186"/>
                <wp:effectExtent l="0" t="0" r="22225"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1828" cy="6221186"/>
                        </a:xfrm>
                        <a:prstGeom prst="rect">
                          <a:avLst/>
                        </a:prstGeom>
                        <a:solidFill>
                          <a:sysClr val="window" lastClr="FFFFFF">
                            <a:lumMod val="95000"/>
                          </a:sysClr>
                        </a:solidFill>
                        <a:ln w="15875" cap="rnd" cmpd="sng" algn="ctr">
                          <a:solidFill>
                            <a:srgbClr val="4288C8">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23252" id="Rectangle 1" o:spid="_x0000_s1026" style="position:absolute;margin-left:13.1pt;margin-top:-15.05pt;width:466.3pt;height:48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" fillcolor="#f2f2f2" strokecolor="#b3cfe9" strokeweight="1.25pt">
                <v:stroke endcap="round"/>
                <v:path arrowok="t"/>
              </v:rect>
            </w:pict>
          </mc:Fallback>
        </mc:AlternateContent>
      </w:r>
      <w:r w:rsidRPr="00D34E5C">
        <w:rPr>
          <w:rFonts w:ascii="Verdana" w:eastAsia="Century Gothic" w:hAnsi="Verdana"/>
          <w:color w:val="2D659A"/>
          <w:szCs w:val="20"/>
          <w:lang w:val="en-US"/>
        </w:rPr>
        <w:t xml:space="preserve">requirements </w:t>
      </w:r>
      <w:r>
        <w:rPr>
          <w:rFonts w:ascii="Verdana" w:eastAsia="Century Gothic" w:hAnsi="Verdana"/>
          <w:color w:val="2D659A"/>
          <w:szCs w:val="20"/>
          <w:lang w:val="en-US"/>
        </w:rPr>
        <w:t xml:space="preserve">that </w:t>
      </w:r>
      <w:r w:rsidRPr="00D34E5C">
        <w:rPr>
          <w:rFonts w:ascii="Verdana" w:eastAsia="Century Gothic" w:hAnsi="Verdana"/>
          <w:color w:val="2D659A"/>
          <w:szCs w:val="20"/>
          <w:lang w:val="en-US"/>
        </w:rPr>
        <w:t xml:space="preserve">EU companies (both issuers and investors) are going to be compliant to  </w:t>
      </w:r>
    </w:p>
    <w:p w14:paraId="736DAD8C" w14:textId="77777777" w:rsidR="001E5DFD" w:rsidRDefault="001E5DFD" w:rsidP="001313EE">
      <w:pPr>
        <w:numPr>
          <w:ilvl w:val="0"/>
          <w:numId w:val="44"/>
        </w:numPr>
        <w:suppressAutoHyphens/>
        <w:spacing w:after="120"/>
        <w:jc w:val="both"/>
        <w:rPr>
          <w:rFonts w:ascii="Verdana" w:eastAsia="Century Gothic" w:hAnsi="Verdana"/>
          <w:color w:val="2D659A"/>
          <w:szCs w:val="20"/>
          <w:lang w:val="en-US"/>
        </w:rPr>
      </w:pPr>
      <w:r w:rsidRPr="003B4C11">
        <w:rPr>
          <w:rFonts w:ascii="Verdana" w:eastAsia="Century Gothic" w:hAnsi="Verdana"/>
          <w:color w:val="2D659A"/>
          <w:szCs w:val="20"/>
          <w:lang w:val="en-US"/>
        </w:rPr>
        <w:t xml:space="preserve">Table 1 requires reporting collective data and metrics at entity level. If disclosure is not provided per product, the efficacy of the effect of table 1 for the final user/client risks </w:t>
      </w:r>
      <w:r>
        <w:rPr>
          <w:rFonts w:ascii="Verdana" w:eastAsia="Century Gothic" w:hAnsi="Verdana"/>
          <w:color w:val="2D659A"/>
          <w:szCs w:val="20"/>
          <w:lang w:val="en-US"/>
        </w:rPr>
        <w:t xml:space="preserve">are </w:t>
      </w:r>
      <w:r w:rsidRPr="003B4C11">
        <w:rPr>
          <w:rFonts w:ascii="Verdana" w:eastAsia="Century Gothic" w:hAnsi="Verdana"/>
          <w:color w:val="2D659A"/>
          <w:szCs w:val="20"/>
          <w:lang w:val="en-US"/>
        </w:rPr>
        <w:t>to be compromised while representing a collective set of data that might not be of direct interest of the</w:t>
      </w:r>
      <w:r>
        <w:rPr>
          <w:rFonts w:ascii="Verdana" w:eastAsia="Century Gothic" w:hAnsi="Verdana"/>
          <w:color w:val="2D659A"/>
          <w:szCs w:val="20"/>
          <w:lang w:val="en-US"/>
        </w:rPr>
        <w:t xml:space="preserve"> portfolio/</w:t>
      </w:r>
      <w:r w:rsidRPr="003B4C11">
        <w:rPr>
          <w:rFonts w:ascii="Verdana" w:eastAsia="Century Gothic" w:hAnsi="Verdana"/>
          <w:color w:val="2D659A"/>
          <w:szCs w:val="20"/>
          <w:lang w:val="en-US"/>
        </w:rPr>
        <w:t>fund’s client.</w:t>
      </w:r>
    </w:p>
    <w:p w14:paraId="51A7CD78" w14:textId="77777777" w:rsidR="001E5DFD" w:rsidRDefault="001E5DFD" w:rsidP="001E5DFD">
      <w:pPr>
        <w:ind w:left="720"/>
        <w:jc w:val="both"/>
        <w:rPr>
          <w:rFonts w:ascii="Verdana" w:eastAsia="Century Gothic" w:hAnsi="Verdana"/>
          <w:color w:val="2D659A"/>
          <w:szCs w:val="20"/>
          <w:lang w:val="en-US"/>
        </w:rPr>
      </w:pPr>
      <w:r w:rsidRPr="003B4C11">
        <w:rPr>
          <w:rFonts w:ascii="Verdana" w:eastAsia="Century Gothic" w:hAnsi="Verdana"/>
          <w:color w:val="2D659A"/>
          <w:szCs w:val="20"/>
          <w:lang w:val="en-US"/>
        </w:rPr>
        <w:t>Our understanding is that the draft RTS go beyond the provisions of the level 1 text, and according to Art 4, financial market participants are only requested to provide qualitative information on the points covered in this article. If this is a correct interpretation, there will be a strong case for quantitative indicators to be optional.</w:t>
      </w:r>
    </w:p>
    <w:p w14:paraId="2D8246F1" w14:textId="77777777" w:rsidR="001E5DFD" w:rsidRDefault="001E5DFD" w:rsidP="001E5DFD">
      <w:pPr>
        <w:suppressAutoHyphens/>
        <w:spacing w:after="120"/>
        <w:ind w:left="720"/>
        <w:jc w:val="both"/>
        <w:rPr>
          <w:rFonts w:ascii="Verdana" w:eastAsia="Century Gothic" w:hAnsi="Verdana"/>
          <w:color w:val="2D659A"/>
          <w:szCs w:val="20"/>
          <w:lang w:val="en-US"/>
        </w:rPr>
      </w:pPr>
    </w:p>
    <w:p w14:paraId="79E856ED" w14:textId="77777777" w:rsidR="001E5DFD" w:rsidRPr="000266DB" w:rsidRDefault="001E5DFD" w:rsidP="001313EE">
      <w:pPr>
        <w:numPr>
          <w:ilvl w:val="0"/>
          <w:numId w:val="44"/>
        </w:numPr>
        <w:suppressAutoHyphens/>
        <w:spacing w:after="120"/>
        <w:jc w:val="both"/>
        <w:rPr>
          <w:rFonts w:ascii="Verdana" w:eastAsia="Century Gothic" w:hAnsi="Verdana"/>
          <w:color w:val="2D659A"/>
          <w:szCs w:val="20"/>
          <w:lang w:val="en-US"/>
        </w:rPr>
      </w:pPr>
      <w:r w:rsidRPr="000266DB">
        <w:rPr>
          <w:rFonts w:ascii="Verdana" w:eastAsia="Century Gothic" w:hAnsi="Verdana"/>
          <w:color w:val="2D659A"/>
          <w:szCs w:val="20"/>
          <w:lang w:val="en-US"/>
        </w:rPr>
        <w:t xml:space="preserve">Regarding indicators at entity / counterparty level, we favour an approach either of only qualitative indicators (at least till the investee companies apply the revised NFRD) or an approach of a very few mandatory under “comply or explain” or recommended indicators that might become compulsory over time, or basis, where the following criteria are taken into account: </w:t>
      </w:r>
    </w:p>
    <w:p w14:paraId="615BB7F5" w14:textId="77777777" w:rsidR="001E5DFD" w:rsidRDefault="001E5DFD" w:rsidP="001313EE">
      <w:pPr>
        <w:pStyle w:val="ListParagraph"/>
        <w:numPr>
          <w:ilvl w:val="0"/>
          <w:numId w:val="51"/>
        </w:numPr>
        <w:suppressAutoHyphens/>
        <w:spacing w:after="120"/>
        <w:jc w:val="both"/>
        <w:rPr>
          <w:szCs w:val="20"/>
          <w:lang w:val="en-US"/>
        </w:rPr>
      </w:pPr>
      <w:r w:rsidRPr="002C12CE">
        <w:rPr>
          <w:szCs w:val="20"/>
          <w:lang w:val="en-US"/>
        </w:rPr>
        <w:t>Availability and maturity of data</w:t>
      </w:r>
      <w:r>
        <w:rPr>
          <w:szCs w:val="20"/>
          <w:lang w:val="en-US"/>
        </w:rPr>
        <w:t xml:space="preserve">; </w:t>
      </w:r>
    </w:p>
    <w:p w14:paraId="16AD2792" w14:textId="77777777" w:rsidR="001E5DFD" w:rsidRDefault="001E5DFD" w:rsidP="001313EE">
      <w:pPr>
        <w:pStyle w:val="ListParagraph"/>
        <w:numPr>
          <w:ilvl w:val="0"/>
          <w:numId w:val="51"/>
        </w:numPr>
        <w:suppressAutoHyphens/>
        <w:spacing w:after="120"/>
        <w:jc w:val="both"/>
        <w:rPr>
          <w:szCs w:val="20"/>
          <w:lang w:val="en-US"/>
        </w:rPr>
      </w:pPr>
      <w:r w:rsidRPr="002C12CE">
        <w:rPr>
          <w:szCs w:val="20"/>
          <w:lang w:val="en-US"/>
        </w:rPr>
        <w:t>Availability of a standardised methodology applied to companies</w:t>
      </w:r>
      <w:r>
        <w:rPr>
          <w:szCs w:val="20"/>
          <w:lang w:val="en-US"/>
        </w:rPr>
        <w:t>;</w:t>
      </w:r>
    </w:p>
    <w:p w14:paraId="0BD3BF4B" w14:textId="77777777" w:rsidR="001E5DFD" w:rsidRPr="002E1F62" w:rsidRDefault="001E5DFD" w:rsidP="001313EE">
      <w:pPr>
        <w:pStyle w:val="ListParagraph"/>
        <w:numPr>
          <w:ilvl w:val="0"/>
          <w:numId w:val="51"/>
        </w:numPr>
        <w:suppressAutoHyphens/>
        <w:spacing w:after="120"/>
        <w:jc w:val="both"/>
        <w:rPr>
          <w:szCs w:val="20"/>
          <w:lang w:val="en-US"/>
        </w:rPr>
      </w:pPr>
      <w:r w:rsidRPr="002C12CE">
        <w:rPr>
          <w:szCs w:val="20"/>
          <w:lang w:val="en-US"/>
        </w:rPr>
        <w:t>Availability of a methodology to aggregate performance – and in their absence, disclosures breakdown by asset class (debt/equity)</w:t>
      </w:r>
      <w:r>
        <w:rPr>
          <w:szCs w:val="20"/>
          <w:lang w:val="en-US"/>
        </w:rPr>
        <w:t>;</w:t>
      </w:r>
    </w:p>
    <w:p w14:paraId="555E5D03" w14:textId="77777777" w:rsidR="001E5DFD" w:rsidRPr="002F7C2B" w:rsidRDefault="001E5DFD" w:rsidP="001313EE">
      <w:pPr>
        <w:pStyle w:val="ListParagraph"/>
        <w:numPr>
          <w:ilvl w:val="0"/>
          <w:numId w:val="51"/>
        </w:numPr>
        <w:suppressAutoHyphens/>
        <w:spacing w:after="120"/>
        <w:jc w:val="both"/>
        <w:rPr>
          <w:szCs w:val="20"/>
          <w:lang w:val="en-US"/>
        </w:rPr>
      </w:pPr>
      <w:r w:rsidRPr="002E1F62">
        <w:rPr>
          <w:szCs w:val="20"/>
          <w:lang w:val="en-US"/>
        </w:rPr>
        <w:t xml:space="preserve">Demonstrated relationship between indicator at firm-level and real world impact. </w:t>
      </w:r>
    </w:p>
    <w:p w14:paraId="202321D8" w14:textId="77777777" w:rsidR="001E5DFD" w:rsidRPr="003B4C11" w:rsidRDefault="001E5DFD" w:rsidP="001E5DFD">
      <w:pPr>
        <w:ind w:left="720"/>
        <w:jc w:val="both"/>
        <w:rPr>
          <w:rFonts w:ascii="Verdana" w:eastAsia="Century Gothic" w:hAnsi="Verdana"/>
          <w:color w:val="2D659A"/>
          <w:szCs w:val="20"/>
          <w:lang w:val="en-US"/>
        </w:rPr>
      </w:pPr>
      <w:r w:rsidRPr="003B4C11">
        <w:rPr>
          <w:rFonts w:ascii="Verdana" w:eastAsia="Century Gothic" w:hAnsi="Verdana"/>
          <w:color w:val="2D659A"/>
          <w:szCs w:val="20"/>
          <w:lang w:val="en-US"/>
        </w:rPr>
        <w:t xml:space="preserve">We consider that the following non-quantifiable disclosures would be much more valuable </w:t>
      </w:r>
    </w:p>
    <w:p w14:paraId="7ED62891" w14:textId="77777777" w:rsidR="001E5DFD" w:rsidRPr="002C12CE" w:rsidRDefault="001E5DFD" w:rsidP="001313EE">
      <w:pPr>
        <w:pStyle w:val="ListParagraph"/>
        <w:numPr>
          <w:ilvl w:val="0"/>
          <w:numId w:val="52"/>
        </w:numPr>
        <w:suppressAutoHyphens/>
        <w:spacing w:after="120"/>
        <w:jc w:val="both"/>
        <w:rPr>
          <w:szCs w:val="20"/>
          <w:lang w:val="en-US"/>
        </w:rPr>
      </w:pPr>
      <w:r w:rsidRPr="002C12CE">
        <w:rPr>
          <w:szCs w:val="20"/>
          <w:lang w:val="en-US"/>
        </w:rPr>
        <w:t>Governance of sustainability within financial market participants</w:t>
      </w:r>
    </w:p>
    <w:p w14:paraId="78DF3F5A" w14:textId="77777777" w:rsidR="001E5DFD" w:rsidRDefault="001E5DFD" w:rsidP="001313EE">
      <w:pPr>
        <w:pStyle w:val="ListParagraph"/>
        <w:numPr>
          <w:ilvl w:val="0"/>
          <w:numId w:val="52"/>
        </w:numPr>
        <w:suppressAutoHyphens/>
        <w:spacing w:after="120"/>
        <w:jc w:val="both"/>
        <w:rPr>
          <w:szCs w:val="20"/>
          <w:lang w:val="en-US"/>
        </w:rPr>
      </w:pPr>
      <w:r w:rsidRPr="002E1F62">
        <w:rPr>
          <w:szCs w:val="20"/>
          <w:lang w:val="en-US"/>
        </w:rPr>
        <w:t>Paris alignment/climate and ESG strategy at firm-level</w:t>
      </w:r>
    </w:p>
    <w:p w14:paraId="278E697E" w14:textId="77777777" w:rsidR="001E5DFD" w:rsidRPr="002662E6" w:rsidRDefault="001E5DFD" w:rsidP="001313EE">
      <w:pPr>
        <w:pStyle w:val="ListParagraph"/>
        <w:numPr>
          <w:ilvl w:val="0"/>
          <w:numId w:val="52"/>
        </w:numPr>
        <w:suppressAutoHyphens/>
        <w:spacing w:after="120"/>
        <w:jc w:val="both"/>
        <w:rPr>
          <w:szCs w:val="20"/>
          <w:lang w:val="en-US"/>
        </w:rPr>
      </w:pPr>
      <w:r w:rsidRPr="00D121F5">
        <w:rPr>
          <w:szCs w:val="20"/>
          <w:lang w:val="en-US"/>
        </w:rPr>
        <w:t>ESG Due diligence processes – identified cases and remediation actions</w:t>
      </w:r>
      <w:r w:rsidRPr="00F4584F">
        <w:rPr>
          <w:szCs w:val="20"/>
          <w:lang w:val="en-US"/>
        </w:rPr>
        <w:t>.</w:t>
      </w:r>
    </w:p>
    <w:p w14:paraId="1D71BBC0" w14:textId="77777777" w:rsidR="001E5DFD" w:rsidRPr="003B4C11" w:rsidRDefault="001E5DFD" w:rsidP="001E5DFD">
      <w:pPr>
        <w:ind w:left="720"/>
        <w:jc w:val="both"/>
        <w:rPr>
          <w:rFonts w:ascii="Verdana" w:eastAsia="Century Gothic" w:hAnsi="Verdana"/>
          <w:color w:val="2D659A"/>
          <w:szCs w:val="20"/>
          <w:lang w:val="en-US"/>
        </w:rPr>
      </w:pPr>
      <w:r w:rsidRPr="003B4C11">
        <w:rPr>
          <w:rFonts w:ascii="Verdana" w:eastAsia="Century Gothic" w:hAnsi="Verdana"/>
          <w:color w:val="2D659A"/>
          <w:szCs w:val="20"/>
          <w:lang w:val="en-US"/>
        </w:rPr>
        <w:t xml:space="preserve">Attention should be raised on potential side effects of a “comply or explain”/opt-in approach for Corporate and Investment banks (CIBs) on the producers’ side. When they manufacture a product, CIBs do not know which indicators will be chosen by the distributor that will buy their products and are themselves subject to the SFDR. CIBs will therefore have to analyze and provide information to their clients on the </w:t>
      </w:r>
      <w:r>
        <w:rPr>
          <w:rFonts w:ascii="Verdana" w:eastAsia="Century Gothic" w:hAnsi="Verdana"/>
          <w:color w:val="2D659A"/>
          <w:szCs w:val="20"/>
          <w:lang w:val="en-US"/>
        </w:rPr>
        <w:t>dozens of</w:t>
      </w:r>
      <w:r w:rsidRPr="003B4C11">
        <w:rPr>
          <w:rFonts w:ascii="Verdana" w:eastAsia="Century Gothic" w:hAnsi="Verdana"/>
          <w:color w:val="2D659A"/>
          <w:szCs w:val="20"/>
          <w:lang w:val="en-US"/>
        </w:rPr>
        <w:t xml:space="preserve"> indicators to allow distributors to select the indicators they wish to provide to their clients. This potential side effect will in fine prevent investors from having qualitative data to do their PAI assessment at entity level.</w:t>
      </w:r>
    </w:p>
    <w:p w14:paraId="2F3C7856" w14:textId="77777777" w:rsidR="001E5DFD" w:rsidRDefault="001E5DFD" w:rsidP="001E5DFD">
      <w:pPr>
        <w:suppressAutoHyphens/>
        <w:spacing w:after="120"/>
        <w:jc w:val="both"/>
        <w:rPr>
          <w:rFonts w:ascii="Verdana" w:eastAsia="Century Gothic" w:hAnsi="Verdana"/>
          <w:b/>
          <w:bCs/>
          <w:i/>
          <w:color w:val="2D659A"/>
          <w:szCs w:val="20"/>
        </w:rPr>
      </w:pPr>
    </w:p>
    <w:p w14:paraId="3DE14EF0" w14:textId="77777777" w:rsidR="001E5DFD" w:rsidRDefault="001E5DFD" w:rsidP="001E5DFD">
      <w:pPr>
        <w:suppressAutoHyphens/>
        <w:spacing w:after="120"/>
        <w:jc w:val="both"/>
        <w:rPr>
          <w:rFonts w:ascii="Verdana" w:eastAsia="Century Gothic" w:hAnsi="Verdana"/>
          <w:b/>
          <w:bCs/>
          <w:i/>
          <w:color w:val="2D659A"/>
          <w:szCs w:val="20"/>
        </w:rPr>
      </w:pPr>
    </w:p>
    <w:p w14:paraId="079E22E9" w14:textId="77777777" w:rsidR="001E5DFD" w:rsidRDefault="001E5DFD" w:rsidP="001E5DFD">
      <w:pPr>
        <w:suppressAutoHyphens/>
        <w:spacing w:after="120"/>
        <w:jc w:val="both"/>
        <w:rPr>
          <w:rFonts w:ascii="Verdana" w:eastAsia="Century Gothic" w:hAnsi="Verdana"/>
          <w:b/>
          <w:bCs/>
          <w:i/>
          <w:color w:val="2D659A"/>
          <w:szCs w:val="20"/>
        </w:rPr>
      </w:pPr>
    </w:p>
    <w:p w14:paraId="58ADF054" w14:textId="77777777" w:rsidR="001E5DFD" w:rsidRPr="00D34E5C" w:rsidRDefault="001E5DFD" w:rsidP="001E5DFD">
      <w:pPr>
        <w:suppressAutoHyphens/>
        <w:spacing w:after="120"/>
        <w:jc w:val="both"/>
        <w:rPr>
          <w:rFonts w:ascii="Verdana" w:eastAsia="Century Gothic" w:hAnsi="Verdana"/>
          <w:b/>
          <w:bCs/>
          <w:i/>
          <w:color w:val="2D659A"/>
          <w:szCs w:val="20"/>
        </w:rPr>
      </w:pPr>
      <w:r w:rsidRPr="00D34E5C">
        <w:rPr>
          <w:rFonts w:ascii="Verdana" w:eastAsia="Century Gothic" w:hAnsi="Verdana"/>
          <w:b/>
          <w:bCs/>
          <w:i/>
          <w:color w:val="2D659A"/>
          <w:szCs w:val="20"/>
        </w:rPr>
        <w:t>Outline of this paper</w:t>
      </w:r>
    </w:p>
    <w:p w14:paraId="23E99C63" w14:textId="77777777" w:rsidR="001E5DFD" w:rsidRDefault="001E5DFD" w:rsidP="001E5DFD">
      <w:pPr>
        <w:suppressAutoHyphens/>
        <w:spacing w:after="120"/>
        <w:jc w:val="both"/>
        <w:rPr>
          <w:rFonts w:ascii="Verdana" w:eastAsia="Century Gothic" w:hAnsi="Verdana"/>
          <w:i/>
          <w:color w:val="2D659A"/>
          <w:szCs w:val="20"/>
        </w:rPr>
      </w:pPr>
      <w:r w:rsidRPr="00D34E5C">
        <w:rPr>
          <w:rFonts w:ascii="Verdana" w:eastAsia="Century Gothic" w:hAnsi="Verdana"/>
          <w:i/>
          <w:color w:val="2D659A"/>
          <w:szCs w:val="20"/>
        </w:rPr>
        <w:t xml:space="preserve">Given the complex nature of the matter and the extensive range of implications this regulation and subsequent RTS have on financial markets participants and consumers alike, the EBF has written a consultation reaction in the form of a position paper. The paper is outlined in three sections. </w:t>
      </w:r>
      <w:bookmarkStart w:id="3" w:name="_Hlk43709146"/>
    </w:p>
    <w:p w14:paraId="54213B95" w14:textId="77777777" w:rsidR="001E5DFD" w:rsidRPr="00D34E5C" w:rsidRDefault="001E5DFD" w:rsidP="001E5DFD">
      <w:pPr>
        <w:suppressAutoHyphens/>
        <w:spacing w:after="120"/>
        <w:jc w:val="both"/>
        <w:rPr>
          <w:rFonts w:ascii="Verdana" w:eastAsia="Century Gothic" w:hAnsi="Verdana"/>
          <w:b/>
          <w:bCs/>
          <w:color w:val="2D659A"/>
          <w:szCs w:val="20"/>
          <w:u w:val="single"/>
        </w:rPr>
      </w:pPr>
      <w:r>
        <w:rPr>
          <w:rFonts w:ascii="Verdana" w:eastAsia="Century Gothic" w:hAnsi="Verdana"/>
          <w:i/>
          <w:color w:val="2D659A"/>
          <w:szCs w:val="20"/>
        </w:rPr>
        <w:br w:type="page"/>
      </w:r>
      <w:r w:rsidRPr="00D34E5C">
        <w:rPr>
          <w:rFonts w:ascii="Verdana" w:eastAsia="Century Gothic" w:hAnsi="Verdana"/>
          <w:b/>
          <w:bCs/>
          <w:color w:val="2D659A"/>
          <w:szCs w:val="20"/>
          <w:u w:val="single"/>
        </w:rPr>
        <w:lastRenderedPageBreak/>
        <w:t>I – GENERAL REMARKS</w:t>
      </w:r>
    </w:p>
    <w:p w14:paraId="19F7B71F" w14:textId="77777777" w:rsidR="001E5DFD" w:rsidRPr="001E5DFD" w:rsidRDefault="001E5DFD" w:rsidP="001313EE">
      <w:pPr>
        <w:pStyle w:val="ListParagraph"/>
        <w:numPr>
          <w:ilvl w:val="0"/>
          <w:numId w:val="41"/>
        </w:numPr>
        <w:spacing w:after="120"/>
        <w:jc w:val="both"/>
        <w:rPr>
          <w:rFonts w:ascii="Verdana" w:hAnsi="Verdana"/>
          <w:b/>
          <w:bCs/>
          <w:szCs w:val="20"/>
          <w:lang w:val="en-US"/>
        </w:rPr>
      </w:pPr>
      <w:r w:rsidRPr="001E5DFD">
        <w:rPr>
          <w:rFonts w:ascii="Verdana" w:hAnsi="Verdana"/>
          <w:b/>
          <w:bCs/>
          <w:szCs w:val="20"/>
          <w:lang w:val="en-US"/>
        </w:rPr>
        <w:t xml:space="preserve">Complexity of the matter and practical concerns </w:t>
      </w:r>
    </w:p>
    <w:p w14:paraId="4F38DAA1" w14:textId="77777777" w:rsidR="001E5DFD" w:rsidRPr="001E5DFD" w:rsidRDefault="001E5DFD" w:rsidP="001E5DFD">
      <w:pPr>
        <w:jc w:val="both"/>
        <w:rPr>
          <w:rFonts w:ascii="Verdana" w:eastAsia="Century Gothic" w:hAnsi="Verdana"/>
          <w:color w:val="2D659A"/>
          <w:szCs w:val="20"/>
          <w:lang w:val="en-US"/>
        </w:rPr>
      </w:pPr>
      <w:r w:rsidRPr="001E5DFD">
        <w:rPr>
          <w:rFonts w:ascii="Verdana" w:eastAsia="Century Gothic" w:hAnsi="Verdana"/>
          <w:color w:val="2D659A"/>
          <w:szCs w:val="20"/>
          <w:lang w:val="en-US"/>
        </w:rPr>
        <w:t>The Commission’s EU Action Plan on Financing a Sustainable Growth was published in 2018. With the Regulation (EU) 2019/2088 on sustainability</w:t>
      </w:r>
      <w:r w:rsidRPr="001E5DFD">
        <w:rPr>
          <w:rFonts w:ascii="Cambria Math" w:eastAsia="Century Gothic" w:hAnsi="Cambria Math" w:cs="Cambria Math"/>
          <w:color w:val="2D659A"/>
          <w:szCs w:val="20"/>
          <w:lang w:val="en-US"/>
        </w:rPr>
        <w:t>‐</w:t>
      </w:r>
      <w:r w:rsidRPr="001E5DFD">
        <w:rPr>
          <w:rFonts w:ascii="Verdana" w:eastAsia="Century Gothic" w:hAnsi="Verdana"/>
          <w:color w:val="2D659A"/>
          <w:szCs w:val="20"/>
          <w:lang w:val="en-US"/>
        </w:rPr>
        <w:t xml:space="preserve">related disclosures in the financial services sector (Disclosure Regulation or SFDR) published only in December 2019, and the level 2 text not ready in draft before the end of this year. We believe that the regulatory texts are:  </w:t>
      </w:r>
    </w:p>
    <w:p w14:paraId="53283F6F" w14:textId="77777777" w:rsidR="001E5DFD" w:rsidRPr="001E5DFD" w:rsidRDefault="001E5DFD" w:rsidP="001313EE">
      <w:pPr>
        <w:pStyle w:val="ListParagraph"/>
        <w:numPr>
          <w:ilvl w:val="0"/>
          <w:numId w:val="53"/>
        </w:numPr>
        <w:jc w:val="both"/>
        <w:rPr>
          <w:rFonts w:ascii="Verdana" w:eastAsia="Century Gothic" w:hAnsi="Verdana"/>
          <w:color w:val="2D659A"/>
          <w:szCs w:val="20"/>
          <w:lang w:val="en-US"/>
        </w:rPr>
      </w:pPr>
      <w:r w:rsidRPr="001E5DFD">
        <w:rPr>
          <w:rFonts w:ascii="Verdana" w:eastAsia="Century Gothic" w:hAnsi="Verdana"/>
          <w:color w:val="2D659A"/>
          <w:szCs w:val="20"/>
          <w:lang w:val="en-US"/>
        </w:rPr>
        <w:t>Very complex in general;</w:t>
      </w:r>
    </w:p>
    <w:p w14:paraId="4A166336" w14:textId="77777777" w:rsidR="001E5DFD" w:rsidRPr="001E5DFD" w:rsidRDefault="001E5DFD" w:rsidP="001313EE">
      <w:pPr>
        <w:pStyle w:val="ListParagraph"/>
        <w:numPr>
          <w:ilvl w:val="0"/>
          <w:numId w:val="53"/>
        </w:numPr>
        <w:jc w:val="both"/>
        <w:rPr>
          <w:rFonts w:ascii="Verdana" w:eastAsia="Century Gothic" w:hAnsi="Verdana"/>
          <w:color w:val="2D659A"/>
          <w:szCs w:val="20"/>
          <w:lang w:val="en-US"/>
        </w:rPr>
      </w:pPr>
      <w:r w:rsidRPr="001E5DFD">
        <w:rPr>
          <w:rFonts w:ascii="Verdana" w:eastAsia="Century Gothic" w:hAnsi="Verdana"/>
          <w:color w:val="2D659A"/>
          <w:szCs w:val="20"/>
          <w:lang w:val="en-US"/>
        </w:rPr>
        <w:t>Unclear and multi-interpretable (a lot of examples to follow);</w:t>
      </w:r>
    </w:p>
    <w:p w14:paraId="57E8D8F2" w14:textId="77777777" w:rsidR="001E5DFD" w:rsidRPr="001E5DFD" w:rsidRDefault="001E5DFD" w:rsidP="001313EE">
      <w:pPr>
        <w:pStyle w:val="ListParagraph"/>
        <w:numPr>
          <w:ilvl w:val="0"/>
          <w:numId w:val="53"/>
        </w:numPr>
        <w:jc w:val="both"/>
        <w:rPr>
          <w:rFonts w:ascii="Verdana" w:eastAsia="Century Gothic" w:hAnsi="Verdana"/>
          <w:color w:val="2D659A"/>
          <w:szCs w:val="20"/>
          <w:lang w:val="en-US"/>
        </w:rPr>
      </w:pPr>
      <w:r w:rsidRPr="001E5DFD">
        <w:rPr>
          <w:rFonts w:ascii="Verdana" w:eastAsia="Century Gothic" w:hAnsi="Verdana"/>
          <w:color w:val="2D659A"/>
          <w:szCs w:val="20"/>
          <w:lang w:val="en-US"/>
        </w:rPr>
        <w:t>Not easy to fully grasp, especially in conjunction with existing legislation and legislation that is under review (i.e. MiFID2, Solvency II, AIFMD, NFRD, UCITS).</w:t>
      </w:r>
    </w:p>
    <w:p w14:paraId="1AD79CF3" w14:textId="77777777" w:rsidR="001E5DFD" w:rsidRPr="001E5DFD" w:rsidRDefault="001E5DFD" w:rsidP="001E5DFD">
      <w:pPr>
        <w:pStyle w:val="ListParagraph"/>
        <w:rPr>
          <w:rFonts w:ascii="Verdana" w:hAnsi="Verdana"/>
          <w:b/>
          <w:bCs/>
          <w:szCs w:val="20"/>
          <w:lang w:val="en-US"/>
        </w:rPr>
      </w:pPr>
    </w:p>
    <w:p w14:paraId="5CACD25E" w14:textId="77777777" w:rsidR="001E5DFD" w:rsidRPr="001E5DFD" w:rsidRDefault="001E5DFD" w:rsidP="001313EE">
      <w:pPr>
        <w:pStyle w:val="ListParagraph"/>
        <w:numPr>
          <w:ilvl w:val="0"/>
          <w:numId w:val="41"/>
        </w:numPr>
        <w:spacing w:after="120"/>
        <w:jc w:val="both"/>
        <w:rPr>
          <w:rFonts w:ascii="Verdana" w:hAnsi="Verdana"/>
          <w:b/>
          <w:bCs/>
          <w:szCs w:val="20"/>
          <w:lang w:val="en-US"/>
        </w:rPr>
      </w:pPr>
      <w:r w:rsidRPr="001E5DFD">
        <w:rPr>
          <w:rFonts w:ascii="Verdana" w:hAnsi="Verdana"/>
          <w:b/>
          <w:bCs/>
          <w:szCs w:val="20"/>
          <w:lang w:val="en-US"/>
        </w:rPr>
        <w:t>More than challenging timelines</w:t>
      </w:r>
    </w:p>
    <w:p w14:paraId="6D0F53E9" w14:textId="77777777" w:rsidR="001E5DFD" w:rsidRDefault="001E5DFD" w:rsidP="001E5DFD">
      <w:pPr>
        <w:jc w:val="both"/>
        <w:rPr>
          <w:rFonts w:ascii="Verdana" w:eastAsia="Century Gothic" w:hAnsi="Verdana"/>
          <w:color w:val="2D659A"/>
          <w:szCs w:val="20"/>
          <w:lang w:val="en-US"/>
        </w:rPr>
      </w:pPr>
      <w:r w:rsidRPr="005A6C8C">
        <w:rPr>
          <w:rFonts w:ascii="Verdana" w:eastAsia="Century Gothic" w:hAnsi="Verdana"/>
          <w:color w:val="2D659A"/>
          <w:szCs w:val="20"/>
          <w:lang w:val="en-US"/>
        </w:rPr>
        <w:t xml:space="preserve">It is imperative to ensure consistency and coordination with the different pieces of rules on sustainability-related disclosures (the reviewed NFRD, the Disclosure Regulation, the Benchmark Regulation and the Taxonomy Regulation). In particular, the corporate disclosures under the revised NFRD should align to what is disclosed by FMP’s on financial products. </w:t>
      </w:r>
    </w:p>
    <w:p w14:paraId="001303D7" w14:textId="77777777" w:rsidR="001E5DFD" w:rsidRPr="005A6C8C" w:rsidRDefault="001E5DFD" w:rsidP="001E5DFD">
      <w:pPr>
        <w:jc w:val="both"/>
        <w:rPr>
          <w:rFonts w:ascii="Verdana" w:eastAsia="Century Gothic" w:hAnsi="Verdana"/>
          <w:color w:val="2D659A"/>
          <w:szCs w:val="20"/>
          <w:lang w:val="en-US"/>
        </w:rPr>
      </w:pPr>
    </w:p>
    <w:p w14:paraId="7486FBAF" w14:textId="77777777" w:rsidR="001E5DFD" w:rsidRDefault="001E5DFD" w:rsidP="001E5DFD">
      <w:pPr>
        <w:jc w:val="both"/>
        <w:rPr>
          <w:rFonts w:ascii="Verdana" w:eastAsia="Century Gothic" w:hAnsi="Verdana"/>
          <w:color w:val="2D659A"/>
          <w:szCs w:val="20"/>
          <w:lang w:val="en-US"/>
        </w:rPr>
      </w:pPr>
      <w:r w:rsidRPr="005A6C8C">
        <w:rPr>
          <w:rFonts w:ascii="Verdana" w:eastAsia="Century Gothic" w:hAnsi="Verdana"/>
          <w:color w:val="2D659A"/>
          <w:szCs w:val="20"/>
          <w:lang w:val="en-US"/>
        </w:rPr>
        <w:t>It is also crucial to ensure time sequencing consistency with NFRD entry into force and factor in the necessary time to collect and treat the necessary data.</w:t>
      </w:r>
    </w:p>
    <w:p w14:paraId="79726BB2" w14:textId="77777777" w:rsidR="001E5DFD" w:rsidRPr="005A6C8C" w:rsidRDefault="001E5DFD" w:rsidP="001E5DFD">
      <w:pPr>
        <w:jc w:val="both"/>
        <w:rPr>
          <w:rFonts w:ascii="Verdana" w:eastAsia="Century Gothic" w:hAnsi="Verdana"/>
          <w:color w:val="2D659A"/>
          <w:szCs w:val="20"/>
          <w:lang w:val="en-US"/>
        </w:rPr>
      </w:pPr>
    </w:p>
    <w:p w14:paraId="359A94B5" w14:textId="77777777" w:rsidR="001E5DFD" w:rsidRPr="005A6C8C" w:rsidRDefault="001E5DFD" w:rsidP="001E5DFD">
      <w:pPr>
        <w:jc w:val="both"/>
        <w:rPr>
          <w:rFonts w:ascii="Verdana" w:eastAsia="Century Gothic" w:hAnsi="Verdana"/>
          <w:color w:val="2D659A"/>
          <w:szCs w:val="20"/>
          <w:lang w:val="en-US"/>
        </w:rPr>
      </w:pPr>
      <w:r w:rsidRPr="005A6C8C">
        <w:rPr>
          <w:rFonts w:ascii="Verdana" w:eastAsia="Century Gothic" w:hAnsi="Verdana"/>
          <w:color w:val="2D659A"/>
          <w:szCs w:val="20"/>
          <w:lang w:val="en-US"/>
        </w:rPr>
        <w:t xml:space="preserve">Under the Disclosure Regulation, financial market participants (‘FMP’s’) must comply with additional disclosure requirements from 10 March 2021. The draft RTS that are required to assist FMP’s in complying with these disclosure requirements do not have to be submitted to the Commission until 30 December 2020, which already potentially leaves financial market participants with little time to implement any changes to their systems and procedures that are necessary in order to provide the applicable information. </w:t>
      </w:r>
    </w:p>
    <w:p w14:paraId="0647C623" w14:textId="77777777" w:rsidR="001E5DFD" w:rsidRDefault="001E5DFD" w:rsidP="001E5DFD">
      <w:pPr>
        <w:jc w:val="both"/>
        <w:rPr>
          <w:rFonts w:ascii="Verdana" w:eastAsia="Century Gothic" w:hAnsi="Verdana"/>
          <w:color w:val="2D659A"/>
          <w:szCs w:val="20"/>
          <w:lang w:val="en-US"/>
        </w:rPr>
      </w:pPr>
    </w:p>
    <w:p w14:paraId="0A88F327" w14:textId="77777777" w:rsidR="001E5DFD" w:rsidRPr="005A6C8C" w:rsidRDefault="001E5DFD" w:rsidP="001E5DFD">
      <w:pPr>
        <w:jc w:val="both"/>
        <w:rPr>
          <w:rFonts w:ascii="Verdana" w:eastAsia="Century Gothic" w:hAnsi="Verdana"/>
          <w:color w:val="2D659A"/>
          <w:szCs w:val="20"/>
          <w:lang w:val="en-US"/>
        </w:rPr>
      </w:pPr>
      <w:r w:rsidRPr="005A6C8C">
        <w:rPr>
          <w:rFonts w:ascii="Verdana" w:eastAsia="Century Gothic" w:hAnsi="Verdana"/>
          <w:color w:val="2D659A"/>
          <w:szCs w:val="20"/>
          <w:lang w:val="en-US"/>
        </w:rPr>
        <w:t xml:space="preserve">This means that, again, FMP’s may have only a short time between finalization of the RTS and the entry into force of the new disclosure obligation within which to implement any necessary changes to their compliance systems. It also means that FMP’s will need to carefully assess the systems and procedures that have been put in place for the 10 March 2021 deadline in relation to the initial SFDR requirements to check whether they are still compliant with the changes introduced as a result of the Taxonomy Regulation (‘Taxonomy’) and the NFRD coming into force only a few months later. </w:t>
      </w:r>
    </w:p>
    <w:p w14:paraId="42E4C8C1" w14:textId="77777777" w:rsidR="001E5DFD" w:rsidRPr="001E5DFD" w:rsidRDefault="001E5DFD" w:rsidP="001313EE">
      <w:pPr>
        <w:pStyle w:val="ListParagraph"/>
        <w:numPr>
          <w:ilvl w:val="0"/>
          <w:numId w:val="54"/>
        </w:numPr>
        <w:jc w:val="both"/>
        <w:rPr>
          <w:rFonts w:ascii="Verdana" w:eastAsia="Century Gothic" w:hAnsi="Verdana"/>
          <w:color w:val="2D659A"/>
          <w:szCs w:val="20"/>
          <w:lang w:val="en-US"/>
        </w:rPr>
      </w:pPr>
      <w:r w:rsidRPr="001E5DFD">
        <w:rPr>
          <w:rFonts w:ascii="Verdana" w:eastAsia="Century Gothic" w:hAnsi="Verdana"/>
          <w:color w:val="2D659A"/>
          <w:szCs w:val="20"/>
          <w:lang w:val="en-US"/>
        </w:rPr>
        <w:t>The entry into force date of the Delegated Act of the EU Taxonomy Regulation on environmental sustainability mitigation and adaptation is by 1 January 2022, and for the other environmental objectives is 1 January 2023. It is not clear how the Taxonomy Regulation will articulate and be streamlined with some parts of the SFDR (for example. regarding certain disclaimers, or methods to define the greenness of an economic activity under article 9). We would like to highlight the useless overburden related to the risk of twice operational implementation in case of inconsistent regulations.</w:t>
      </w:r>
    </w:p>
    <w:p w14:paraId="5DF666AF" w14:textId="77777777" w:rsidR="001E5DFD" w:rsidRPr="001E5DFD" w:rsidRDefault="001E5DFD" w:rsidP="001313EE">
      <w:pPr>
        <w:pStyle w:val="ListParagraph"/>
        <w:numPr>
          <w:ilvl w:val="0"/>
          <w:numId w:val="54"/>
        </w:numPr>
        <w:jc w:val="both"/>
        <w:rPr>
          <w:rFonts w:ascii="Verdana" w:eastAsia="Century Gothic" w:hAnsi="Verdana"/>
          <w:color w:val="2D659A"/>
          <w:szCs w:val="20"/>
          <w:lang w:val="en-US"/>
        </w:rPr>
      </w:pPr>
      <w:r w:rsidRPr="001E5DFD">
        <w:rPr>
          <w:rFonts w:ascii="Verdana" w:eastAsia="Century Gothic" w:hAnsi="Verdana"/>
          <w:color w:val="2D659A"/>
          <w:szCs w:val="20"/>
          <w:lang w:val="en-US"/>
        </w:rPr>
        <w:t>The MiFID ESG amendments regarding Product Governance and Suitability have just been submitted under consultation but they’re far from being. published This could mean that no client ESG preferences are registered and accumulated as of March 2021, but investment firms do need to include descriptions of the following in pre</w:t>
      </w:r>
      <w:r w:rsidRPr="001E5DFD">
        <w:rPr>
          <w:rFonts w:ascii="Cambria Math" w:eastAsia="Century Gothic" w:hAnsi="Cambria Math" w:cs="Cambria Math"/>
          <w:color w:val="2D659A"/>
          <w:szCs w:val="20"/>
          <w:lang w:val="en-US"/>
        </w:rPr>
        <w:t>‐</w:t>
      </w:r>
      <w:r w:rsidRPr="001E5DFD">
        <w:rPr>
          <w:rFonts w:ascii="Verdana" w:eastAsia="Century Gothic" w:hAnsi="Verdana"/>
          <w:color w:val="2D659A"/>
          <w:szCs w:val="20"/>
          <w:lang w:val="en-US"/>
        </w:rPr>
        <w:t xml:space="preserve">contractual disclosures: (a) the manner in which sustainability risks are integrated into their investment advice/ investment decisions; and (b) the result of the assessment of the likely impacts of sustainability risks on the returns of the financial products they advise on/make available. . </w:t>
      </w:r>
    </w:p>
    <w:p w14:paraId="50CE27DB" w14:textId="77777777" w:rsidR="001E5DFD" w:rsidRPr="001E5DFD" w:rsidRDefault="001E5DFD" w:rsidP="001313EE">
      <w:pPr>
        <w:pStyle w:val="ListParagraph"/>
        <w:numPr>
          <w:ilvl w:val="0"/>
          <w:numId w:val="54"/>
        </w:numPr>
        <w:jc w:val="both"/>
        <w:rPr>
          <w:rFonts w:ascii="Verdana" w:eastAsia="Century Gothic" w:hAnsi="Verdana"/>
          <w:color w:val="2D659A"/>
          <w:szCs w:val="20"/>
          <w:lang w:val="en-US"/>
        </w:rPr>
      </w:pPr>
      <w:r w:rsidRPr="001E5DFD">
        <w:rPr>
          <w:rFonts w:ascii="Verdana" w:eastAsia="Century Gothic" w:hAnsi="Verdana"/>
          <w:color w:val="2D659A"/>
          <w:szCs w:val="20"/>
          <w:lang w:val="en-US"/>
        </w:rPr>
        <w:t xml:space="preserve">In order for investment firms to make a disclosure that has any relevance or significance, they need to base their assessment on data. Data is simply lacking. The Non-Financial Reporting Directive (NFRD) is still under revision. Adoption is announced by </w:t>
      </w:r>
      <w:r w:rsidRPr="001E5DFD">
        <w:rPr>
          <w:rFonts w:ascii="Verdana" w:eastAsia="Century Gothic" w:hAnsi="Verdana"/>
          <w:color w:val="2D659A"/>
          <w:szCs w:val="20"/>
          <w:lang w:val="en-US"/>
        </w:rPr>
        <w:lastRenderedPageBreak/>
        <w:t>the EC by Q1 2021 and potential application date by 2022-2023, which is much later than the application date of the Disclosure Regulation. In addition to calendar concerns, the scope of the NFRD is too limited for portfolio managers to disclose anything about most companies with any certainty. As long as companies are not subject to disclosure requirements, it will remain impossible for FMP’s to disclose sustainability risks, with any relevance.</w:t>
      </w:r>
    </w:p>
    <w:p w14:paraId="0FDBE610" w14:textId="77777777" w:rsidR="001E5DFD" w:rsidRPr="001E5DFD" w:rsidRDefault="001E5DFD" w:rsidP="001313EE">
      <w:pPr>
        <w:pStyle w:val="ListParagraph"/>
        <w:numPr>
          <w:ilvl w:val="0"/>
          <w:numId w:val="54"/>
        </w:numPr>
        <w:jc w:val="both"/>
        <w:rPr>
          <w:rFonts w:ascii="Verdana" w:eastAsia="Century Gothic" w:hAnsi="Verdana"/>
          <w:color w:val="2D659A"/>
          <w:szCs w:val="20"/>
          <w:lang w:val="en-US"/>
        </w:rPr>
      </w:pPr>
      <w:r w:rsidRPr="001E5DFD">
        <w:rPr>
          <w:rFonts w:ascii="Verdana" w:eastAsia="Century Gothic" w:hAnsi="Verdana"/>
          <w:color w:val="2D659A"/>
          <w:szCs w:val="20"/>
          <w:lang w:val="en-US"/>
        </w:rPr>
        <w:t>While Chapter VI art 53 states:” In respect of a financial market participant that first considered the principal adverse impacts of its investment decisions before 1 March 2021, from that date until 30 June 2022, by way of derogation from Article 4(1), that financial market participant shall publish the information in Articles 5 to 10 except for the information that relates to a reference period”, it is not clear why the formal inception is march 2021 when the first disclosure document will refer to the previous fiscal year and will be issued rolling on base June, year by year.</w:t>
      </w:r>
    </w:p>
    <w:p w14:paraId="02159DB4" w14:textId="77777777" w:rsidR="001E5DFD" w:rsidRPr="007A710C" w:rsidRDefault="001E5DFD" w:rsidP="001E5DFD">
      <w:pPr>
        <w:spacing w:after="120"/>
        <w:ind w:left="360"/>
        <w:contextualSpacing/>
        <w:jc w:val="both"/>
        <w:rPr>
          <w:rFonts w:ascii="Verdana" w:eastAsia="Century Gothic" w:hAnsi="Verdana"/>
          <w:color w:val="2D659A"/>
          <w:szCs w:val="20"/>
          <w:lang w:val="en-US"/>
        </w:rPr>
      </w:pPr>
    </w:p>
    <w:p w14:paraId="124FA41D" w14:textId="77777777" w:rsidR="001E5DFD" w:rsidRPr="00D34E5C" w:rsidRDefault="001E5DFD" w:rsidP="001313EE">
      <w:pPr>
        <w:numPr>
          <w:ilvl w:val="0"/>
          <w:numId w:val="41"/>
        </w:numPr>
        <w:suppressAutoHyphens/>
        <w:spacing w:after="120"/>
        <w:contextualSpacing/>
        <w:jc w:val="both"/>
        <w:rPr>
          <w:rFonts w:ascii="Verdana" w:eastAsia="Century Gothic" w:hAnsi="Verdana"/>
          <w:color w:val="2D659A"/>
          <w:szCs w:val="20"/>
          <w:lang w:val="en-US"/>
        </w:rPr>
      </w:pPr>
      <w:r w:rsidRPr="00D34E5C">
        <w:rPr>
          <w:rFonts w:ascii="Verdana" w:eastAsia="Century Gothic" w:hAnsi="Verdana"/>
          <w:b/>
          <w:bCs/>
          <w:color w:val="2D659A"/>
          <w:szCs w:val="20"/>
          <w:lang w:val="en-US"/>
        </w:rPr>
        <w:t xml:space="preserve">If costs will increase, return for retail investors will decrease </w:t>
      </w:r>
    </w:p>
    <w:p w14:paraId="145795FA" w14:textId="77777777"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The implementation of these new requirements will prove to be burdensome and costly for both banks and customers (i.e. review of client profiles, updated systems policies, additional reporting, expanded staff competence and, in combination with MiFID 2 amendments new questionnaires). This effect is likely to be more visible if a proportionality approach is not applied. The smaller the entity, the more costly in marginal terms the value added to be passed on to the final cost for the client, with potential inequality of offer among different distributors.</w:t>
      </w:r>
    </w:p>
    <w:p w14:paraId="7F214D17" w14:textId="77777777"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These costs are likely to be incurred by the end investor. The unclear and continuously changing legislation on the topic of ESG leads to implementation by banks that must be redone over and over (as the legislation is continuously changing) and therefore could drive overall costs for investors to a higher level. </w:t>
      </w:r>
    </w:p>
    <w:p w14:paraId="3B97712E" w14:textId="77777777"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Implementing the ESG requirements as proposed will require an impactful change in the product offering and review process, as well as the client intake and review of existing clients (for example, through periodic reporting). All products on offer have to be assessed on ESG criteria and the onboarding of new clients and the review of existing clients has to be adapted (re. proposed changes in MiFID). Therefore, the level of necessary (financial) resources will be substantial. The related costs will be duplicated when this entire process has to be followed again after the taxonomy has been determined and enters into force. A true principles-based ESG framework rather than a de facto rule-based framework will be an important factor herein. Since at the end of the day, our (retail) clients will have to pay for these additional costs, it may even turn out that especially for smaller investors it is no longer cost efficient (taking into account the possible return after deduction of the total costs) to continue their investment services.</w:t>
      </w:r>
    </w:p>
    <w:p w14:paraId="3BDDB512" w14:textId="77777777"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We would like to highlight that, according to ESMA, costs are the most significant detriment on retail investors return. Thus, banks have to offer cost efficient products. With the new requirements, offering cost efficient products could prove to be more and more difficult, as the costs for ESG data might rise significantly. Furthermore, we would like to highlight that financial market participants will further have to rely on third-party data providers (that, according to the commission, might use non comparable, reliable and qualitative data), something the European Commission portrays as a possible (concentration) risk. The Commission is therefore investigating whether it may be useful to ensure open and centralized access not only to company reporting under the NFRD, but also to relevant company information on other available ESG metrics and data points. To this end, a common database would ease transparency and comparability, while avoiding duplication of data collection efforts. The EBF, together with other EU Trade Associations, </w:t>
      </w:r>
      <w:r>
        <w:rPr>
          <w:rFonts w:ascii="Verdana" w:eastAsia="Century Gothic" w:hAnsi="Verdana"/>
          <w:color w:val="2D659A"/>
          <w:szCs w:val="20"/>
          <w:lang w:val="en-US"/>
        </w:rPr>
        <w:t xml:space="preserve">has </w:t>
      </w:r>
      <w:r w:rsidRPr="00D34E5C">
        <w:rPr>
          <w:rFonts w:ascii="Verdana" w:eastAsia="Century Gothic" w:hAnsi="Verdana"/>
          <w:color w:val="2D659A"/>
          <w:szCs w:val="20"/>
          <w:lang w:val="en-US"/>
        </w:rPr>
        <w:t xml:space="preserve">written a letter to the EC to plead for such a database with the highest urgency. Unfortunately for FMP’s under scope of this SFDR, this initiative will come too late. </w:t>
      </w:r>
    </w:p>
    <w:p w14:paraId="437858B1" w14:textId="77777777" w:rsidR="001E5DFD" w:rsidRPr="00D34E5C" w:rsidRDefault="001E5DFD" w:rsidP="001313EE">
      <w:pPr>
        <w:numPr>
          <w:ilvl w:val="0"/>
          <w:numId w:val="41"/>
        </w:numPr>
        <w:suppressAutoHyphens/>
        <w:spacing w:after="120"/>
        <w:contextualSpacing/>
        <w:jc w:val="both"/>
        <w:rPr>
          <w:rFonts w:ascii="Verdana" w:eastAsia="Century Gothic" w:hAnsi="Verdana"/>
          <w:b/>
          <w:bCs/>
          <w:color w:val="2D659A"/>
          <w:szCs w:val="20"/>
        </w:rPr>
      </w:pPr>
      <w:r w:rsidRPr="00D34E5C">
        <w:rPr>
          <w:rFonts w:ascii="Verdana" w:eastAsia="Century Gothic" w:hAnsi="Verdana"/>
          <w:b/>
          <w:bCs/>
          <w:color w:val="2D659A"/>
          <w:szCs w:val="20"/>
        </w:rPr>
        <w:lastRenderedPageBreak/>
        <w:t xml:space="preserve">Information overload </w:t>
      </w:r>
      <w:r>
        <w:rPr>
          <w:rFonts w:ascii="Verdana" w:eastAsia="Century Gothic" w:hAnsi="Verdana"/>
          <w:b/>
          <w:bCs/>
          <w:color w:val="2D659A"/>
          <w:szCs w:val="20"/>
        </w:rPr>
        <w:t>and data access dependency</w:t>
      </w:r>
    </w:p>
    <w:p w14:paraId="7AEF6061" w14:textId="56304DDF" w:rsidR="001E5DFD" w:rsidRDefault="001E5DFD" w:rsidP="001E5DFD">
      <w:pPr>
        <w:jc w:val="both"/>
        <w:rPr>
          <w:rFonts w:ascii="Verdana" w:eastAsia="Century Gothic" w:hAnsi="Verdana"/>
          <w:color w:val="2D659A"/>
          <w:szCs w:val="20"/>
          <w:lang w:val="en-US"/>
        </w:rPr>
      </w:pPr>
      <w:r w:rsidRPr="00444280">
        <w:rPr>
          <w:rFonts w:ascii="Verdana" w:eastAsia="Century Gothic" w:hAnsi="Verdana"/>
          <w:color w:val="2D659A"/>
          <w:szCs w:val="20"/>
          <w:lang w:val="en-US"/>
        </w:rPr>
        <w:t>We believe that both policy makers and supervisors expect too much from disclosing additional, more detailed information to clients</w:t>
      </w:r>
      <w:r w:rsidR="001C09A8">
        <w:rPr>
          <w:rFonts w:ascii="Verdana" w:eastAsia="Century Gothic" w:hAnsi="Verdana"/>
          <w:color w:val="2D659A"/>
          <w:szCs w:val="20"/>
          <w:lang w:val="en-US"/>
        </w:rPr>
        <w:t>, especially retail</w:t>
      </w:r>
      <w:r w:rsidRPr="00444280">
        <w:rPr>
          <w:rFonts w:ascii="Verdana" w:eastAsia="Century Gothic" w:hAnsi="Verdana"/>
          <w:color w:val="2D659A"/>
          <w:szCs w:val="20"/>
          <w:lang w:val="en-US"/>
        </w:rPr>
        <w:t xml:space="preserve">. As no consumer test has been rolled out, we have no insights in how consumers will respond to the disclosures and thus, how effective disclosing additional detailed information actually is. As we have learned from MiFID 2 (that will be revised and was recently under consultation, with proposed changes to reduce the sheer amount of information to </w:t>
      </w:r>
      <w:r>
        <w:rPr>
          <w:rFonts w:ascii="Verdana" w:eastAsia="Century Gothic" w:hAnsi="Verdana"/>
          <w:color w:val="2D659A"/>
          <w:szCs w:val="20"/>
          <w:lang w:val="en-US"/>
        </w:rPr>
        <w:t>(</w:t>
      </w:r>
      <w:r w:rsidRPr="00444280">
        <w:rPr>
          <w:rFonts w:ascii="Verdana" w:eastAsia="Century Gothic" w:hAnsi="Verdana"/>
          <w:color w:val="2D659A"/>
          <w:szCs w:val="20"/>
          <w:lang w:val="en-US"/>
        </w:rPr>
        <w:t>retail</w:t>
      </w:r>
      <w:r>
        <w:rPr>
          <w:rFonts w:ascii="Verdana" w:eastAsia="Century Gothic" w:hAnsi="Verdana"/>
          <w:color w:val="2D659A"/>
          <w:szCs w:val="20"/>
          <w:lang w:val="en-US"/>
        </w:rPr>
        <w:t>)</w:t>
      </w:r>
      <w:r w:rsidRPr="00444280">
        <w:rPr>
          <w:rFonts w:ascii="Verdana" w:eastAsia="Century Gothic" w:hAnsi="Verdana"/>
          <w:color w:val="2D659A"/>
          <w:szCs w:val="20"/>
          <w:lang w:val="en-US"/>
        </w:rPr>
        <w:t xml:space="preserve"> clients) most clients feel overwhelmed by the amount of detailed information they receive, which they can hardly process. We therefore believe that, although useful for some clients, most clients will not directly see the benefits of these new requirements, whilst (as set out under point 3) costs have increased. </w:t>
      </w:r>
    </w:p>
    <w:p w14:paraId="4C516086" w14:textId="77777777" w:rsidR="001E5DFD" w:rsidRPr="00444280" w:rsidRDefault="001E5DFD" w:rsidP="001E5DFD">
      <w:pPr>
        <w:jc w:val="both"/>
        <w:rPr>
          <w:rFonts w:ascii="Verdana" w:eastAsia="Century Gothic" w:hAnsi="Verdana"/>
          <w:color w:val="2D659A"/>
          <w:szCs w:val="20"/>
          <w:lang w:val="en-US"/>
        </w:rPr>
      </w:pPr>
    </w:p>
    <w:p w14:paraId="68F0D51C" w14:textId="77777777" w:rsidR="001E5DFD" w:rsidRPr="00444280" w:rsidRDefault="001E5DFD" w:rsidP="001E5DFD">
      <w:pPr>
        <w:jc w:val="both"/>
        <w:rPr>
          <w:rFonts w:ascii="Verdana" w:eastAsia="Century Gothic" w:hAnsi="Verdana"/>
          <w:color w:val="2D659A"/>
          <w:szCs w:val="20"/>
          <w:lang w:val="en-US"/>
        </w:rPr>
      </w:pPr>
      <w:r w:rsidRPr="00444280">
        <w:rPr>
          <w:rFonts w:ascii="Verdana" w:eastAsia="Century Gothic" w:hAnsi="Verdana"/>
          <w:color w:val="2D659A"/>
          <w:szCs w:val="20"/>
          <w:lang w:val="en-US"/>
        </w:rPr>
        <w:t xml:space="preserve">Also, we believe a too single-sided view on ESG risks might lead to underestimation of other risks like (financial) risk and return. In the latter two areas, we are finally experiencing a reduction of information that is compulsory to provide to customers. </w:t>
      </w:r>
    </w:p>
    <w:p w14:paraId="7A2C8A9B" w14:textId="77777777" w:rsidR="001E5DFD" w:rsidRDefault="001E5DFD" w:rsidP="001E5DFD">
      <w:pPr>
        <w:autoSpaceDE w:val="0"/>
        <w:autoSpaceDN w:val="0"/>
        <w:adjustRightInd w:val="0"/>
        <w:jc w:val="both"/>
        <w:rPr>
          <w:rFonts w:ascii="Verdana" w:eastAsia="Century Gothic" w:hAnsi="Verdana"/>
          <w:color w:val="2D659A"/>
          <w:szCs w:val="20"/>
          <w:lang w:val="en-US"/>
        </w:rPr>
      </w:pPr>
    </w:p>
    <w:p w14:paraId="19CE4AAE" w14:textId="35E32DD1" w:rsidR="001E5DFD" w:rsidRDefault="001E5DFD" w:rsidP="001E5DFD">
      <w:pPr>
        <w:autoSpaceDE w:val="0"/>
        <w:autoSpaceDN w:val="0"/>
        <w:adjustRightInd w:val="0"/>
        <w:jc w:val="both"/>
        <w:rPr>
          <w:rFonts w:ascii="Verdana" w:eastAsia="Century Gothic" w:hAnsi="Verdana"/>
          <w:color w:val="2D659A"/>
          <w:szCs w:val="20"/>
          <w:lang w:val="en-US"/>
        </w:rPr>
      </w:pPr>
      <w:r w:rsidRPr="00444280">
        <w:rPr>
          <w:rFonts w:ascii="Verdana" w:eastAsia="Century Gothic" w:hAnsi="Verdana"/>
          <w:color w:val="2D659A"/>
          <w:szCs w:val="20"/>
          <w:lang w:val="en-US"/>
        </w:rPr>
        <w:t>For banks that are both a</w:t>
      </w:r>
      <w:r w:rsidR="001C09A8">
        <w:rPr>
          <w:rFonts w:ascii="Verdana" w:eastAsia="Century Gothic" w:hAnsi="Verdana"/>
          <w:color w:val="2D659A"/>
          <w:szCs w:val="20"/>
          <w:lang w:val="en-US"/>
        </w:rPr>
        <w:t xml:space="preserve"> Financial Market Participant as well as a Financial Advisor</w:t>
      </w:r>
      <w:r w:rsidRPr="00444280">
        <w:rPr>
          <w:rFonts w:ascii="Verdana" w:eastAsia="Century Gothic" w:hAnsi="Verdana"/>
          <w:color w:val="2D659A"/>
          <w:szCs w:val="20"/>
          <w:lang w:val="en-US"/>
        </w:rPr>
        <w:t>FMP as well as a FA, the requirements how to position the information on websites entail the risk of information overload while at the same time both entity levels need to ensure the comprehensibility of the disclosure for the consumer.</w:t>
      </w:r>
    </w:p>
    <w:p w14:paraId="1A13BE1E" w14:textId="77777777" w:rsidR="001E5DFD" w:rsidRPr="00444280" w:rsidRDefault="001E5DFD" w:rsidP="001E5DFD">
      <w:pPr>
        <w:autoSpaceDE w:val="0"/>
        <w:autoSpaceDN w:val="0"/>
        <w:adjustRightInd w:val="0"/>
        <w:jc w:val="both"/>
        <w:rPr>
          <w:rFonts w:ascii="Verdana" w:eastAsia="Century Gothic" w:hAnsi="Verdana"/>
          <w:color w:val="2D659A"/>
          <w:szCs w:val="20"/>
          <w:lang w:val="en-US"/>
        </w:rPr>
      </w:pPr>
    </w:p>
    <w:p w14:paraId="027154A0" w14:textId="493D7F32" w:rsidR="001E5DFD" w:rsidRDefault="001E5DFD" w:rsidP="001E5DFD">
      <w:pPr>
        <w:autoSpaceDE w:val="0"/>
        <w:autoSpaceDN w:val="0"/>
        <w:adjustRightInd w:val="0"/>
        <w:jc w:val="both"/>
        <w:rPr>
          <w:rFonts w:ascii="Verdana" w:eastAsia="Century Gothic" w:hAnsi="Verdana"/>
          <w:color w:val="2D659A"/>
          <w:szCs w:val="20"/>
          <w:lang w:val="en-US"/>
        </w:rPr>
      </w:pPr>
      <w:r w:rsidRPr="00444280">
        <w:rPr>
          <w:rFonts w:ascii="Verdana" w:eastAsia="Century Gothic" w:hAnsi="Verdana"/>
          <w:color w:val="2D659A"/>
          <w:szCs w:val="20"/>
          <w:lang w:val="en-US"/>
        </w:rPr>
        <w:t xml:space="preserve">It seems to us that putting the accent on how investors conduct due diligence, the extent of such due diligence, and more importantly how they are addressed and on encouraging remediation processes and concrete action, is more valuable than encouraging a focus on calculating, estimating and reporting “meaningless quantified information” that might lead to divestment or penalisation of those companies that are not transparent, which will seriously </w:t>
      </w:r>
      <w:r w:rsidR="000D6AB5">
        <w:rPr>
          <w:rFonts w:ascii="Verdana" w:eastAsia="Century Gothic" w:hAnsi="Verdana"/>
          <w:color w:val="2D659A"/>
          <w:szCs w:val="20"/>
          <w:lang w:val="en-US"/>
        </w:rPr>
        <w:t>a</w:t>
      </w:r>
      <w:r>
        <w:rPr>
          <w:rFonts w:ascii="Verdana" w:eastAsia="Century Gothic" w:hAnsi="Verdana"/>
          <w:color w:val="2D659A"/>
          <w:szCs w:val="20"/>
          <w:lang w:val="en-US"/>
        </w:rPr>
        <w:t>ffect</w:t>
      </w:r>
      <w:r w:rsidRPr="00444280">
        <w:rPr>
          <w:rFonts w:ascii="Verdana" w:eastAsia="Century Gothic" w:hAnsi="Verdana"/>
          <w:color w:val="2D659A"/>
          <w:szCs w:val="20"/>
          <w:lang w:val="en-US"/>
        </w:rPr>
        <w:t xml:space="preserve"> smaller companies and emerging markets’ actors</w:t>
      </w:r>
      <w:r>
        <w:rPr>
          <w:rFonts w:ascii="Verdana" w:eastAsia="Century Gothic" w:hAnsi="Verdana"/>
          <w:color w:val="2D659A"/>
          <w:szCs w:val="20"/>
          <w:lang w:val="en-US"/>
        </w:rPr>
        <w:t>.</w:t>
      </w:r>
    </w:p>
    <w:p w14:paraId="50C83BCA" w14:textId="77777777" w:rsidR="001E5DFD" w:rsidRPr="00444280" w:rsidRDefault="001E5DFD" w:rsidP="001E5DFD">
      <w:pPr>
        <w:autoSpaceDE w:val="0"/>
        <w:autoSpaceDN w:val="0"/>
        <w:adjustRightInd w:val="0"/>
        <w:jc w:val="both"/>
        <w:rPr>
          <w:rFonts w:ascii="Verdana" w:eastAsia="Century Gothic" w:hAnsi="Verdana"/>
          <w:color w:val="2D659A"/>
          <w:szCs w:val="20"/>
          <w:lang w:val="en-US"/>
        </w:rPr>
      </w:pPr>
    </w:p>
    <w:p w14:paraId="2CAAA108" w14:textId="142411EA" w:rsidR="001E5DFD" w:rsidRDefault="001E5DFD" w:rsidP="001E5DFD">
      <w:pPr>
        <w:autoSpaceDE w:val="0"/>
        <w:autoSpaceDN w:val="0"/>
        <w:adjustRightInd w:val="0"/>
        <w:jc w:val="both"/>
        <w:rPr>
          <w:rFonts w:ascii="Verdana" w:eastAsia="Century Gothic" w:hAnsi="Verdana"/>
          <w:color w:val="2D659A"/>
          <w:szCs w:val="20"/>
          <w:lang w:val="en-US"/>
        </w:rPr>
      </w:pPr>
      <w:r w:rsidRPr="001E5DFD">
        <w:rPr>
          <w:rFonts w:ascii="Verdana" w:eastAsia="Century Gothic" w:hAnsi="Verdana"/>
          <w:color w:val="2D659A"/>
          <w:szCs w:val="20"/>
          <w:lang w:val="en-US"/>
        </w:rPr>
        <w:t>Finally, at present, credit institutions would totally depend on a restricted number of info providers, of which, the 3 largest in size are all characterized by being controlled by US capital. The present inability of the market to provide accurate and reliable numbers on a plethora of indicators suggests that market participants will likely be encouraged to not consider adverse impacts of investment decisions on sustainability factors, according to SFDR article 4(1b), or not report on too many of those indicators as expressed by RTS art 7.2.</w:t>
      </w:r>
    </w:p>
    <w:p w14:paraId="46D003D7" w14:textId="77777777" w:rsidR="001E5DFD" w:rsidRPr="001E5DFD" w:rsidRDefault="001E5DFD" w:rsidP="001E5DFD">
      <w:pPr>
        <w:autoSpaceDE w:val="0"/>
        <w:autoSpaceDN w:val="0"/>
        <w:adjustRightInd w:val="0"/>
        <w:jc w:val="both"/>
        <w:rPr>
          <w:rFonts w:ascii="Verdana" w:eastAsia="Century Gothic" w:hAnsi="Verdana"/>
          <w:color w:val="2D659A"/>
          <w:szCs w:val="20"/>
          <w:lang w:val="en-US"/>
        </w:rPr>
      </w:pPr>
    </w:p>
    <w:p w14:paraId="28F088EC" w14:textId="77777777" w:rsidR="001E5DFD" w:rsidRPr="00D34E5C" w:rsidRDefault="001E5DFD" w:rsidP="001313EE">
      <w:pPr>
        <w:numPr>
          <w:ilvl w:val="0"/>
          <w:numId w:val="41"/>
        </w:numPr>
        <w:suppressAutoHyphens/>
        <w:spacing w:after="120"/>
        <w:contextualSpacing/>
        <w:jc w:val="both"/>
        <w:rPr>
          <w:rFonts w:ascii="Verdana" w:eastAsia="Century Gothic" w:hAnsi="Verdana"/>
          <w:b/>
          <w:bCs/>
          <w:color w:val="2D659A"/>
          <w:szCs w:val="20"/>
          <w:lang w:val="en-US"/>
        </w:rPr>
      </w:pPr>
      <w:r w:rsidRPr="00D34E5C">
        <w:rPr>
          <w:rFonts w:ascii="Verdana" w:eastAsia="Century Gothic" w:hAnsi="Verdana"/>
          <w:b/>
          <w:bCs/>
          <w:color w:val="2D659A"/>
          <w:szCs w:val="20"/>
          <w:lang w:val="en-US"/>
        </w:rPr>
        <w:t xml:space="preserve">Sustainable Finance doesn’t stop at the EU border </w:t>
      </w:r>
    </w:p>
    <w:p w14:paraId="2EC1977C" w14:textId="77777777"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From a</w:t>
      </w:r>
      <w:r>
        <w:rPr>
          <w:rFonts w:ascii="Verdana" w:eastAsia="Century Gothic" w:hAnsi="Verdana"/>
          <w:color w:val="2D659A"/>
          <w:szCs w:val="20"/>
          <w:lang w:val="en-US"/>
        </w:rPr>
        <w:t xml:space="preserve">n asset </w:t>
      </w:r>
      <w:r w:rsidRPr="00D34E5C">
        <w:rPr>
          <w:rFonts w:ascii="Verdana" w:eastAsia="Century Gothic" w:hAnsi="Verdana"/>
          <w:color w:val="2D659A"/>
          <w:szCs w:val="20"/>
          <w:lang w:val="en-US"/>
        </w:rPr>
        <w:t xml:space="preserve">management perspective, the investable landscape covers all available securities. European FMP’s make use of a wide array of securities with good reasons, for example for diversification and hedging purposes (and subsequently, their duty of care). Not investing in stocks or funds that are not subject to the EU’s sustainable finance legislation, in the short-term, is not a possibility. </w:t>
      </w:r>
    </w:p>
    <w:p w14:paraId="53DD2A0A" w14:textId="77777777"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But foreign funds, like US-listed funds, don’t produce a UCITS KIID or a PRIIPs KID. Foreign stocks, like an Australian stock, are not in scope of the NFRD. For both examples, the FMP that is subjugated to the SFDR is therefore liable of assumptions and estimations they make of the investee company. It is not desirable that FMP’s are liable for own estimates of companies that don’t disclose any information, or for estimates carried out by third party ESG rating agencies. </w:t>
      </w:r>
    </w:p>
    <w:p w14:paraId="66A2B219" w14:textId="77777777"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For these reasons, the scope should highlight the perimeter of the financial products involved. Eg. wrappers, fund of funds from third parties should not be included yet in the SFDR. </w:t>
      </w:r>
    </w:p>
    <w:p w14:paraId="0A975B93" w14:textId="77777777"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The options might eventually be three at this point: 1) limiting the ESA’s disclosure scope to European issuers only or 2) the ESAs shall provide a clear methodology to apply to all non-European issuers, 3) a newly constituted European rating agency, under the Commission, shall provide a detailed rating to all the investee companies worldwide (a way to do it has already </w:t>
      </w:r>
      <w:r w:rsidRPr="00D34E5C">
        <w:rPr>
          <w:rFonts w:ascii="Verdana" w:eastAsia="Century Gothic" w:hAnsi="Verdana"/>
          <w:color w:val="2D659A"/>
          <w:szCs w:val="20"/>
          <w:lang w:val="en-US"/>
        </w:rPr>
        <w:lastRenderedPageBreak/>
        <w:t xml:space="preserve">been explored by the CDP, when they apply the worst rationales - concurring to the final score - to the issuers that do not disclose about those KPIs). </w:t>
      </w:r>
    </w:p>
    <w:p w14:paraId="6BA0DEDB" w14:textId="77777777" w:rsidR="001E5DFD" w:rsidRPr="00D34E5C" w:rsidRDefault="001E5DFD" w:rsidP="001313EE">
      <w:pPr>
        <w:numPr>
          <w:ilvl w:val="0"/>
          <w:numId w:val="41"/>
        </w:numPr>
        <w:suppressAutoHyphens/>
        <w:spacing w:after="120"/>
        <w:contextualSpacing/>
        <w:jc w:val="both"/>
        <w:rPr>
          <w:rFonts w:ascii="Verdana" w:eastAsia="Century Gothic" w:hAnsi="Verdana"/>
          <w:b/>
          <w:bCs/>
          <w:color w:val="2D659A"/>
          <w:szCs w:val="20"/>
        </w:rPr>
      </w:pPr>
      <w:r w:rsidRPr="00D34E5C">
        <w:rPr>
          <w:rFonts w:ascii="Verdana" w:eastAsia="Century Gothic" w:hAnsi="Verdana"/>
          <w:b/>
          <w:bCs/>
          <w:color w:val="2D659A"/>
          <w:szCs w:val="20"/>
        </w:rPr>
        <w:t xml:space="preserve">Flawed cross-sectorial legislation </w:t>
      </w:r>
    </w:p>
    <w:p w14:paraId="15926A34" w14:textId="77777777"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We believe the disclosure regulation is hindered by the flawed timelines of implementing cross-sectorial legislation, like MiFID 2, the NFRD, the Taxonomy</w:t>
      </w:r>
      <w:r>
        <w:rPr>
          <w:rFonts w:ascii="Verdana" w:eastAsia="Century Gothic" w:hAnsi="Verdana"/>
          <w:color w:val="2D659A"/>
          <w:szCs w:val="20"/>
          <w:lang w:val="en-US"/>
        </w:rPr>
        <w:t xml:space="preserve"> Regulation</w:t>
      </w:r>
      <w:r w:rsidRPr="00D34E5C">
        <w:rPr>
          <w:rFonts w:ascii="Verdana" w:eastAsia="Century Gothic" w:hAnsi="Verdana"/>
          <w:color w:val="2D659A"/>
          <w:szCs w:val="20"/>
          <w:lang w:val="en-US"/>
        </w:rPr>
        <w:t xml:space="preserve"> and the Ecolabel for financial products. </w:t>
      </w:r>
    </w:p>
    <w:p w14:paraId="2D00FD12" w14:textId="3F4D9A48" w:rsidR="001E5DFD" w:rsidRPr="00EE311E" w:rsidRDefault="001E5DFD" w:rsidP="001313EE">
      <w:pPr>
        <w:numPr>
          <w:ilvl w:val="0"/>
          <w:numId w:val="48"/>
        </w:numPr>
        <w:suppressAutoHyphens/>
        <w:spacing w:after="120"/>
        <w:contextualSpacing/>
        <w:jc w:val="both"/>
        <w:rPr>
          <w:rFonts w:ascii="Verdana" w:eastAsia="Century Gothic" w:hAnsi="Verdana"/>
          <w:color w:val="2D659A"/>
          <w:szCs w:val="20"/>
          <w:lang w:val="en-US"/>
        </w:rPr>
      </w:pPr>
      <w:r w:rsidRPr="00D34E5C">
        <w:rPr>
          <w:rFonts w:ascii="Verdana" w:eastAsia="Century Gothic" w:hAnsi="Verdana"/>
          <w:b/>
          <w:bCs/>
          <w:color w:val="2D659A"/>
          <w:szCs w:val="20"/>
          <w:lang w:val="en-US"/>
        </w:rPr>
        <w:t>MiFID 2 ESG amendment</w:t>
      </w:r>
      <w:r>
        <w:rPr>
          <w:rFonts w:ascii="Verdana" w:eastAsia="Century Gothic" w:hAnsi="Verdana"/>
          <w:b/>
          <w:bCs/>
          <w:color w:val="2D659A"/>
          <w:szCs w:val="20"/>
          <w:lang w:val="en-US"/>
        </w:rPr>
        <w:t xml:space="preserve">s </w:t>
      </w:r>
      <w:r w:rsidRPr="00EE311E">
        <w:rPr>
          <w:rFonts w:ascii="Verdana" w:eastAsia="Century Gothic" w:hAnsi="Verdana"/>
          <w:color w:val="2D659A"/>
          <w:szCs w:val="20"/>
          <w:lang w:val="en-US"/>
        </w:rPr>
        <w:t>-</w:t>
      </w:r>
      <w:r>
        <w:rPr>
          <w:rFonts w:ascii="Verdana" w:eastAsia="Century Gothic" w:hAnsi="Verdana"/>
          <w:color w:val="2D659A"/>
          <w:szCs w:val="20"/>
          <w:lang w:val="en-US"/>
        </w:rPr>
        <w:t xml:space="preserve"> </w:t>
      </w:r>
      <w:r w:rsidRPr="00EE311E">
        <w:rPr>
          <w:rFonts w:ascii="Verdana" w:eastAsia="Century Gothic" w:hAnsi="Verdana"/>
          <w:color w:val="2D659A"/>
          <w:szCs w:val="20"/>
          <w:lang w:val="en-US"/>
        </w:rPr>
        <w:t xml:space="preserve"> As of </w:t>
      </w:r>
      <w:r w:rsidR="002C3026">
        <w:rPr>
          <w:rFonts w:ascii="Verdana" w:eastAsia="Century Gothic" w:hAnsi="Verdana"/>
          <w:color w:val="2D659A"/>
          <w:szCs w:val="20"/>
          <w:lang w:val="en-US"/>
        </w:rPr>
        <w:t>A</w:t>
      </w:r>
      <w:r w:rsidRPr="00EE311E">
        <w:rPr>
          <w:rFonts w:ascii="Verdana" w:eastAsia="Century Gothic" w:hAnsi="Verdana"/>
          <w:color w:val="2D659A"/>
          <w:szCs w:val="20"/>
          <w:lang w:val="en-US"/>
        </w:rPr>
        <w:t xml:space="preserve">ugust 2020 no Product Governance or Suitability ESG amendments had been published. We expect that, when these amendments are published, they will become effective 12 months later. In any circumstance this means that the MiFID amendments will not become effective before most SFDR requirements will become effective (10 </w:t>
      </w:r>
      <w:r w:rsidR="002C3026">
        <w:rPr>
          <w:rFonts w:ascii="Verdana" w:eastAsia="Century Gothic" w:hAnsi="Verdana"/>
          <w:color w:val="2D659A"/>
          <w:szCs w:val="20"/>
          <w:lang w:val="en-US"/>
        </w:rPr>
        <w:t>M</w:t>
      </w:r>
      <w:r w:rsidRPr="00EE311E">
        <w:rPr>
          <w:rFonts w:ascii="Verdana" w:eastAsia="Century Gothic" w:hAnsi="Verdana"/>
          <w:color w:val="2D659A"/>
          <w:szCs w:val="20"/>
          <w:lang w:val="en-US"/>
        </w:rPr>
        <w:t xml:space="preserve">arch 2021). This will could bring FMP’s in precarious situations for example regarding periodic reporting: no ESG preferences of the client have been aggregated, whilst periodic reporting on how ESG preferences have been incorporated already has been started. Regarding periodic reporting, there is also the issue that the Commission has hinted that ESG suitability assessment will only be necessary for new clients, and not for legacy clients. The Commission wrote: “to enhance legal certainty, it was clarified that a new suitability assessment for existing contracts will generally not be necessary”. Furthermore, we see a risk that the Commission is already hinting on further guidance on or amendments of the to be published MiFID  2 amendments. In the recently published ‘Renewed Sustainable Finance Strategy’ consultation the Commission explicitly mentions that: ‘to ensure that retail investors are asked about their sustainability preferences in a simple, adequate and sufficiently granular way, would detailed guidance for financial advisers be useful when they ask questions to retail investors seeking financial advice?’. For the sake of efficiency, we would like to see one change (the publication of the Product Governance and Suitability amendments) now or later, but not a change now and within one or two years another. </w:t>
      </w:r>
    </w:p>
    <w:p w14:paraId="19F96D83" w14:textId="77777777" w:rsidR="001E5DFD" w:rsidRPr="00855B44" w:rsidRDefault="001E5DFD" w:rsidP="001E5DFD">
      <w:pPr>
        <w:suppressAutoHyphens/>
        <w:spacing w:after="120"/>
        <w:ind w:left="720"/>
        <w:contextualSpacing/>
        <w:jc w:val="both"/>
        <w:rPr>
          <w:rFonts w:ascii="Verdana" w:eastAsia="Century Gothic" w:hAnsi="Verdana"/>
          <w:color w:val="2D659A"/>
          <w:szCs w:val="20"/>
          <w:lang w:val="en-US"/>
        </w:rPr>
      </w:pPr>
    </w:p>
    <w:p w14:paraId="10EB097E" w14:textId="77777777" w:rsidR="001E5DFD" w:rsidRPr="00D34E5C" w:rsidRDefault="001E5DFD" w:rsidP="001313EE">
      <w:pPr>
        <w:numPr>
          <w:ilvl w:val="0"/>
          <w:numId w:val="48"/>
        </w:numPr>
        <w:suppressAutoHyphens/>
        <w:spacing w:after="120"/>
        <w:contextualSpacing/>
        <w:jc w:val="both"/>
        <w:rPr>
          <w:rFonts w:ascii="Verdana" w:eastAsia="Century Gothic" w:hAnsi="Verdana"/>
          <w:color w:val="2D659A"/>
          <w:szCs w:val="20"/>
          <w:lang w:val="en-US"/>
        </w:rPr>
      </w:pPr>
      <w:r w:rsidRPr="00D34E5C">
        <w:rPr>
          <w:rFonts w:ascii="Verdana" w:eastAsia="Century Gothic" w:hAnsi="Verdana"/>
          <w:b/>
          <w:bCs/>
          <w:color w:val="2D659A"/>
          <w:szCs w:val="20"/>
          <w:lang w:val="en-US"/>
        </w:rPr>
        <w:t>Non-Financial Reporting Directive</w:t>
      </w:r>
      <w:r w:rsidRPr="00D34E5C">
        <w:rPr>
          <w:rFonts w:ascii="Verdana" w:eastAsia="Century Gothic" w:hAnsi="Verdana"/>
          <w:color w:val="2D659A"/>
          <w:szCs w:val="20"/>
          <w:lang w:val="en-US"/>
        </w:rPr>
        <w:t xml:space="preserve"> – </w:t>
      </w:r>
      <w:r>
        <w:rPr>
          <w:rFonts w:ascii="Verdana" w:eastAsia="Century Gothic" w:hAnsi="Verdana"/>
          <w:color w:val="2D659A"/>
          <w:szCs w:val="20"/>
          <w:lang w:val="en-US"/>
        </w:rPr>
        <w:t>A</w:t>
      </w:r>
      <w:r w:rsidRPr="00D34E5C">
        <w:rPr>
          <w:rFonts w:ascii="Verdana" w:eastAsia="Century Gothic" w:hAnsi="Verdana"/>
          <w:color w:val="2D659A"/>
          <w:szCs w:val="20"/>
          <w:lang w:val="en-US"/>
        </w:rPr>
        <w:t xml:space="preserve">s mentioned under point 1, the NFRD has recently been consulted and reporting non-financial data is for most companies still not compulsory. If these companies do report, they do so with significant flexibility: these companies can choose the most ‘useful’ way to disclose relevant information (i.e. UN Global Compact, OECD guidelines, ISO 26000). With current timelines, FMP’s under the SFDR will have to disclose information that has to come from investee companies, but that is not available yet, or that is highly doubtful (as the investee companies have a wide flexibility to choose more or less the form of reporting they see most fit). </w:t>
      </w:r>
      <w:r w:rsidRPr="00444280">
        <w:rPr>
          <w:rFonts w:ascii="Verdana" w:eastAsia="Century Gothic" w:hAnsi="Verdana"/>
          <w:b/>
          <w:bCs/>
          <w:color w:val="2D659A"/>
          <w:szCs w:val="20"/>
          <w:lang w:val="en-US"/>
        </w:rPr>
        <w:t>In the most favorable scenario, in 2022 investee companies might report over data stemming from 2021.</w:t>
      </w:r>
      <w:r w:rsidRPr="00D34E5C">
        <w:rPr>
          <w:rFonts w:ascii="Verdana" w:eastAsia="Century Gothic" w:hAnsi="Verdana"/>
          <w:color w:val="2D659A"/>
          <w:szCs w:val="20"/>
          <w:lang w:val="en-US"/>
        </w:rPr>
        <w:t xml:space="preserve"> NFRD already aims to provide data for investment decisions but both the SFDR and the taxonomy can only fully meet their objectives if relevant non-financial information is available from investee companies.</w:t>
      </w:r>
    </w:p>
    <w:p w14:paraId="23D7E484" w14:textId="77777777" w:rsidR="001E5DFD" w:rsidRPr="00855B44" w:rsidRDefault="001E5DFD" w:rsidP="001E5DFD">
      <w:pPr>
        <w:suppressAutoHyphens/>
        <w:ind w:left="720"/>
        <w:contextualSpacing/>
        <w:jc w:val="both"/>
        <w:rPr>
          <w:rFonts w:ascii="Verdana" w:eastAsia="Century Gothic" w:hAnsi="Verdana"/>
          <w:color w:val="2D659A"/>
          <w:szCs w:val="20"/>
        </w:rPr>
      </w:pPr>
    </w:p>
    <w:p w14:paraId="2C666935" w14:textId="77777777" w:rsidR="001E5DFD" w:rsidRPr="00D34E5C" w:rsidRDefault="001E5DFD" w:rsidP="001313EE">
      <w:pPr>
        <w:numPr>
          <w:ilvl w:val="0"/>
          <w:numId w:val="48"/>
        </w:numPr>
        <w:suppressAutoHyphens/>
        <w:contextualSpacing/>
        <w:jc w:val="both"/>
        <w:rPr>
          <w:rFonts w:ascii="Verdana" w:eastAsia="Century Gothic" w:hAnsi="Verdana"/>
          <w:color w:val="2D659A"/>
          <w:szCs w:val="20"/>
        </w:rPr>
      </w:pPr>
      <w:r w:rsidRPr="00D34E5C">
        <w:rPr>
          <w:rFonts w:ascii="Verdana" w:eastAsia="Century Gothic" w:hAnsi="Verdana"/>
          <w:b/>
          <w:bCs/>
          <w:color w:val="2D659A"/>
          <w:szCs w:val="20"/>
          <w:lang w:val="en-US"/>
        </w:rPr>
        <w:t xml:space="preserve">Non-Financial Reporting Directive </w:t>
      </w:r>
      <w:r w:rsidRPr="00D34E5C">
        <w:rPr>
          <w:rFonts w:ascii="Verdana" w:eastAsia="Century Gothic" w:hAnsi="Verdana"/>
          <w:color w:val="2D659A"/>
          <w:szCs w:val="20"/>
          <w:lang w:val="en-US"/>
        </w:rPr>
        <w:t xml:space="preserve">– European companies bound by NFRD are also deemed to assess compliance with “do no significant harm” criteria and minimum safeguards. And in </w:t>
      </w:r>
      <w:r w:rsidRPr="00444280">
        <w:rPr>
          <w:rFonts w:ascii="Verdana" w:eastAsia="Century Gothic" w:hAnsi="Verdana"/>
          <w:b/>
          <w:bCs/>
          <w:color w:val="2D659A"/>
          <w:szCs w:val="20"/>
          <w:lang w:val="en-US"/>
        </w:rPr>
        <w:t>June 2019</w:t>
      </w:r>
      <w:r w:rsidRPr="00D34E5C">
        <w:rPr>
          <w:rFonts w:ascii="Verdana" w:eastAsia="Century Gothic" w:hAnsi="Verdana"/>
          <w:color w:val="2D659A"/>
          <w:szCs w:val="20"/>
          <w:lang w:val="en-US"/>
        </w:rPr>
        <w:t xml:space="preserve">, as a supplement to 2017 NFRD guidelines, the </w:t>
      </w:r>
      <w:r w:rsidRPr="00444280">
        <w:rPr>
          <w:rFonts w:ascii="Verdana" w:eastAsia="Century Gothic" w:hAnsi="Verdana"/>
          <w:b/>
          <w:bCs/>
          <w:color w:val="2D659A"/>
          <w:szCs w:val="20"/>
          <w:lang w:val="en-US"/>
        </w:rPr>
        <w:t xml:space="preserve">European Commission published Guidelines on reporting climate-related information </w:t>
      </w:r>
      <w:r w:rsidRPr="00D34E5C">
        <w:rPr>
          <w:rFonts w:ascii="Verdana" w:eastAsia="Century Gothic" w:hAnsi="Verdana"/>
          <w:color w:val="2D659A"/>
          <w:szCs w:val="20"/>
          <w:lang w:val="en-US"/>
        </w:rPr>
        <w:t xml:space="preserve">which integrates the recommendations by the Financial Stability Board's Taskforce on Climate related Financial Disclosures (TCFD). Both these guidelines are voluntary (non-binding) and do not create any new legal obligations. Therefore, in this phase, liabilities lay with the distributor or manufacturer, rather than the investee company. </w:t>
      </w:r>
      <w:r w:rsidRPr="00D34E5C">
        <w:rPr>
          <w:rFonts w:ascii="Verdana" w:eastAsia="Century Gothic" w:hAnsi="Verdana"/>
          <w:color w:val="2D659A"/>
          <w:szCs w:val="20"/>
        </w:rPr>
        <w:t xml:space="preserve">We believe this balance is rather unfair. </w:t>
      </w:r>
    </w:p>
    <w:p w14:paraId="6FDED424" w14:textId="77777777" w:rsidR="001E5DFD" w:rsidRPr="00855B44" w:rsidRDefault="001E5DFD" w:rsidP="001E5DFD">
      <w:pPr>
        <w:pStyle w:val="ListParagraph"/>
        <w:shd w:val="clear" w:color="auto" w:fill="FFFFFF"/>
        <w:rPr>
          <w:rFonts w:cs="Arial"/>
          <w:szCs w:val="20"/>
          <w:lang w:val="en-US"/>
        </w:rPr>
      </w:pPr>
    </w:p>
    <w:p w14:paraId="527D6AA1" w14:textId="77777777" w:rsidR="001E5DFD" w:rsidRPr="00EE311E" w:rsidRDefault="001E5DFD" w:rsidP="001313EE">
      <w:pPr>
        <w:pStyle w:val="ListParagraph"/>
        <w:numPr>
          <w:ilvl w:val="0"/>
          <w:numId w:val="48"/>
        </w:numPr>
        <w:shd w:val="clear" w:color="auto" w:fill="FFFFFF"/>
        <w:jc w:val="both"/>
        <w:rPr>
          <w:rFonts w:cs="Arial"/>
          <w:szCs w:val="20"/>
          <w:lang w:val="en-US"/>
        </w:rPr>
      </w:pPr>
      <w:r w:rsidRPr="001E5DFD">
        <w:rPr>
          <w:rFonts w:ascii="Verdana" w:eastAsia="Century Gothic" w:hAnsi="Verdana"/>
          <w:b/>
          <w:bCs/>
          <w:color w:val="2D659A"/>
          <w:szCs w:val="20"/>
          <w:lang w:val="en-US"/>
        </w:rPr>
        <w:lastRenderedPageBreak/>
        <w:t xml:space="preserve">Non-Financial Reporting Directive </w:t>
      </w:r>
      <w:r w:rsidRPr="001E5DFD">
        <w:rPr>
          <w:rFonts w:ascii="Verdana" w:eastAsia="Century Gothic" w:hAnsi="Verdana"/>
          <w:color w:val="2D659A"/>
          <w:szCs w:val="20"/>
          <w:lang w:val="en-US"/>
        </w:rPr>
        <w:t>– For example, if a FMP itself is a listed company on a stock exchange, this means that under Directive 2014/95/EU (that amends the accounting directive 2013/34/EU) this FMP is already required to include non-financial statements in their annual reports from 2018 onwards. So the FMP already has to publish reports on a wide array of policies they implement in relation to:</w:t>
      </w:r>
    </w:p>
    <w:p w14:paraId="30707E94" w14:textId="77777777" w:rsidR="001E5DFD" w:rsidRPr="00D34E5C" w:rsidRDefault="001E5DFD" w:rsidP="001313EE">
      <w:pPr>
        <w:numPr>
          <w:ilvl w:val="0"/>
          <w:numId w:val="49"/>
        </w:numPr>
        <w:shd w:val="clear" w:color="auto" w:fill="FFFFFF"/>
        <w:suppressAutoHyphens/>
        <w:contextualSpacing/>
        <w:jc w:val="both"/>
        <w:rPr>
          <w:rFonts w:ascii="Verdana" w:eastAsia="Century Gothic" w:hAnsi="Verdana"/>
          <w:color w:val="2D659A"/>
          <w:szCs w:val="20"/>
        </w:rPr>
      </w:pPr>
      <w:r w:rsidRPr="00D34E5C">
        <w:rPr>
          <w:rFonts w:ascii="Verdana" w:eastAsia="Century Gothic" w:hAnsi="Verdana"/>
          <w:color w:val="2D659A"/>
          <w:szCs w:val="20"/>
        </w:rPr>
        <w:t>environmental protection</w:t>
      </w:r>
    </w:p>
    <w:p w14:paraId="66B4B04E" w14:textId="77777777" w:rsidR="001E5DFD" w:rsidRPr="00D34E5C" w:rsidRDefault="001E5DFD" w:rsidP="001313EE">
      <w:pPr>
        <w:numPr>
          <w:ilvl w:val="0"/>
          <w:numId w:val="49"/>
        </w:numPr>
        <w:shd w:val="clear" w:color="auto" w:fill="FFFFFF"/>
        <w:suppressAutoHyphens/>
        <w:contextualSpacing/>
        <w:jc w:val="both"/>
        <w:rPr>
          <w:rFonts w:ascii="Verdana" w:eastAsia="Century Gothic" w:hAnsi="Verdana"/>
          <w:color w:val="2D659A"/>
          <w:szCs w:val="20"/>
          <w:lang w:val="en-US"/>
        </w:rPr>
      </w:pPr>
      <w:r w:rsidRPr="00D34E5C">
        <w:rPr>
          <w:rFonts w:ascii="Verdana" w:eastAsia="Century Gothic" w:hAnsi="Verdana"/>
          <w:color w:val="2D659A"/>
          <w:szCs w:val="20"/>
          <w:lang w:val="en-US"/>
        </w:rPr>
        <w:t>social responsibility and treatment of employees</w:t>
      </w:r>
    </w:p>
    <w:p w14:paraId="3CDC978C" w14:textId="77777777" w:rsidR="001E5DFD" w:rsidRPr="00D34E5C" w:rsidRDefault="001E5DFD" w:rsidP="001313EE">
      <w:pPr>
        <w:numPr>
          <w:ilvl w:val="0"/>
          <w:numId w:val="49"/>
        </w:numPr>
        <w:shd w:val="clear" w:color="auto" w:fill="FFFFFF"/>
        <w:suppressAutoHyphens/>
        <w:jc w:val="both"/>
        <w:rPr>
          <w:rFonts w:ascii="Verdana" w:eastAsia="Century Gothic" w:hAnsi="Verdana"/>
          <w:color w:val="2D659A"/>
          <w:szCs w:val="20"/>
        </w:rPr>
      </w:pPr>
      <w:r w:rsidRPr="00D34E5C">
        <w:rPr>
          <w:rFonts w:ascii="Verdana" w:eastAsia="Century Gothic" w:hAnsi="Verdana"/>
          <w:color w:val="2D659A"/>
          <w:szCs w:val="20"/>
        </w:rPr>
        <w:t>respect for human rights</w:t>
      </w:r>
    </w:p>
    <w:p w14:paraId="75AEAF52" w14:textId="77777777" w:rsidR="001E5DFD" w:rsidRPr="00D34E5C" w:rsidRDefault="001E5DFD" w:rsidP="001313EE">
      <w:pPr>
        <w:numPr>
          <w:ilvl w:val="0"/>
          <w:numId w:val="49"/>
        </w:numPr>
        <w:shd w:val="clear" w:color="auto" w:fill="FFFFFF"/>
        <w:suppressAutoHyphens/>
        <w:jc w:val="both"/>
        <w:rPr>
          <w:rFonts w:ascii="Verdana" w:eastAsia="Century Gothic" w:hAnsi="Verdana"/>
          <w:color w:val="2D659A"/>
          <w:szCs w:val="20"/>
        </w:rPr>
      </w:pPr>
      <w:r w:rsidRPr="00D34E5C">
        <w:rPr>
          <w:rFonts w:ascii="Verdana" w:eastAsia="Century Gothic" w:hAnsi="Verdana"/>
          <w:color w:val="2D659A"/>
          <w:szCs w:val="20"/>
        </w:rPr>
        <w:t>anti-corruption and bribery</w:t>
      </w:r>
    </w:p>
    <w:p w14:paraId="4988D858" w14:textId="77777777" w:rsidR="001E5DFD" w:rsidRPr="00D34E5C" w:rsidRDefault="001E5DFD" w:rsidP="001313EE">
      <w:pPr>
        <w:numPr>
          <w:ilvl w:val="0"/>
          <w:numId w:val="49"/>
        </w:numPr>
        <w:shd w:val="clear" w:color="auto" w:fill="FFFFFF"/>
        <w:suppressAutoHyphens/>
        <w:jc w:val="both"/>
        <w:rPr>
          <w:rFonts w:ascii="Verdana" w:eastAsia="Century Gothic" w:hAnsi="Verdana"/>
          <w:color w:val="2D659A"/>
          <w:szCs w:val="20"/>
          <w:lang w:val="en-US"/>
        </w:rPr>
      </w:pPr>
      <w:r w:rsidRPr="00D34E5C">
        <w:rPr>
          <w:rFonts w:ascii="Verdana" w:eastAsia="Century Gothic" w:hAnsi="Verdana"/>
          <w:color w:val="2D659A"/>
          <w:szCs w:val="20"/>
          <w:lang w:val="en-US"/>
        </w:rPr>
        <w:t>diversity on company boards (in terms of age, gender, educational and professional background)</w:t>
      </w:r>
    </w:p>
    <w:p w14:paraId="21E0960A" w14:textId="77777777" w:rsidR="001E5DFD" w:rsidRDefault="001E5DFD" w:rsidP="001E5DFD">
      <w:pPr>
        <w:suppressAutoHyphens/>
        <w:spacing w:after="120"/>
        <w:ind w:left="708"/>
        <w:jc w:val="both"/>
        <w:rPr>
          <w:rFonts w:ascii="Verdana" w:eastAsia="Century Gothic" w:hAnsi="Verdana"/>
          <w:color w:val="2D659A"/>
          <w:szCs w:val="20"/>
          <w:lang w:val="en-US"/>
        </w:rPr>
      </w:pPr>
    </w:p>
    <w:p w14:paraId="3FE8D0F4" w14:textId="1F24928D" w:rsidR="001E5DFD" w:rsidRPr="00444280" w:rsidRDefault="001E5DFD" w:rsidP="001E5DFD">
      <w:pPr>
        <w:ind w:left="720"/>
        <w:jc w:val="both"/>
        <w:rPr>
          <w:rFonts w:ascii="Verdana" w:eastAsia="Century Gothic" w:hAnsi="Verdana"/>
          <w:color w:val="2D659A"/>
          <w:szCs w:val="20"/>
          <w:lang w:val="en-US"/>
        </w:rPr>
      </w:pPr>
      <w:r w:rsidRPr="00444280">
        <w:rPr>
          <w:rFonts w:ascii="Verdana" w:eastAsia="Century Gothic" w:hAnsi="Verdana"/>
          <w:color w:val="2D659A"/>
          <w:szCs w:val="20"/>
          <w:lang w:val="en-US"/>
        </w:rPr>
        <w:t xml:space="preserve">We would like to warn </w:t>
      </w:r>
      <w:r>
        <w:rPr>
          <w:rFonts w:ascii="Verdana" w:eastAsia="Century Gothic" w:hAnsi="Verdana"/>
          <w:color w:val="2D659A"/>
          <w:szCs w:val="20"/>
          <w:lang w:val="en-US"/>
        </w:rPr>
        <w:t xml:space="preserve">the </w:t>
      </w:r>
      <w:r w:rsidRPr="00444280">
        <w:rPr>
          <w:rFonts w:ascii="Verdana" w:eastAsia="Century Gothic" w:hAnsi="Verdana"/>
          <w:color w:val="2D659A"/>
          <w:szCs w:val="20"/>
          <w:lang w:val="en-US"/>
        </w:rPr>
        <w:t>ESA</w:t>
      </w:r>
      <w:r>
        <w:rPr>
          <w:rFonts w:ascii="Verdana" w:eastAsia="Century Gothic" w:hAnsi="Verdana"/>
          <w:color w:val="2D659A"/>
          <w:szCs w:val="20"/>
          <w:lang w:val="en-US"/>
        </w:rPr>
        <w:t>’s</w:t>
      </w:r>
      <w:r w:rsidRPr="00444280">
        <w:rPr>
          <w:rFonts w:ascii="Verdana" w:eastAsia="Century Gothic" w:hAnsi="Verdana"/>
          <w:color w:val="2D659A"/>
          <w:szCs w:val="20"/>
          <w:lang w:val="en-US"/>
        </w:rPr>
        <w:t xml:space="preserve"> that </w:t>
      </w:r>
      <w:r w:rsidRPr="00444280">
        <w:rPr>
          <w:rFonts w:ascii="Verdana" w:eastAsia="Century Gothic" w:hAnsi="Verdana"/>
          <w:b/>
          <w:bCs/>
          <w:color w:val="2D659A"/>
          <w:szCs w:val="20"/>
          <w:lang w:val="en-US"/>
        </w:rPr>
        <w:t>SFDR potentially could overlap on some significant areas with the final revised NFRD</w:t>
      </w:r>
      <w:r w:rsidRPr="00444280">
        <w:rPr>
          <w:rFonts w:ascii="Verdana" w:eastAsia="Century Gothic" w:hAnsi="Verdana"/>
          <w:color w:val="2D659A"/>
          <w:szCs w:val="20"/>
          <w:lang w:val="en-US"/>
        </w:rPr>
        <w:t xml:space="preserve"> (when the company is in scope of the NFRD). For example, the requirements as set out in art. 3 and art. 4 might be already covered by requirements in the NFRD. More clarification on this topic is desired. </w:t>
      </w:r>
    </w:p>
    <w:p w14:paraId="61A4F9E1" w14:textId="77777777" w:rsidR="001E5DFD" w:rsidRPr="001E5DFD" w:rsidRDefault="001E5DFD" w:rsidP="001E5DFD">
      <w:pPr>
        <w:ind w:left="720"/>
        <w:jc w:val="both"/>
        <w:rPr>
          <w:rFonts w:ascii="Verdana" w:eastAsia="Century Gothic" w:hAnsi="Verdana"/>
          <w:color w:val="2D659A"/>
          <w:szCs w:val="20"/>
          <w:lang w:val="en-US"/>
        </w:rPr>
      </w:pPr>
      <w:bookmarkStart w:id="4" w:name="_Hlk47343155"/>
    </w:p>
    <w:p w14:paraId="11131365" w14:textId="77777777" w:rsidR="001E5DFD" w:rsidRPr="001E5DFD" w:rsidRDefault="001E5DFD" w:rsidP="001E5DFD">
      <w:pPr>
        <w:ind w:left="720"/>
        <w:jc w:val="both"/>
        <w:rPr>
          <w:rFonts w:ascii="Verdana" w:eastAsia="Century Gothic" w:hAnsi="Verdana"/>
          <w:color w:val="2D659A"/>
          <w:szCs w:val="20"/>
          <w:lang w:val="en-US"/>
        </w:rPr>
      </w:pPr>
      <w:r w:rsidRPr="001E5DFD">
        <w:rPr>
          <w:rFonts w:ascii="Verdana" w:eastAsia="Century Gothic" w:hAnsi="Verdana"/>
          <w:b/>
          <w:bCs/>
          <w:color w:val="2D659A"/>
          <w:szCs w:val="20"/>
          <w:lang w:val="en-US"/>
        </w:rPr>
        <w:t>Taxonomy</w:t>
      </w:r>
      <w:r w:rsidRPr="001E5DFD">
        <w:rPr>
          <w:rFonts w:ascii="Verdana" w:eastAsia="Century Gothic" w:hAnsi="Verdana"/>
          <w:color w:val="2D659A"/>
          <w:szCs w:val="20"/>
          <w:lang w:val="en-US"/>
        </w:rPr>
        <w:t xml:space="preserve"> – We would like to see clarifications on the overlap between the Taxonomy’s DNSH-criteria and the Principle Adverse Risk Impacts from the Disclosure Regulation. </w:t>
      </w:r>
      <w:r w:rsidRPr="001E5DFD">
        <w:rPr>
          <w:rFonts w:ascii="Verdana" w:eastAsia="Century Gothic" w:hAnsi="Verdana"/>
          <w:b/>
          <w:bCs/>
          <w:color w:val="2D659A"/>
          <w:szCs w:val="20"/>
          <w:lang w:val="en-US"/>
        </w:rPr>
        <w:t>The Do No Significant Harm definition is included in both the taxonomy and SFDR, but they differ in scope</w:t>
      </w:r>
      <w:r w:rsidRPr="001E5DFD">
        <w:rPr>
          <w:rFonts w:ascii="Verdana" w:eastAsia="Century Gothic" w:hAnsi="Verdana"/>
          <w:color w:val="2D659A"/>
          <w:szCs w:val="20"/>
          <w:lang w:val="en-US"/>
        </w:rPr>
        <w:t xml:space="preserve">. This effectively, means no alignment. This in turn might prove to be very difficult for both regulated companies and regulators, as the DNSH criterion is embedded in the definition of sustainable investment in the SFDR. So, DNSH seem to </w:t>
      </w:r>
      <w:r w:rsidRPr="001E5DFD">
        <w:rPr>
          <w:rFonts w:ascii="Verdana" w:eastAsia="Century Gothic" w:hAnsi="Verdana"/>
          <w:b/>
          <w:bCs/>
          <w:color w:val="2D659A"/>
          <w:szCs w:val="20"/>
          <w:lang w:val="en-US"/>
        </w:rPr>
        <w:t>always</w:t>
      </w:r>
      <w:r w:rsidRPr="001E5DFD">
        <w:rPr>
          <w:rFonts w:ascii="Verdana" w:eastAsia="Century Gothic" w:hAnsi="Verdana"/>
          <w:color w:val="2D659A"/>
          <w:szCs w:val="20"/>
          <w:lang w:val="en-US"/>
        </w:rPr>
        <w:t xml:space="preserve"> apply when a firm in SFDR scope has to disclose. Basically, a firm has to describe DNSH criteria for E, S an G under the definition of a sustainable investment of the SFDR. For example, in a global equity fund, it might almost be impossible to safeguard social standards throughout the supply chain (and thus adhere to DNSH).  Importantly, the definition of “sustainable investment” introduces a new “do no significant harm” (DNSH) principle that is broader than the DNSH principle in the EU Taxonomy in that the scope here goes beyond the six environmental objectives. </w:t>
      </w:r>
    </w:p>
    <w:p w14:paraId="23DBB753" w14:textId="77777777" w:rsidR="001E5DFD" w:rsidRPr="001E5DFD" w:rsidRDefault="001E5DFD" w:rsidP="001E5DFD">
      <w:pPr>
        <w:ind w:left="720"/>
        <w:jc w:val="both"/>
        <w:rPr>
          <w:rFonts w:ascii="Verdana" w:eastAsia="Century Gothic" w:hAnsi="Verdana"/>
          <w:color w:val="2D659A"/>
          <w:szCs w:val="20"/>
          <w:lang w:val="en-US"/>
        </w:rPr>
      </w:pPr>
      <w:r w:rsidRPr="001E5DFD">
        <w:rPr>
          <w:rFonts w:ascii="Verdana" w:eastAsia="Century Gothic" w:hAnsi="Verdana"/>
          <w:color w:val="2D659A"/>
          <w:szCs w:val="20"/>
          <w:lang w:val="en-US"/>
        </w:rPr>
        <w:t>We believe that the definition on a second taxonomy under SFDR brings additional complexity to a global legislative framework that is already very difficult to understand. It is completely useless and misleading to define a second Taxonomy under SFRD whereas the existing EU taxonomy, that will be regularly enriched in the future (with social objectives for instance), seems to be an appropriate tool for the objectives pursued.</w:t>
      </w:r>
    </w:p>
    <w:p w14:paraId="3F14B661" w14:textId="77777777" w:rsidR="001E5DFD" w:rsidRPr="001E5DFD" w:rsidRDefault="001E5DFD" w:rsidP="001E5DFD">
      <w:pPr>
        <w:ind w:left="720"/>
        <w:jc w:val="both"/>
        <w:rPr>
          <w:rFonts w:ascii="Verdana" w:eastAsia="Century Gothic" w:hAnsi="Verdana"/>
          <w:color w:val="2D659A"/>
          <w:szCs w:val="20"/>
          <w:lang w:val="en-US"/>
        </w:rPr>
      </w:pPr>
    </w:p>
    <w:p w14:paraId="18A58F2B" w14:textId="77777777" w:rsidR="001E5DFD" w:rsidRPr="001E5DFD" w:rsidRDefault="001E5DFD" w:rsidP="001E5DFD">
      <w:pPr>
        <w:ind w:left="720"/>
        <w:jc w:val="both"/>
        <w:rPr>
          <w:rFonts w:ascii="Verdana" w:eastAsia="Century Gothic" w:hAnsi="Verdana"/>
          <w:color w:val="2D659A"/>
          <w:szCs w:val="20"/>
          <w:lang w:val="en-US"/>
        </w:rPr>
      </w:pPr>
      <w:r w:rsidRPr="001E5DFD">
        <w:rPr>
          <w:rFonts w:ascii="Verdana" w:eastAsia="Century Gothic" w:hAnsi="Verdana"/>
          <w:color w:val="2D659A"/>
          <w:szCs w:val="20"/>
          <w:lang w:val="en-US"/>
        </w:rPr>
        <w:t xml:space="preserve">For the sake of clarity, we would like to remind ESA’s and the EC that the use of the Taxonomy / DNSH should remain restricted to disclosure and ‘labelling’ purposes only, as required in the Taxonomy Regulation, and should not be extended to risk management purposes of banking corporate portfolios. Our comments above are strictly limited to the SFRD scope, hence investors / investment advice providers disclosure requirements. </w:t>
      </w:r>
    </w:p>
    <w:p w14:paraId="227215A0" w14:textId="77777777" w:rsidR="001E5DFD" w:rsidRPr="00855B44" w:rsidRDefault="001E5DFD" w:rsidP="001E5DFD">
      <w:pPr>
        <w:pStyle w:val="ListParagraph"/>
        <w:rPr>
          <w:rFonts w:cs="Arial"/>
          <w:szCs w:val="20"/>
          <w:lang w:val="en-US"/>
        </w:rPr>
      </w:pPr>
    </w:p>
    <w:p w14:paraId="0DB46D06" w14:textId="77777777" w:rsidR="001E5DFD" w:rsidRPr="001E5DFD" w:rsidRDefault="001E5DFD" w:rsidP="001313EE">
      <w:pPr>
        <w:pStyle w:val="ListParagraph"/>
        <w:numPr>
          <w:ilvl w:val="0"/>
          <w:numId w:val="48"/>
        </w:numPr>
        <w:shd w:val="clear" w:color="auto" w:fill="FFFFFF"/>
        <w:jc w:val="both"/>
        <w:rPr>
          <w:rFonts w:ascii="Verdana" w:eastAsia="Century Gothic" w:hAnsi="Verdana"/>
          <w:color w:val="2D659A"/>
          <w:szCs w:val="20"/>
          <w:lang w:val="en-US"/>
        </w:rPr>
      </w:pPr>
      <w:r w:rsidRPr="001E5DFD">
        <w:rPr>
          <w:rFonts w:ascii="Verdana" w:eastAsia="Century Gothic" w:hAnsi="Verdana"/>
          <w:b/>
          <w:bCs/>
          <w:color w:val="2D659A"/>
          <w:szCs w:val="20"/>
          <w:lang w:val="en-US"/>
        </w:rPr>
        <w:t>Process wise</w:t>
      </w:r>
      <w:r w:rsidRPr="001E5DFD">
        <w:rPr>
          <w:rFonts w:ascii="Verdana" w:eastAsia="Century Gothic" w:hAnsi="Verdana"/>
          <w:color w:val="2D659A"/>
          <w:szCs w:val="20"/>
          <w:lang w:val="en-US"/>
        </w:rPr>
        <w:t xml:space="preserve"> there are many Interdependencies with Taxonomy Regulation, for example the dependency on definition of Technical Screening Criteria (TSC) for the 6 environmental objectives according to the TR which comes into force later (1 Jan 2022). The RTS for comprehensive TSC are expected only at the end of 2020. Implementation of SFDR requirements will need to consider the taxonomy requirements. We therefore believe it is important to align the taxonomy framework content with the SFDR. </w:t>
      </w:r>
    </w:p>
    <w:p w14:paraId="5DC7471C" w14:textId="77777777" w:rsidR="001E5DFD" w:rsidRDefault="001E5DFD" w:rsidP="001E5DFD">
      <w:pPr>
        <w:pStyle w:val="ListParagraph"/>
        <w:rPr>
          <w:rFonts w:cs="Arial"/>
          <w:szCs w:val="20"/>
          <w:lang w:val="en-US"/>
        </w:rPr>
      </w:pPr>
    </w:p>
    <w:p w14:paraId="40FFE566" w14:textId="77777777" w:rsidR="001E5DFD" w:rsidRPr="001E5DFD" w:rsidRDefault="001E5DFD" w:rsidP="001E5DFD">
      <w:pPr>
        <w:suppressAutoHyphens/>
        <w:spacing w:after="120"/>
        <w:ind w:left="720"/>
        <w:contextualSpacing/>
        <w:jc w:val="both"/>
        <w:rPr>
          <w:rFonts w:ascii="Verdana" w:eastAsia="Century Gothic" w:hAnsi="Verdana"/>
          <w:b/>
          <w:bCs/>
          <w:color w:val="2D659A"/>
          <w:szCs w:val="20"/>
          <w:lang w:val="en-US"/>
        </w:rPr>
      </w:pPr>
      <w:r w:rsidRPr="001E5DFD">
        <w:rPr>
          <w:rFonts w:ascii="Verdana" w:eastAsia="Century Gothic" w:hAnsi="Verdana"/>
          <w:b/>
          <w:bCs/>
          <w:color w:val="2D659A"/>
          <w:szCs w:val="20"/>
          <w:lang w:val="en-US"/>
        </w:rPr>
        <w:t xml:space="preserve">We also would also like to raise our concerns related to the unworkable and incomplete underlying methodologies embedded in the proposed RTS. How to </w:t>
      </w:r>
      <w:r w:rsidRPr="001E5DFD">
        <w:rPr>
          <w:rFonts w:ascii="Verdana" w:eastAsia="Century Gothic" w:hAnsi="Verdana"/>
          <w:b/>
          <w:bCs/>
          <w:color w:val="2D659A"/>
          <w:szCs w:val="20"/>
          <w:lang w:val="en-US"/>
        </w:rPr>
        <w:lastRenderedPageBreak/>
        <w:t>aggregate or count exposure to investee companies through different financial instruments; and how to aggregate performance of the same indicator when calculated differently by companies?</w:t>
      </w:r>
    </w:p>
    <w:p w14:paraId="341046EF" w14:textId="77777777" w:rsidR="001E5DFD" w:rsidRPr="001E5DFD" w:rsidRDefault="001E5DFD" w:rsidP="001E5DFD">
      <w:pPr>
        <w:suppressAutoHyphens/>
        <w:spacing w:after="120"/>
        <w:ind w:left="720"/>
        <w:contextualSpacing/>
        <w:jc w:val="both"/>
        <w:rPr>
          <w:rFonts w:ascii="Verdana" w:eastAsia="Century Gothic" w:hAnsi="Verdana"/>
          <w:color w:val="2D659A"/>
          <w:szCs w:val="20"/>
          <w:lang w:val="en-US"/>
        </w:rPr>
      </w:pPr>
      <w:r w:rsidRPr="001E5DFD">
        <w:rPr>
          <w:rFonts w:ascii="Verdana" w:eastAsia="Century Gothic" w:hAnsi="Verdana"/>
          <w:color w:val="2D659A"/>
          <w:szCs w:val="20"/>
          <w:lang w:val="en-US"/>
        </w:rPr>
        <w:t xml:space="preserve">The current proposal does not clarify or provide any guidance on these operational questions. ESAs should explain how investors should aggregate performance at indicator-level, and provide evidence that it can be done, in the following cases:  </w:t>
      </w:r>
    </w:p>
    <w:p w14:paraId="6F7E003C" w14:textId="77777777" w:rsidR="001E5DFD" w:rsidRPr="001E5DFD" w:rsidRDefault="001E5DFD" w:rsidP="001E5DFD">
      <w:pPr>
        <w:suppressAutoHyphens/>
        <w:spacing w:after="120"/>
        <w:ind w:left="720"/>
        <w:contextualSpacing/>
        <w:jc w:val="both"/>
        <w:rPr>
          <w:rFonts w:ascii="Verdana" w:eastAsia="Century Gothic" w:hAnsi="Verdana"/>
          <w:color w:val="2D659A"/>
          <w:szCs w:val="20"/>
          <w:lang w:val="en-US"/>
        </w:rPr>
      </w:pPr>
      <w:r w:rsidRPr="001E5DFD">
        <w:rPr>
          <w:rFonts w:ascii="Verdana" w:eastAsia="Century Gothic" w:hAnsi="Verdana"/>
          <w:color w:val="2D659A"/>
          <w:szCs w:val="20"/>
          <w:lang w:val="en-US"/>
        </w:rPr>
        <w:t>a)</w:t>
      </w:r>
      <w:r w:rsidRPr="001E5DFD">
        <w:rPr>
          <w:rFonts w:ascii="Verdana" w:eastAsia="Century Gothic" w:hAnsi="Verdana"/>
          <w:color w:val="2D659A"/>
          <w:szCs w:val="20"/>
          <w:lang w:val="en-US"/>
        </w:rPr>
        <w:tab/>
        <w:t xml:space="preserve">When expose to one company through different financial instruments – equity + debt + derivatives; </w:t>
      </w:r>
    </w:p>
    <w:p w14:paraId="4FDBED97" w14:textId="77777777" w:rsidR="001E5DFD" w:rsidRPr="001E5DFD" w:rsidRDefault="001E5DFD" w:rsidP="001E5DFD">
      <w:pPr>
        <w:suppressAutoHyphens/>
        <w:spacing w:after="120"/>
        <w:ind w:left="720"/>
        <w:contextualSpacing/>
        <w:jc w:val="both"/>
        <w:rPr>
          <w:rFonts w:ascii="Verdana" w:eastAsia="Century Gothic" w:hAnsi="Verdana"/>
          <w:color w:val="2D659A"/>
          <w:szCs w:val="20"/>
          <w:lang w:val="en-US"/>
        </w:rPr>
      </w:pPr>
      <w:r w:rsidRPr="001E5DFD">
        <w:rPr>
          <w:rFonts w:ascii="Verdana" w:eastAsia="Century Gothic" w:hAnsi="Verdana"/>
          <w:color w:val="2D659A"/>
          <w:szCs w:val="20"/>
          <w:lang w:val="en-US"/>
        </w:rPr>
        <w:t>b)</w:t>
      </w:r>
      <w:r w:rsidRPr="001E5DFD">
        <w:rPr>
          <w:rFonts w:ascii="Verdana" w:eastAsia="Century Gothic" w:hAnsi="Verdana"/>
          <w:color w:val="2D659A"/>
          <w:szCs w:val="20"/>
          <w:lang w:val="en-US"/>
        </w:rPr>
        <w:tab/>
        <w:t>Between companies that calculate differently the same indicator;</w:t>
      </w:r>
    </w:p>
    <w:p w14:paraId="433693FF" w14:textId="77777777" w:rsidR="001E5DFD" w:rsidRPr="001E5DFD" w:rsidRDefault="001E5DFD" w:rsidP="001E5DFD">
      <w:pPr>
        <w:suppressAutoHyphens/>
        <w:spacing w:after="120"/>
        <w:ind w:left="720"/>
        <w:contextualSpacing/>
        <w:jc w:val="both"/>
        <w:rPr>
          <w:rFonts w:ascii="Verdana" w:eastAsia="Century Gothic" w:hAnsi="Verdana"/>
          <w:color w:val="2D659A"/>
          <w:szCs w:val="20"/>
          <w:lang w:val="en-US"/>
        </w:rPr>
      </w:pPr>
      <w:r w:rsidRPr="001E5DFD">
        <w:rPr>
          <w:rFonts w:ascii="Verdana" w:eastAsia="Century Gothic" w:hAnsi="Verdana"/>
          <w:color w:val="2D659A"/>
          <w:szCs w:val="20"/>
          <w:lang w:val="en-US"/>
        </w:rPr>
        <w:t>c)</w:t>
      </w:r>
      <w:r w:rsidRPr="001E5DFD">
        <w:rPr>
          <w:rFonts w:ascii="Verdana" w:eastAsia="Century Gothic" w:hAnsi="Verdana"/>
          <w:color w:val="2D659A"/>
          <w:szCs w:val="20"/>
          <w:lang w:val="en-US"/>
        </w:rPr>
        <w:tab/>
        <w:t xml:space="preserve">Between companies for which the indicator is calculated for different proportion of their activities; and, </w:t>
      </w:r>
    </w:p>
    <w:p w14:paraId="1FD864D2" w14:textId="77777777" w:rsidR="001E5DFD" w:rsidRPr="001E5DFD" w:rsidRDefault="001E5DFD" w:rsidP="001E5DFD">
      <w:pPr>
        <w:suppressAutoHyphens/>
        <w:spacing w:after="120"/>
        <w:ind w:left="720"/>
        <w:contextualSpacing/>
        <w:jc w:val="both"/>
        <w:rPr>
          <w:rFonts w:ascii="Verdana" w:eastAsia="Century Gothic" w:hAnsi="Verdana"/>
          <w:color w:val="2D659A"/>
          <w:szCs w:val="20"/>
          <w:lang w:val="en-US"/>
        </w:rPr>
      </w:pPr>
      <w:r w:rsidRPr="001E5DFD">
        <w:rPr>
          <w:rFonts w:ascii="Verdana" w:eastAsia="Century Gothic" w:hAnsi="Verdana"/>
          <w:color w:val="2D659A"/>
          <w:szCs w:val="20"/>
          <w:lang w:val="en-US"/>
        </w:rPr>
        <w:t>d)</w:t>
      </w:r>
      <w:r w:rsidRPr="001E5DFD">
        <w:rPr>
          <w:rFonts w:ascii="Verdana" w:eastAsia="Century Gothic" w:hAnsi="Verdana"/>
          <w:color w:val="2D659A"/>
          <w:szCs w:val="20"/>
          <w:lang w:val="en-US"/>
        </w:rPr>
        <w:tab/>
        <w:t xml:space="preserve">Between companies of different sectors when that is material to the understanding of performance. </w:t>
      </w:r>
    </w:p>
    <w:p w14:paraId="4BA09532" w14:textId="77777777" w:rsidR="001E5DFD" w:rsidRPr="001E5DFD" w:rsidRDefault="001E5DFD" w:rsidP="001E5DFD">
      <w:pPr>
        <w:suppressAutoHyphens/>
        <w:spacing w:after="120"/>
        <w:ind w:left="720"/>
        <w:contextualSpacing/>
        <w:jc w:val="both"/>
        <w:rPr>
          <w:rFonts w:ascii="Verdana" w:eastAsia="Century Gothic" w:hAnsi="Verdana"/>
          <w:color w:val="2D659A"/>
          <w:szCs w:val="20"/>
          <w:lang w:val="en-US"/>
        </w:rPr>
      </w:pPr>
      <w:r w:rsidRPr="001E5DFD">
        <w:rPr>
          <w:rFonts w:ascii="Verdana" w:eastAsia="Century Gothic" w:hAnsi="Verdana"/>
          <w:color w:val="2D659A"/>
          <w:szCs w:val="20"/>
          <w:lang w:val="en-US"/>
        </w:rPr>
        <w:t>e)</w:t>
      </w:r>
      <w:r w:rsidRPr="001E5DFD">
        <w:rPr>
          <w:rFonts w:ascii="Verdana" w:eastAsia="Century Gothic" w:hAnsi="Verdana"/>
          <w:color w:val="2D659A"/>
          <w:szCs w:val="20"/>
          <w:lang w:val="en-US"/>
        </w:rPr>
        <w:tab/>
        <w:t>The issue of ‘double counting’ has to be addressed more succinctly. For instance a utility provider’s scope 1 is the scope 2 of many other firms and, consequently, some investors’ portfolio carbon footprint might be overstated.</w:t>
      </w:r>
    </w:p>
    <w:p w14:paraId="6A886EE3" w14:textId="77777777" w:rsidR="001E5DFD" w:rsidRPr="00855B44" w:rsidRDefault="001E5DFD" w:rsidP="001E5DFD">
      <w:pPr>
        <w:pStyle w:val="ListParagraph"/>
        <w:rPr>
          <w:rFonts w:cs="Arial"/>
          <w:szCs w:val="20"/>
          <w:lang w:val="en-US"/>
        </w:rPr>
      </w:pPr>
    </w:p>
    <w:bookmarkEnd w:id="4"/>
    <w:p w14:paraId="0F12DE7F" w14:textId="77777777" w:rsidR="001E5DFD" w:rsidRPr="00D34E5C" w:rsidRDefault="001E5DFD" w:rsidP="001313EE">
      <w:pPr>
        <w:numPr>
          <w:ilvl w:val="0"/>
          <w:numId w:val="48"/>
        </w:numPr>
        <w:suppressAutoHyphens/>
        <w:spacing w:after="120"/>
        <w:contextualSpacing/>
        <w:jc w:val="both"/>
        <w:rPr>
          <w:rFonts w:ascii="Verdana" w:eastAsia="Century Gothic" w:hAnsi="Verdana"/>
          <w:color w:val="2D659A"/>
          <w:szCs w:val="20"/>
          <w:lang w:val="en-US"/>
        </w:rPr>
      </w:pPr>
      <w:r w:rsidRPr="00D34E5C">
        <w:rPr>
          <w:rFonts w:ascii="Verdana" w:eastAsia="Century Gothic" w:hAnsi="Verdana"/>
          <w:b/>
          <w:bCs/>
          <w:color w:val="2D659A"/>
          <w:szCs w:val="20"/>
          <w:lang w:val="en-US"/>
        </w:rPr>
        <w:t>Upcoming regulation on ESG rating agencies</w:t>
      </w:r>
      <w:r w:rsidRPr="00D34E5C">
        <w:rPr>
          <w:rFonts w:ascii="Verdana" w:eastAsia="Century Gothic" w:hAnsi="Verdana"/>
          <w:color w:val="2D659A"/>
          <w:szCs w:val="20"/>
          <w:lang w:val="en-US"/>
        </w:rPr>
        <w:t xml:space="preserve"> – the new EU Sustainable Finance Strategy consultation hints at further requirements for ESG rating agencies, as they question the EC questions the current comparability, quality and reliability of ESG data from sustainability providers/rating agencies. As most investment firms use these agencies, they should be made aware of upcoming changes when they implement the DR. </w:t>
      </w:r>
    </w:p>
    <w:p w14:paraId="61EE746B" w14:textId="77777777" w:rsidR="001E5DFD" w:rsidRPr="00D34E5C" w:rsidRDefault="001E5DFD" w:rsidP="001E5DFD">
      <w:pPr>
        <w:spacing w:after="120"/>
        <w:ind w:left="720"/>
        <w:contextualSpacing/>
        <w:jc w:val="both"/>
        <w:rPr>
          <w:rFonts w:ascii="Verdana" w:eastAsia="Century Gothic" w:hAnsi="Verdana"/>
          <w:color w:val="2D659A"/>
          <w:szCs w:val="20"/>
          <w:lang w:val="en-US"/>
        </w:rPr>
      </w:pPr>
    </w:p>
    <w:p w14:paraId="13F51540" w14:textId="77777777" w:rsidR="001E5DFD" w:rsidRPr="001E5DFD" w:rsidRDefault="001E5DFD" w:rsidP="001313EE">
      <w:pPr>
        <w:numPr>
          <w:ilvl w:val="0"/>
          <w:numId w:val="41"/>
        </w:numPr>
        <w:suppressAutoHyphens/>
        <w:spacing w:after="120"/>
        <w:contextualSpacing/>
        <w:jc w:val="both"/>
        <w:rPr>
          <w:rFonts w:ascii="Verdana" w:eastAsia="Century Gothic" w:hAnsi="Verdana"/>
          <w:b/>
          <w:bCs/>
          <w:color w:val="2D659A"/>
          <w:szCs w:val="20"/>
        </w:rPr>
      </w:pPr>
      <w:r w:rsidRPr="001E5DFD">
        <w:rPr>
          <w:rFonts w:ascii="Verdana" w:eastAsia="Century Gothic" w:hAnsi="Verdana"/>
          <w:b/>
          <w:bCs/>
          <w:color w:val="2D659A"/>
          <w:szCs w:val="20"/>
        </w:rPr>
        <w:t xml:space="preserve">Proportionality </w:t>
      </w:r>
    </w:p>
    <w:p w14:paraId="3C3CECB3" w14:textId="77777777" w:rsidR="001E5DFD" w:rsidRPr="00AE635B" w:rsidRDefault="001E5DFD" w:rsidP="001E5DFD">
      <w:pPr>
        <w:ind w:left="720"/>
        <w:jc w:val="both"/>
        <w:rPr>
          <w:rFonts w:ascii="Verdana" w:eastAsia="Century Gothic" w:hAnsi="Verdana"/>
          <w:color w:val="2D659A"/>
          <w:szCs w:val="20"/>
          <w:lang w:val="en-US"/>
        </w:rPr>
      </w:pPr>
      <w:r w:rsidRPr="00AE635B">
        <w:rPr>
          <w:rFonts w:ascii="Verdana" w:eastAsia="Century Gothic" w:hAnsi="Verdana"/>
          <w:color w:val="2D659A"/>
          <w:szCs w:val="20"/>
          <w:lang w:val="en-US"/>
        </w:rPr>
        <w:t xml:space="preserve">The DR is very clear in the need to ensure that the regulation and the RTS do not go beyond what is strictly necessary in order to achieve the objectives to strengthen protection for end investors and improve disclosures to them. </w:t>
      </w:r>
    </w:p>
    <w:p w14:paraId="08516E91" w14:textId="77777777" w:rsidR="001E5DFD" w:rsidRPr="00AE635B" w:rsidRDefault="001E5DFD" w:rsidP="001E5DFD">
      <w:pPr>
        <w:ind w:left="720"/>
        <w:jc w:val="both"/>
        <w:rPr>
          <w:rFonts w:ascii="Verdana" w:eastAsia="Century Gothic" w:hAnsi="Verdana"/>
          <w:color w:val="2D659A"/>
          <w:szCs w:val="20"/>
          <w:lang w:val="en-US"/>
        </w:rPr>
      </w:pPr>
      <w:r w:rsidRPr="00AE635B">
        <w:rPr>
          <w:rFonts w:ascii="Verdana" w:eastAsia="Century Gothic" w:hAnsi="Verdana"/>
          <w:color w:val="2D659A"/>
          <w:szCs w:val="20"/>
          <w:lang w:val="en-US"/>
        </w:rPr>
        <w:t>We believe that proportionality is essential for smaller market participants to be able to implement the disclosure requirements.  Although the DR text mentions proportionality, we would like to highlight again that for smaller market participants (and especially, those that just exceed the 500-employee limit) it might be very costly to implement all the necessary requirements. Supervisors should be made aware of this in an early stage (before the evaluation of the application of the DR by 30 December 2022. Please also refer to point 3 of this paper.</w:t>
      </w:r>
    </w:p>
    <w:p w14:paraId="370B547E" w14:textId="77777777" w:rsidR="001E5DFD" w:rsidRPr="00AE635B" w:rsidRDefault="001E5DFD" w:rsidP="001E5DFD">
      <w:pPr>
        <w:ind w:left="720"/>
        <w:jc w:val="both"/>
        <w:rPr>
          <w:rFonts w:ascii="Verdana" w:eastAsia="Century Gothic" w:hAnsi="Verdana"/>
          <w:color w:val="2D659A"/>
          <w:szCs w:val="20"/>
          <w:lang w:val="en-US"/>
        </w:rPr>
      </w:pPr>
      <w:r w:rsidRPr="00AE635B">
        <w:rPr>
          <w:rFonts w:ascii="Verdana" w:eastAsia="Century Gothic" w:hAnsi="Verdana"/>
          <w:color w:val="2D659A"/>
          <w:szCs w:val="20"/>
          <w:lang w:val="en-US"/>
        </w:rPr>
        <w:t>We also consider that some requirements will not bring any meaningful information to the market and will unduly over burdens the operational processes. For the following requirements, some proportionality should be found:</w:t>
      </w:r>
    </w:p>
    <w:p w14:paraId="48B538DE" w14:textId="27141DA2" w:rsidR="001E5DFD" w:rsidRPr="001E5DFD" w:rsidRDefault="001E5DFD" w:rsidP="001313EE">
      <w:pPr>
        <w:numPr>
          <w:ilvl w:val="1"/>
          <w:numId w:val="48"/>
        </w:numPr>
        <w:suppressAutoHyphens/>
        <w:spacing w:after="120"/>
        <w:contextualSpacing/>
        <w:jc w:val="both"/>
        <w:rPr>
          <w:rFonts w:ascii="Verdana" w:eastAsia="Century Gothic" w:hAnsi="Verdana"/>
          <w:color w:val="2D659A"/>
          <w:szCs w:val="20"/>
          <w:lang w:val="en-US"/>
        </w:rPr>
      </w:pPr>
      <w:r w:rsidRPr="001E5DFD">
        <w:rPr>
          <w:rFonts w:ascii="Verdana" w:eastAsia="Century Gothic" w:hAnsi="Verdana"/>
          <w:color w:val="2D659A"/>
          <w:szCs w:val="20"/>
          <w:lang w:val="en-US"/>
        </w:rPr>
        <w:t>adverse impact disclosures should not relate to the entire reference period (i.e. average positions) but only to the portfolio as it stands at the end of the relevant reference period;</w:t>
      </w:r>
    </w:p>
    <w:p w14:paraId="6B538758" w14:textId="22112595" w:rsidR="001E5DFD" w:rsidRPr="001E5DFD" w:rsidRDefault="001E5DFD" w:rsidP="001313EE">
      <w:pPr>
        <w:numPr>
          <w:ilvl w:val="1"/>
          <w:numId w:val="48"/>
        </w:numPr>
        <w:suppressAutoHyphens/>
        <w:spacing w:after="120"/>
        <w:contextualSpacing/>
        <w:jc w:val="both"/>
        <w:rPr>
          <w:rFonts w:ascii="Verdana" w:eastAsia="Century Gothic" w:hAnsi="Verdana"/>
          <w:color w:val="2D659A"/>
          <w:szCs w:val="20"/>
          <w:lang w:val="en-US"/>
        </w:rPr>
      </w:pPr>
      <w:r w:rsidRPr="001E5DFD">
        <w:rPr>
          <w:rFonts w:ascii="Verdana" w:eastAsia="Century Gothic" w:hAnsi="Verdana"/>
          <w:color w:val="2D659A"/>
          <w:szCs w:val="20"/>
          <w:lang w:val="en-US"/>
        </w:rPr>
        <w:t>All short</w:t>
      </w:r>
      <w:r w:rsidR="005C064F">
        <w:rPr>
          <w:rFonts w:ascii="Verdana" w:eastAsia="Century Gothic" w:hAnsi="Verdana"/>
          <w:color w:val="2D659A"/>
          <w:szCs w:val="20"/>
          <w:lang w:val="en-US"/>
        </w:rPr>
        <w:t>-</w:t>
      </w:r>
      <w:r w:rsidRPr="001E5DFD">
        <w:rPr>
          <w:rFonts w:ascii="Verdana" w:eastAsia="Century Gothic" w:hAnsi="Verdana"/>
          <w:color w:val="2D659A"/>
          <w:szCs w:val="20"/>
          <w:lang w:val="en-US"/>
        </w:rPr>
        <w:t>term holdings should be excluded (derivatives as well).</w:t>
      </w:r>
    </w:p>
    <w:p w14:paraId="7E7C2DFB" w14:textId="77777777" w:rsidR="001E5DFD" w:rsidRPr="00AE635B" w:rsidRDefault="001E5DFD" w:rsidP="001E5DFD">
      <w:pPr>
        <w:ind w:left="720"/>
        <w:jc w:val="both"/>
        <w:rPr>
          <w:rFonts w:ascii="Verdana" w:eastAsia="Century Gothic" w:hAnsi="Verdana"/>
          <w:color w:val="2D659A"/>
          <w:szCs w:val="20"/>
          <w:lang w:val="en-US"/>
        </w:rPr>
      </w:pPr>
    </w:p>
    <w:p w14:paraId="7CFCEF7D" w14:textId="77777777" w:rsidR="001E5DFD" w:rsidRPr="001E5DFD" w:rsidRDefault="001E5DFD" w:rsidP="001313EE">
      <w:pPr>
        <w:numPr>
          <w:ilvl w:val="0"/>
          <w:numId w:val="41"/>
        </w:numPr>
        <w:suppressAutoHyphens/>
        <w:spacing w:after="120"/>
        <w:contextualSpacing/>
        <w:jc w:val="both"/>
        <w:rPr>
          <w:rFonts w:ascii="Verdana" w:eastAsia="Century Gothic" w:hAnsi="Verdana"/>
          <w:b/>
          <w:bCs/>
          <w:color w:val="2D659A"/>
          <w:szCs w:val="20"/>
        </w:rPr>
      </w:pPr>
      <w:r w:rsidRPr="001E5DFD">
        <w:rPr>
          <w:rFonts w:ascii="Verdana" w:eastAsia="Century Gothic" w:hAnsi="Verdana"/>
          <w:b/>
          <w:bCs/>
          <w:color w:val="2D659A"/>
          <w:szCs w:val="20"/>
        </w:rPr>
        <w:t>Legal Uncertainty</w:t>
      </w:r>
    </w:p>
    <w:p w14:paraId="0E7C919D" w14:textId="77777777" w:rsidR="001E5DFD" w:rsidRPr="00AE635B" w:rsidRDefault="001E5DFD" w:rsidP="001E5DFD">
      <w:pPr>
        <w:ind w:left="720"/>
        <w:jc w:val="both"/>
        <w:rPr>
          <w:rFonts w:ascii="Verdana" w:eastAsia="Century Gothic" w:hAnsi="Verdana"/>
          <w:color w:val="2D659A"/>
          <w:szCs w:val="20"/>
          <w:lang w:val="en-US"/>
        </w:rPr>
      </w:pPr>
      <w:r w:rsidRPr="00AE635B">
        <w:rPr>
          <w:rFonts w:ascii="Verdana" w:eastAsia="Century Gothic" w:hAnsi="Verdana"/>
          <w:color w:val="2D659A"/>
          <w:szCs w:val="20"/>
          <w:lang w:val="en-US"/>
        </w:rPr>
        <w:t xml:space="preserve">In the background analysis to the Draft RTS the ESA’s note that they are aware of various “challenges” and difficulties both for themselves when drafting the RTS as for the FMP’s / FA’s that need to work with these RTS’s, i.e. mentioned are: </w:t>
      </w:r>
    </w:p>
    <w:p w14:paraId="5BEAE99C" w14:textId="77777777" w:rsidR="001E5DFD" w:rsidRPr="00AE635B" w:rsidRDefault="001E5DFD" w:rsidP="001E5DFD">
      <w:pPr>
        <w:ind w:left="720"/>
        <w:jc w:val="both"/>
        <w:rPr>
          <w:rFonts w:ascii="Verdana" w:eastAsia="Century Gothic" w:hAnsi="Verdana"/>
          <w:color w:val="2D659A"/>
          <w:szCs w:val="20"/>
          <w:lang w:val="en-US"/>
        </w:rPr>
      </w:pPr>
      <w:r w:rsidRPr="00AE635B">
        <w:rPr>
          <w:rFonts w:ascii="Verdana" w:eastAsia="Century Gothic" w:hAnsi="Verdana"/>
          <w:color w:val="2D659A"/>
          <w:szCs w:val="20"/>
          <w:lang w:val="en-US"/>
        </w:rPr>
        <w:t>-</w:t>
      </w:r>
      <w:r w:rsidRPr="00AE635B">
        <w:rPr>
          <w:rFonts w:ascii="Verdana" w:eastAsia="Century Gothic" w:hAnsi="Verdana"/>
          <w:color w:val="2D659A"/>
          <w:szCs w:val="20"/>
          <w:lang w:val="en-US"/>
        </w:rPr>
        <w:tab/>
        <w:t>Data constraints;</w:t>
      </w:r>
    </w:p>
    <w:p w14:paraId="5E10DAA4" w14:textId="5823F93F" w:rsidR="001E5DFD" w:rsidRPr="00AE635B" w:rsidRDefault="001E5DFD" w:rsidP="001E5DFD">
      <w:pPr>
        <w:ind w:left="1440" w:hanging="720"/>
        <w:jc w:val="both"/>
        <w:rPr>
          <w:rFonts w:ascii="Verdana" w:eastAsia="Century Gothic" w:hAnsi="Verdana"/>
          <w:color w:val="2D659A"/>
          <w:szCs w:val="20"/>
          <w:lang w:val="en-US"/>
        </w:rPr>
      </w:pPr>
      <w:r w:rsidRPr="00AE635B">
        <w:rPr>
          <w:rFonts w:ascii="Verdana" w:eastAsia="Century Gothic" w:hAnsi="Verdana"/>
          <w:color w:val="2D659A"/>
          <w:szCs w:val="20"/>
          <w:lang w:val="en-US"/>
        </w:rPr>
        <w:t>-</w:t>
      </w:r>
      <w:r w:rsidRPr="00AE635B">
        <w:rPr>
          <w:rFonts w:ascii="Verdana" w:eastAsia="Century Gothic" w:hAnsi="Verdana"/>
          <w:color w:val="2D659A"/>
          <w:szCs w:val="20"/>
          <w:lang w:val="en-US"/>
        </w:rPr>
        <w:tab/>
        <w:t>The use of definitions in the SFDR, without reference to the taxonomy regulation;</w:t>
      </w:r>
    </w:p>
    <w:p w14:paraId="47A09EAB" w14:textId="77777777" w:rsidR="001E5DFD" w:rsidRPr="00AE635B" w:rsidRDefault="001E5DFD" w:rsidP="001E5DFD">
      <w:pPr>
        <w:ind w:left="1440" w:hanging="720"/>
        <w:jc w:val="both"/>
        <w:rPr>
          <w:rFonts w:ascii="Verdana" w:eastAsia="Century Gothic" w:hAnsi="Verdana"/>
          <w:color w:val="2D659A"/>
          <w:szCs w:val="20"/>
          <w:lang w:val="en-US"/>
        </w:rPr>
      </w:pPr>
      <w:r w:rsidRPr="00AE635B">
        <w:rPr>
          <w:rFonts w:ascii="Verdana" w:eastAsia="Century Gothic" w:hAnsi="Verdana"/>
          <w:color w:val="2D659A"/>
          <w:szCs w:val="20"/>
          <w:lang w:val="en-US"/>
        </w:rPr>
        <w:t>-</w:t>
      </w:r>
      <w:r w:rsidRPr="00AE635B">
        <w:rPr>
          <w:rFonts w:ascii="Verdana" w:eastAsia="Century Gothic" w:hAnsi="Verdana"/>
          <w:color w:val="2D659A"/>
          <w:szCs w:val="20"/>
          <w:lang w:val="en-US"/>
        </w:rPr>
        <w:tab/>
        <w:t>Financial products investing in equities / debt instruments issued by companies that carry out a variety of activities, some taxonomy-eligible and others not;</w:t>
      </w:r>
    </w:p>
    <w:p w14:paraId="77F3DED5" w14:textId="77777777" w:rsidR="001E5DFD" w:rsidRPr="00AE635B" w:rsidRDefault="001E5DFD" w:rsidP="001E5DFD">
      <w:pPr>
        <w:ind w:left="1440" w:hanging="720"/>
        <w:jc w:val="both"/>
        <w:rPr>
          <w:rFonts w:ascii="Verdana" w:eastAsia="Century Gothic" w:hAnsi="Verdana"/>
          <w:color w:val="2D659A"/>
          <w:szCs w:val="20"/>
          <w:lang w:val="en-US"/>
        </w:rPr>
      </w:pPr>
      <w:r w:rsidRPr="00AE635B">
        <w:rPr>
          <w:rFonts w:ascii="Verdana" w:eastAsia="Century Gothic" w:hAnsi="Verdana"/>
          <w:color w:val="2D659A"/>
          <w:szCs w:val="20"/>
          <w:lang w:val="en-US"/>
        </w:rPr>
        <w:lastRenderedPageBreak/>
        <w:t>-</w:t>
      </w:r>
      <w:r w:rsidRPr="00AE635B">
        <w:rPr>
          <w:rFonts w:ascii="Verdana" w:eastAsia="Century Gothic" w:hAnsi="Verdana"/>
          <w:color w:val="2D659A"/>
          <w:szCs w:val="20"/>
          <w:lang w:val="en-US"/>
        </w:rPr>
        <w:tab/>
        <w:t xml:space="preserve">The relation between the concepts of “do not significantly harm“ and principal adverse impact in the future. </w:t>
      </w:r>
    </w:p>
    <w:p w14:paraId="61B893FA" w14:textId="77777777" w:rsidR="001E5DFD" w:rsidRPr="00AE635B" w:rsidRDefault="001E5DFD" w:rsidP="001E5DFD">
      <w:pPr>
        <w:ind w:left="1440" w:hanging="720"/>
        <w:jc w:val="both"/>
        <w:rPr>
          <w:rFonts w:ascii="Verdana" w:eastAsia="Century Gothic" w:hAnsi="Verdana"/>
          <w:color w:val="2D659A"/>
          <w:szCs w:val="20"/>
          <w:lang w:val="en-US"/>
        </w:rPr>
      </w:pPr>
      <w:r w:rsidRPr="00AE635B">
        <w:rPr>
          <w:rFonts w:ascii="Verdana" w:eastAsia="Century Gothic" w:hAnsi="Verdana"/>
          <w:color w:val="2D659A"/>
          <w:szCs w:val="20"/>
          <w:lang w:val="en-US"/>
        </w:rPr>
        <w:t>-</w:t>
      </w:r>
      <w:r w:rsidRPr="00AE635B">
        <w:rPr>
          <w:rFonts w:ascii="Verdana" w:eastAsia="Century Gothic" w:hAnsi="Verdana"/>
          <w:color w:val="2D659A"/>
          <w:szCs w:val="20"/>
          <w:lang w:val="en-US"/>
        </w:rPr>
        <w:tab/>
        <w:t>The proportion of investments in the financial product funding taxonomy eligible activities should be disclosed by the investee companies;</w:t>
      </w:r>
    </w:p>
    <w:p w14:paraId="0111CEBE" w14:textId="77777777" w:rsidR="001E5DFD" w:rsidRPr="00AE635B" w:rsidRDefault="001E5DFD" w:rsidP="001E5DFD">
      <w:pPr>
        <w:ind w:left="720"/>
        <w:jc w:val="both"/>
        <w:rPr>
          <w:rFonts w:ascii="Verdana" w:eastAsia="Century Gothic" w:hAnsi="Verdana"/>
          <w:color w:val="2D659A"/>
          <w:szCs w:val="20"/>
          <w:lang w:val="en-US"/>
        </w:rPr>
      </w:pPr>
      <w:r w:rsidRPr="00AE635B">
        <w:rPr>
          <w:rFonts w:ascii="Verdana" w:eastAsia="Century Gothic" w:hAnsi="Verdana"/>
          <w:color w:val="2D659A"/>
          <w:szCs w:val="20"/>
          <w:lang w:val="en-US"/>
        </w:rPr>
        <w:t xml:space="preserve"> </w:t>
      </w:r>
    </w:p>
    <w:p w14:paraId="2334F83C" w14:textId="77777777" w:rsidR="001E5DFD" w:rsidRPr="00AE635B" w:rsidRDefault="001E5DFD" w:rsidP="001E5DFD">
      <w:pPr>
        <w:ind w:left="720"/>
        <w:jc w:val="both"/>
        <w:rPr>
          <w:rFonts w:ascii="Verdana" w:eastAsia="Century Gothic" w:hAnsi="Verdana"/>
          <w:color w:val="2D659A"/>
          <w:szCs w:val="20"/>
          <w:lang w:val="en-US"/>
        </w:rPr>
      </w:pPr>
      <w:r w:rsidRPr="00AE635B">
        <w:rPr>
          <w:rFonts w:ascii="Verdana" w:eastAsia="Century Gothic" w:hAnsi="Verdana"/>
          <w:color w:val="2D659A"/>
          <w:szCs w:val="20"/>
          <w:lang w:val="en-US"/>
        </w:rPr>
        <w:t>We share the concerns regarding to most of the mentioned difficulties. We would however expect to see some form of solving these difficulties, rather than passing them on to the FMP’s and FA’s, resulting in amongst others legal uncertainty.</w:t>
      </w:r>
    </w:p>
    <w:p w14:paraId="4223EBE4" w14:textId="77777777" w:rsidR="001E5DFD" w:rsidRPr="00D34E5C" w:rsidRDefault="001E5DFD" w:rsidP="001E5DFD">
      <w:pPr>
        <w:spacing w:after="160" w:line="259" w:lineRule="auto"/>
        <w:jc w:val="both"/>
        <w:rPr>
          <w:rFonts w:ascii="Verdana" w:eastAsia="Century Gothic" w:hAnsi="Verdana"/>
          <w:b/>
          <w:bCs/>
          <w:color w:val="2D659A"/>
          <w:szCs w:val="20"/>
        </w:rPr>
      </w:pPr>
      <w:r w:rsidRPr="00D34E5C">
        <w:rPr>
          <w:rFonts w:ascii="Verdana" w:eastAsia="Century Gothic" w:hAnsi="Verdana"/>
          <w:b/>
          <w:bCs/>
          <w:color w:val="2D659A"/>
          <w:szCs w:val="20"/>
        </w:rPr>
        <w:br w:type="page"/>
      </w:r>
    </w:p>
    <w:p w14:paraId="771D63DA" w14:textId="77777777" w:rsidR="001E5DFD" w:rsidRPr="00D34E5C" w:rsidRDefault="001E5DFD" w:rsidP="001E5DFD">
      <w:pPr>
        <w:suppressAutoHyphens/>
        <w:spacing w:after="120"/>
        <w:jc w:val="both"/>
        <w:rPr>
          <w:rFonts w:ascii="Verdana" w:eastAsia="Century Gothic" w:hAnsi="Verdana"/>
          <w:b/>
          <w:bCs/>
          <w:color w:val="2D659A"/>
          <w:szCs w:val="20"/>
          <w:u w:val="single"/>
        </w:rPr>
      </w:pPr>
      <w:r w:rsidRPr="00D34E5C">
        <w:rPr>
          <w:rFonts w:ascii="Verdana" w:eastAsia="Century Gothic" w:hAnsi="Verdana"/>
          <w:b/>
          <w:bCs/>
          <w:color w:val="2D659A"/>
          <w:szCs w:val="20"/>
          <w:u w:val="single"/>
        </w:rPr>
        <w:lastRenderedPageBreak/>
        <w:t>II - TECHNICAL REMARKS</w:t>
      </w:r>
    </w:p>
    <w:p w14:paraId="3D8C986F" w14:textId="77777777" w:rsidR="001E5DFD" w:rsidRPr="00D34E5C" w:rsidRDefault="001E5DFD" w:rsidP="001E5DFD">
      <w:pPr>
        <w:suppressAutoHyphens/>
        <w:spacing w:after="120"/>
        <w:jc w:val="both"/>
        <w:rPr>
          <w:rFonts w:ascii="Verdana" w:eastAsia="Century Gothic" w:hAnsi="Verdana"/>
          <w:b/>
          <w:bCs/>
          <w:color w:val="2D659A"/>
          <w:szCs w:val="20"/>
          <w:u w:val="single"/>
        </w:rPr>
      </w:pPr>
    </w:p>
    <w:p w14:paraId="55C0A613" w14:textId="77777777" w:rsidR="001E5DFD" w:rsidRPr="00D34E5C" w:rsidRDefault="001E5DFD" w:rsidP="001E5DFD">
      <w:pPr>
        <w:suppressAutoHyphens/>
        <w:spacing w:after="120"/>
        <w:jc w:val="both"/>
        <w:rPr>
          <w:rFonts w:ascii="Verdana" w:eastAsia="Century Gothic" w:hAnsi="Verdana"/>
          <w:b/>
          <w:bCs/>
          <w:color w:val="2D659A"/>
          <w:szCs w:val="20"/>
          <w:u w:val="single"/>
        </w:rPr>
      </w:pPr>
      <w:r w:rsidRPr="00D34E5C">
        <w:rPr>
          <w:rFonts w:ascii="Verdana" w:eastAsia="Century Gothic" w:hAnsi="Verdana"/>
          <w:b/>
          <w:bCs/>
          <w:color w:val="2D659A"/>
          <w:szCs w:val="20"/>
          <w:u w:val="single"/>
        </w:rPr>
        <w:t>Table 1. Summary</w:t>
      </w:r>
    </w:p>
    <w:p w14:paraId="5AB0193E" w14:textId="77777777" w:rsidR="001E5DFD" w:rsidRPr="00D34E5C" w:rsidRDefault="001E5DFD" w:rsidP="001E5DFD">
      <w:pPr>
        <w:suppressAutoHyphens/>
        <w:spacing w:after="120"/>
        <w:jc w:val="both"/>
        <w:rPr>
          <w:rFonts w:ascii="Verdana" w:eastAsia="Century Gothic" w:hAnsi="Verdana"/>
          <w:b/>
          <w:bCs/>
          <w:color w:val="2D659A"/>
          <w:szCs w:val="20"/>
          <w:u w:val="single"/>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178"/>
        <w:gridCol w:w="3178"/>
      </w:tblGrid>
      <w:tr w:rsidR="001E5DFD" w:rsidRPr="00D34E5C" w14:paraId="3884757A" w14:textId="77777777" w:rsidTr="001E5DFD">
        <w:trPr>
          <w:trHeight w:val="738"/>
        </w:trPr>
        <w:tc>
          <w:tcPr>
            <w:tcW w:w="3178" w:type="dxa"/>
            <w:shd w:val="clear" w:color="auto" w:fill="002060"/>
          </w:tcPr>
          <w:p w14:paraId="30C54068" w14:textId="77777777" w:rsidR="001E5DFD" w:rsidRPr="00E041F6" w:rsidRDefault="001E5DFD" w:rsidP="001E5DFD">
            <w:pPr>
              <w:suppressAutoHyphens/>
              <w:spacing w:after="120"/>
              <w:jc w:val="center"/>
              <w:rPr>
                <w:rFonts w:ascii="Verdana" w:eastAsia="Century Gothic" w:hAnsi="Verdana"/>
                <w:b/>
                <w:bCs/>
                <w:outline/>
                <w:color w:val="000000" w:themeColor="text1"/>
                <w:szCs w:val="20"/>
                <w:u w:val="single"/>
                <w14:textOutline w14:w="9525" w14:cap="rnd" w14:cmpd="sng" w14:algn="ctr">
                  <w14:noFill/>
                  <w14:prstDash w14:val="solid"/>
                  <w14:bevel/>
                </w14:textOutline>
              </w:rPr>
            </w:pPr>
            <w:r w:rsidRPr="00E041F6">
              <w:rPr>
                <w:rFonts w:ascii="Verdana" w:eastAsia="Century Gothic" w:hAnsi="Verdana"/>
                <w:b/>
                <w:bCs/>
                <w:outline/>
                <w:color w:val="000000" w:themeColor="text1"/>
                <w:szCs w:val="20"/>
                <w:u w:val="single"/>
                <w14:textOutline w14:w="9525" w14:cap="rnd" w14:cmpd="sng" w14:algn="ctr">
                  <w14:noFill/>
                  <w14:prstDash w14:val="solid"/>
                  <w14:bevel/>
                </w14:textOutline>
              </w:rPr>
              <w:t>Article</w:t>
            </w:r>
          </w:p>
        </w:tc>
        <w:tc>
          <w:tcPr>
            <w:tcW w:w="3178" w:type="dxa"/>
            <w:shd w:val="clear" w:color="auto" w:fill="002060"/>
          </w:tcPr>
          <w:p w14:paraId="1A44AA4E" w14:textId="77777777" w:rsidR="001E5DFD" w:rsidRPr="00E041F6" w:rsidRDefault="001E5DFD" w:rsidP="001E5DFD">
            <w:pPr>
              <w:suppressAutoHyphens/>
              <w:spacing w:after="120"/>
              <w:jc w:val="center"/>
              <w:rPr>
                <w:rFonts w:ascii="Verdana" w:eastAsia="Century Gothic" w:hAnsi="Verdana"/>
                <w:b/>
                <w:bCs/>
                <w:color w:val="000000" w:themeColor="text1"/>
                <w:szCs w:val="20"/>
                <w:u w:val="single"/>
              </w:rPr>
            </w:pPr>
            <w:r w:rsidRPr="00E041F6">
              <w:rPr>
                <w:rFonts w:ascii="Verdana" w:eastAsia="Century Gothic" w:hAnsi="Verdana"/>
                <w:b/>
                <w:bCs/>
                <w:color w:val="000000" w:themeColor="text1"/>
                <w:szCs w:val="20"/>
                <w:u w:val="single"/>
              </w:rPr>
              <w:t>Issue</w:t>
            </w:r>
          </w:p>
        </w:tc>
        <w:tc>
          <w:tcPr>
            <w:tcW w:w="3178" w:type="dxa"/>
            <w:shd w:val="clear" w:color="auto" w:fill="002060"/>
          </w:tcPr>
          <w:p w14:paraId="5746219D" w14:textId="77777777" w:rsidR="001E5DFD" w:rsidRPr="00E041F6" w:rsidRDefault="001E5DFD" w:rsidP="001E5DFD">
            <w:pPr>
              <w:suppressAutoHyphens/>
              <w:spacing w:after="120"/>
              <w:jc w:val="center"/>
              <w:rPr>
                <w:rFonts w:ascii="Verdana" w:eastAsia="Century Gothic" w:hAnsi="Verdana"/>
                <w:b/>
                <w:bCs/>
                <w:color w:val="000000" w:themeColor="text1"/>
                <w:szCs w:val="20"/>
                <w:u w:val="single"/>
              </w:rPr>
            </w:pPr>
            <w:r w:rsidRPr="00E041F6">
              <w:rPr>
                <w:rFonts w:ascii="Verdana" w:eastAsia="Century Gothic" w:hAnsi="Verdana"/>
                <w:b/>
                <w:bCs/>
                <w:color w:val="000000" w:themeColor="text1"/>
                <w:szCs w:val="20"/>
                <w:u w:val="single"/>
              </w:rPr>
              <w:t>Solution</w:t>
            </w:r>
          </w:p>
        </w:tc>
      </w:tr>
      <w:tr w:rsidR="001E5DFD" w:rsidRPr="00D34E5C" w14:paraId="28EBB0E9" w14:textId="77777777" w:rsidTr="001E5DFD">
        <w:trPr>
          <w:trHeight w:val="620"/>
        </w:trPr>
        <w:tc>
          <w:tcPr>
            <w:tcW w:w="3178" w:type="dxa"/>
            <w:shd w:val="clear" w:color="auto" w:fill="2F5496"/>
          </w:tcPr>
          <w:p w14:paraId="4C9BA34F" w14:textId="77777777" w:rsidR="001E5DFD" w:rsidRPr="00E041F6" w:rsidRDefault="001E5DFD" w:rsidP="001E5DFD">
            <w:pPr>
              <w:suppressAutoHyphens/>
              <w:spacing w:after="120"/>
              <w:jc w:val="both"/>
              <w:rPr>
                <w:rFonts w:ascii="Verdana" w:eastAsia="Century Gothic" w:hAnsi="Verdana"/>
                <w:b/>
                <w:bCs/>
                <w:outline/>
                <w:szCs w:val="20"/>
                <w:lang w:val="en-US"/>
                <w14:textOutline w14:w="9525" w14:cap="rnd" w14:cmpd="sng" w14:algn="ctr">
                  <w14:noFill/>
                  <w14:prstDash w14:val="solid"/>
                  <w14:bevel/>
                </w14:textOutline>
              </w:rPr>
            </w:pPr>
            <w:r w:rsidRPr="00E041F6">
              <w:rPr>
                <w:rFonts w:ascii="Verdana" w:eastAsia="Century Gothic" w:hAnsi="Verdana"/>
                <w:b/>
                <w:bCs/>
                <w:outline/>
                <w:szCs w:val="20"/>
                <w:lang w:val="en-US"/>
                <w14:textOutline w14:w="9525" w14:cap="rnd" w14:cmpd="sng" w14:algn="ctr">
                  <w14:noFill/>
                  <w14:prstDash w14:val="solid"/>
                  <w14:bevel/>
                </w14:textOutline>
              </w:rPr>
              <w:t>Level 1 Article 2(17)</w:t>
            </w:r>
          </w:p>
          <w:p w14:paraId="09D4ED50" w14:textId="77777777" w:rsidR="001E5DFD" w:rsidRPr="00E041F6" w:rsidRDefault="001E5DFD" w:rsidP="001E5DFD">
            <w:pPr>
              <w:suppressAutoHyphens/>
              <w:spacing w:after="120"/>
              <w:jc w:val="both"/>
              <w:rPr>
                <w:rFonts w:ascii="Verdana" w:eastAsia="Century Gothic" w:hAnsi="Verdana"/>
                <w:outline/>
                <w:szCs w:val="20"/>
                <w14:textOutline w14:w="9525" w14:cap="rnd" w14:cmpd="sng" w14:algn="ctr">
                  <w14:noFill/>
                  <w14:prstDash w14:val="solid"/>
                  <w14:bevel/>
                </w14:textOutline>
              </w:rPr>
            </w:pPr>
            <w:r w:rsidRPr="00E041F6">
              <w:rPr>
                <w:rFonts w:ascii="Verdana" w:eastAsia="Century Gothic" w:hAnsi="Verdana"/>
                <w:outline/>
                <w:szCs w:val="20"/>
                <w14:textOutline w14:w="9525" w14:cap="rnd" w14:cmpd="sng" w14:algn="ctr">
                  <w14:noFill/>
                  <w14:prstDash w14:val="solid"/>
                  <w14:bevel/>
                </w14:textOutline>
              </w:rPr>
              <w:t>(Not for consultation)</w:t>
            </w:r>
          </w:p>
        </w:tc>
        <w:tc>
          <w:tcPr>
            <w:tcW w:w="3178" w:type="dxa"/>
            <w:shd w:val="clear" w:color="auto" w:fill="B4C6E7"/>
          </w:tcPr>
          <w:p w14:paraId="48A0C0D9"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Non alignment with taxonomy (i.e. environmental objectives and DNSH-criteria)</w:t>
            </w:r>
          </w:p>
        </w:tc>
        <w:tc>
          <w:tcPr>
            <w:tcW w:w="3178" w:type="dxa"/>
            <w:shd w:val="clear" w:color="auto" w:fill="D9E2F3"/>
          </w:tcPr>
          <w:p w14:paraId="5A1313CE" w14:textId="77777777" w:rsidR="001E5DFD" w:rsidRPr="00D34E5C" w:rsidRDefault="001E5DFD" w:rsidP="001E5DFD">
            <w:pPr>
              <w:suppressAutoHyphens/>
              <w:spacing w:after="120"/>
              <w:jc w:val="both"/>
              <w:rPr>
                <w:rFonts w:ascii="Verdana" w:eastAsia="Century Gothic" w:hAnsi="Verdana"/>
                <w:color w:val="2D659A"/>
                <w:szCs w:val="20"/>
              </w:rPr>
            </w:pPr>
          </w:p>
        </w:tc>
      </w:tr>
      <w:tr w:rsidR="001E5DFD" w:rsidRPr="00D34E5C" w14:paraId="4EE41573" w14:textId="77777777" w:rsidTr="001E5DFD">
        <w:trPr>
          <w:trHeight w:val="738"/>
        </w:trPr>
        <w:tc>
          <w:tcPr>
            <w:tcW w:w="3178" w:type="dxa"/>
            <w:shd w:val="clear" w:color="auto" w:fill="2F5496"/>
          </w:tcPr>
          <w:p w14:paraId="74EEA3C6" w14:textId="77777777" w:rsidR="001E5DFD" w:rsidRPr="00E041F6" w:rsidRDefault="001E5DFD" w:rsidP="001E5DFD">
            <w:pPr>
              <w:suppressAutoHyphens/>
              <w:spacing w:after="120"/>
              <w:jc w:val="both"/>
              <w:rPr>
                <w:rFonts w:ascii="Verdana" w:eastAsia="Century Gothic" w:hAnsi="Verdana"/>
                <w:outline/>
                <w:szCs w:val="20"/>
                <w:lang w:val="en-US"/>
                <w14:textOutline w14:w="9525" w14:cap="rnd" w14:cmpd="sng" w14:algn="ctr">
                  <w14:noFill/>
                  <w14:prstDash w14:val="solid"/>
                  <w14:bevel/>
                </w14:textOutline>
              </w:rPr>
            </w:pPr>
            <w:r w:rsidRPr="00E041F6">
              <w:rPr>
                <w:rFonts w:ascii="Verdana" w:eastAsia="Century Gothic" w:hAnsi="Verdana"/>
                <w:b/>
                <w:bCs/>
                <w:outline/>
                <w:szCs w:val="20"/>
                <w:lang w:val="en-US"/>
                <w14:textOutline w14:w="9525" w14:cap="rnd" w14:cmpd="sng" w14:algn="ctr">
                  <w14:noFill/>
                  <w14:prstDash w14:val="solid"/>
                  <w14:bevel/>
                </w14:textOutline>
              </w:rPr>
              <w:t>Level 1 Definition of Article 2 (22)</w:t>
            </w:r>
            <w:r w:rsidRPr="00E041F6">
              <w:rPr>
                <w:rFonts w:ascii="Verdana" w:eastAsia="Century Gothic" w:hAnsi="Verdana"/>
                <w:outline/>
                <w:szCs w:val="20"/>
                <w:lang w:val="en-US"/>
                <w14:textOutline w14:w="9525" w14:cap="rnd" w14:cmpd="sng" w14:algn="ctr">
                  <w14:noFill/>
                  <w14:prstDash w14:val="solid"/>
                  <w14:bevel/>
                </w14:textOutline>
              </w:rPr>
              <w:t xml:space="preserve"> </w:t>
            </w:r>
          </w:p>
          <w:p w14:paraId="020DC790" w14:textId="77777777" w:rsidR="001E5DFD" w:rsidRPr="00E041F6" w:rsidRDefault="001E5DFD" w:rsidP="001E5DFD">
            <w:pPr>
              <w:suppressAutoHyphens/>
              <w:spacing w:after="120"/>
              <w:jc w:val="both"/>
              <w:rPr>
                <w:rFonts w:ascii="Verdana" w:eastAsia="Century Gothic" w:hAnsi="Verdana"/>
                <w:b/>
                <w:bCs/>
                <w:outline/>
                <w:szCs w:val="20"/>
                <w:u w:val="single"/>
                <w14:textOutline w14:w="9525" w14:cap="rnd" w14:cmpd="sng" w14:algn="ctr">
                  <w14:noFill/>
                  <w14:prstDash w14:val="solid"/>
                  <w14:bevel/>
                </w14:textOutline>
              </w:rPr>
            </w:pPr>
            <w:r w:rsidRPr="00E041F6">
              <w:rPr>
                <w:rFonts w:ascii="Verdana" w:eastAsia="Century Gothic" w:hAnsi="Verdana"/>
                <w:outline/>
                <w:szCs w:val="20"/>
                <w:u w:val="single"/>
                <w14:textOutline w14:w="9525" w14:cap="rnd" w14:cmpd="sng" w14:algn="ctr">
                  <w14:noFill/>
                  <w14:prstDash w14:val="solid"/>
                  <w14:bevel/>
                </w14:textOutline>
              </w:rPr>
              <w:t>(Not for consultation)</w:t>
            </w:r>
          </w:p>
        </w:tc>
        <w:tc>
          <w:tcPr>
            <w:tcW w:w="3178" w:type="dxa"/>
            <w:shd w:val="clear" w:color="auto" w:fill="B4C6E7"/>
          </w:tcPr>
          <w:p w14:paraId="65AD90B0"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Unclear definition </w:t>
            </w:r>
          </w:p>
        </w:tc>
        <w:tc>
          <w:tcPr>
            <w:tcW w:w="3178" w:type="dxa"/>
            <w:shd w:val="clear" w:color="auto" w:fill="D9E2F3"/>
          </w:tcPr>
          <w:p w14:paraId="4E94A4AD" w14:textId="77777777" w:rsidR="001E5DFD" w:rsidRDefault="001E5DFD" w:rsidP="001E5DFD">
            <w:pPr>
              <w:jc w:val="both"/>
              <w:rPr>
                <w:rFonts w:ascii="Verdana" w:eastAsia="Century Gothic" w:hAnsi="Verdana"/>
                <w:color w:val="2D659A"/>
                <w:szCs w:val="20"/>
              </w:rPr>
            </w:pPr>
            <w:r w:rsidRPr="00C26EEE">
              <w:rPr>
                <w:rFonts w:ascii="Verdana" w:eastAsia="Century Gothic" w:hAnsi="Verdana"/>
                <w:color w:val="2D659A"/>
                <w:szCs w:val="20"/>
              </w:rPr>
              <w:t xml:space="preserve">Drastically reduce table one. </w:t>
            </w:r>
          </w:p>
          <w:p w14:paraId="377E718A" w14:textId="77777777" w:rsidR="001E5DFD" w:rsidRDefault="001E5DFD" w:rsidP="001E5DFD">
            <w:pPr>
              <w:jc w:val="both"/>
              <w:rPr>
                <w:rFonts w:ascii="Verdana" w:eastAsia="Century Gothic" w:hAnsi="Verdana"/>
                <w:color w:val="2D659A"/>
                <w:szCs w:val="20"/>
              </w:rPr>
            </w:pPr>
          </w:p>
          <w:p w14:paraId="08D69C2B" w14:textId="77777777" w:rsidR="001E5DFD" w:rsidRPr="00C26EEE" w:rsidRDefault="001E5DFD" w:rsidP="001E5DFD">
            <w:pPr>
              <w:jc w:val="both"/>
              <w:rPr>
                <w:rFonts w:ascii="Verdana" w:eastAsia="Century Gothic" w:hAnsi="Verdana"/>
                <w:color w:val="2D659A"/>
                <w:szCs w:val="20"/>
              </w:rPr>
            </w:pPr>
            <w:r w:rsidRPr="00C26EEE">
              <w:rPr>
                <w:rFonts w:ascii="Verdana" w:eastAsia="Century Gothic" w:hAnsi="Verdana"/>
                <w:color w:val="2D659A"/>
                <w:szCs w:val="20"/>
              </w:rPr>
              <w:t xml:space="preserve">Focus on:  </w:t>
            </w:r>
          </w:p>
          <w:p w14:paraId="2C31D9B7" w14:textId="77777777" w:rsidR="001E5DFD" w:rsidRPr="00C26EEE" w:rsidRDefault="001E5DFD" w:rsidP="001313EE">
            <w:pPr>
              <w:numPr>
                <w:ilvl w:val="0"/>
                <w:numId w:val="48"/>
              </w:numPr>
              <w:spacing w:line="240" w:lineRule="exact"/>
              <w:jc w:val="both"/>
              <w:rPr>
                <w:rFonts w:ascii="Verdana" w:eastAsia="Century Gothic" w:hAnsi="Verdana"/>
                <w:color w:val="2D659A"/>
                <w:szCs w:val="20"/>
              </w:rPr>
            </w:pPr>
            <w:r w:rsidRPr="00C26EEE">
              <w:rPr>
                <w:rFonts w:ascii="Verdana" w:eastAsia="Century Gothic" w:hAnsi="Verdana"/>
                <w:color w:val="2D659A"/>
                <w:szCs w:val="20"/>
              </w:rPr>
              <w:t>material demonstrated relationship between indicator at firm-level and real world impact</w:t>
            </w:r>
          </w:p>
          <w:p w14:paraId="0F7A0EE2" w14:textId="77777777" w:rsidR="001E5DFD" w:rsidRPr="00C26EEE" w:rsidRDefault="001E5DFD" w:rsidP="001313EE">
            <w:pPr>
              <w:numPr>
                <w:ilvl w:val="0"/>
                <w:numId w:val="48"/>
              </w:numPr>
              <w:spacing w:line="240" w:lineRule="exact"/>
              <w:jc w:val="both"/>
              <w:rPr>
                <w:rFonts w:ascii="Verdana" w:eastAsia="Century Gothic" w:hAnsi="Verdana"/>
                <w:color w:val="2D659A"/>
                <w:szCs w:val="20"/>
              </w:rPr>
            </w:pPr>
            <w:r w:rsidRPr="00C26EEE">
              <w:rPr>
                <w:rFonts w:ascii="Verdana" w:eastAsia="Century Gothic" w:hAnsi="Verdana"/>
                <w:color w:val="2D659A"/>
                <w:szCs w:val="20"/>
              </w:rPr>
              <w:t>available data</w:t>
            </w:r>
          </w:p>
          <w:p w14:paraId="5899BFEE" w14:textId="77777777" w:rsidR="001E5DFD" w:rsidRPr="00C26EEE" w:rsidRDefault="001E5DFD" w:rsidP="001313EE">
            <w:pPr>
              <w:numPr>
                <w:ilvl w:val="0"/>
                <w:numId w:val="48"/>
              </w:numPr>
              <w:spacing w:line="240" w:lineRule="exact"/>
              <w:jc w:val="both"/>
              <w:rPr>
                <w:rFonts w:ascii="Verdana" w:eastAsia="Century Gothic" w:hAnsi="Verdana"/>
                <w:color w:val="2D659A"/>
                <w:szCs w:val="20"/>
              </w:rPr>
            </w:pPr>
            <w:r w:rsidRPr="00C26EEE">
              <w:rPr>
                <w:rFonts w:ascii="Verdana" w:eastAsia="Century Gothic" w:hAnsi="Verdana"/>
                <w:color w:val="2D659A"/>
                <w:szCs w:val="20"/>
              </w:rPr>
              <w:t>available standardised methodology</w:t>
            </w:r>
          </w:p>
          <w:p w14:paraId="1D64E069" w14:textId="77777777" w:rsidR="001E5DFD" w:rsidRPr="00C26EEE" w:rsidRDefault="001E5DFD" w:rsidP="001313EE">
            <w:pPr>
              <w:numPr>
                <w:ilvl w:val="0"/>
                <w:numId w:val="48"/>
              </w:numPr>
              <w:spacing w:line="240" w:lineRule="exact"/>
              <w:jc w:val="both"/>
              <w:rPr>
                <w:rFonts w:ascii="Verdana" w:eastAsia="Century Gothic" w:hAnsi="Verdana"/>
                <w:color w:val="2D659A"/>
                <w:szCs w:val="20"/>
              </w:rPr>
            </w:pPr>
            <w:r w:rsidRPr="00C26EEE">
              <w:rPr>
                <w:rFonts w:ascii="Verdana" w:eastAsia="Century Gothic" w:hAnsi="Verdana"/>
                <w:color w:val="2D659A"/>
                <w:szCs w:val="20"/>
              </w:rPr>
              <w:t xml:space="preserve">available methodology to aggregate performance </w:t>
            </w:r>
          </w:p>
          <w:p w14:paraId="4201D28B" w14:textId="77777777" w:rsidR="001E5DFD" w:rsidRDefault="001E5DFD" w:rsidP="001E5DFD">
            <w:pPr>
              <w:suppressAutoHyphens/>
              <w:spacing w:after="120"/>
              <w:jc w:val="both"/>
              <w:rPr>
                <w:rFonts w:ascii="Verdana" w:eastAsia="Century Gothic" w:hAnsi="Verdana"/>
                <w:color w:val="2D659A"/>
                <w:szCs w:val="20"/>
              </w:rPr>
            </w:pPr>
          </w:p>
          <w:p w14:paraId="5AF6F363" w14:textId="77777777" w:rsidR="001E5DFD" w:rsidRPr="00D34E5C" w:rsidRDefault="001E5DFD" w:rsidP="001E5DFD">
            <w:pPr>
              <w:suppressAutoHyphens/>
              <w:spacing w:after="120"/>
              <w:jc w:val="both"/>
              <w:rPr>
                <w:rFonts w:ascii="Verdana" w:eastAsia="Century Gothic" w:hAnsi="Verdana"/>
                <w:color w:val="2D659A"/>
                <w:szCs w:val="20"/>
              </w:rPr>
            </w:pPr>
            <w:r w:rsidRPr="00C26EEE">
              <w:rPr>
                <w:rFonts w:ascii="Verdana" w:eastAsia="Century Gothic" w:hAnsi="Verdana"/>
                <w:color w:val="2D659A"/>
                <w:szCs w:val="20"/>
              </w:rPr>
              <w:t>Possibly: phased in approach</w:t>
            </w:r>
            <w:r>
              <w:rPr>
                <w:rFonts w:ascii="Verdana" w:eastAsia="Century Gothic" w:hAnsi="Verdana"/>
                <w:color w:val="2D659A"/>
                <w:szCs w:val="20"/>
              </w:rPr>
              <w:t xml:space="preserve"> of indicators</w:t>
            </w:r>
          </w:p>
        </w:tc>
      </w:tr>
      <w:tr w:rsidR="001E5DFD" w:rsidRPr="00D34E5C" w14:paraId="090E7E53" w14:textId="77777777" w:rsidTr="001E5DFD">
        <w:trPr>
          <w:trHeight w:val="738"/>
        </w:trPr>
        <w:tc>
          <w:tcPr>
            <w:tcW w:w="3178" w:type="dxa"/>
            <w:tcBorders>
              <w:bottom w:val="single" w:sz="4" w:space="0" w:color="auto"/>
            </w:tcBorders>
            <w:shd w:val="clear" w:color="auto" w:fill="2F5496"/>
          </w:tcPr>
          <w:p w14:paraId="1F17B99E" w14:textId="77777777" w:rsidR="001E5DFD" w:rsidRPr="00E041F6" w:rsidRDefault="001E5DFD" w:rsidP="001E5DFD">
            <w:pPr>
              <w:spacing w:after="120"/>
              <w:contextualSpacing/>
              <w:jc w:val="both"/>
              <w:rPr>
                <w:rFonts w:ascii="Verdana" w:eastAsia="Century Gothic" w:hAnsi="Verdana"/>
                <w:b/>
                <w:bCs/>
                <w:outline/>
                <w:szCs w:val="20"/>
                <w:lang w:val="en-US"/>
                <w14:textOutline w14:w="9525" w14:cap="rnd" w14:cmpd="sng" w14:algn="ctr">
                  <w14:noFill/>
                  <w14:prstDash w14:val="solid"/>
                  <w14:bevel/>
                </w14:textOutline>
              </w:rPr>
            </w:pPr>
            <w:r w:rsidRPr="00E041F6">
              <w:rPr>
                <w:rFonts w:ascii="Verdana" w:eastAsia="Century Gothic" w:hAnsi="Verdana"/>
                <w:b/>
                <w:bCs/>
                <w:outline/>
                <w:szCs w:val="20"/>
                <w:lang w:val="en-US"/>
                <w14:textOutline w14:w="9525" w14:cap="rnd" w14:cmpd="sng" w14:algn="ctr">
                  <w14:noFill/>
                  <w14:prstDash w14:val="solid"/>
                  <w14:bevel/>
                </w14:textOutline>
              </w:rPr>
              <w:t>Definition/Scope of Level 1 Art. 6-9</w:t>
            </w:r>
          </w:p>
          <w:p w14:paraId="6C3897E5" w14:textId="77777777" w:rsidR="001E5DFD" w:rsidRPr="00E041F6" w:rsidRDefault="001E5DFD" w:rsidP="001E5DFD">
            <w:pPr>
              <w:suppressAutoHyphens/>
              <w:spacing w:after="120"/>
              <w:jc w:val="both"/>
              <w:rPr>
                <w:rFonts w:ascii="Verdana" w:eastAsia="Century Gothic" w:hAnsi="Verdana"/>
                <w:b/>
                <w:bCs/>
                <w:outline/>
                <w:szCs w:val="20"/>
                <w:u w:val="single"/>
                <w14:textOutline w14:w="9525" w14:cap="rnd" w14:cmpd="sng" w14:algn="ctr">
                  <w14:noFill/>
                  <w14:prstDash w14:val="solid"/>
                  <w14:bevel/>
                </w14:textOutline>
              </w:rPr>
            </w:pPr>
            <w:r w:rsidRPr="00E041F6">
              <w:rPr>
                <w:rFonts w:ascii="Verdana" w:eastAsia="Century Gothic" w:hAnsi="Verdana"/>
                <w:outline/>
                <w:szCs w:val="20"/>
                <w:u w:val="single"/>
                <w14:textOutline w14:w="9525" w14:cap="rnd" w14:cmpd="sng" w14:algn="ctr">
                  <w14:noFill/>
                  <w14:prstDash w14:val="solid"/>
                  <w14:bevel/>
                </w14:textOutline>
              </w:rPr>
              <w:t>(Not for consultation)</w:t>
            </w:r>
          </w:p>
        </w:tc>
        <w:tc>
          <w:tcPr>
            <w:tcW w:w="3178" w:type="dxa"/>
            <w:tcBorders>
              <w:bottom w:val="single" w:sz="4" w:space="0" w:color="auto"/>
            </w:tcBorders>
            <w:shd w:val="clear" w:color="auto" w:fill="B4C6E7"/>
          </w:tcPr>
          <w:p w14:paraId="5228208E"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Specific issues regarding tailor made managed portfolios</w:t>
            </w:r>
          </w:p>
        </w:tc>
        <w:tc>
          <w:tcPr>
            <w:tcW w:w="3178" w:type="dxa"/>
            <w:tcBorders>
              <w:bottom w:val="single" w:sz="4" w:space="0" w:color="auto"/>
            </w:tcBorders>
            <w:shd w:val="clear" w:color="auto" w:fill="D9E2F3"/>
          </w:tcPr>
          <w:p w14:paraId="6875C4DF" w14:textId="77777777" w:rsidR="001E5DFD" w:rsidRPr="00D34E5C" w:rsidRDefault="001E5DFD" w:rsidP="001E5DFD">
            <w:pPr>
              <w:suppressAutoHyphens/>
              <w:spacing w:after="120"/>
              <w:jc w:val="both"/>
              <w:rPr>
                <w:rFonts w:ascii="Verdana" w:eastAsia="Century Gothic" w:hAnsi="Verdana"/>
                <w:color w:val="2D659A"/>
                <w:szCs w:val="20"/>
              </w:rPr>
            </w:pPr>
            <w:r w:rsidRPr="00C26EEE">
              <w:rPr>
                <w:rFonts w:ascii="Verdana" w:eastAsia="Century Gothic" w:hAnsi="Verdana"/>
                <w:color w:val="2D659A"/>
                <w:szCs w:val="20"/>
              </w:rPr>
              <w:t>Clarification of definition</w:t>
            </w:r>
          </w:p>
        </w:tc>
      </w:tr>
      <w:tr w:rsidR="001E5DFD" w:rsidRPr="00D34E5C" w14:paraId="03D7115E" w14:textId="77777777" w:rsidTr="001E5DFD">
        <w:trPr>
          <w:trHeight w:val="738"/>
        </w:trPr>
        <w:tc>
          <w:tcPr>
            <w:tcW w:w="3178" w:type="dxa"/>
            <w:tcBorders>
              <w:bottom w:val="single" w:sz="4" w:space="0" w:color="auto"/>
            </w:tcBorders>
            <w:shd w:val="clear" w:color="auto" w:fill="2F5496"/>
          </w:tcPr>
          <w:p w14:paraId="0C10EB6E" w14:textId="77777777" w:rsidR="001E5DFD" w:rsidRPr="00E041F6" w:rsidRDefault="001E5DFD" w:rsidP="001E5DFD">
            <w:pPr>
              <w:suppressAutoHyphens/>
              <w:spacing w:after="120"/>
              <w:jc w:val="both"/>
              <w:rPr>
                <w:rFonts w:ascii="Verdana" w:eastAsia="Century Gothic" w:hAnsi="Verdana"/>
                <w:b/>
                <w:bCs/>
                <w:outline/>
                <w:szCs w:val="20"/>
                <w:lang w:val="en-US"/>
                <w14:textOutline w14:w="9525" w14:cap="rnd" w14:cmpd="sng" w14:algn="ctr">
                  <w14:noFill/>
                  <w14:prstDash w14:val="solid"/>
                  <w14:bevel/>
                </w14:textOutline>
              </w:rPr>
            </w:pPr>
            <w:r w:rsidRPr="00E041F6">
              <w:rPr>
                <w:rFonts w:ascii="Verdana" w:eastAsia="Century Gothic" w:hAnsi="Verdana"/>
                <w:b/>
                <w:bCs/>
                <w:outline/>
                <w:szCs w:val="20"/>
                <w:lang w:val="en-US"/>
                <w14:textOutline w14:w="9525" w14:cap="rnd" w14:cmpd="sng" w14:algn="ctr">
                  <w14:noFill/>
                  <w14:prstDash w14:val="solid"/>
                  <w14:bevel/>
                </w14:textOutline>
              </w:rPr>
              <w:t>Definition of Article 8 and Article 9 products</w:t>
            </w:r>
          </w:p>
          <w:p w14:paraId="0024940F" w14:textId="77777777" w:rsidR="001E5DFD" w:rsidRPr="00E041F6" w:rsidRDefault="001E5DFD" w:rsidP="001E5DFD">
            <w:pPr>
              <w:suppressAutoHyphens/>
              <w:spacing w:after="120"/>
              <w:jc w:val="both"/>
              <w:rPr>
                <w:rFonts w:ascii="Verdana" w:eastAsia="Century Gothic" w:hAnsi="Verdana"/>
                <w:outline/>
                <w:szCs w:val="20"/>
                <w:u w:val="single"/>
                <w14:textOutline w14:w="9525" w14:cap="rnd" w14:cmpd="sng" w14:algn="ctr">
                  <w14:noFill/>
                  <w14:prstDash w14:val="solid"/>
                  <w14:bevel/>
                </w14:textOutline>
              </w:rPr>
            </w:pPr>
            <w:r w:rsidRPr="00E041F6">
              <w:rPr>
                <w:rFonts w:ascii="Verdana" w:eastAsia="Century Gothic" w:hAnsi="Verdana"/>
                <w:outline/>
                <w:szCs w:val="20"/>
                <w:u w:val="single"/>
                <w14:textOutline w14:w="9525" w14:cap="rnd" w14:cmpd="sng" w14:algn="ctr">
                  <w14:noFill/>
                  <w14:prstDash w14:val="solid"/>
                  <w14:bevel/>
                </w14:textOutline>
              </w:rPr>
              <w:t>(for consultation on level 2)</w:t>
            </w:r>
          </w:p>
        </w:tc>
        <w:tc>
          <w:tcPr>
            <w:tcW w:w="3178" w:type="dxa"/>
            <w:tcBorders>
              <w:bottom w:val="single" w:sz="4" w:space="0" w:color="auto"/>
            </w:tcBorders>
            <w:shd w:val="clear" w:color="auto" w:fill="B4C6E7"/>
          </w:tcPr>
          <w:p w14:paraId="1650C6AA"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Unclear definition </w:t>
            </w:r>
          </w:p>
        </w:tc>
        <w:tc>
          <w:tcPr>
            <w:tcW w:w="3178" w:type="dxa"/>
            <w:tcBorders>
              <w:bottom w:val="single" w:sz="4" w:space="0" w:color="auto"/>
            </w:tcBorders>
            <w:shd w:val="clear" w:color="auto" w:fill="D9E2F3"/>
          </w:tcPr>
          <w:p w14:paraId="33E2189D"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Clarification on definitions of SFDR art. 8 and art. 9 ‘products’ or MiFID ‘instruments’</w:t>
            </w:r>
          </w:p>
        </w:tc>
      </w:tr>
      <w:tr w:rsidR="001E5DFD" w:rsidRPr="00D34E5C" w14:paraId="224E3AA0" w14:textId="77777777" w:rsidTr="001E5DFD">
        <w:trPr>
          <w:trHeight w:val="70"/>
        </w:trPr>
        <w:tc>
          <w:tcPr>
            <w:tcW w:w="3178" w:type="dxa"/>
            <w:tcBorders>
              <w:top w:val="single" w:sz="4" w:space="0" w:color="auto"/>
              <w:left w:val="nil"/>
              <w:bottom w:val="single" w:sz="4" w:space="0" w:color="auto"/>
              <w:right w:val="nil"/>
            </w:tcBorders>
            <w:shd w:val="clear" w:color="auto" w:fill="FFFFFF"/>
          </w:tcPr>
          <w:p w14:paraId="6CC1F007" w14:textId="77777777" w:rsidR="001E5DFD" w:rsidRPr="00E041F6" w:rsidRDefault="001E5DFD" w:rsidP="001E5DFD">
            <w:pPr>
              <w:suppressAutoHyphens/>
              <w:spacing w:after="120"/>
              <w:jc w:val="both"/>
              <w:rPr>
                <w:rFonts w:ascii="Verdana" w:eastAsia="Century Gothic" w:hAnsi="Verdana"/>
                <w:b/>
                <w:bCs/>
                <w:szCs w:val="20"/>
                <w:u w:val="single"/>
                <w14:textOutline w14:w="9525" w14:cap="rnd" w14:cmpd="sng" w14:algn="ctr">
                  <w14:noFill/>
                  <w14:prstDash w14:val="solid"/>
                  <w14:bevel/>
                </w14:textOutline>
              </w:rPr>
            </w:pPr>
          </w:p>
        </w:tc>
        <w:tc>
          <w:tcPr>
            <w:tcW w:w="3178" w:type="dxa"/>
            <w:tcBorders>
              <w:top w:val="single" w:sz="4" w:space="0" w:color="auto"/>
              <w:left w:val="nil"/>
              <w:bottom w:val="single" w:sz="4" w:space="0" w:color="auto"/>
              <w:right w:val="nil"/>
            </w:tcBorders>
            <w:shd w:val="clear" w:color="auto" w:fill="FFFFFF"/>
          </w:tcPr>
          <w:p w14:paraId="6722352D" w14:textId="77777777" w:rsidR="001E5DFD" w:rsidRPr="00D34E5C" w:rsidRDefault="001E5DFD" w:rsidP="001E5DFD">
            <w:pPr>
              <w:suppressAutoHyphens/>
              <w:spacing w:after="120"/>
              <w:jc w:val="both"/>
              <w:rPr>
                <w:rFonts w:ascii="Verdana" w:eastAsia="Century Gothic" w:hAnsi="Verdana"/>
                <w:b/>
                <w:bCs/>
                <w:color w:val="2D659A"/>
                <w:szCs w:val="20"/>
                <w:u w:val="single"/>
              </w:rPr>
            </w:pPr>
          </w:p>
        </w:tc>
        <w:tc>
          <w:tcPr>
            <w:tcW w:w="3178" w:type="dxa"/>
            <w:tcBorders>
              <w:top w:val="single" w:sz="4" w:space="0" w:color="auto"/>
              <w:left w:val="nil"/>
              <w:bottom w:val="single" w:sz="4" w:space="0" w:color="auto"/>
              <w:right w:val="nil"/>
            </w:tcBorders>
            <w:shd w:val="clear" w:color="auto" w:fill="FFFFFF"/>
          </w:tcPr>
          <w:p w14:paraId="265EEA46" w14:textId="77777777" w:rsidR="001E5DFD" w:rsidRPr="00D34E5C" w:rsidRDefault="001E5DFD" w:rsidP="001E5DFD">
            <w:pPr>
              <w:suppressAutoHyphens/>
              <w:spacing w:after="120"/>
              <w:jc w:val="both"/>
              <w:rPr>
                <w:rFonts w:ascii="Verdana" w:eastAsia="Century Gothic" w:hAnsi="Verdana"/>
                <w:b/>
                <w:bCs/>
                <w:color w:val="2D659A"/>
                <w:szCs w:val="20"/>
                <w:u w:val="single"/>
              </w:rPr>
            </w:pPr>
          </w:p>
        </w:tc>
      </w:tr>
      <w:tr w:rsidR="001E5DFD" w:rsidRPr="00D34E5C" w14:paraId="545DDD1C" w14:textId="77777777" w:rsidTr="001E5DFD">
        <w:trPr>
          <w:trHeight w:val="738"/>
        </w:trPr>
        <w:tc>
          <w:tcPr>
            <w:tcW w:w="3178" w:type="dxa"/>
            <w:tcBorders>
              <w:top w:val="single" w:sz="4" w:space="0" w:color="auto"/>
            </w:tcBorders>
            <w:shd w:val="clear" w:color="auto" w:fill="002060"/>
          </w:tcPr>
          <w:p w14:paraId="2E2BD2A2" w14:textId="77777777" w:rsidR="001E5DFD" w:rsidRPr="00E041F6" w:rsidRDefault="001E5DFD" w:rsidP="001E5DFD">
            <w:pPr>
              <w:suppressAutoHyphens/>
              <w:spacing w:after="120"/>
              <w:jc w:val="center"/>
              <w:rPr>
                <w:rFonts w:ascii="Verdana" w:eastAsia="Century Gothic" w:hAnsi="Verdana"/>
                <w:b/>
                <w:bCs/>
                <w:outline/>
                <w:szCs w:val="20"/>
                <w:u w:val="single"/>
                <w14:textOutline w14:w="9525" w14:cap="rnd" w14:cmpd="sng" w14:algn="ctr">
                  <w14:noFill/>
                  <w14:prstDash w14:val="solid"/>
                  <w14:bevel/>
                </w14:textOutline>
              </w:rPr>
            </w:pPr>
            <w:r w:rsidRPr="00E041F6">
              <w:rPr>
                <w:rFonts w:ascii="Verdana" w:eastAsia="Century Gothic" w:hAnsi="Verdana"/>
                <w:b/>
                <w:bCs/>
                <w:outline/>
                <w:szCs w:val="20"/>
                <w:u w:val="single"/>
                <w14:textOutline w14:w="9525" w14:cap="rnd" w14:cmpd="sng" w14:algn="ctr">
                  <w14:noFill/>
                  <w14:prstDash w14:val="solid"/>
                  <w14:bevel/>
                </w14:textOutline>
              </w:rPr>
              <w:t>Article</w:t>
            </w:r>
          </w:p>
        </w:tc>
        <w:tc>
          <w:tcPr>
            <w:tcW w:w="3178" w:type="dxa"/>
            <w:tcBorders>
              <w:top w:val="single" w:sz="4" w:space="0" w:color="auto"/>
            </w:tcBorders>
            <w:shd w:val="clear" w:color="auto" w:fill="002060"/>
          </w:tcPr>
          <w:p w14:paraId="623C67C4" w14:textId="77777777" w:rsidR="001E5DFD" w:rsidRPr="00D34E5C" w:rsidRDefault="001E5DFD" w:rsidP="001E5DFD">
            <w:pPr>
              <w:suppressAutoHyphens/>
              <w:spacing w:after="120"/>
              <w:jc w:val="center"/>
              <w:rPr>
                <w:rFonts w:ascii="Verdana" w:eastAsia="Century Gothic" w:hAnsi="Verdana"/>
                <w:b/>
                <w:bCs/>
                <w:color w:val="FFFFFF"/>
                <w:szCs w:val="20"/>
                <w:u w:val="single"/>
              </w:rPr>
            </w:pPr>
            <w:r w:rsidRPr="00D34E5C">
              <w:rPr>
                <w:rFonts w:ascii="Verdana" w:eastAsia="Century Gothic" w:hAnsi="Verdana"/>
                <w:b/>
                <w:bCs/>
                <w:color w:val="FFFFFF"/>
                <w:szCs w:val="20"/>
                <w:u w:val="single"/>
              </w:rPr>
              <w:t>Isssue</w:t>
            </w:r>
          </w:p>
        </w:tc>
        <w:tc>
          <w:tcPr>
            <w:tcW w:w="3178" w:type="dxa"/>
            <w:tcBorders>
              <w:top w:val="single" w:sz="4" w:space="0" w:color="auto"/>
            </w:tcBorders>
            <w:shd w:val="clear" w:color="auto" w:fill="002060"/>
          </w:tcPr>
          <w:p w14:paraId="4265BF04" w14:textId="77777777" w:rsidR="001E5DFD" w:rsidRPr="00D34E5C" w:rsidRDefault="001E5DFD" w:rsidP="001E5DFD">
            <w:pPr>
              <w:suppressAutoHyphens/>
              <w:spacing w:after="120"/>
              <w:jc w:val="center"/>
              <w:rPr>
                <w:rFonts w:ascii="Verdana" w:eastAsia="Century Gothic" w:hAnsi="Verdana"/>
                <w:b/>
                <w:bCs/>
                <w:color w:val="FFFFFF"/>
                <w:szCs w:val="20"/>
                <w:u w:val="single"/>
              </w:rPr>
            </w:pPr>
            <w:r w:rsidRPr="00D34E5C">
              <w:rPr>
                <w:rFonts w:ascii="Verdana" w:eastAsia="Century Gothic" w:hAnsi="Verdana"/>
                <w:b/>
                <w:bCs/>
                <w:color w:val="FFFFFF"/>
                <w:szCs w:val="20"/>
                <w:u w:val="single"/>
              </w:rPr>
              <w:t>Solution</w:t>
            </w:r>
          </w:p>
        </w:tc>
      </w:tr>
      <w:tr w:rsidR="001E5DFD" w:rsidRPr="00D34E5C" w14:paraId="1434FD83" w14:textId="77777777" w:rsidTr="001E5DFD">
        <w:trPr>
          <w:trHeight w:val="605"/>
        </w:trPr>
        <w:tc>
          <w:tcPr>
            <w:tcW w:w="3178" w:type="dxa"/>
            <w:shd w:val="clear" w:color="auto" w:fill="2F5496"/>
          </w:tcPr>
          <w:p w14:paraId="2FF86127" w14:textId="77777777" w:rsidR="001E5DFD" w:rsidRPr="00E041F6" w:rsidRDefault="001E5DFD" w:rsidP="001E5DFD">
            <w:pPr>
              <w:suppressAutoHyphens/>
              <w:spacing w:after="120"/>
              <w:jc w:val="both"/>
              <w:rPr>
                <w:rFonts w:ascii="Verdana" w:eastAsia="Century Gothic" w:hAnsi="Verdana"/>
                <w:b/>
                <w:bCs/>
                <w:outline/>
                <w:szCs w:val="20"/>
                <w:u w:val="single"/>
                <w14:textOutline w14:w="9525" w14:cap="rnd" w14:cmpd="sng" w14:algn="ctr">
                  <w14:noFill/>
                  <w14:prstDash w14:val="solid"/>
                  <w14:bevel/>
                </w14:textOutline>
              </w:rPr>
            </w:pPr>
            <w:r w:rsidRPr="00E041F6">
              <w:rPr>
                <w:rFonts w:ascii="Verdana" w:eastAsia="Century Gothic" w:hAnsi="Verdana"/>
                <w:b/>
                <w:bCs/>
                <w:outline/>
                <w:szCs w:val="20"/>
                <w:lang w:val="en-US"/>
                <w14:textOutline w14:w="9525" w14:cap="rnd" w14:cmpd="sng" w14:algn="ctr">
                  <w14:noFill/>
                  <w14:prstDash w14:val="solid"/>
                  <w14:bevel/>
                </w14:textOutline>
              </w:rPr>
              <w:t>Level 2 Article 1.</w:t>
            </w:r>
          </w:p>
        </w:tc>
        <w:tc>
          <w:tcPr>
            <w:tcW w:w="3178" w:type="dxa"/>
            <w:shd w:val="clear" w:color="auto" w:fill="B4C6E7"/>
          </w:tcPr>
          <w:p w14:paraId="66B3D0CF" w14:textId="77777777" w:rsidR="001E5DFD" w:rsidRPr="00D34E5C" w:rsidRDefault="001E5DFD" w:rsidP="001E5DFD">
            <w:pPr>
              <w:suppressAutoHyphens/>
              <w:spacing w:after="120"/>
              <w:jc w:val="both"/>
              <w:rPr>
                <w:rFonts w:ascii="Verdana" w:eastAsia="Century Gothic" w:hAnsi="Verdana"/>
                <w:b/>
                <w:bCs/>
                <w:color w:val="2D659A"/>
                <w:szCs w:val="20"/>
                <w:u w:val="single"/>
              </w:rPr>
            </w:pPr>
            <w:r w:rsidRPr="00D34E5C">
              <w:rPr>
                <w:rFonts w:ascii="Verdana" w:eastAsia="Century Gothic" w:hAnsi="Verdana"/>
                <w:color w:val="2D659A"/>
                <w:szCs w:val="20"/>
                <w:lang w:val="en-US"/>
              </w:rPr>
              <w:t>Narrow interpretation of "fossil fuel”</w:t>
            </w:r>
          </w:p>
        </w:tc>
        <w:tc>
          <w:tcPr>
            <w:tcW w:w="3178" w:type="dxa"/>
            <w:shd w:val="clear" w:color="auto" w:fill="D9E2F3"/>
          </w:tcPr>
          <w:p w14:paraId="1B5E8585" w14:textId="77777777" w:rsidR="001E5DFD" w:rsidRPr="00D34E5C" w:rsidRDefault="001E5DFD" w:rsidP="001E5DFD">
            <w:pPr>
              <w:suppressAutoHyphens/>
              <w:spacing w:after="120"/>
              <w:jc w:val="both"/>
              <w:rPr>
                <w:rFonts w:ascii="Verdana" w:eastAsia="Century Gothic" w:hAnsi="Verdana"/>
                <w:b/>
                <w:bCs/>
                <w:color w:val="2D659A"/>
                <w:szCs w:val="20"/>
                <w:u w:val="single"/>
              </w:rPr>
            </w:pPr>
            <w:r w:rsidRPr="00D34E5C">
              <w:rPr>
                <w:rFonts w:ascii="Verdana" w:eastAsia="Century Gothic" w:hAnsi="Verdana"/>
                <w:color w:val="2D659A"/>
                <w:szCs w:val="20"/>
                <w:lang w:val="en-US"/>
              </w:rPr>
              <w:t>Follow the definition by Eurostat</w:t>
            </w:r>
          </w:p>
        </w:tc>
      </w:tr>
      <w:tr w:rsidR="001E5DFD" w:rsidRPr="00D34E5C" w14:paraId="76C73A0F" w14:textId="77777777" w:rsidTr="001E5DFD">
        <w:trPr>
          <w:trHeight w:val="738"/>
        </w:trPr>
        <w:tc>
          <w:tcPr>
            <w:tcW w:w="3178" w:type="dxa"/>
            <w:shd w:val="clear" w:color="auto" w:fill="2F5496"/>
          </w:tcPr>
          <w:p w14:paraId="4FEE34EC" w14:textId="77777777" w:rsidR="001E5DFD" w:rsidRPr="00E041F6" w:rsidRDefault="001E5DFD" w:rsidP="001E5DFD">
            <w:pPr>
              <w:suppressAutoHyphens/>
              <w:spacing w:after="120"/>
              <w:jc w:val="both"/>
              <w:rPr>
                <w:rFonts w:ascii="Verdana" w:eastAsia="Century Gothic" w:hAnsi="Verdana"/>
                <w:b/>
                <w:bCs/>
                <w:outline/>
                <w:szCs w:val="20"/>
                <w:lang w:val="en-US"/>
                <w14:textOutline w14:w="9525" w14:cap="rnd" w14:cmpd="sng" w14:algn="ctr">
                  <w14:noFill/>
                  <w14:prstDash w14:val="solid"/>
                  <w14:bevel/>
                </w14:textOutline>
              </w:rPr>
            </w:pPr>
            <w:r w:rsidRPr="00E041F6">
              <w:rPr>
                <w:rFonts w:ascii="Verdana" w:eastAsia="Century Gothic" w:hAnsi="Verdana"/>
                <w:b/>
                <w:bCs/>
                <w:outline/>
                <w:szCs w:val="20"/>
                <w:lang w:val="en-US"/>
                <w14:textOutline w14:w="9525" w14:cap="rnd" w14:cmpd="sng" w14:algn="ctr">
                  <w14:noFill/>
                  <w14:prstDash w14:val="solid"/>
                  <w14:bevel/>
                </w14:textOutline>
              </w:rPr>
              <w:t>Level 2 Article 4 (referring to SFDR art. 4)</w:t>
            </w:r>
          </w:p>
          <w:p w14:paraId="007133A1" w14:textId="77777777" w:rsidR="001E5DFD" w:rsidRPr="00E041F6" w:rsidRDefault="001E5DFD" w:rsidP="001E5DFD">
            <w:pPr>
              <w:suppressAutoHyphens/>
              <w:spacing w:after="120"/>
              <w:jc w:val="both"/>
              <w:rPr>
                <w:rFonts w:ascii="Verdana" w:eastAsia="Century Gothic" w:hAnsi="Verdana"/>
                <w:b/>
                <w:bCs/>
                <w:outline/>
                <w:szCs w:val="20"/>
                <w:u w:val="single"/>
                <w14:textOutline w14:w="9525" w14:cap="rnd" w14:cmpd="sng" w14:algn="ctr">
                  <w14:noFill/>
                  <w14:prstDash w14:val="solid"/>
                  <w14:bevel/>
                </w14:textOutline>
              </w:rPr>
            </w:pPr>
          </w:p>
        </w:tc>
        <w:tc>
          <w:tcPr>
            <w:tcW w:w="3178" w:type="dxa"/>
            <w:shd w:val="clear" w:color="auto" w:fill="B4C6E7"/>
          </w:tcPr>
          <w:p w14:paraId="11D65E90"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Table 1: non-alignement with level 1, data issue, always considering PAI’s</w:t>
            </w:r>
          </w:p>
        </w:tc>
        <w:tc>
          <w:tcPr>
            <w:tcW w:w="3178" w:type="dxa"/>
            <w:shd w:val="clear" w:color="auto" w:fill="D9E2F3"/>
          </w:tcPr>
          <w:p w14:paraId="67F68132"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Drastically reduce table one. Focus on 1) material and 2) available data. Possibly: phased in approach</w:t>
            </w:r>
          </w:p>
        </w:tc>
      </w:tr>
      <w:tr w:rsidR="001E5DFD" w:rsidRPr="00D34E5C" w14:paraId="00A9D2CE" w14:textId="77777777" w:rsidTr="001E5DFD">
        <w:trPr>
          <w:trHeight w:val="738"/>
        </w:trPr>
        <w:tc>
          <w:tcPr>
            <w:tcW w:w="3178" w:type="dxa"/>
            <w:shd w:val="clear" w:color="auto" w:fill="2F5496"/>
          </w:tcPr>
          <w:p w14:paraId="540B4058" w14:textId="77777777" w:rsidR="001E5DFD" w:rsidRPr="00E041F6" w:rsidRDefault="001E5DFD" w:rsidP="001E5DFD">
            <w:pPr>
              <w:suppressAutoHyphens/>
              <w:spacing w:after="120"/>
              <w:jc w:val="both"/>
              <w:rPr>
                <w:rFonts w:ascii="Verdana" w:eastAsia="Century Gothic" w:hAnsi="Verdana"/>
                <w:b/>
                <w:bCs/>
                <w:outline/>
                <w:szCs w:val="20"/>
                <w:lang w:val="en-US"/>
                <w14:textOutline w14:w="9525" w14:cap="rnd" w14:cmpd="sng" w14:algn="ctr">
                  <w14:noFill/>
                  <w14:prstDash w14:val="solid"/>
                  <w14:bevel/>
                </w14:textOutline>
              </w:rPr>
            </w:pPr>
            <w:r w:rsidRPr="00E041F6">
              <w:rPr>
                <w:rFonts w:ascii="Verdana" w:eastAsia="Century Gothic" w:hAnsi="Verdana"/>
                <w:b/>
                <w:bCs/>
                <w:outline/>
                <w:szCs w:val="20"/>
                <w:lang w:val="en-US"/>
                <w14:textOutline w14:w="9525" w14:cap="rnd" w14:cmpd="sng" w14:algn="ctr">
                  <w14:noFill/>
                  <w14:prstDash w14:val="solid"/>
                  <w14:bevel/>
                </w14:textOutline>
              </w:rPr>
              <w:lastRenderedPageBreak/>
              <w:t>Level 2 Article 5</w:t>
            </w:r>
          </w:p>
          <w:p w14:paraId="4EB04337" w14:textId="77777777" w:rsidR="001E5DFD" w:rsidRPr="00E041F6" w:rsidRDefault="001E5DFD" w:rsidP="001E5DFD">
            <w:pPr>
              <w:suppressAutoHyphens/>
              <w:spacing w:after="120"/>
              <w:jc w:val="both"/>
              <w:rPr>
                <w:rFonts w:ascii="Verdana" w:eastAsia="Century Gothic" w:hAnsi="Verdana"/>
                <w:b/>
                <w:bCs/>
                <w:outline/>
                <w:szCs w:val="20"/>
                <w:u w:val="single"/>
                <w14:textOutline w14:w="9525" w14:cap="rnd" w14:cmpd="sng" w14:algn="ctr">
                  <w14:noFill/>
                  <w14:prstDash w14:val="solid"/>
                  <w14:bevel/>
                </w14:textOutline>
              </w:rPr>
            </w:pPr>
          </w:p>
        </w:tc>
        <w:tc>
          <w:tcPr>
            <w:tcW w:w="3178" w:type="dxa"/>
            <w:shd w:val="clear" w:color="auto" w:fill="B4C6E7"/>
          </w:tcPr>
          <w:p w14:paraId="5B0F6740" w14:textId="77777777" w:rsidR="001E5DFD" w:rsidRPr="00D34E5C" w:rsidRDefault="001E5DFD" w:rsidP="001E5DFD">
            <w:pPr>
              <w:suppressAutoHyphens/>
              <w:spacing w:after="120"/>
              <w:jc w:val="both"/>
              <w:rPr>
                <w:rFonts w:ascii="Verdana" w:eastAsia="Century Gothic" w:hAnsi="Verdana"/>
                <w:b/>
                <w:bCs/>
                <w:color w:val="2D659A"/>
                <w:szCs w:val="20"/>
              </w:rPr>
            </w:pPr>
            <w:r w:rsidRPr="00D34E5C">
              <w:rPr>
                <w:rFonts w:ascii="Verdana" w:eastAsia="Century Gothic" w:hAnsi="Verdana"/>
                <w:color w:val="2D659A"/>
                <w:szCs w:val="20"/>
              </w:rPr>
              <w:t>Unclear definition of ‘</w:t>
            </w:r>
            <w:r w:rsidRPr="00D34E5C">
              <w:rPr>
                <w:rFonts w:ascii="Verdana" w:eastAsia="Century Gothic" w:hAnsi="Verdana"/>
                <w:color w:val="2D659A"/>
                <w:szCs w:val="20"/>
                <w:lang w:val="en-US"/>
              </w:rPr>
              <w:t>language customary in the sphere of international finance’</w:t>
            </w:r>
          </w:p>
        </w:tc>
        <w:tc>
          <w:tcPr>
            <w:tcW w:w="3178" w:type="dxa"/>
            <w:shd w:val="clear" w:color="auto" w:fill="D9E2F3"/>
          </w:tcPr>
          <w:p w14:paraId="78F8ED05" w14:textId="77777777" w:rsidR="001E5DFD" w:rsidRPr="00D34E5C" w:rsidRDefault="001E5DFD" w:rsidP="001E5DFD">
            <w:pPr>
              <w:suppressAutoHyphens/>
              <w:spacing w:after="120"/>
              <w:jc w:val="both"/>
              <w:rPr>
                <w:rFonts w:ascii="Verdana" w:eastAsia="Century Gothic" w:hAnsi="Verdana"/>
                <w:b/>
                <w:bCs/>
                <w:color w:val="2D659A"/>
                <w:szCs w:val="20"/>
                <w:u w:val="single"/>
              </w:rPr>
            </w:pPr>
            <w:r w:rsidRPr="00D34E5C">
              <w:rPr>
                <w:rFonts w:ascii="Verdana" w:eastAsia="Century Gothic" w:hAnsi="Verdana"/>
                <w:color w:val="2D659A"/>
                <w:szCs w:val="20"/>
              </w:rPr>
              <w:t>Clarification of definition</w:t>
            </w:r>
          </w:p>
        </w:tc>
      </w:tr>
      <w:tr w:rsidR="001E5DFD" w:rsidRPr="00D34E5C" w14:paraId="22706E9F" w14:textId="77777777" w:rsidTr="001E5DFD">
        <w:trPr>
          <w:trHeight w:val="455"/>
        </w:trPr>
        <w:tc>
          <w:tcPr>
            <w:tcW w:w="3178" w:type="dxa"/>
            <w:shd w:val="clear" w:color="auto" w:fill="2F5496"/>
          </w:tcPr>
          <w:p w14:paraId="0E08D13A" w14:textId="77777777" w:rsidR="001E5DFD" w:rsidRPr="00E041F6" w:rsidRDefault="001E5DFD" w:rsidP="001E5DFD">
            <w:pPr>
              <w:suppressAutoHyphens/>
              <w:spacing w:after="120"/>
              <w:jc w:val="both"/>
              <w:rPr>
                <w:rFonts w:ascii="Verdana" w:eastAsia="Century Gothic" w:hAnsi="Verdana"/>
                <w:b/>
                <w:bCs/>
                <w:outline/>
                <w:szCs w:val="20"/>
                <w:lang w:val="en-US"/>
                <w14:textOutline w14:w="9525" w14:cap="rnd" w14:cmpd="sng" w14:algn="ctr">
                  <w14:noFill/>
                  <w14:prstDash w14:val="solid"/>
                  <w14:bevel/>
                </w14:textOutline>
              </w:rPr>
            </w:pPr>
            <w:r w:rsidRPr="00E041F6">
              <w:rPr>
                <w:rFonts w:ascii="Verdana" w:eastAsia="Century Gothic" w:hAnsi="Verdana"/>
                <w:b/>
                <w:bCs/>
                <w:outline/>
                <w:szCs w:val="20"/>
                <w:lang w:val="en-US"/>
                <w14:textOutline w14:w="9525" w14:cap="rnd" w14:cmpd="sng" w14:algn="ctr">
                  <w14:noFill/>
                  <w14:prstDash w14:val="solid"/>
                  <w14:bevel/>
                </w14:textOutline>
              </w:rPr>
              <w:t>Level 2 Article 6</w:t>
            </w:r>
          </w:p>
          <w:p w14:paraId="034F4DE1" w14:textId="77777777" w:rsidR="001E5DFD" w:rsidRPr="00E041F6" w:rsidRDefault="001E5DFD" w:rsidP="001E5DFD">
            <w:pPr>
              <w:suppressAutoHyphens/>
              <w:spacing w:after="120"/>
              <w:jc w:val="both"/>
              <w:rPr>
                <w:rFonts w:ascii="Verdana" w:eastAsia="Century Gothic" w:hAnsi="Verdana"/>
                <w:b/>
                <w:bCs/>
                <w:outline/>
                <w:szCs w:val="20"/>
                <w:u w:val="single"/>
                <w14:textOutline w14:w="9525" w14:cap="rnd" w14:cmpd="sng" w14:algn="ctr">
                  <w14:noFill/>
                  <w14:prstDash w14:val="solid"/>
                  <w14:bevel/>
                </w14:textOutline>
              </w:rPr>
            </w:pPr>
          </w:p>
        </w:tc>
        <w:tc>
          <w:tcPr>
            <w:tcW w:w="3178" w:type="dxa"/>
            <w:shd w:val="clear" w:color="auto" w:fill="B4C6E7"/>
          </w:tcPr>
          <w:p w14:paraId="146B6B5F" w14:textId="77777777" w:rsidR="001E5DFD" w:rsidRPr="00D34E5C" w:rsidRDefault="001E5DFD" w:rsidP="001E5DFD">
            <w:pPr>
              <w:suppressAutoHyphens/>
              <w:spacing w:after="120"/>
              <w:jc w:val="both"/>
              <w:rPr>
                <w:rFonts w:ascii="Verdana" w:eastAsia="Century Gothic" w:hAnsi="Verdana"/>
                <w:b/>
                <w:bCs/>
                <w:color w:val="2D659A"/>
                <w:szCs w:val="20"/>
                <w:u w:val="single"/>
              </w:rPr>
            </w:pPr>
            <w:r w:rsidRPr="00D34E5C">
              <w:rPr>
                <w:rFonts w:ascii="Verdana" w:eastAsia="Century Gothic" w:hAnsi="Verdana"/>
                <w:color w:val="2D659A"/>
                <w:szCs w:val="20"/>
                <w:lang w:val="en-US"/>
              </w:rPr>
              <w:t>Historical comparison of principal adverse impact</w:t>
            </w:r>
          </w:p>
        </w:tc>
        <w:tc>
          <w:tcPr>
            <w:tcW w:w="3178" w:type="dxa"/>
            <w:shd w:val="clear" w:color="auto" w:fill="D9E2F3"/>
          </w:tcPr>
          <w:p w14:paraId="7802E74D" w14:textId="77777777" w:rsidR="001E5DFD" w:rsidRPr="00D34E5C" w:rsidRDefault="001E5DFD" w:rsidP="001E5DFD">
            <w:pPr>
              <w:suppressAutoHyphens/>
              <w:spacing w:after="120"/>
              <w:jc w:val="both"/>
              <w:rPr>
                <w:rFonts w:ascii="Verdana" w:eastAsia="Century Gothic" w:hAnsi="Verdana"/>
                <w:b/>
                <w:bCs/>
                <w:color w:val="2D659A"/>
                <w:szCs w:val="20"/>
                <w:u w:val="single"/>
              </w:rPr>
            </w:pPr>
          </w:p>
        </w:tc>
      </w:tr>
      <w:tr w:rsidR="001E5DFD" w:rsidRPr="00D34E5C" w14:paraId="2B78200A" w14:textId="77777777" w:rsidTr="001E5DFD">
        <w:trPr>
          <w:trHeight w:val="738"/>
        </w:trPr>
        <w:tc>
          <w:tcPr>
            <w:tcW w:w="3178" w:type="dxa"/>
            <w:shd w:val="clear" w:color="auto" w:fill="2F5496"/>
          </w:tcPr>
          <w:p w14:paraId="4E508C5F" w14:textId="77777777" w:rsidR="001E5DFD" w:rsidRPr="00E041F6" w:rsidRDefault="001E5DFD" w:rsidP="001E5DFD">
            <w:pPr>
              <w:suppressAutoHyphens/>
              <w:spacing w:after="120"/>
              <w:jc w:val="both"/>
              <w:rPr>
                <w:rFonts w:ascii="Verdana" w:eastAsia="Century Gothic" w:hAnsi="Verdana"/>
                <w:b/>
                <w:bCs/>
                <w:outline/>
                <w:szCs w:val="20"/>
                <w:lang w:val="en-US"/>
                <w14:textOutline w14:w="9525" w14:cap="rnd" w14:cmpd="sng" w14:algn="ctr">
                  <w14:noFill/>
                  <w14:prstDash w14:val="solid"/>
                  <w14:bevel/>
                </w14:textOutline>
              </w:rPr>
            </w:pPr>
            <w:r w:rsidRPr="00E041F6">
              <w:rPr>
                <w:rFonts w:ascii="Verdana" w:eastAsia="Century Gothic" w:hAnsi="Verdana"/>
                <w:b/>
                <w:bCs/>
                <w:outline/>
                <w:szCs w:val="20"/>
                <w:lang w:val="en-US"/>
                <w14:textOutline w14:w="9525" w14:cap="rnd" w14:cmpd="sng" w14:algn="ctr">
                  <w14:noFill/>
                  <w14:prstDash w14:val="solid"/>
                  <w14:bevel/>
                </w14:textOutline>
              </w:rPr>
              <w:t>Level 2 Chapter II-IV (referring to SFDR art. 8-9)</w:t>
            </w:r>
          </w:p>
          <w:p w14:paraId="032604B6" w14:textId="77777777" w:rsidR="001E5DFD" w:rsidRPr="00E041F6" w:rsidRDefault="001E5DFD" w:rsidP="001E5DFD">
            <w:pPr>
              <w:suppressAutoHyphens/>
              <w:spacing w:after="120"/>
              <w:jc w:val="both"/>
              <w:rPr>
                <w:rFonts w:ascii="Verdana" w:eastAsia="Century Gothic" w:hAnsi="Verdana"/>
                <w:b/>
                <w:bCs/>
                <w:outline/>
                <w:szCs w:val="20"/>
                <w:u w:val="single"/>
                <w14:textOutline w14:w="9525" w14:cap="rnd" w14:cmpd="sng" w14:algn="ctr">
                  <w14:noFill/>
                  <w14:prstDash w14:val="solid"/>
                  <w14:bevel/>
                </w14:textOutline>
              </w:rPr>
            </w:pPr>
          </w:p>
        </w:tc>
        <w:tc>
          <w:tcPr>
            <w:tcW w:w="3178" w:type="dxa"/>
            <w:shd w:val="clear" w:color="auto" w:fill="B4C6E7"/>
          </w:tcPr>
          <w:p w14:paraId="648F78AE" w14:textId="77777777" w:rsidR="001E5DFD" w:rsidRPr="00D34E5C" w:rsidRDefault="001E5DFD" w:rsidP="001E5DFD">
            <w:pPr>
              <w:suppressAutoHyphens/>
              <w:spacing w:after="120"/>
              <w:jc w:val="both"/>
              <w:rPr>
                <w:rFonts w:ascii="Verdana" w:eastAsia="Century Gothic" w:hAnsi="Verdana"/>
                <w:b/>
                <w:bCs/>
                <w:color w:val="2D659A"/>
                <w:szCs w:val="20"/>
                <w:u w:val="single"/>
              </w:rPr>
            </w:pPr>
            <w:r w:rsidRPr="00D34E5C">
              <w:rPr>
                <w:rFonts w:ascii="Verdana" w:eastAsia="Century Gothic" w:hAnsi="Verdana"/>
                <w:color w:val="2D659A"/>
                <w:szCs w:val="20"/>
              </w:rPr>
              <w:t xml:space="preserve">Differences between MiFID “financial instrument” versus SFDR “financial product”. Interpretation issues around art. 8/9 products. </w:t>
            </w:r>
          </w:p>
        </w:tc>
        <w:tc>
          <w:tcPr>
            <w:tcW w:w="3178" w:type="dxa"/>
            <w:shd w:val="clear" w:color="auto" w:fill="D9E2F3"/>
          </w:tcPr>
          <w:p w14:paraId="6F159EC0" w14:textId="77777777" w:rsidR="001E5DFD" w:rsidRPr="00D34E5C" w:rsidRDefault="001E5DFD" w:rsidP="001E5DFD">
            <w:pPr>
              <w:suppressAutoHyphens/>
              <w:spacing w:after="120"/>
              <w:jc w:val="both"/>
              <w:rPr>
                <w:rFonts w:ascii="Verdana" w:eastAsia="Century Gothic" w:hAnsi="Verdana"/>
                <w:b/>
                <w:bCs/>
                <w:color w:val="2D659A"/>
                <w:szCs w:val="20"/>
                <w:u w:val="single"/>
              </w:rPr>
            </w:pPr>
          </w:p>
        </w:tc>
      </w:tr>
      <w:tr w:rsidR="001E5DFD" w:rsidRPr="00D34E5C" w14:paraId="383847C6" w14:textId="77777777" w:rsidTr="001E5DFD">
        <w:trPr>
          <w:trHeight w:val="789"/>
        </w:trPr>
        <w:tc>
          <w:tcPr>
            <w:tcW w:w="3178" w:type="dxa"/>
            <w:shd w:val="clear" w:color="auto" w:fill="2F5496"/>
          </w:tcPr>
          <w:p w14:paraId="3A71F5E0" w14:textId="77777777" w:rsidR="001E5DFD" w:rsidRPr="00E041F6" w:rsidRDefault="001E5DFD" w:rsidP="001E5DFD">
            <w:pPr>
              <w:suppressAutoHyphens/>
              <w:spacing w:after="120"/>
              <w:jc w:val="both"/>
              <w:rPr>
                <w:rFonts w:ascii="Verdana" w:eastAsia="Century Gothic" w:hAnsi="Verdana"/>
                <w:b/>
                <w:bCs/>
                <w:outline/>
                <w:szCs w:val="20"/>
                <w:lang w:val="en-US"/>
                <w14:textOutline w14:w="9525" w14:cap="rnd" w14:cmpd="sng" w14:algn="ctr">
                  <w14:noFill/>
                  <w14:prstDash w14:val="solid"/>
                  <w14:bevel/>
                </w14:textOutline>
              </w:rPr>
            </w:pPr>
            <w:r w:rsidRPr="00E041F6">
              <w:rPr>
                <w:rFonts w:ascii="Verdana" w:eastAsia="Century Gothic" w:hAnsi="Verdana"/>
                <w:b/>
                <w:bCs/>
                <w:outline/>
                <w:szCs w:val="20"/>
                <w:lang w:val="en-US"/>
                <w14:textOutline w14:w="9525" w14:cap="rnd" w14:cmpd="sng" w14:algn="ctr">
                  <w14:noFill/>
                  <w14:prstDash w14:val="solid"/>
                  <w14:bevel/>
                </w14:textOutline>
              </w:rPr>
              <w:t>Level 2, Chapter II (‘Table 1’)</w:t>
            </w:r>
          </w:p>
          <w:p w14:paraId="40F26ED6" w14:textId="77777777" w:rsidR="001E5DFD" w:rsidRPr="00E041F6" w:rsidRDefault="001E5DFD" w:rsidP="001E5DFD">
            <w:pPr>
              <w:suppressAutoHyphens/>
              <w:spacing w:after="120"/>
              <w:jc w:val="both"/>
              <w:rPr>
                <w:rFonts w:ascii="Verdana" w:eastAsia="Century Gothic" w:hAnsi="Verdana"/>
                <w:b/>
                <w:bCs/>
                <w:outline/>
                <w:szCs w:val="20"/>
                <w:u w:val="single"/>
                <w14:textOutline w14:w="9525" w14:cap="rnd" w14:cmpd="sng" w14:algn="ctr">
                  <w14:noFill/>
                  <w14:prstDash w14:val="solid"/>
                  <w14:bevel/>
                </w14:textOutline>
              </w:rPr>
            </w:pPr>
          </w:p>
        </w:tc>
        <w:tc>
          <w:tcPr>
            <w:tcW w:w="3178" w:type="dxa"/>
            <w:shd w:val="clear" w:color="auto" w:fill="B4C6E7"/>
          </w:tcPr>
          <w:p w14:paraId="2F92E721" w14:textId="77777777" w:rsidR="001E5DFD" w:rsidRPr="00D34E5C" w:rsidRDefault="001E5DFD" w:rsidP="001E5DFD">
            <w:pPr>
              <w:spacing w:after="120"/>
              <w:contextualSpacing/>
              <w:jc w:val="both"/>
              <w:rPr>
                <w:rFonts w:ascii="Verdana" w:eastAsia="Century Gothic" w:hAnsi="Verdana"/>
                <w:color w:val="2D659A"/>
                <w:szCs w:val="20"/>
              </w:rPr>
            </w:pPr>
            <w:r w:rsidRPr="00D34E5C">
              <w:rPr>
                <w:rFonts w:ascii="Verdana" w:eastAsia="Century Gothic" w:hAnsi="Verdana"/>
                <w:color w:val="2D659A"/>
                <w:szCs w:val="20"/>
                <w:lang w:val="en-US"/>
              </w:rPr>
              <w:t>Non alignment with level 1, non-alignment with international standards</w:t>
            </w:r>
          </w:p>
        </w:tc>
        <w:tc>
          <w:tcPr>
            <w:tcW w:w="3178" w:type="dxa"/>
            <w:shd w:val="clear" w:color="auto" w:fill="D9E2F3"/>
          </w:tcPr>
          <w:p w14:paraId="31B9993B"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Align with international standards as described</w:t>
            </w:r>
          </w:p>
        </w:tc>
      </w:tr>
      <w:tr w:rsidR="001E5DFD" w:rsidRPr="00D34E5C" w14:paraId="6EA1A5F0" w14:textId="77777777" w:rsidTr="001E5DFD">
        <w:trPr>
          <w:trHeight w:val="489"/>
        </w:trPr>
        <w:tc>
          <w:tcPr>
            <w:tcW w:w="3178" w:type="dxa"/>
            <w:shd w:val="clear" w:color="auto" w:fill="2F5496"/>
          </w:tcPr>
          <w:p w14:paraId="62263A83" w14:textId="77777777" w:rsidR="001E5DFD" w:rsidRPr="00E041F6" w:rsidRDefault="001E5DFD" w:rsidP="001E5DFD">
            <w:pPr>
              <w:suppressAutoHyphens/>
              <w:spacing w:after="120"/>
              <w:jc w:val="both"/>
              <w:rPr>
                <w:rFonts w:ascii="Verdana" w:eastAsia="Century Gothic" w:hAnsi="Verdana"/>
                <w:b/>
                <w:bCs/>
                <w:outline/>
                <w:szCs w:val="20"/>
                <w:lang w:val="en-US"/>
                <w14:textOutline w14:w="9525" w14:cap="rnd" w14:cmpd="sng" w14:algn="ctr">
                  <w14:noFill/>
                  <w14:prstDash w14:val="solid"/>
                  <w14:bevel/>
                </w14:textOutline>
              </w:rPr>
            </w:pPr>
            <w:r w:rsidRPr="00E041F6">
              <w:rPr>
                <w:rFonts w:ascii="Verdana" w:eastAsia="Century Gothic" w:hAnsi="Verdana"/>
                <w:b/>
                <w:bCs/>
                <w:outline/>
                <w:szCs w:val="20"/>
                <w:lang w:val="en-US"/>
                <w14:textOutline w14:w="9525" w14:cap="rnd" w14:cmpd="sng" w14:algn="ctr">
                  <w14:noFill/>
                  <w14:prstDash w14:val="solid"/>
                  <w14:bevel/>
                </w14:textOutline>
              </w:rPr>
              <w:t>Level 2 Art. 11</w:t>
            </w:r>
          </w:p>
          <w:p w14:paraId="6F9FADA5" w14:textId="77777777" w:rsidR="001E5DFD" w:rsidRPr="00E041F6" w:rsidRDefault="001E5DFD" w:rsidP="001E5DFD">
            <w:pPr>
              <w:suppressAutoHyphens/>
              <w:spacing w:after="120"/>
              <w:jc w:val="both"/>
              <w:rPr>
                <w:rFonts w:ascii="Verdana" w:eastAsia="Century Gothic" w:hAnsi="Verdana"/>
                <w:b/>
                <w:bCs/>
                <w:outline/>
                <w:szCs w:val="20"/>
                <w:u w:val="single"/>
                <w14:textOutline w14:w="9525" w14:cap="rnd" w14:cmpd="sng" w14:algn="ctr">
                  <w14:noFill/>
                  <w14:prstDash w14:val="solid"/>
                  <w14:bevel/>
                </w14:textOutline>
              </w:rPr>
            </w:pPr>
          </w:p>
        </w:tc>
        <w:tc>
          <w:tcPr>
            <w:tcW w:w="3178" w:type="dxa"/>
            <w:shd w:val="clear" w:color="auto" w:fill="B4C6E7"/>
          </w:tcPr>
          <w:p w14:paraId="5BD58F05"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lang w:val="en-US"/>
              </w:rPr>
              <w:t>Definition of “make available</w:t>
            </w:r>
          </w:p>
        </w:tc>
        <w:tc>
          <w:tcPr>
            <w:tcW w:w="3178" w:type="dxa"/>
            <w:shd w:val="clear" w:color="auto" w:fill="D9E2F3"/>
          </w:tcPr>
          <w:p w14:paraId="2ADCAB3A"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Clarification of definition</w:t>
            </w:r>
          </w:p>
        </w:tc>
      </w:tr>
      <w:tr w:rsidR="001E5DFD" w:rsidRPr="00D34E5C" w14:paraId="2D4BD3E0" w14:textId="77777777" w:rsidTr="001E5DFD">
        <w:trPr>
          <w:trHeight w:val="738"/>
        </w:trPr>
        <w:tc>
          <w:tcPr>
            <w:tcW w:w="3178" w:type="dxa"/>
            <w:shd w:val="clear" w:color="auto" w:fill="2F5496"/>
          </w:tcPr>
          <w:p w14:paraId="4A67C82C" w14:textId="77777777" w:rsidR="001E5DFD" w:rsidRPr="00E041F6" w:rsidRDefault="001E5DFD" w:rsidP="001E5DFD">
            <w:pPr>
              <w:suppressAutoHyphens/>
              <w:spacing w:after="120"/>
              <w:jc w:val="both"/>
              <w:rPr>
                <w:rFonts w:ascii="Verdana" w:eastAsia="Century Gothic" w:hAnsi="Verdana"/>
                <w:outline/>
                <w:szCs w:val="20"/>
                <w:lang w:val="en-US"/>
                <w14:textOutline w14:w="9525" w14:cap="rnd" w14:cmpd="sng" w14:algn="ctr">
                  <w14:noFill/>
                  <w14:prstDash w14:val="solid"/>
                  <w14:bevel/>
                </w14:textOutline>
              </w:rPr>
            </w:pPr>
            <w:r w:rsidRPr="00E041F6">
              <w:rPr>
                <w:rFonts w:ascii="Verdana" w:eastAsia="Century Gothic" w:hAnsi="Verdana"/>
                <w:b/>
                <w:bCs/>
                <w:outline/>
                <w:szCs w:val="20"/>
                <w:lang w:val="en-US"/>
                <w14:textOutline w14:w="9525" w14:cap="rnd" w14:cmpd="sng" w14:algn="ctr">
                  <w14:noFill/>
                  <w14:prstDash w14:val="solid"/>
                  <w14:bevel/>
                </w14:textOutline>
              </w:rPr>
              <w:t>Level 2 Art.  12</w:t>
            </w:r>
          </w:p>
          <w:p w14:paraId="0A770DB0" w14:textId="77777777" w:rsidR="001E5DFD" w:rsidRPr="00E041F6" w:rsidRDefault="001E5DFD" w:rsidP="001E5DFD">
            <w:pPr>
              <w:suppressAutoHyphens/>
              <w:spacing w:after="120"/>
              <w:jc w:val="both"/>
              <w:rPr>
                <w:rFonts w:ascii="Verdana" w:eastAsia="Century Gothic" w:hAnsi="Verdana"/>
                <w:b/>
                <w:bCs/>
                <w:outline/>
                <w:szCs w:val="20"/>
                <w:u w:val="single"/>
                <w14:textOutline w14:w="9525" w14:cap="rnd" w14:cmpd="sng" w14:algn="ctr">
                  <w14:noFill/>
                  <w14:prstDash w14:val="solid"/>
                  <w14:bevel/>
                </w14:textOutline>
              </w:rPr>
            </w:pPr>
          </w:p>
        </w:tc>
        <w:tc>
          <w:tcPr>
            <w:tcW w:w="3178" w:type="dxa"/>
            <w:shd w:val="clear" w:color="auto" w:fill="B4C6E7"/>
          </w:tcPr>
          <w:p w14:paraId="1454DA47"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lang w:val="en-US"/>
              </w:rPr>
              <w:t>Confusion on the scope in terms of financial products</w:t>
            </w:r>
          </w:p>
        </w:tc>
        <w:tc>
          <w:tcPr>
            <w:tcW w:w="3178" w:type="dxa"/>
            <w:shd w:val="clear" w:color="auto" w:fill="D9E2F3"/>
          </w:tcPr>
          <w:p w14:paraId="16469842"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Clarify ‘products’ in scope</w:t>
            </w:r>
          </w:p>
        </w:tc>
      </w:tr>
      <w:tr w:rsidR="001E5DFD" w:rsidRPr="00D34E5C" w14:paraId="1D4D9EE1" w14:textId="77777777" w:rsidTr="001E5DFD">
        <w:trPr>
          <w:trHeight w:val="738"/>
        </w:trPr>
        <w:tc>
          <w:tcPr>
            <w:tcW w:w="3178" w:type="dxa"/>
            <w:shd w:val="clear" w:color="auto" w:fill="2F5496"/>
          </w:tcPr>
          <w:p w14:paraId="510BFF2E" w14:textId="77777777" w:rsidR="001E5DFD" w:rsidRPr="00E041F6" w:rsidRDefault="001E5DFD" w:rsidP="001E5DFD">
            <w:pPr>
              <w:suppressAutoHyphens/>
              <w:spacing w:after="120"/>
              <w:jc w:val="both"/>
              <w:rPr>
                <w:rFonts w:ascii="Verdana" w:eastAsia="Century Gothic" w:hAnsi="Verdana"/>
                <w:b/>
                <w:bCs/>
                <w:outline/>
                <w:szCs w:val="20"/>
                <w:lang w:val="en-US"/>
                <w14:textOutline w14:w="9525" w14:cap="rnd" w14:cmpd="sng" w14:algn="ctr">
                  <w14:noFill/>
                  <w14:prstDash w14:val="solid"/>
                  <w14:bevel/>
                </w14:textOutline>
              </w:rPr>
            </w:pPr>
            <w:r w:rsidRPr="00E041F6">
              <w:rPr>
                <w:rFonts w:ascii="Verdana" w:eastAsia="Century Gothic" w:hAnsi="Verdana"/>
                <w:b/>
                <w:bCs/>
                <w:outline/>
                <w:szCs w:val="20"/>
                <w:lang w:val="en-US"/>
                <w14:textOutline w14:w="9525" w14:cap="rnd" w14:cmpd="sng" w14:algn="ctr">
                  <w14:noFill/>
                  <w14:prstDash w14:val="solid"/>
                  <w14:bevel/>
                </w14:textOutline>
              </w:rPr>
              <w:t>Level 2 Article 14</w:t>
            </w:r>
            <w:r w:rsidRPr="00E041F6">
              <w:rPr>
                <w:rFonts w:ascii="Verdana" w:eastAsia="Century Gothic" w:hAnsi="Verdana"/>
                <w:outline/>
                <w:szCs w:val="20"/>
                <w:lang w:val="en-US"/>
                <w14:textOutline w14:w="9525" w14:cap="rnd" w14:cmpd="sng" w14:algn="ctr">
                  <w14:noFill/>
                  <w14:prstDash w14:val="solid"/>
                  <w14:bevel/>
                </w14:textOutline>
              </w:rPr>
              <w:t xml:space="preserve"> </w:t>
            </w:r>
            <w:r w:rsidRPr="00E041F6">
              <w:rPr>
                <w:rFonts w:ascii="Verdana" w:eastAsia="Century Gothic" w:hAnsi="Verdana"/>
                <w:b/>
                <w:bCs/>
                <w:outline/>
                <w:szCs w:val="20"/>
                <w:lang w:val="en-US"/>
                <w14:textOutline w14:w="9525" w14:cap="rnd" w14:cmpd="sng" w14:algn="ctr">
                  <w14:noFill/>
                  <w14:prstDash w14:val="solid"/>
                  <w14:bevel/>
                </w14:textOutline>
              </w:rPr>
              <w:t>para 1b and Art 16</w:t>
            </w:r>
          </w:p>
          <w:p w14:paraId="54497A80" w14:textId="77777777" w:rsidR="001E5DFD" w:rsidRPr="00E041F6" w:rsidRDefault="001E5DFD" w:rsidP="001E5DFD">
            <w:pPr>
              <w:suppressAutoHyphens/>
              <w:spacing w:after="120"/>
              <w:jc w:val="both"/>
              <w:rPr>
                <w:rFonts w:ascii="Verdana" w:eastAsia="Century Gothic" w:hAnsi="Verdana"/>
                <w:b/>
                <w:bCs/>
                <w:outline/>
                <w:szCs w:val="20"/>
                <w:u w:val="single"/>
                <w14:textOutline w14:w="9525" w14:cap="rnd" w14:cmpd="sng" w14:algn="ctr">
                  <w14:noFill/>
                  <w14:prstDash w14:val="solid"/>
                  <w14:bevel/>
                </w14:textOutline>
              </w:rPr>
            </w:pPr>
          </w:p>
        </w:tc>
        <w:tc>
          <w:tcPr>
            <w:tcW w:w="3178" w:type="dxa"/>
            <w:shd w:val="clear" w:color="auto" w:fill="B4C6E7"/>
          </w:tcPr>
          <w:p w14:paraId="21ED64D5"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lang w:val="en-US"/>
              </w:rPr>
              <w:t>Information to be provided as in art. 16 when “no sustainable investment objective”</w:t>
            </w:r>
          </w:p>
        </w:tc>
        <w:tc>
          <w:tcPr>
            <w:tcW w:w="3178" w:type="dxa"/>
            <w:shd w:val="clear" w:color="auto" w:fill="D9E2F3"/>
          </w:tcPr>
          <w:p w14:paraId="2B41FB2C"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Clarification of requirements</w:t>
            </w:r>
          </w:p>
        </w:tc>
      </w:tr>
      <w:tr w:rsidR="001E5DFD" w:rsidRPr="00D34E5C" w14:paraId="085C00C8" w14:textId="77777777" w:rsidTr="001E5DFD">
        <w:trPr>
          <w:trHeight w:val="738"/>
        </w:trPr>
        <w:tc>
          <w:tcPr>
            <w:tcW w:w="3178" w:type="dxa"/>
            <w:shd w:val="clear" w:color="auto" w:fill="2F5496"/>
          </w:tcPr>
          <w:p w14:paraId="45D4D3B0" w14:textId="77777777" w:rsidR="001E5DFD" w:rsidRPr="00E041F6" w:rsidRDefault="001E5DFD" w:rsidP="001E5DFD">
            <w:pPr>
              <w:suppressAutoHyphens/>
              <w:spacing w:after="120"/>
              <w:jc w:val="both"/>
              <w:rPr>
                <w:rFonts w:ascii="Verdana" w:eastAsia="Century Gothic" w:hAnsi="Verdana"/>
                <w:b/>
                <w:bCs/>
                <w:outline/>
                <w:szCs w:val="20"/>
                <w:lang w:val="en-US"/>
                <w14:textOutline w14:w="9525" w14:cap="rnd" w14:cmpd="sng" w14:algn="ctr">
                  <w14:noFill/>
                  <w14:prstDash w14:val="solid"/>
                  <w14:bevel/>
                </w14:textOutline>
              </w:rPr>
            </w:pPr>
            <w:r w:rsidRPr="00E041F6">
              <w:rPr>
                <w:rFonts w:ascii="Verdana" w:eastAsia="Century Gothic" w:hAnsi="Verdana"/>
                <w:b/>
                <w:bCs/>
                <w:outline/>
                <w:szCs w:val="20"/>
                <w:lang w:val="en-US"/>
                <w14:textOutline w14:w="9525" w14:cap="rnd" w14:cmpd="sng" w14:algn="ctr">
                  <w14:noFill/>
                  <w14:prstDash w14:val="solid"/>
                  <w14:bevel/>
                </w14:textOutline>
              </w:rPr>
              <w:t>Level 2 Article 19</w:t>
            </w:r>
          </w:p>
          <w:p w14:paraId="10C9D863" w14:textId="77777777" w:rsidR="001E5DFD" w:rsidRPr="00E041F6" w:rsidRDefault="001E5DFD" w:rsidP="001E5DFD">
            <w:pPr>
              <w:suppressAutoHyphens/>
              <w:spacing w:after="120"/>
              <w:jc w:val="both"/>
              <w:rPr>
                <w:rFonts w:ascii="Verdana" w:eastAsia="Century Gothic" w:hAnsi="Verdana"/>
                <w:b/>
                <w:bCs/>
                <w:outline/>
                <w:szCs w:val="20"/>
                <w:lang w:val="en-US"/>
                <w14:textOutline w14:w="9525" w14:cap="rnd" w14:cmpd="sng" w14:algn="ctr">
                  <w14:noFill/>
                  <w14:prstDash w14:val="solid"/>
                  <w14:bevel/>
                </w14:textOutline>
              </w:rPr>
            </w:pPr>
          </w:p>
        </w:tc>
        <w:tc>
          <w:tcPr>
            <w:tcW w:w="3178" w:type="dxa"/>
            <w:shd w:val="clear" w:color="auto" w:fill="B4C6E7"/>
          </w:tcPr>
          <w:p w14:paraId="2A7F1273"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lang w:val="en-US"/>
              </w:rPr>
              <w:t>Derivatives</w:t>
            </w:r>
          </w:p>
        </w:tc>
        <w:tc>
          <w:tcPr>
            <w:tcW w:w="3178" w:type="dxa"/>
            <w:shd w:val="clear" w:color="auto" w:fill="D9E2F3"/>
          </w:tcPr>
          <w:p w14:paraId="67F3A05D" w14:textId="77777777" w:rsidR="001E5DFD" w:rsidRPr="00D34E5C" w:rsidRDefault="001E5DFD" w:rsidP="001E5DFD">
            <w:pPr>
              <w:suppressAutoHyphens/>
              <w:spacing w:after="120"/>
              <w:jc w:val="both"/>
              <w:rPr>
                <w:rFonts w:ascii="Verdana" w:eastAsia="Century Gothic" w:hAnsi="Verdana"/>
                <w:color w:val="2D659A"/>
                <w:szCs w:val="20"/>
              </w:rPr>
            </w:pPr>
            <w:r>
              <w:rPr>
                <w:rFonts w:ascii="Verdana" w:eastAsia="Century Gothic" w:hAnsi="Verdana"/>
                <w:color w:val="2D659A"/>
                <w:szCs w:val="20"/>
                <w:lang w:val="en-US"/>
              </w:rPr>
              <w:t>Exclusion of derivatives</w:t>
            </w:r>
          </w:p>
        </w:tc>
      </w:tr>
      <w:tr w:rsidR="001E5DFD" w:rsidRPr="00D34E5C" w14:paraId="68338038" w14:textId="77777777" w:rsidTr="001E5DFD">
        <w:trPr>
          <w:trHeight w:val="738"/>
        </w:trPr>
        <w:tc>
          <w:tcPr>
            <w:tcW w:w="3178" w:type="dxa"/>
            <w:shd w:val="clear" w:color="auto" w:fill="2F5496"/>
          </w:tcPr>
          <w:p w14:paraId="4C96A8D6" w14:textId="77777777" w:rsidR="001E5DFD" w:rsidRPr="00E041F6" w:rsidRDefault="001E5DFD" w:rsidP="001E5DFD">
            <w:pPr>
              <w:suppressAutoHyphens/>
              <w:spacing w:after="120"/>
              <w:jc w:val="both"/>
              <w:rPr>
                <w:rFonts w:ascii="Verdana" w:eastAsia="Century Gothic" w:hAnsi="Verdana"/>
                <w:b/>
                <w:bCs/>
                <w:outline/>
                <w:szCs w:val="20"/>
                <w:lang w:val="en-US"/>
                <w14:textOutline w14:w="9525" w14:cap="rnd" w14:cmpd="sng" w14:algn="ctr">
                  <w14:noFill/>
                  <w14:prstDash w14:val="solid"/>
                  <w14:bevel/>
                </w14:textOutline>
              </w:rPr>
            </w:pPr>
            <w:r w:rsidRPr="00E041F6">
              <w:rPr>
                <w:rFonts w:ascii="Verdana" w:eastAsia="Century Gothic" w:hAnsi="Verdana"/>
                <w:b/>
                <w:outline/>
                <w:szCs w:val="20"/>
                <w:lang w:val="en-US"/>
                <w14:textOutline w14:w="9525" w14:cap="rnd" w14:cmpd="sng" w14:algn="ctr">
                  <w14:noFill/>
                  <w14:prstDash w14:val="solid"/>
                  <w14:bevel/>
                </w14:textOutline>
              </w:rPr>
              <w:t>Level 2 Article 53</w:t>
            </w:r>
          </w:p>
          <w:p w14:paraId="4AD7EBB7" w14:textId="77777777" w:rsidR="001E5DFD" w:rsidRPr="00E041F6" w:rsidRDefault="001E5DFD" w:rsidP="001E5DFD">
            <w:pPr>
              <w:suppressAutoHyphens/>
              <w:spacing w:after="120"/>
              <w:jc w:val="both"/>
              <w:rPr>
                <w:rFonts w:ascii="Verdana" w:eastAsia="Century Gothic" w:hAnsi="Verdana"/>
                <w:b/>
                <w:bCs/>
                <w:outline/>
                <w:szCs w:val="20"/>
                <w:lang w:val="en-US"/>
                <w14:textOutline w14:w="9525" w14:cap="rnd" w14:cmpd="sng" w14:algn="ctr">
                  <w14:noFill/>
                  <w14:prstDash w14:val="solid"/>
                  <w14:bevel/>
                </w14:textOutline>
              </w:rPr>
            </w:pPr>
          </w:p>
        </w:tc>
        <w:tc>
          <w:tcPr>
            <w:tcW w:w="3178" w:type="dxa"/>
            <w:shd w:val="clear" w:color="auto" w:fill="B4C6E7"/>
          </w:tcPr>
          <w:p w14:paraId="587A9A61"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First date of publication</w:t>
            </w:r>
          </w:p>
        </w:tc>
        <w:tc>
          <w:tcPr>
            <w:tcW w:w="3178" w:type="dxa"/>
            <w:shd w:val="clear" w:color="auto" w:fill="D9E2F3"/>
          </w:tcPr>
          <w:p w14:paraId="72815F57"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Change wording, align with taxonomy timelines</w:t>
            </w:r>
          </w:p>
        </w:tc>
      </w:tr>
    </w:tbl>
    <w:p w14:paraId="1ACAC8AD" w14:textId="77777777" w:rsidR="001E5DFD" w:rsidRPr="00D34E5C" w:rsidRDefault="001E5DFD" w:rsidP="001E5DFD">
      <w:pPr>
        <w:suppressAutoHyphens/>
        <w:spacing w:after="120"/>
        <w:jc w:val="both"/>
        <w:rPr>
          <w:rFonts w:ascii="Verdana" w:eastAsia="Century Gothic" w:hAnsi="Verdana"/>
          <w:b/>
          <w:bCs/>
          <w:color w:val="2D659A"/>
          <w:szCs w:val="20"/>
          <w:u w:val="single"/>
        </w:rPr>
      </w:pPr>
    </w:p>
    <w:p w14:paraId="708150A3" w14:textId="77777777" w:rsidR="001E5DFD" w:rsidRPr="00D34E5C" w:rsidRDefault="001E5DFD" w:rsidP="001E5DFD">
      <w:pPr>
        <w:suppressAutoHyphens/>
        <w:spacing w:after="120"/>
        <w:jc w:val="both"/>
        <w:rPr>
          <w:rFonts w:ascii="Verdana" w:eastAsia="Century Gothic" w:hAnsi="Verdana"/>
          <w:b/>
          <w:bCs/>
          <w:color w:val="2D659A"/>
          <w:szCs w:val="20"/>
          <w:u w:val="single"/>
        </w:rPr>
      </w:pPr>
      <w:r w:rsidRPr="00D34E5C">
        <w:rPr>
          <w:rFonts w:ascii="Verdana" w:eastAsia="Century Gothic" w:hAnsi="Verdana"/>
          <w:b/>
          <w:bCs/>
          <w:color w:val="2D659A"/>
          <w:szCs w:val="20"/>
          <w:u w:val="single"/>
        </w:rPr>
        <w:t xml:space="preserve">Level 1 </w:t>
      </w:r>
    </w:p>
    <w:p w14:paraId="2BFF7B78" w14:textId="77777777" w:rsidR="001E5DFD" w:rsidRPr="00C26EEE" w:rsidRDefault="001E5DFD" w:rsidP="001313EE">
      <w:pPr>
        <w:pStyle w:val="ListParagraph"/>
        <w:numPr>
          <w:ilvl w:val="0"/>
          <w:numId w:val="46"/>
        </w:numPr>
        <w:spacing w:after="120"/>
        <w:jc w:val="both"/>
        <w:rPr>
          <w:rFonts w:cs="Arial"/>
          <w:b/>
          <w:szCs w:val="20"/>
          <w:lang w:val="en-US"/>
        </w:rPr>
      </w:pPr>
      <w:r w:rsidRPr="001E5DFD">
        <w:rPr>
          <w:rFonts w:ascii="Verdana" w:eastAsia="Century Gothic" w:hAnsi="Verdana"/>
          <w:b/>
          <w:bCs/>
          <w:color w:val="2D659A"/>
          <w:szCs w:val="20"/>
          <w:lang w:val="en-US"/>
        </w:rPr>
        <w:t xml:space="preserve">Definition of Level 1 Article 2(17) </w:t>
      </w:r>
      <w:r w:rsidRPr="001E5DFD">
        <w:rPr>
          <w:rFonts w:ascii="Verdana" w:eastAsia="Century Gothic" w:hAnsi="Verdana"/>
          <w:color w:val="2D659A"/>
          <w:szCs w:val="20"/>
          <w:lang w:val="en-US"/>
        </w:rPr>
        <w:t>of the Disclosure Regulation defines a sustainable investment as an investment in an economic activity that contributes to an environmental objective or a social objective. Although not for discussion in this RTS CP, we believe it is worth mentioning that such investments must not significantly harm any of those objectives. In addition, companies where money is invested in must follow good governance practices, particularly with respect to sound management structures, employee relations, remuneration of staff and tax compliance. We would like to highlight that the above definition provides examples of what can be considered an environmental objective but, in theory,</w:t>
      </w:r>
      <w:r w:rsidRPr="001E5DFD">
        <w:rPr>
          <w:rFonts w:ascii="Verdana" w:eastAsia="Century Gothic" w:hAnsi="Verdana"/>
          <w:b/>
          <w:bCs/>
          <w:color w:val="2D659A"/>
          <w:szCs w:val="20"/>
          <w:lang w:val="en-US"/>
        </w:rPr>
        <w:t xml:space="preserve"> it is the Delegated Acts of the Taxonomy Regulation, which are yet to be finalised, that will define an environmental objectives in more details. Furthermore, as described under the general issues as well, we would like to see clarifications on the overlap between the Taxonomy’s DNSH-criteria and the Principle Adverse Risk Indicators from the Disclosure Regulation</w:t>
      </w:r>
      <w:r w:rsidRPr="001E5DFD">
        <w:rPr>
          <w:rFonts w:ascii="Verdana" w:eastAsia="Century Gothic" w:hAnsi="Verdana"/>
          <w:color w:val="2D659A"/>
          <w:szCs w:val="20"/>
          <w:lang w:val="en-US"/>
        </w:rPr>
        <w:t xml:space="preserve">. </w:t>
      </w:r>
    </w:p>
    <w:p w14:paraId="033086FC" w14:textId="77777777" w:rsidR="001E5DFD" w:rsidRPr="00C26EEE" w:rsidRDefault="001E5DFD" w:rsidP="001E5DFD">
      <w:pPr>
        <w:pStyle w:val="ListParagraph"/>
        <w:rPr>
          <w:rFonts w:cs="Arial"/>
          <w:szCs w:val="20"/>
          <w:lang w:val="en-US"/>
        </w:rPr>
      </w:pPr>
    </w:p>
    <w:p w14:paraId="77B72399" w14:textId="77777777" w:rsidR="001E5DFD" w:rsidRPr="00C26EEE" w:rsidRDefault="001E5DFD" w:rsidP="001313EE">
      <w:pPr>
        <w:pStyle w:val="ListParagraph"/>
        <w:numPr>
          <w:ilvl w:val="0"/>
          <w:numId w:val="46"/>
        </w:numPr>
        <w:spacing w:after="120"/>
        <w:jc w:val="both"/>
        <w:rPr>
          <w:rFonts w:cs="Arial"/>
          <w:szCs w:val="20"/>
          <w:lang w:val="en-US"/>
        </w:rPr>
      </w:pPr>
      <w:r w:rsidRPr="001E5DFD">
        <w:rPr>
          <w:rFonts w:ascii="Verdana" w:eastAsia="Century Gothic" w:hAnsi="Verdana"/>
          <w:b/>
          <w:bCs/>
          <w:color w:val="2D659A"/>
          <w:szCs w:val="20"/>
          <w:lang w:val="en-US"/>
        </w:rPr>
        <w:lastRenderedPageBreak/>
        <w:t xml:space="preserve">Definition of Level 1 Article 2 (22) </w:t>
      </w:r>
      <w:r w:rsidRPr="001E5DFD">
        <w:rPr>
          <w:rFonts w:ascii="Verdana" w:eastAsia="Century Gothic" w:hAnsi="Verdana"/>
          <w:color w:val="2D659A"/>
          <w:szCs w:val="20"/>
          <w:lang w:val="en-US"/>
        </w:rPr>
        <w:t xml:space="preserve">(Sustainability Risk). Although not for discussion in this RTS CP. </w:t>
      </w:r>
      <w:r w:rsidRPr="001E5DFD">
        <w:rPr>
          <w:rFonts w:ascii="Verdana" w:eastAsia="Century Gothic" w:hAnsi="Verdana"/>
          <w:b/>
          <w:bCs/>
          <w:color w:val="2D659A"/>
          <w:szCs w:val="20"/>
          <w:lang w:val="en-US"/>
        </w:rPr>
        <w:t>The definition of sustainability risk is rather vague and ambiguous as the words “potential negative impact” might lead to different interpretations</w:t>
      </w:r>
      <w:r w:rsidRPr="001E5DFD">
        <w:rPr>
          <w:rFonts w:ascii="Verdana" w:eastAsia="Century Gothic" w:hAnsi="Verdana"/>
          <w:color w:val="2D659A"/>
          <w:szCs w:val="20"/>
          <w:lang w:val="en-US"/>
        </w:rPr>
        <w:t>. This could create confusion for FMP’s who will have to spend more time and resources to assess potential impacts on their investment portfolios. As Recital 14 SFDR mentions this concept is to be specified in sectoral legislation and delegated acts and regulatory technical standards adopted pursuant to it.</w:t>
      </w:r>
    </w:p>
    <w:p w14:paraId="47DD8B50" w14:textId="77777777" w:rsidR="001E5DFD" w:rsidRPr="00D34E5C" w:rsidRDefault="001E5DFD" w:rsidP="001E5DFD">
      <w:pPr>
        <w:spacing w:after="120"/>
        <w:ind w:left="720"/>
        <w:contextualSpacing/>
        <w:jc w:val="both"/>
        <w:rPr>
          <w:rFonts w:ascii="Verdana" w:eastAsia="Century Gothic" w:hAnsi="Verdana"/>
          <w:b/>
          <w:bCs/>
          <w:color w:val="2D659A"/>
          <w:szCs w:val="20"/>
          <w:lang w:val="en-US"/>
        </w:rPr>
      </w:pPr>
    </w:p>
    <w:p w14:paraId="193647AB" w14:textId="77777777" w:rsidR="001E5DFD" w:rsidRPr="00D34E5C" w:rsidRDefault="001E5DFD" w:rsidP="001313EE">
      <w:pPr>
        <w:numPr>
          <w:ilvl w:val="0"/>
          <w:numId w:val="46"/>
        </w:numPr>
        <w:suppressAutoHyphens/>
        <w:spacing w:after="120"/>
        <w:contextualSpacing/>
        <w:jc w:val="both"/>
        <w:rPr>
          <w:rFonts w:ascii="Verdana" w:eastAsia="Century Gothic" w:hAnsi="Verdana"/>
          <w:b/>
          <w:bCs/>
          <w:color w:val="2D659A"/>
          <w:szCs w:val="20"/>
          <w:lang w:val="en-US"/>
        </w:rPr>
      </w:pPr>
      <w:r w:rsidRPr="00D34E5C">
        <w:rPr>
          <w:rFonts w:ascii="Verdana" w:eastAsia="Century Gothic" w:hAnsi="Verdana"/>
          <w:b/>
          <w:bCs/>
          <w:color w:val="2D659A"/>
          <w:szCs w:val="20"/>
          <w:lang w:val="en-US"/>
        </w:rPr>
        <w:t>Definition/Scope of Level 1 Art. 6-9</w:t>
      </w:r>
    </w:p>
    <w:p w14:paraId="52682929" w14:textId="77777777" w:rsidR="001E5DFD" w:rsidRDefault="001E5DFD" w:rsidP="001E5DFD">
      <w:pPr>
        <w:widowControl w:val="0"/>
        <w:ind w:left="720"/>
        <w:jc w:val="both"/>
        <w:rPr>
          <w:rFonts w:ascii="Verdana" w:eastAsia="Century Gothic" w:hAnsi="Verdana"/>
          <w:color w:val="2D659A"/>
          <w:szCs w:val="20"/>
          <w:lang w:val="en-US"/>
        </w:rPr>
      </w:pPr>
      <w:r w:rsidRPr="00D34E5C">
        <w:rPr>
          <w:rFonts w:ascii="Verdana" w:eastAsia="Century Gothic" w:hAnsi="Verdana"/>
          <w:color w:val="2D659A"/>
          <w:szCs w:val="20"/>
          <w:lang w:val="en-US"/>
        </w:rPr>
        <w:t>Our main technical issue with the Disclosure Regulation, is the scope of art. 6-9. It is clear from level 1 that discretionary managed (or ‘tailor made’ portfolios) are in scope. We would like to underline the difficulties regarding managed portfolio</w:t>
      </w:r>
      <w:r>
        <w:rPr>
          <w:rFonts w:ascii="Verdana" w:eastAsia="Century Gothic" w:hAnsi="Verdana"/>
          <w:color w:val="2D659A"/>
          <w:szCs w:val="20"/>
          <w:lang w:val="en-US"/>
        </w:rPr>
        <w:t>’</w:t>
      </w:r>
      <w:r w:rsidRPr="00D34E5C">
        <w:rPr>
          <w:rFonts w:ascii="Verdana" w:eastAsia="Century Gothic" w:hAnsi="Verdana"/>
          <w:color w:val="2D659A"/>
          <w:szCs w:val="20"/>
          <w:lang w:val="en-US"/>
        </w:rPr>
        <w:t xml:space="preserve">s (some of which mentioned by ESAs). </w:t>
      </w:r>
      <w:r w:rsidRPr="00C26EEE">
        <w:rPr>
          <w:rFonts w:ascii="Verdana" w:eastAsia="Century Gothic" w:hAnsi="Verdana"/>
          <w:b/>
          <w:bCs/>
          <w:color w:val="2D659A"/>
          <w:szCs w:val="20"/>
          <w:lang w:val="en-US"/>
        </w:rPr>
        <w:t>As managed portfolios have similarities to funds, they were probably included in the scope of the Disclosure Regulation</w:t>
      </w:r>
      <w:r w:rsidRPr="00D34E5C">
        <w:rPr>
          <w:rFonts w:ascii="Verdana" w:eastAsia="Century Gothic" w:hAnsi="Verdana"/>
          <w:color w:val="2D659A"/>
          <w:szCs w:val="20"/>
          <w:lang w:val="en-US"/>
        </w:rPr>
        <w:t xml:space="preserve">. They therefore have the same difficulties as funds in obtaining data for the underlying assets. The FMP needs additional information from the underlying funds and stocks they invest in (with subsequent issues as mentioned before re. NFRD and foreign securities).  </w:t>
      </w:r>
    </w:p>
    <w:p w14:paraId="00FFF306" w14:textId="77777777" w:rsidR="001E5DFD" w:rsidRPr="00D34E5C" w:rsidRDefault="001E5DFD" w:rsidP="001E5DFD">
      <w:pPr>
        <w:widowControl w:val="0"/>
        <w:ind w:left="720"/>
        <w:jc w:val="both"/>
        <w:rPr>
          <w:rFonts w:ascii="Verdana" w:eastAsia="Century Gothic" w:hAnsi="Verdana"/>
          <w:color w:val="2D659A"/>
          <w:szCs w:val="20"/>
          <w:lang w:val="en-US"/>
        </w:rPr>
      </w:pPr>
    </w:p>
    <w:p w14:paraId="761ADA95" w14:textId="77777777" w:rsidR="001E5DFD" w:rsidRPr="00D34E5C" w:rsidRDefault="001E5DFD" w:rsidP="001E5DFD">
      <w:pPr>
        <w:widowControl w:val="0"/>
        <w:ind w:left="720"/>
        <w:jc w:val="both"/>
        <w:rPr>
          <w:rFonts w:ascii="Verdana" w:eastAsia="Century Gothic" w:hAnsi="Verdana"/>
          <w:color w:val="2D659A"/>
          <w:szCs w:val="20"/>
          <w:lang w:val="en-US"/>
        </w:rPr>
      </w:pPr>
      <w:r w:rsidRPr="00D34E5C">
        <w:rPr>
          <w:rFonts w:ascii="Verdana" w:eastAsia="Century Gothic" w:hAnsi="Verdana"/>
          <w:color w:val="2D659A"/>
          <w:szCs w:val="20"/>
          <w:lang w:val="en-US"/>
        </w:rPr>
        <w:t>An additional problem for tailor made portfolio’s are summed up by the ESA’s in the CP, for example additional costs for individually managed portfolios and security issues (i.e. regarding GDPR</w:t>
      </w:r>
      <w:r>
        <w:rPr>
          <w:rFonts w:ascii="Verdana" w:eastAsia="Century Gothic" w:hAnsi="Verdana"/>
          <w:color w:val="2D659A"/>
          <w:szCs w:val="20"/>
          <w:lang w:val="en-US"/>
        </w:rPr>
        <w:t xml:space="preserve"> and bank secrecy laws</w:t>
      </w:r>
      <w:r w:rsidRPr="00D34E5C">
        <w:rPr>
          <w:rFonts w:ascii="Verdana" w:eastAsia="Century Gothic" w:hAnsi="Verdana"/>
          <w:color w:val="2D659A"/>
          <w:szCs w:val="20"/>
          <w:lang w:val="en-US"/>
        </w:rPr>
        <w:t xml:space="preserve">). Banks are concerned with the proposals regarding publication of information on individual portfolios on the webpage since it would be in contravention with bank secrecy laws and also be very burdensome and costly from an administrative perspective as well as of little interest to clients. </w:t>
      </w:r>
    </w:p>
    <w:p w14:paraId="7F40892D" w14:textId="77777777" w:rsidR="001E5DFD" w:rsidRPr="00D34E5C" w:rsidRDefault="001E5DFD" w:rsidP="001E5DFD">
      <w:pPr>
        <w:spacing w:after="120"/>
        <w:ind w:left="720"/>
        <w:contextualSpacing/>
        <w:jc w:val="both"/>
        <w:rPr>
          <w:rFonts w:ascii="Verdana" w:eastAsia="Century Gothic" w:hAnsi="Verdana"/>
          <w:color w:val="2D659A"/>
          <w:szCs w:val="20"/>
          <w:lang w:val="en-US"/>
        </w:rPr>
      </w:pPr>
    </w:p>
    <w:p w14:paraId="69DB833F" w14:textId="77777777" w:rsidR="001E5DFD" w:rsidRPr="00D34E5C" w:rsidRDefault="001E5DFD" w:rsidP="001313EE">
      <w:pPr>
        <w:numPr>
          <w:ilvl w:val="0"/>
          <w:numId w:val="46"/>
        </w:numPr>
        <w:suppressAutoHyphens/>
        <w:spacing w:after="120"/>
        <w:contextualSpacing/>
        <w:jc w:val="both"/>
        <w:rPr>
          <w:rFonts w:ascii="Verdana" w:eastAsia="Century Gothic" w:hAnsi="Verdana"/>
          <w:color w:val="2D659A"/>
          <w:szCs w:val="20"/>
          <w:lang w:val="en-US"/>
        </w:rPr>
      </w:pPr>
      <w:r w:rsidRPr="00D34E5C">
        <w:rPr>
          <w:rFonts w:ascii="Verdana" w:eastAsia="Century Gothic" w:hAnsi="Verdana"/>
          <w:b/>
          <w:bCs/>
          <w:color w:val="2D659A"/>
          <w:szCs w:val="20"/>
          <w:lang w:val="en-US"/>
        </w:rPr>
        <w:t xml:space="preserve">Definition of Article 8 and Article 9 products. </w:t>
      </w:r>
      <w:r w:rsidRPr="00D34E5C">
        <w:rPr>
          <w:rFonts w:ascii="Verdana" w:eastAsia="Century Gothic" w:hAnsi="Verdana"/>
          <w:color w:val="2D659A"/>
          <w:szCs w:val="20"/>
          <w:lang w:val="en-US"/>
        </w:rPr>
        <w:t xml:space="preserve">We have questions around the definitions of both ‘promoting ESG characteristics’ and ‘Sustainable Investment as its objective’. Is an art. 9 product per se an art. 8 product as well? And as the definition of sustainable investment is rather vague (and not linked to the taxonomy in the SFDR), what is the precise definition of an article 9 product? </w:t>
      </w:r>
    </w:p>
    <w:p w14:paraId="25470A7D" w14:textId="77777777" w:rsidR="001E5DFD" w:rsidRPr="00D34E5C" w:rsidRDefault="001E5DFD" w:rsidP="001E5DFD">
      <w:pPr>
        <w:spacing w:after="120"/>
        <w:ind w:left="720"/>
        <w:contextualSpacing/>
        <w:jc w:val="both"/>
        <w:rPr>
          <w:rFonts w:ascii="Verdana" w:eastAsia="Century Gothic" w:hAnsi="Verdana"/>
          <w:color w:val="2D659A"/>
          <w:szCs w:val="20"/>
        </w:rPr>
      </w:pPr>
      <w:r w:rsidRPr="00D34E5C">
        <w:rPr>
          <w:rFonts w:ascii="Verdana" w:eastAsia="Century Gothic" w:hAnsi="Verdana"/>
          <w:color w:val="2D659A"/>
          <w:szCs w:val="20"/>
          <w:lang w:val="en-US"/>
        </w:rPr>
        <w:t xml:space="preserve">Art. 8: where a financial product promotes, among other characteristics, environmental or social characteristics, or a combination of those characteristics. </w:t>
      </w:r>
      <w:r w:rsidRPr="00D34E5C">
        <w:rPr>
          <w:rFonts w:ascii="Verdana" w:eastAsia="Century Gothic" w:hAnsi="Verdana"/>
          <w:color w:val="2D659A"/>
          <w:szCs w:val="20"/>
        </w:rPr>
        <w:t xml:space="preserve">What is the definition of ‘promoting’ an ‘ESG characteristic’? </w:t>
      </w:r>
    </w:p>
    <w:p w14:paraId="316A27E4" w14:textId="77777777" w:rsidR="001E5DFD" w:rsidRPr="00D34E5C" w:rsidRDefault="001E5DFD" w:rsidP="001E5DFD">
      <w:pPr>
        <w:spacing w:after="120"/>
        <w:ind w:left="720"/>
        <w:contextualSpacing/>
        <w:jc w:val="both"/>
        <w:rPr>
          <w:rFonts w:ascii="Verdana" w:eastAsia="Century Gothic" w:hAnsi="Verdana"/>
          <w:color w:val="2D659A"/>
          <w:szCs w:val="20"/>
        </w:rPr>
      </w:pPr>
    </w:p>
    <w:p w14:paraId="50891E6F" w14:textId="77777777" w:rsidR="001E5DFD" w:rsidRPr="00D34E5C" w:rsidRDefault="001E5DFD" w:rsidP="001E5DFD">
      <w:pPr>
        <w:suppressAutoHyphens/>
        <w:spacing w:after="120"/>
        <w:jc w:val="both"/>
        <w:rPr>
          <w:rFonts w:ascii="Verdana" w:eastAsia="Century Gothic" w:hAnsi="Verdana"/>
          <w:b/>
          <w:bCs/>
          <w:color w:val="2D659A"/>
          <w:szCs w:val="20"/>
          <w:u w:val="single"/>
        </w:rPr>
      </w:pPr>
      <w:r w:rsidRPr="00D34E5C">
        <w:rPr>
          <w:rFonts w:ascii="Verdana" w:eastAsia="Century Gothic" w:hAnsi="Verdana"/>
          <w:b/>
          <w:bCs/>
          <w:color w:val="2D659A"/>
          <w:szCs w:val="20"/>
          <w:u w:val="single"/>
        </w:rPr>
        <w:t>Level 2</w:t>
      </w:r>
    </w:p>
    <w:p w14:paraId="3761628A" w14:textId="77777777" w:rsidR="001E5DFD" w:rsidRPr="00506DBE" w:rsidRDefault="001E5DFD" w:rsidP="001313EE">
      <w:pPr>
        <w:numPr>
          <w:ilvl w:val="0"/>
          <w:numId w:val="46"/>
        </w:numPr>
        <w:suppressAutoHyphens/>
        <w:spacing w:after="120"/>
        <w:contextualSpacing/>
        <w:jc w:val="both"/>
        <w:rPr>
          <w:rFonts w:ascii="Verdana" w:eastAsia="Century Gothic" w:hAnsi="Verdana"/>
          <w:color w:val="2D659A"/>
          <w:szCs w:val="20"/>
          <w:lang w:val="en-US"/>
        </w:rPr>
      </w:pPr>
      <w:r w:rsidRPr="00506DBE">
        <w:rPr>
          <w:rFonts w:ascii="Verdana" w:eastAsia="Century Gothic" w:hAnsi="Verdana"/>
          <w:b/>
          <w:bCs/>
          <w:color w:val="2D659A"/>
          <w:szCs w:val="20"/>
          <w:lang w:val="en-US"/>
        </w:rPr>
        <w:t>Level  2 Article 1.</w:t>
      </w:r>
      <w:r w:rsidRPr="00506DBE">
        <w:rPr>
          <w:rFonts w:ascii="Verdana" w:eastAsia="Century Gothic" w:hAnsi="Verdana"/>
          <w:color w:val="2D659A"/>
          <w:szCs w:val="20"/>
          <w:lang w:val="en-US"/>
        </w:rPr>
        <w:t xml:space="preserve"> We disagree with the narrow interpretation of "fossil fuel” in the definition in article 1(1). In our view, “fossil fuel” for compliance with the SFDR must follow the definition by Eurostat: "Fossil fuel is a generic term for non-renewable energy sources such as coal, coal products, natural gas, derived gas, crude oil, petroleum products and non-renewable wastes. These fuels originate from plants and animals that existed in the geological past (for example, millions of years ago). Fossil fuels can be also made by industrial processes from other fossil fuels." Any deviation from commonly used definitions in the European Union would be highly confusing, for investors, for companies that would be required to report two different costly sets of information, and for monitoring the EU’s environmental footprint in statistics.</w:t>
      </w:r>
    </w:p>
    <w:p w14:paraId="2E0E1649" w14:textId="77777777" w:rsidR="001E5DFD" w:rsidRPr="00D34E5C" w:rsidRDefault="001E5DFD" w:rsidP="001E5DFD">
      <w:pPr>
        <w:spacing w:after="120"/>
        <w:ind w:left="720"/>
        <w:contextualSpacing/>
        <w:jc w:val="both"/>
        <w:rPr>
          <w:rFonts w:ascii="Verdana" w:eastAsia="Century Gothic" w:hAnsi="Verdana"/>
          <w:color w:val="2D659A"/>
          <w:szCs w:val="20"/>
          <w:lang w:val="en-US"/>
        </w:rPr>
      </w:pPr>
      <w:bookmarkStart w:id="5" w:name="_Hlk43970161"/>
    </w:p>
    <w:bookmarkEnd w:id="5"/>
    <w:p w14:paraId="6D79B34D" w14:textId="77777777" w:rsidR="001E5DFD" w:rsidRPr="00C26EEE" w:rsidRDefault="001E5DFD" w:rsidP="001313EE">
      <w:pPr>
        <w:pStyle w:val="ListParagraph"/>
        <w:numPr>
          <w:ilvl w:val="0"/>
          <w:numId w:val="46"/>
        </w:numPr>
        <w:spacing w:after="120"/>
        <w:jc w:val="both"/>
        <w:rPr>
          <w:rFonts w:cs="Arial"/>
          <w:szCs w:val="20"/>
          <w:lang w:val="en-US"/>
        </w:rPr>
      </w:pPr>
      <w:r w:rsidRPr="001E5DFD">
        <w:rPr>
          <w:rFonts w:ascii="Verdana" w:eastAsia="Century Gothic" w:hAnsi="Verdana"/>
          <w:b/>
          <w:bCs/>
          <w:color w:val="2D659A"/>
          <w:szCs w:val="20"/>
          <w:lang w:val="en-US"/>
        </w:rPr>
        <w:t xml:space="preserve">Level 2 Article 4 </w:t>
      </w:r>
      <w:r w:rsidRPr="001E5DFD">
        <w:rPr>
          <w:rFonts w:ascii="Verdana" w:eastAsia="Century Gothic" w:hAnsi="Verdana"/>
          <w:color w:val="2D659A"/>
          <w:szCs w:val="20"/>
          <w:lang w:val="en-US"/>
        </w:rPr>
        <w:t xml:space="preserve">If the information as set out in the Annex 1 is not available, because investees are not able to provide the information, FMP’s shall make reasonable efforts to obtain the relevant information. Where no information can be found, FMP’s shall use best estimates based on reasonable assumptions. FMP’s might be very reluctant to make estimations and assumptions. As mentioned before, </w:t>
      </w:r>
      <w:r w:rsidRPr="001E5DFD">
        <w:rPr>
          <w:rFonts w:ascii="Verdana" w:eastAsia="Century Gothic" w:hAnsi="Verdana"/>
          <w:b/>
          <w:bCs/>
          <w:color w:val="2D659A"/>
          <w:szCs w:val="20"/>
          <w:lang w:val="en-US"/>
        </w:rPr>
        <w:t xml:space="preserve">as long as ‘producers’ of investment products are not legally required to provide information regarding </w:t>
      </w:r>
      <w:r w:rsidRPr="001E5DFD">
        <w:rPr>
          <w:rFonts w:ascii="Verdana" w:eastAsia="Century Gothic" w:hAnsi="Verdana"/>
          <w:b/>
          <w:bCs/>
          <w:color w:val="2D659A"/>
          <w:szCs w:val="20"/>
          <w:lang w:val="en-US"/>
        </w:rPr>
        <w:lastRenderedPageBreak/>
        <w:t>to the ESG factors, it is not legitimate to put the obligation to provide the same information on the distributors</w:t>
      </w:r>
      <w:r w:rsidRPr="001E5DFD">
        <w:rPr>
          <w:rFonts w:ascii="Verdana" w:eastAsia="Century Gothic" w:hAnsi="Verdana"/>
          <w:color w:val="2D659A"/>
          <w:szCs w:val="20"/>
          <w:lang w:val="en-US"/>
        </w:rPr>
        <w:t xml:space="preserve">. That’s why it is key that the revised NFRD will require from investees limited and relevant BUT mandatory disclosure (cf. EBF answer to the NFRD consultation). Ultimately, this could encourage distributors not to consider adverse impacts of investment decisions on sustainability factors, according to SFDR article 4(1b), thus being negatively perceived by investors, regarding information that they do not own or are not able to obtain it. </w:t>
      </w:r>
    </w:p>
    <w:p w14:paraId="70E0876E" w14:textId="77777777" w:rsidR="001E5DFD" w:rsidRPr="00D34E5C" w:rsidRDefault="001E5DFD" w:rsidP="001E5DFD">
      <w:pPr>
        <w:spacing w:after="120"/>
        <w:ind w:left="720"/>
        <w:contextualSpacing/>
        <w:jc w:val="both"/>
        <w:rPr>
          <w:rFonts w:ascii="Verdana" w:eastAsia="Century Gothic" w:hAnsi="Verdana"/>
          <w:color w:val="2D659A"/>
          <w:szCs w:val="20"/>
          <w:lang w:val="en-US"/>
        </w:rPr>
      </w:pPr>
    </w:p>
    <w:p w14:paraId="70B88DE7" w14:textId="77777777" w:rsidR="001E5DFD" w:rsidRPr="00D34E5C" w:rsidRDefault="001E5DFD" w:rsidP="001313EE">
      <w:pPr>
        <w:numPr>
          <w:ilvl w:val="0"/>
          <w:numId w:val="46"/>
        </w:numPr>
        <w:suppressAutoHyphens/>
        <w:spacing w:after="120"/>
        <w:contextualSpacing/>
        <w:jc w:val="both"/>
        <w:rPr>
          <w:rFonts w:ascii="Verdana" w:eastAsia="Century Gothic" w:hAnsi="Verdana"/>
          <w:color w:val="2D659A"/>
          <w:szCs w:val="20"/>
          <w:lang w:val="en-US"/>
        </w:rPr>
      </w:pPr>
      <w:r w:rsidRPr="00D34E5C">
        <w:rPr>
          <w:rFonts w:ascii="Verdana" w:eastAsia="Century Gothic" w:hAnsi="Verdana"/>
          <w:b/>
          <w:bCs/>
          <w:color w:val="2D659A"/>
          <w:szCs w:val="20"/>
          <w:lang w:val="en-US"/>
        </w:rPr>
        <w:t>Level 2 Article. 4</w:t>
      </w:r>
      <w:r w:rsidRPr="00D34E5C">
        <w:rPr>
          <w:rFonts w:ascii="Verdana" w:eastAsia="Century Gothic" w:hAnsi="Verdana"/>
          <w:color w:val="2D659A"/>
          <w:szCs w:val="20"/>
          <w:lang w:val="en-US"/>
        </w:rPr>
        <w:t xml:space="preserve"> Regarding the list of adverse impacts: </w:t>
      </w:r>
      <w:r>
        <w:rPr>
          <w:rFonts w:ascii="Verdana" w:eastAsia="Century Gothic" w:hAnsi="Verdana"/>
          <w:color w:val="2D659A"/>
          <w:szCs w:val="20"/>
          <w:lang w:val="en-US"/>
        </w:rPr>
        <w:t>FMP’s</w:t>
      </w:r>
      <w:r w:rsidRPr="00D34E5C">
        <w:rPr>
          <w:rFonts w:ascii="Verdana" w:eastAsia="Century Gothic" w:hAnsi="Verdana"/>
          <w:color w:val="2D659A"/>
          <w:szCs w:val="20"/>
          <w:lang w:val="en-US"/>
        </w:rPr>
        <w:t xml:space="preserve"> shall adopt a risk-based approach to assess which adverse impacts identified qualify as principal. This assessment and prioritisation shall be based on the probability of occurrence and severity. The definition of a principal adverse impact under the SFDR should be clarified regarding the materiality underneath and the needed assessment by FMP, taking due the size nature and scale of their activities, as mentioned in SFDR recitals 12 and 18 and Article 4 (1). </w:t>
      </w:r>
    </w:p>
    <w:p w14:paraId="7328DC5D" w14:textId="77777777" w:rsidR="001E5DFD" w:rsidRPr="00D34E5C" w:rsidRDefault="001E5DFD" w:rsidP="001E5DFD">
      <w:pPr>
        <w:suppressAutoHyphens/>
        <w:spacing w:after="120"/>
        <w:ind w:left="720"/>
        <w:contextualSpacing/>
        <w:jc w:val="both"/>
        <w:rPr>
          <w:rFonts w:ascii="Verdana" w:eastAsia="Century Gothic" w:hAnsi="Verdana"/>
          <w:color w:val="2D659A"/>
          <w:szCs w:val="20"/>
          <w:lang w:val="en-US"/>
        </w:rPr>
      </w:pPr>
      <w:r w:rsidRPr="00D34E5C">
        <w:rPr>
          <w:rFonts w:ascii="Verdana" w:eastAsia="Century Gothic" w:hAnsi="Verdana"/>
          <w:color w:val="2D659A"/>
          <w:szCs w:val="20"/>
          <w:lang w:val="en-US"/>
        </w:rPr>
        <w:t>The proposal that the indicators in Table 1 (Annex 1) always lead to principal adverse impacts irrespective of the value of the metrics, might not seem reasonable, given that, we would be considering that irrespective of the value of principal adverse impact indicators, every FMP has to consider that minimum set of principal adverse impacts.</w:t>
      </w:r>
    </w:p>
    <w:p w14:paraId="019AC8F6" w14:textId="77777777" w:rsidR="001E5DFD" w:rsidRPr="00D34E5C" w:rsidRDefault="001E5DFD" w:rsidP="001E5DFD">
      <w:pPr>
        <w:suppressAutoHyphens/>
        <w:spacing w:after="120"/>
        <w:contextualSpacing/>
        <w:jc w:val="both"/>
        <w:rPr>
          <w:rFonts w:ascii="Verdana" w:eastAsia="Century Gothic" w:hAnsi="Verdana"/>
          <w:color w:val="2D659A"/>
          <w:szCs w:val="20"/>
          <w:lang w:val="en-US"/>
        </w:rPr>
      </w:pPr>
    </w:p>
    <w:p w14:paraId="2A1C2B82" w14:textId="77777777" w:rsidR="001E5DFD" w:rsidRPr="00D34E5C" w:rsidRDefault="001E5DFD" w:rsidP="001E5DFD">
      <w:pPr>
        <w:suppressAutoHyphens/>
        <w:spacing w:after="120"/>
        <w:ind w:left="720"/>
        <w:contextualSpacing/>
        <w:jc w:val="both"/>
        <w:rPr>
          <w:rFonts w:ascii="Verdana" w:eastAsia="Century Gothic" w:hAnsi="Verdana"/>
          <w:color w:val="2D659A"/>
          <w:szCs w:val="20"/>
          <w:lang w:val="en-US"/>
        </w:rPr>
      </w:pPr>
      <w:r w:rsidRPr="00D34E5C">
        <w:rPr>
          <w:rFonts w:ascii="Verdana" w:eastAsia="Century Gothic" w:hAnsi="Verdana"/>
          <w:color w:val="2D659A"/>
          <w:szCs w:val="20"/>
          <w:lang w:val="en-US"/>
        </w:rPr>
        <w:t>In addition, the mandatory principal adverse sustainability impacts as envisaged in article 6 seems to be contradictory with the purpose of informing investors of principal adverse impacts of investment decisions on sustainability factors, where they are considered as such by FMP (SFDR article 4(1a)).</w:t>
      </w:r>
    </w:p>
    <w:p w14:paraId="15BDDF2A" w14:textId="77777777" w:rsidR="001E5DFD" w:rsidRPr="00D34E5C" w:rsidRDefault="001E5DFD" w:rsidP="001E5DFD">
      <w:pPr>
        <w:suppressAutoHyphens/>
        <w:spacing w:after="120"/>
        <w:contextualSpacing/>
        <w:jc w:val="both"/>
        <w:rPr>
          <w:rFonts w:ascii="Verdana" w:eastAsia="Century Gothic" w:hAnsi="Verdana"/>
          <w:color w:val="2D659A"/>
          <w:szCs w:val="20"/>
          <w:lang w:val="en-US"/>
        </w:rPr>
      </w:pPr>
    </w:p>
    <w:p w14:paraId="3027116F" w14:textId="77777777" w:rsidR="001E5DFD" w:rsidRPr="00D34E5C" w:rsidRDefault="001E5DFD" w:rsidP="001E5DFD">
      <w:pPr>
        <w:suppressAutoHyphens/>
        <w:spacing w:after="120"/>
        <w:ind w:left="720"/>
        <w:contextualSpacing/>
        <w:jc w:val="both"/>
        <w:rPr>
          <w:rFonts w:ascii="Verdana" w:eastAsia="Century Gothic" w:hAnsi="Verdana"/>
          <w:color w:val="2D659A"/>
          <w:szCs w:val="20"/>
          <w:lang w:val="en-US"/>
        </w:rPr>
      </w:pPr>
      <w:r w:rsidRPr="00D34E5C">
        <w:rPr>
          <w:rFonts w:ascii="Verdana" w:eastAsia="Century Gothic" w:hAnsi="Verdana"/>
          <w:color w:val="2D659A"/>
          <w:szCs w:val="20"/>
          <w:lang w:val="en-US"/>
        </w:rPr>
        <w:t>Furthermore, we also do not understand how this could be move forward if a FMP does not consider adverse impacts of investment decisions on sustainability factors as it is envisaged by article 4(1b). A FMP which considers adverse impacts of investment decisions on sustainability factors would have a minimum set of principal adverse impacts to show, even if with the lowest values for such indicators (e.g. among peers), in spite of others, with worse numbers, might not consider adverse impacts. One could ask if this is could disincentivize FMPs to consider adverse impacts of investment decisions on sustainability factors, as envisaged by SFDR article 4(1a).</w:t>
      </w:r>
    </w:p>
    <w:p w14:paraId="65D48FDF" w14:textId="77777777" w:rsidR="001E5DFD" w:rsidRPr="00D34E5C" w:rsidRDefault="001E5DFD" w:rsidP="001E5DFD">
      <w:pPr>
        <w:spacing w:after="120"/>
        <w:ind w:left="720"/>
        <w:contextualSpacing/>
        <w:jc w:val="both"/>
        <w:rPr>
          <w:rFonts w:ascii="Verdana" w:eastAsia="Century Gothic" w:hAnsi="Verdana"/>
          <w:color w:val="2D659A"/>
          <w:szCs w:val="20"/>
          <w:lang w:val="en-US"/>
        </w:rPr>
      </w:pPr>
      <w:r w:rsidRPr="00D34E5C">
        <w:rPr>
          <w:rFonts w:ascii="Verdana" w:eastAsia="Century Gothic" w:hAnsi="Verdana"/>
          <w:color w:val="2D659A"/>
          <w:szCs w:val="20"/>
          <w:lang w:val="en-US"/>
        </w:rPr>
        <w:br/>
        <w:t xml:space="preserve">We also believe there is inconsistency of headlines regarding Art. 4(2d) and Art. 8. We ask the ESA’s to align these headlines. </w:t>
      </w:r>
    </w:p>
    <w:p w14:paraId="26A05D94" w14:textId="77777777" w:rsidR="001E5DFD" w:rsidRPr="00D34E5C" w:rsidRDefault="001E5DFD" w:rsidP="001E5DFD">
      <w:pPr>
        <w:spacing w:after="120"/>
        <w:ind w:left="720"/>
        <w:contextualSpacing/>
        <w:jc w:val="both"/>
        <w:rPr>
          <w:rFonts w:ascii="Verdana" w:eastAsia="Century Gothic" w:hAnsi="Verdana"/>
          <w:color w:val="2D659A"/>
          <w:szCs w:val="20"/>
          <w:lang w:val="en-US"/>
        </w:rPr>
      </w:pPr>
    </w:p>
    <w:p w14:paraId="7132C6C9" w14:textId="77777777" w:rsidR="001E5DFD" w:rsidRPr="00D34E5C" w:rsidRDefault="001E5DFD" w:rsidP="001313EE">
      <w:pPr>
        <w:numPr>
          <w:ilvl w:val="0"/>
          <w:numId w:val="46"/>
        </w:numPr>
        <w:suppressAutoHyphens/>
        <w:spacing w:after="120"/>
        <w:contextualSpacing/>
        <w:jc w:val="both"/>
        <w:rPr>
          <w:rFonts w:ascii="Verdana" w:eastAsia="Century Gothic" w:hAnsi="Verdana"/>
          <w:color w:val="2D659A"/>
          <w:szCs w:val="20"/>
          <w:lang w:val="en-US"/>
        </w:rPr>
      </w:pPr>
      <w:r w:rsidRPr="00D34E5C">
        <w:rPr>
          <w:rFonts w:ascii="Verdana" w:eastAsia="Century Gothic" w:hAnsi="Verdana"/>
          <w:b/>
          <w:bCs/>
          <w:color w:val="2D659A"/>
          <w:szCs w:val="20"/>
          <w:lang w:val="en-US"/>
        </w:rPr>
        <w:t>Level 2 Article 5</w:t>
      </w:r>
      <w:r w:rsidRPr="00D34E5C">
        <w:rPr>
          <w:rFonts w:ascii="Verdana" w:eastAsia="Century Gothic" w:hAnsi="Verdana"/>
          <w:color w:val="2D659A"/>
          <w:szCs w:val="20"/>
          <w:lang w:val="en-US"/>
        </w:rPr>
        <w:t xml:space="preserve">. Language of the summary: The due diligence policy itself, shall be accompanied by a summary ”provided in, as a minimum, at least one of the official languages of the home Member State of the financial market participant and, if different, in a language customary in the sphere of international finance”. We consider that this concept should be clarified. </w:t>
      </w:r>
    </w:p>
    <w:p w14:paraId="44010CEC" w14:textId="77777777" w:rsidR="001E5DFD" w:rsidRPr="00930FA2" w:rsidRDefault="001E5DFD" w:rsidP="001E5DFD">
      <w:pPr>
        <w:suppressAutoHyphens/>
        <w:spacing w:after="120"/>
        <w:ind w:left="720"/>
        <w:jc w:val="both"/>
        <w:rPr>
          <w:rFonts w:ascii="Verdana" w:eastAsia="Century Gothic" w:hAnsi="Verdana"/>
          <w:color w:val="2D659A"/>
          <w:szCs w:val="20"/>
          <w:lang w:val="en-US"/>
        </w:rPr>
      </w:pPr>
    </w:p>
    <w:p w14:paraId="775995F8" w14:textId="77777777" w:rsidR="001E5DFD" w:rsidRPr="00D34E5C" w:rsidRDefault="001E5DFD" w:rsidP="001313EE">
      <w:pPr>
        <w:numPr>
          <w:ilvl w:val="0"/>
          <w:numId w:val="46"/>
        </w:numPr>
        <w:suppressAutoHyphens/>
        <w:spacing w:after="120"/>
        <w:jc w:val="both"/>
        <w:rPr>
          <w:rFonts w:ascii="Verdana" w:eastAsia="Century Gothic" w:hAnsi="Verdana"/>
          <w:color w:val="2D659A"/>
          <w:szCs w:val="20"/>
          <w:lang w:val="en-US"/>
        </w:rPr>
      </w:pPr>
      <w:r w:rsidRPr="00D34E5C">
        <w:rPr>
          <w:rFonts w:ascii="Verdana" w:eastAsia="Century Gothic" w:hAnsi="Verdana"/>
          <w:b/>
          <w:bCs/>
          <w:color w:val="2D659A"/>
          <w:szCs w:val="20"/>
          <w:lang w:val="en-US"/>
        </w:rPr>
        <w:t>Level 2 Article 6</w:t>
      </w:r>
      <w:r w:rsidRPr="00D34E5C">
        <w:rPr>
          <w:rFonts w:ascii="Verdana" w:eastAsia="Century Gothic" w:hAnsi="Verdana"/>
          <w:color w:val="2D659A"/>
          <w:szCs w:val="20"/>
          <w:lang w:val="en-US"/>
        </w:rPr>
        <w:t>: historical comparison of principal adverse impact disclosures up to ten years is potentially excessive for items that are constantly and rapidly evolving</w:t>
      </w:r>
    </w:p>
    <w:p w14:paraId="42DB3BF0" w14:textId="77777777" w:rsidR="001E5DFD" w:rsidRPr="00D34E5C" w:rsidRDefault="001E5DFD" w:rsidP="001E5DFD">
      <w:pPr>
        <w:suppressAutoHyphens/>
        <w:spacing w:after="120"/>
        <w:ind w:left="720"/>
        <w:jc w:val="both"/>
        <w:rPr>
          <w:rFonts w:ascii="Verdana" w:eastAsia="Century Gothic" w:hAnsi="Verdana"/>
          <w:color w:val="2D659A"/>
          <w:szCs w:val="20"/>
        </w:rPr>
      </w:pPr>
      <w:r w:rsidRPr="00D34E5C">
        <w:rPr>
          <w:rFonts w:ascii="Verdana" w:eastAsia="Century Gothic" w:hAnsi="Verdana"/>
          <w:color w:val="2D659A"/>
          <w:szCs w:val="20"/>
        </w:rPr>
        <w:t xml:space="preserve">We understand the motivation behind the possible historical comparison of principal adverse impact disclosures up to ten years, but this has to be well designed in order not to prejudice the comparison in such a long term period. </w:t>
      </w:r>
    </w:p>
    <w:p w14:paraId="6F972EF1" w14:textId="77777777" w:rsidR="001E5DFD" w:rsidRPr="00D34E5C" w:rsidRDefault="001E5DFD" w:rsidP="001E5DFD">
      <w:pPr>
        <w:suppressAutoHyphens/>
        <w:spacing w:after="120"/>
        <w:ind w:left="720"/>
        <w:jc w:val="both"/>
        <w:rPr>
          <w:rFonts w:ascii="Verdana" w:eastAsia="Century Gothic" w:hAnsi="Verdana"/>
          <w:color w:val="2D659A"/>
          <w:szCs w:val="20"/>
        </w:rPr>
      </w:pPr>
      <w:r w:rsidRPr="00D34E5C">
        <w:rPr>
          <w:rFonts w:ascii="Verdana" w:eastAsia="Century Gothic" w:hAnsi="Verdana"/>
          <w:color w:val="2D659A"/>
          <w:szCs w:val="20"/>
        </w:rPr>
        <w:t xml:space="preserve">Eventually there could occur serious problems with data comparability among years given the expected developments/improvements in ESG disclosures. When companies start to disclose or improve their own disclosures this will have an impact in the analysis </w:t>
      </w:r>
      <w:r w:rsidRPr="00D34E5C">
        <w:rPr>
          <w:rFonts w:ascii="Verdana" w:eastAsia="Century Gothic" w:hAnsi="Verdana"/>
          <w:color w:val="2D659A"/>
          <w:szCs w:val="20"/>
        </w:rPr>
        <w:lastRenderedPageBreak/>
        <w:t>of such information in a prolonged period, hurting comparability and any kind of conclusion of improvement/stagnation in the quality and range of such data provided by FMP.</w:t>
      </w:r>
    </w:p>
    <w:p w14:paraId="15F0BBB4" w14:textId="77777777" w:rsidR="001E5DFD" w:rsidRPr="00D34E5C" w:rsidRDefault="001E5DFD" w:rsidP="001313EE">
      <w:pPr>
        <w:numPr>
          <w:ilvl w:val="0"/>
          <w:numId w:val="46"/>
        </w:numPr>
        <w:suppressAutoHyphens/>
        <w:spacing w:after="120"/>
        <w:contextualSpacing/>
        <w:jc w:val="both"/>
        <w:rPr>
          <w:rFonts w:ascii="Verdana" w:eastAsia="Century Gothic" w:hAnsi="Verdana"/>
          <w:color w:val="2D659A"/>
          <w:szCs w:val="20"/>
          <w:lang w:val="en-US"/>
        </w:rPr>
      </w:pPr>
      <w:r w:rsidRPr="00D34E5C">
        <w:rPr>
          <w:rFonts w:ascii="Verdana" w:eastAsia="Century Gothic" w:hAnsi="Verdana"/>
          <w:b/>
          <w:bCs/>
          <w:color w:val="2D659A"/>
          <w:szCs w:val="20"/>
          <w:lang w:val="en-US"/>
        </w:rPr>
        <w:t>Financial instrument (MiFID) vs. Financial Product (SFDR)</w:t>
      </w:r>
      <w:r w:rsidRPr="00D34E5C">
        <w:rPr>
          <w:rFonts w:ascii="Verdana" w:eastAsia="Century Gothic" w:hAnsi="Verdana"/>
          <w:color w:val="2D659A"/>
          <w:szCs w:val="20"/>
          <w:lang w:val="en-US"/>
        </w:rPr>
        <w:t xml:space="preserve">. </w:t>
      </w:r>
    </w:p>
    <w:p w14:paraId="4F5DAE73" w14:textId="77777777" w:rsidR="001E5DFD" w:rsidRPr="00D34E5C" w:rsidRDefault="001E5DFD" w:rsidP="001E5DFD">
      <w:pPr>
        <w:spacing w:after="120"/>
        <w:ind w:left="720"/>
        <w:contextualSpacing/>
        <w:jc w:val="both"/>
        <w:rPr>
          <w:rFonts w:ascii="Verdana" w:eastAsia="Century Gothic" w:hAnsi="Verdana"/>
          <w:color w:val="2D659A"/>
          <w:szCs w:val="20"/>
        </w:rPr>
      </w:pPr>
      <w:r w:rsidRPr="00D34E5C">
        <w:rPr>
          <w:rFonts w:ascii="Verdana" w:eastAsia="Century Gothic" w:hAnsi="Verdana"/>
          <w:color w:val="2D659A"/>
          <w:szCs w:val="20"/>
        </w:rPr>
        <w:t xml:space="preserve">In general the difference between the term “financial instrument” according to MiFID and the term “financial product” </w:t>
      </w:r>
      <w:r>
        <w:rPr>
          <w:rFonts w:ascii="Verdana" w:eastAsia="Century Gothic" w:hAnsi="Verdana"/>
          <w:color w:val="2D659A"/>
          <w:szCs w:val="20"/>
        </w:rPr>
        <w:t>according</w:t>
      </w:r>
      <w:r w:rsidRPr="00D34E5C">
        <w:rPr>
          <w:rFonts w:ascii="Verdana" w:eastAsia="Century Gothic" w:hAnsi="Verdana"/>
          <w:color w:val="2D659A"/>
          <w:szCs w:val="20"/>
        </w:rPr>
        <w:t xml:space="preserve"> to the SFDR causes confusion. As financial products contain different financial instruments, but manufacturers of financial instruments are not generally obliged to disclose sustainability related information, it will be difficult for financial market participants offering financial products to obtain the necessary data.</w:t>
      </w:r>
    </w:p>
    <w:p w14:paraId="57FA453F" w14:textId="77777777" w:rsidR="001E5DFD" w:rsidRPr="00D34E5C" w:rsidRDefault="001E5DFD" w:rsidP="001E5DFD">
      <w:pPr>
        <w:spacing w:after="120"/>
        <w:ind w:left="720"/>
        <w:contextualSpacing/>
        <w:jc w:val="both"/>
        <w:rPr>
          <w:rFonts w:ascii="Verdana" w:eastAsia="Century Gothic" w:hAnsi="Verdana"/>
          <w:color w:val="2D659A"/>
          <w:szCs w:val="20"/>
        </w:rPr>
      </w:pPr>
    </w:p>
    <w:p w14:paraId="373F6910" w14:textId="77777777" w:rsidR="001E5DFD" w:rsidRDefault="001E5DFD" w:rsidP="001E5DFD">
      <w:pPr>
        <w:ind w:left="720"/>
        <w:jc w:val="both"/>
        <w:rPr>
          <w:rFonts w:ascii="Verdana" w:eastAsia="Century Gothic" w:hAnsi="Verdana"/>
          <w:color w:val="2D659A"/>
          <w:szCs w:val="20"/>
        </w:rPr>
      </w:pPr>
      <w:r w:rsidRPr="00D34E5C">
        <w:rPr>
          <w:rFonts w:ascii="Verdana" w:eastAsia="Century Gothic" w:hAnsi="Verdana"/>
          <w:color w:val="2D659A"/>
          <w:szCs w:val="20"/>
        </w:rPr>
        <w:t>We would also like to comment that, there are</w:t>
      </w:r>
      <w:r>
        <w:rPr>
          <w:rFonts w:ascii="Verdana" w:eastAsia="Century Gothic" w:hAnsi="Verdana"/>
          <w:color w:val="2D659A"/>
          <w:szCs w:val="20"/>
        </w:rPr>
        <w:t xml:space="preserve"> inconsistencies</w:t>
      </w:r>
      <w:r w:rsidRPr="00D34E5C">
        <w:rPr>
          <w:rFonts w:ascii="Verdana" w:eastAsia="Century Gothic" w:hAnsi="Verdana"/>
          <w:color w:val="2D659A"/>
          <w:szCs w:val="20"/>
        </w:rPr>
        <w:t xml:space="preserve"> between the MiFID II definition of “sustainability preferences”</w:t>
      </w:r>
      <w:r>
        <w:rPr>
          <w:rFonts w:ascii="Verdana" w:eastAsia="Century Gothic" w:hAnsi="Verdana"/>
          <w:color w:val="2D659A"/>
          <w:szCs w:val="20"/>
        </w:rPr>
        <w:t xml:space="preserve">, as submitted under public consultation, </w:t>
      </w:r>
      <w:r w:rsidRPr="00D34E5C">
        <w:rPr>
          <w:rFonts w:ascii="Verdana" w:eastAsia="Century Gothic" w:hAnsi="Verdana"/>
          <w:color w:val="2D659A"/>
          <w:szCs w:val="20"/>
        </w:rPr>
        <w:t xml:space="preserve">and </w:t>
      </w:r>
      <w:r>
        <w:rPr>
          <w:rFonts w:ascii="Verdana" w:eastAsia="Century Gothic" w:hAnsi="Verdana"/>
          <w:color w:val="2D659A"/>
          <w:szCs w:val="20"/>
        </w:rPr>
        <w:t xml:space="preserve">SFD </w:t>
      </w:r>
      <w:r w:rsidRPr="00D34E5C">
        <w:rPr>
          <w:rFonts w:ascii="Verdana" w:eastAsia="Century Gothic" w:hAnsi="Verdana"/>
          <w:color w:val="2D659A"/>
          <w:szCs w:val="20"/>
        </w:rPr>
        <w:t>art</w:t>
      </w:r>
      <w:r>
        <w:rPr>
          <w:rFonts w:ascii="Verdana" w:eastAsia="Century Gothic" w:hAnsi="Verdana"/>
          <w:color w:val="2D659A"/>
          <w:szCs w:val="20"/>
        </w:rPr>
        <w:t>.</w:t>
      </w:r>
      <w:r w:rsidRPr="00D34E5C">
        <w:rPr>
          <w:rFonts w:ascii="Verdana" w:eastAsia="Century Gothic" w:hAnsi="Verdana"/>
          <w:color w:val="2D659A"/>
          <w:szCs w:val="20"/>
        </w:rPr>
        <w:t xml:space="preserve"> 8 and art</w:t>
      </w:r>
      <w:r>
        <w:rPr>
          <w:rFonts w:ascii="Verdana" w:eastAsia="Century Gothic" w:hAnsi="Verdana"/>
          <w:color w:val="2D659A"/>
          <w:szCs w:val="20"/>
        </w:rPr>
        <w:t>.</w:t>
      </w:r>
      <w:r w:rsidRPr="00D34E5C">
        <w:rPr>
          <w:rFonts w:ascii="Verdana" w:eastAsia="Century Gothic" w:hAnsi="Verdana"/>
          <w:color w:val="2D659A"/>
          <w:szCs w:val="20"/>
        </w:rPr>
        <w:t xml:space="preserve"> 9 (question 16) definitions. EBF members find that this new definition which refers to “financial instruments”, to </w:t>
      </w:r>
      <w:r>
        <w:rPr>
          <w:rFonts w:ascii="Verdana" w:eastAsia="Century Gothic" w:hAnsi="Verdana"/>
          <w:color w:val="2D659A"/>
          <w:szCs w:val="20"/>
        </w:rPr>
        <w:t xml:space="preserve">SFDR </w:t>
      </w:r>
      <w:r w:rsidRPr="00D34E5C">
        <w:rPr>
          <w:rFonts w:ascii="Verdana" w:eastAsia="Century Gothic" w:hAnsi="Verdana"/>
          <w:color w:val="2D659A"/>
          <w:szCs w:val="20"/>
        </w:rPr>
        <w:t xml:space="preserve">article 2(17) or indicators have made things even more confusing than before. </w:t>
      </w:r>
    </w:p>
    <w:p w14:paraId="16AE693A" w14:textId="77777777" w:rsidR="001E5DFD" w:rsidRPr="00D34E5C" w:rsidRDefault="001E5DFD" w:rsidP="001E5DFD">
      <w:pPr>
        <w:ind w:left="720"/>
        <w:jc w:val="both"/>
        <w:rPr>
          <w:rFonts w:ascii="Verdana" w:eastAsia="Century Gothic" w:hAnsi="Verdana"/>
          <w:color w:val="2D659A"/>
          <w:szCs w:val="20"/>
        </w:rPr>
      </w:pPr>
    </w:p>
    <w:p w14:paraId="3C078474" w14:textId="77777777" w:rsidR="001E5DFD" w:rsidRPr="00D34E5C" w:rsidRDefault="001E5DFD" w:rsidP="001E5DFD">
      <w:pPr>
        <w:ind w:left="720"/>
        <w:contextualSpacing/>
        <w:jc w:val="both"/>
        <w:rPr>
          <w:rFonts w:ascii="Verdana" w:eastAsia="Century Gothic" w:hAnsi="Verdana"/>
          <w:color w:val="2D659A"/>
          <w:szCs w:val="20"/>
        </w:rPr>
      </w:pPr>
      <w:r w:rsidRPr="00D34E5C">
        <w:rPr>
          <w:rFonts w:ascii="Verdana" w:eastAsia="Century Gothic" w:hAnsi="Verdana"/>
          <w:color w:val="2D659A"/>
          <w:szCs w:val="20"/>
        </w:rPr>
        <w:t xml:space="preserve">Strictly seen, stocks are no financial ‘products’ and have no ‘manufacturer’. </w:t>
      </w:r>
      <w:r>
        <w:rPr>
          <w:rFonts w:ascii="Verdana" w:eastAsia="Century Gothic" w:hAnsi="Verdana"/>
          <w:color w:val="2D659A"/>
          <w:szCs w:val="20"/>
        </w:rPr>
        <w:t>Stocks form a</w:t>
      </w:r>
      <w:r w:rsidRPr="00D34E5C">
        <w:rPr>
          <w:rFonts w:ascii="Verdana" w:eastAsia="Century Gothic" w:hAnsi="Verdana"/>
          <w:color w:val="2D659A"/>
          <w:szCs w:val="20"/>
        </w:rPr>
        <w:t xml:space="preserve"> critical component of most portfolios,</w:t>
      </w:r>
      <w:r>
        <w:rPr>
          <w:rFonts w:ascii="Verdana" w:eastAsia="Century Gothic" w:hAnsi="Verdana"/>
          <w:color w:val="2D659A"/>
          <w:szCs w:val="20"/>
        </w:rPr>
        <w:t xml:space="preserve"> but</w:t>
      </w:r>
      <w:r w:rsidRPr="00D34E5C">
        <w:rPr>
          <w:rFonts w:ascii="Verdana" w:eastAsia="Century Gothic" w:hAnsi="Verdana"/>
          <w:color w:val="2D659A"/>
          <w:szCs w:val="20"/>
        </w:rPr>
        <w:t xml:space="preserve"> cannot be considered as products and therefore not qualify as either an art. 8 or art. 9 product. </w:t>
      </w:r>
      <w:r>
        <w:rPr>
          <w:rFonts w:ascii="Verdana" w:eastAsia="Century Gothic" w:hAnsi="Verdana"/>
          <w:color w:val="2D659A"/>
          <w:szCs w:val="20"/>
        </w:rPr>
        <w:t>A</w:t>
      </w:r>
      <w:r w:rsidRPr="00D34E5C">
        <w:rPr>
          <w:rFonts w:ascii="Verdana" w:eastAsia="Century Gothic" w:hAnsi="Verdana"/>
          <w:color w:val="2D659A"/>
          <w:szCs w:val="20"/>
        </w:rPr>
        <w:t xml:space="preserve"> </w:t>
      </w:r>
      <w:r>
        <w:rPr>
          <w:rFonts w:ascii="Verdana" w:eastAsia="Century Gothic" w:hAnsi="Verdana"/>
          <w:color w:val="2D659A"/>
          <w:szCs w:val="20"/>
        </w:rPr>
        <w:t>managed portfolio or a fund, that</w:t>
      </w:r>
      <w:r w:rsidRPr="00D34E5C">
        <w:rPr>
          <w:rFonts w:ascii="Verdana" w:eastAsia="Century Gothic" w:hAnsi="Verdana"/>
          <w:color w:val="2D659A"/>
          <w:szCs w:val="20"/>
        </w:rPr>
        <w:t xml:space="preserve"> </w:t>
      </w:r>
      <w:r>
        <w:rPr>
          <w:rFonts w:ascii="Verdana" w:eastAsia="Century Gothic" w:hAnsi="Verdana"/>
          <w:color w:val="2D659A"/>
          <w:szCs w:val="20"/>
        </w:rPr>
        <w:t>are both in scope of</w:t>
      </w:r>
      <w:r w:rsidRPr="00D34E5C">
        <w:rPr>
          <w:rFonts w:ascii="Verdana" w:eastAsia="Century Gothic" w:hAnsi="Verdana"/>
          <w:color w:val="2D659A"/>
          <w:szCs w:val="20"/>
        </w:rPr>
        <w:t xml:space="preserve"> </w:t>
      </w:r>
      <w:r>
        <w:rPr>
          <w:rFonts w:ascii="Verdana" w:eastAsia="Century Gothic" w:hAnsi="Verdana"/>
          <w:color w:val="2D659A"/>
          <w:szCs w:val="20"/>
        </w:rPr>
        <w:t>SFDR</w:t>
      </w:r>
      <w:r w:rsidRPr="00D34E5C">
        <w:rPr>
          <w:rFonts w:ascii="Verdana" w:eastAsia="Century Gothic" w:hAnsi="Verdana"/>
          <w:color w:val="2D659A"/>
          <w:szCs w:val="20"/>
        </w:rPr>
        <w:t xml:space="preserve"> requirements, need information of the underlying stocks. These stocks in turn, are not considered as financial products and thus do not fall under the </w:t>
      </w:r>
      <w:r>
        <w:rPr>
          <w:rFonts w:ascii="Verdana" w:eastAsia="Century Gothic" w:hAnsi="Verdana"/>
          <w:color w:val="2D659A"/>
          <w:szCs w:val="20"/>
        </w:rPr>
        <w:t>SFDR</w:t>
      </w:r>
      <w:r w:rsidRPr="00D34E5C">
        <w:rPr>
          <w:rFonts w:ascii="Verdana" w:eastAsia="Century Gothic" w:hAnsi="Verdana"/>
          <w:color w:val="2D659A"/>
          <w:szCs w:val="20"/>
        </w:rPr>
        <w:t xml:space="preserve">. In addition, smaller issuers, as well as issuers in registered non-EU jurisdictions are not subject to the NFRD disclosure requirements. This leaves FMP’s rather in the dark on the ESG characteristics of the underlying securities. </w:t>
      </w:r>
    </w:p>
    <w:p w14:paraId="07711A54" w14:textId="77777777" w:rsidR="001E5DFD" w:rsidRPr="00D34E5C" w:rsidRDefault="001E5DFD" w:rsidP="001E5DFD">
      <w:pPr>
        <w:suppressAutoHyphens/>
        <w:spacing w:after="120"/>
        <w:contextualSpacing/>
        <w:jc w:val="both"/>
        <w:rPr>
          <w:rFonts w:ascii="Verdana" w:eastAsia="Century Gothic" w:hAnsi="Verdana"/>
          <w:color w:val="2D659A"/>
          <w:szCs w:val="20"/>
        </w:rPr>
      </w:pPr>
    </w:p>
    <w:p w14:paraId="190BC73C" w14:textId="77777777" w:rsidR="001E5DFD" w:rsidRDefault="001E5DFD" w:rsidP="001E5DFD">
      <w:pPr>
        <w:suppressAutoHyphens/>
        <w:ind w:left="708"/>
        <w:jc w:val="both"/>
        <w:rPr>
          <w:rFonts w:ascii="Verdana" w:eastAsia="Century Gothic" w:hAnsi="Verdana"/>
          <w:color w:val="2D659A"/>
          <w:szCs w:val="20"/>
        </w:rPr>
      </w:pPr>
      <w:r w:rsidRPr="00D34E5C">
        <w:rPr>
          <w:rFonts w:ascii="Verdana" w:eastAsia="Century Gothic" w:hAnsi="Verdana"/>
          <w:color w:val="2D659A"/>
          <w:szCs w:val="20"/>
        </w:rPr>
        <w:t xml:space="preserve">As long as the ‘producers’ of </w:t>
      </w:r>
      <w:r>
        <w:rPr>
          <w:rFonts w:ascii="Verdana" w:eastAsia="Century Gothic" w:hAnsi="Verdana"/>
          <w:color w:val="2D659A"/>
          <w:szCs w:val="20"/>
        </w:rPr>
        <w:t>MiFID instruments</w:t>
      </w:r>
      <w:r w:rsidRPr="00D34E5C">
        <w:rPr>
          <w:rFonts w:ascii="Verdana" w:eastAsia="Century Gothic" w:hAnsi="Verdana"/>
          <w:color w:val="2D659A"/>
          <w:szCs w:val="20"/>
        </w:rPr>
        <w:t xml:space="preserve"> are not legally required to provide information regarding to the ESG factors, it is not legitimate to put the obligation to provide the same information on the distributors. In this context it seems that, if </w:t>
      </w:r>
      <w:r>
        <w:rPr>
          <w:rFonts w:ascii="Verdana" w:eastAsia="Century Gothic" w:hAnsi="Verdana"/>
          <w:color w:val="2D659A"/>
          <w:szCs w:val="20"/>
        </w:rPr>
        <w:t xml:space="preserve">MiFID instruments (like stocks) </w:t>
      </w:r>
      <w:r w:rsidRPr="00D34E5C">
        <w:rPr>
          <w:rFonts w:ascii="Verdana" w:eastAsia="Century Gothic" w:hAnsi="Verdana"/>
          <w:color w:val="2D659A"/>
          <w:szCs w:val="20"/>
        </w:rPr>
        <w:t>are offered directly to the investors without the intervention of an investment firm, the ESG-factors do not have to be disclosed.</w:t>
      </w:r>
    </w:p>
    <w:p w14:paraId="73E6FD8B" w14:textId="77777777" w:rsidR="001E5DFD" w:rsidRPr="00D34E5C" w:rsidRDefault="001E5DFD" w:rsidP="001E5DFD">
      <w:pPr>
        <w:suppressAutoHyphens/>
        <w:ind w:left="708"/>
        <w:jc w:val="both"/>
        <w:rPr>
          <w:rFonts w:ascii="Verdana" w:eastAsia="Century Gothic" w:hAnsi="Verdana"/>
          <w:color w:val="2D659A"/>
          <w:szCs w:val="20"/>
        </w:rPr>
      </w:pPr>
    </w:p>
    <w:p w14:paraId="7F99B8E6" w14:textId="77777777" w:rsidR="001E5DFD" w:rsidRPr="00D34E5C" w:rsidRDefault="001E5DFD" w:rsidP="001313EE">
      <w:pPr>
        <w:numPr>
          <w:ilvl w:val="0"/>
          <w:numId w:val="46"/>
        </w:numPr>
        <w:suppressAutoHyphens/>
        <w:spacing w:after="120"/>
        <w:ind w:left="708"/>
        <w:contextualSpacing/>
        <w:jc w:val="both"/>
        <w:rPr>
          <w:rFonts w:ascii="Verdana" w:eastAsia="Century Gothic" w:hAnsi="Verdana"/>
          <w:color w:val="2D659A"/>
          <w:szCs w:val="20"/>
          <w:lang w:val="en-US"/>
        </w:rPr>
      </w:pPr>
      <w:bookmarkStart w:id="6" w:name="_Hlk43970258"/>
      <w:r w:rsidRPr="00D34E5C">
        <w:rPr>
          <w:rFonts w:ascii="Verdana" w:eastAsia="Century Gothic" w:hAnsi="Verdana"/>
          <w:b/>
          <w:bCs/>
          <w:color w:val="2D659A"/>
          <w:szCs w:val="20"/>
          <w:lang w:val="en-US"/>
        </w:rPr>
        <w:t xml:space="preserve">Level 2, Chapter II (‘Table 1’): </w:t>
      </w:r>
    </w:p>
    <w:bookmarkEnd w:id="6"/>
    <w:p w14:paraId="4757560D" w14:textId="77777777" w:rsidR="001E5DFD" w:rsidRDefault="001E5DFD" w:rsidP="001E5DFD">
      <w:pPr>
        <w:suppressAutoHyphens/>
        <w:ind w:left="708"/>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The definition of a principal adverse impact is not clear under the SFDR, but there are some useful references to establish the boundaries of such concept, namely the materiality underneath and the needed assessment by FMP, taking due the size nature and scale of their activities, for example recital (12) and (18) </w:t>
      </w:r>
    </w:p>
    <w:p w14:paraId="7C8D0C5B" w14:textId="77777777" w:rsidR="001E5DFD" w:rsidRPr="00D34E5C" w:rsidRDefault="001E5DFD" w:rsidP="001E5DFD">
      <w:pPr>
        <w:suppressAutoHyphens/>
        <w:ind w:left="708"/>
        <w:jc w:val="both"/>
        <w:rPr>
          <w:rFonts w:ascii="Verdana" w:eastAsia="Century Gothic" w:hAnsi="Verdana"/>
          <w:color w:val="2D659A"/>
          <w:szCs w:val="20"/>
          <w:lang w:val="en-US"/>
        </w:rPr>
      </w:pPr>
    </w:p>
    <w:p w14:paraId="4A2004E1" w14:textId="77777777" w:rsidR="001E5DFD" w:rsidRDefault="001E5DFD" w:rsidP="001E5DFD">
      <w:pPr>
        <w:suppressAutoHyphens/>
        <w:ind w:left="708"/>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SFDR Article 4 (1) also supports </w:t>
      </w:r>
      <w:r>
        <w:rPr>
          <w:rFonts w:ascii="Verdana" w:eastAsia="Century Gothic" w:hAnsi="Verdana"/>
          <w:color w:val="2D659A"/>
          <w:szCs w:val="20"/>
          <w:lang w:val="en-US"/>
        </w:rPr>
        <w:t>the</w:t>
      </w:r>
      <w:r w:rsidRPr="00D34E5C">
        <w:rPr>
          <w:rFonts w:ascii="Verdana" w:eastAsia="Century Gothic" w:hAnsi="Verdana"/>
          <w:color w:val="2D659A"/>
          <w:szCs w:val="20"/>
          <w:lang w:val="en-US"/>
        </w:rPr>
        <w:t xml:space="preserve"> views provided in these recitals given that “</w:t>
      </w:r>
      <w:r w:rsidRPr="00D34E5C">
        <w:rPr>
          <w:rFonts w:ascii="Verdana" w:eastAsia="Century Gothic" w:hAnsi="Verdana"/>
          <w:i/>
          <w:color w:val="2D659A"/>
          <w:szCs w:val="20"/>
          <w:lang w:val="en-US"/>
        </w:rPr>
        <w:t>financial market participants shall publish and maintain on their websites: (a) where they consider principal adverse impacts of investment decisions on sustainability factors, a statement on due diligence policies with respect to those impacts, taking due account of their size, the nature and scale of their activities and the types of financial products they make available</w:t>
      </w:r>
      <w:r w:rsidRPr="00D34E5C">
        <w:rPr>
          <w:rFonts w:ascii="Verdana" w:eastAsia="Century Gothic" w:hAnsi="Verdana"/>
          <w:color w:val="2D659A"/>
          <w:szCs w:val="20"/>
          <w:lang w:val="en-US"/>
        </w:rPr>
        <w:t>”.</w:t>
      </w:r>
    </w:p>
    <w:p w14:paraId="49681576" w14:textId="77777777" w:rsidR="001E5DFD" w:rsidRPr="00D34E5C" w:rsidRDefault="001E5DFD" w:rsidP="001E5DFD">
      <w:pPr>
        <w:suppressAutoHyphens/>
        <w:ind w:left="708"/>
        <w:jc w:val="both"/>
        <w:rPr>
          <w:rFonts w:ascii="Verdana" w:eastAsia="Century Gothic" w:hAnsi="Verdana"/>
          <w:color w:val="2D659A"/>
          <w:szCs w:val="20"/>
          <w:lang w:val="en-US"/>
        </w:rPr>
      </w:pPr>
    </w:p>
    <w:p w14:paraId="390C3505" w14:textId="77777777" w:rsidR="001E5DFD" w:rsidRDefault="001E5DFD" w:rsidP="001E5DFD">
      <w:pPr>
        <w:suppressAutoHyphens/>
        <w:ind w:left="708"/>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Therefore, </w:t>
      </w:r>
      <w:r w:rsidRPr="00573D6C">
        <w:rPr>
          <w:rFonts w:ascii="Verdana" w:eastAsia="Century Gothic" w:hAnsi="Verdana"/>
          <w:b/>
          <w:bCs/>
          <w:color w:val="2D659A"/>
          <w:szCs w:val="20"/>
          <w:lang w:val="en-US"/>
        </w:rPr>
        <w:t>the proposal that the indicators in Table 1 (Annex 1) always lead to principal adverse impacts irrespective of the value of the metrics, does not seem reasonable</w:t>
      </w:r>
      <w:r w:rsidRPr="00D34E5C">
        <w:rPr>
          <w:rFonts w:ascii="Verdana" w:eastAsia="Century Gothic" w:hAnsi="Verdana"/>
          <w:color w:val="2D659A"/>
          <w:szCs w:val="20"/>
          <w:lang w:val="en-US"/>
        </w:rPr>
        <w:t>, given that, we would be considering that irrespective of the value of principal adverse impact indicators, every FMP has to consider that minimum set of principal adverse impacts.</w:t>
      </w:r>
    </w:p>
    <w:p w14:paraId="245AE2E6" w14:textId="77777777" w:rsidR="001E5DFD" w:rsidRPr="00D34E5C" w:rsidRDefault="001E5DFD" w:rsidP="001E5DFD">
      <w:pPr>
        <w:suppressAutoHyphens/>
        <w:ind w:left="708"/>
        <w:jc w:val="both"/>
        <w:rPr>
          <w:rFonts w:ascii="Verdana" w:eastAsia="Century Gothic" w:hAnsi="Verdana"/>
          <w:color w:val="2D659A"/>
          <w:szCs w:val="20"/>
          <w:lang w:val="en-US"/>
        </w:rPr>
      </w:pPr>
    </w:p>
    <w:p w14:paraId="4DBF627A" w14:textId="77777777" w:rsidR="001E5DFD" w:rsidRDefault="001E5DFD" w:rsidP="001E5DFD">
      <w:pPr>
        <w:suppressAutoHyphens/>
        <w:ind w:left="708"/>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The mandatory principal adverse sustainability impacts as envisaged in article 6 seems to be contradictory with the purpose of informing investors of principal adverse impacts </w:t>
      </w:r>
      <w:r w:rsidRPr="00D34E5C">
        <w:rPr>
          <w:rFonts w:ascii="Verdana" w:eastAsia="Century Gothic" w:hAnsi="Verdana"/>
          <w:color w:val="2D659A"/>
          <w:szCs w:val="20"/>
          <w:lang w:val="en-US"/>
        </w:rPr>
        <w:lastRenderedPageBreak/>
        <w:t>of investment decisions on sustainability factors, where they are considered as such by FMP (article 4(1a)).</w:t>
      </w:r>
    </w:p>
    <w:p w14:paraId="4231C2C1" w14:textId="77777777" w:rsidR="001E5DFD" w:rsidRPr="00D34E5C" w:rsidRDefault="001E5DFD" w:rsidP="001E5DFD">
      <w:pPr>
        <w:suppressAutoHyphens/>
        <w:ind w:left="708"/>
        <w:jc w:val="both"/>
        <w:rPr>
          <w:rFonts w:ascii="Verdana" w:eastAsia="Century Gothic" w:hAnsi="Verdana"/>
          <w:color w:val="2D659A"/>
          <w:szCs w:val="20"/>
          <w:lang w:val="en-US"/>
        </w:rPr>
      </w:pPr>
    </w:p>
    <w:p w14:paraId="0A093730" w14:textId="77777777" w:rsidR="001E5DFD" w:rsidRDefault="001E5DFD" w:rsidP="001E5DFD">
      <w:pPr>
        <w:suppressAutoHyphens/>
        <w:ind w:left="708"/>
        <w:jc w:val="both"/>
        <w:rPr>
          <w:rFonts w:ascii="Verdana" w:eastAsia="Century Gothic" w:hAnsi="Verdana"/>
          <w:color w:val="2D659A"/>
          <w:szCs w:val="20"/>
          <w:lang w:val="en-US"/>
        </w:rPr>
      </w:pPr>
      <w:r w:rsidRPr="00D34E5C">
        <w:rPr>
          <w:rFonts w:ascii="Verdana" w:eastAsia="Century Gothic" w:hAnsi="Verdana"/>
          <w:color w:val="2D659A"/>
          <w:szCs w:val="20"/>
          <w:lang w:val="en-US"/>
        </w:rPr>
        <w:t>Furthermore, we also do not understand how this could move forward if a FMP does not consider adverse impacts of investment decisions on sustainability factors as it is envisaged by article 4(1b). A FMP which considers adverse impacts of investment decisions on sustainability factors would have a minimum set of principal adverse impacts to show, even if with the lowest values for such indicators (e.g. among peers), in spite of others with worse numbers, choose not to consider adverse impacts. One could ask if this could disincentivize FMPs to consider adverse impacts of investment decisions on sustainability factors, as envisaged by article 4(1a).</w:t>
      </w:r>
    </w:p>
    <w:p w14:paraId="1E96F472" w14:textId="77777777" w:rsidR="001E5DFD" w:rsidRPr="00D34E5C" w:rsidRDefault="001E5DFD" w:rsidP="001E5DFD">
      <w:pPr>
        <w:suppressAutoHyphens/>
        <w:ind w:left="708"/>
        <w:jc w:val="both"/>
        <w:rPr>
          <w:rFonts w:ascii="Verdana" w:eastAsia="Century Gothic" w:hAnsi="Verdana"/>
          <w:color w:val="2D659A"/>
          <w:szCs w:val="20"/>
          <w:lang w:val="en-US"/>
        </w:rPr>
      </w:pPr>
    </w:p>
    <w:p w14:paraId="202C823F" w14:textId="77777777" w:rsidR="001E5DFD" w:rsidRPr="00D34E5C" w:rsidRDefault="001E5DFD" w:rsidP="001E5DFD">
      <w:pPr>
        <w:ind w:left="708"/>
        <w:contextualSpacing/>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As a minimum standard, the ESAs </w:t>
      </w:r>
      <w:r>
        <w:rPr>
          <w:rFonts w:ascii="Verdana" w:eastAsia="Century Gothic" w:hAnsi="Verdana"/>
          <w:color w:val="2D659A"/>
          <w:szCs w:val="20"/>
          <w:lang w:val="en-US"/>
        </w:rPr>
        <w:t>could</w:t>
      </w:r>
      <w:r w:rsidRPr="00D34E5C">
        <w:rPr>
          <w:rFonts w:ascii="Verdana" w:eastAsia="Century Gothic" w:hAnsi="Verdana"/>
          <w:color w:val="2D659A"/>
          <w:szCs w:val="20"/>
          <w:lang w:val="en-US"/>
        </w:rPr>
        <w:t xml:space="preserve"> align the metrics in the Annex 1 Table 1 with references to the main relevant international standards and frameworks, included</w:t>
      </w:r>
      <w:r>
        <w:rPr>
          <w:rStyle w:val="FootnoteReference"/>
          <w:rFonts w:ascii="Verdana" w:eastAsia="Century Gothic" w:hAnsi="Verdana"/>
          <w:color w:val="2D659A"/>
          <w:szCs w:val="20"/>
          <w:lang w:val="en-US"/>
        </w:rPr>
        <w:footnoteReference w:id="3"/>
      </w:r>
      <w:r w:rsidRPr="00D34E5C">
        <w:rPr>
          <w:rFonts w:ascii="Verdana" w:eastAsia="Century Gothic" w:hAnsi="Verdana"/>
          <w:color w:val="2D659A"/>
          <w:szCs w:val="20"/>
          <w:lang w:val="en-US"/>
        </w:rPr>
        <w:t>:</w:t>
      </w:r>
    </w:p>
    <w:p w14:paraId="668D73A4" w14:textId="77777777" w:rsidR="001E5DFD" w:rsidRPr="00D34E5C" w:rsidRDefault="001E5DFD" w:rsidP="001313EE">
      <w:pPr>
        <w:numPr>
          <w:ilvl w:val="0"/>
          <w:numId w:val="45"/>
        </w:numPr>
        <w:suppressAutoHyphens/>
        <w:ind w:left="2148"/>
        <w:jc w:val="both"/>
        <w:rPr>
          <w:rFonts w:ascii="Verdana" w:eastAsia="Century Gothic" w:hAnsi="Verdana"/>
          <w:color w:val="2D659A"/>
          <w:szCs w:val="20"/>
          <w:lang w:val="en-US"/>
        </w:rPr>
      </w:pPr>
      <w:r w:rsidRPr="00D34E5C">
        <w:rPr>
          <w:rFonts w:ascii="Verdana" w:eastAsia="Century Gothic" w:hAnsi="Verdana"/>
          <w:color w:val="2D659A"/>
          <w:szCs w:val="20"/>
          <w:lang w:val="en-US"/>
        </w:rPr>
        <w:t>Recommendations of the Task Force on Climate-related Financial Disclosures (TCFD)</w:t>
      </w:r>
    </w:p>
    <w:p w14:paraId="5B9A42BA" w14:textId="77777777" w:rsidR="001E5DFD" w:rsidRPr="00D34E5C" w:rsidRDefault="001E5DFD" w:rsidP="001313EE">
      <w:pPr>
        <w:numPr>
          <w:ilvl w:val="0"/>
          <w:numId w:val="45"/>
        </w:numPr>
        <w:suppressAutoHyphens/>
        <w:ind w:left="2148"/>
        <w:jc w:val="both"/>
        <w:rPr>
          <w:rFonts w:ascii="Verdana" w:eastAsia="Century Gothic" w:hAnsi="Verdana"/>
          <w:color w:val="2D659A"/>
          <w:szCs w:val="20"/>
          <w:lang w:val="en-US"/>
        </w:rPr>
      </w:pPr>
      <w:r w:rsidRPr="00D34E5C">
        <w:rPr>
          <w:rFonts w:ascii="Verdana" w:eastAsia="Century Gothic" w:hAnsi="Verdana"/>
          <w:color w:val="2D659A"/>
          <w:szCs w:val="20"/>
          <w:lang w:val="en-US"/>
        </w:rPr>
        <w:t>Global Reporting Initiative (GRI)</w:t>
      </w:r>
    </w:p>
    <w:p w14:paraId="47FEC5D7" w14:textId="77777777" w:rsidR="001E5DFD" w:rsidRPr="00D34E5C" w:rsidRDefault="001E5DFD" w:rsidP="001313EE">
      <w:pPr>
        <w:numPr>
          <w:ilvl w:val="0"/>
          <w:numId w:val="45"/>
        </w:numPr>
        <w:suppressAutoHyphens/>
        <w:ind w:left="2148"/>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Objectives of Sustainable Development (SDGs) </w:t>
      </w:r>
    </w:p>
    <w:p w14:paraId="13F8B501" w14:textId="77777777" w:rsidR="001E5DFD" w:rsidRPr="00D34E5C" w:rsidRDefault="001E5DFD" w:rsidP="001313EE">
      <w:pPr>
        <w:numPr>
          <w:ilvl w:val="0"/>
          <w:numId w:val="45"/>
        </w:numPr>
        <w:suppressAutoHyphens/>
        <w:ind w:left="2148"/>
        <w:jc w:val="both"/>
        <w:rPr>
          <w:rFonts w:ascii="Verdana" w:eastAsia="Century Gothic" w:hAnsi="Verdana"/>
          <w:color w:val="2D659A"/>
          <w:szCs w:val="20"/>
          <w:lang w:val="en-US"/>
        </w:rPr>
      </w:pPr>
      <w:r w:rsidRPr="00D34E5C">
        <w:rPr>
          <w:rFonts w:ascii="Verdana" w:eastAsia="Century Gothic" w:hAnsi="Verdana"/>
          <w:color w:val="2D659A"/>
          <w:szCs w:val="20"/>
          <w:lang w:val="en-US"/>
        </w:rPr>
        <w:t>Corporate reporting dialogue</w:t>
      </w:r>
    </w:p>
    <w:p w14:paraId="4744B06B" w14:textId="77777777" w:rsidR="001E5DFD" w:rsidRPr="00D34E5C" w:rsidRDefault="001E5DFD" w:rsidP="001313EE">
      <w:pPr>
        <w:numPr>
          <w:ilvl w:val="0"/>
          <w:numId w:val="45"/>
        </w:numPr>
        <w:suppressAutoHyphens/>
        <w:ind w:left="2148"/>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Climate Disclosure Project (CDP) </w:t>
      </w:r>
    </w:p>
    <w:p w14:paraId="3130D688" w14:textId="77777777" w:rsidR="001E5DFD" w:rsidRPr="00D34E5C" w:rsidRDefault="001E5DFD" w:rsidP="001313EE">
      <w:pPr>
        <w:numPr>
          <w:ilvl w:val="0"/>
          <w:numId w:val="45"/>
        </w:numPr>
        <w:suppressAutoHyphens/>
        <w:ind w:left="2148"/>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Climate Disclosure Standards Board (CDSB), </w:t>
      </w:r>
    </w:p>
    <w:p w14:paraId="39A2FB32" w14:textId="77777777" w:rsidR="001E5DFD" w:rsidRPr="00D34E5C" w:rsidRDefault="001E5DFD" w:rsidP="001313EE">
      <w:pPr>
        <w:numPr>
          <w:ilvl w:val="0"/>
          <w:numId w:val="45"/>
        </w:numPr>
        <w:suppressAutoHyphens/>
        <w:ind w:left="2148"/>
        <w:jc w:val="both"/>
        <w:rPr>
          <w:rFonts w:ascii="Verdana" w:eastAsia="Century Gothic" w:hAnsi="Verdana"/>
          <w:color w:val="2D659A"/>
          <w:szCs w:val="20"/>
          <w:lang w:val="en-US"/>
        </w:rPr>
      </w:pPr>
      <w:r w:rsidRPr="00D34E5C">
        <w:rPr>
          <w:rFonts w:ascii="Verdana" w:eastAsia="Century Gothic" w:hAnsi="Verdana"/>
          <w:color w:val="2D659A"/>
          <w:szCs w:val="20"/>
          <w:lang w:val="en-US"/>
        </w:rPr>
        <w:t>Sustainability Accounting Standards Board (SASB)</w:t>
      </w:r>
    </w:p>
    <w:p w14:paraId="3C8B7432" w14:textId="77777777" w:rsidR="001E5DFD" w:rsidRPr="00D34E5C" w:rsidRDefault="001E5DFD" w:rsidP="001313EE">
      <w:pPr>
        <w:numPr>
          <w:ilvl w:val="0"/>
          <w:numId w:val="45"/>
        </w:numPr>
        <w:suppressAutoHyphens/>
        <w:ind w:left="2148"/>
        <w:jc w:val="both"/>
        <w:rPr>
          <w:rFonts w:ascii="Verdana" w:eastAsia="Century Gothic" w:hAnsi="Verdana"/>
          <w:color w:val="2D659A"/>
          <w:szCs w:val="20"/>
          <w:lang w:val="en-US"/>
        </w:rPr>
      </w:pPr>
      <w:r w:rsidRPr="00D34E5C">
        <w:rPr>
          <w:rFonts w:ascii="Verdana" w:eastAsia="Century Gothic" w:hAnsi="Verdana"/>
          <w:color w:val="2D659A"/>
          <w:szCs w:val="20"/>
          <w:lang w:val="en-US"/>
        </w:rPr>
        <w:t>International Integrated Reporting Council (IIRC)</w:t>
      </w:r>
    </w:p>
    <w:p w14:paraId="4CF5837F" w14:textId="77777777" w:rsidR="001E5DFD" w:rsidRPr="00D34E5C" w:rsidRDefault="001E5DFD" w:rsidP="001313EE">
      <w:pPr>
        <w:numPr>
          <w:ilvl w:val="0"/>
          <w:numId w:val="45"/>
        </w:numPr>
        <w:suppressAutoHyphens/>
        <w:ind w:left="2148"/>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Eco-management system EMAS </w:t>
      </w:r>
    </w:p>
    <w:p w14:paraId="01C2771B" w14:textId="77777777" w:rsidR="001E5DFD" w:rsidRPr="00D34E5C" w:rsidRDefault="001E5DFD" w:rsidP="001313EE">
      <w:pPr>
        <w:numPr>
          <w:ilvl w:val="0"/>
          <w:numId w:val="45"/>
        </w:numPr>
        <w:suppressAutoHyphens/>
        <w:ind w:left="2148"/>
        <w:jc w:val="both"/>
        <w:rPr>
          <w:rFonts w:ascii="Verdana" w:eastAsia="Century Gothic" w:hAnsi="Verdana"/>
          <w:color w:val="2D659A"/>
          <w:szCs w:val="20"/>
          <w:lang w:val="en-US"/>
        </w:rPr>
      </w:pPr>
      <w:r w:rsidRPr="00D34E5C">
        <w:rPr>
          <w:rFonts w:ascii="Verdana" w:eastAsia="Century Gothic" w:hAnsi="Verdana"/>
          <w:color w:val="2D659A"/>
          <w:szCs w:val="20"/>
          <w:lang w:val="en-US"/>
        </w:rPr>
        <w:t>United Nations Guiding Principles on Business and Human Rights (UNGPs)</w:t>
      </w:r>
    </w:p>
    <w:p w14:paraId="1C6003BA" w14:textId="77777777" w:rsidR="001E5DFD" w:rsidRPr="00D34E5C" w:rsidRDefault="001E5DFD" w:rsidP="001313EE">
      <w:pPr>
        <w:numPr>
          <w:ilvl w:val="0"/>
          <w:numId w:val="45"/>
        </w:numPr>
        <w:suppressAutoHyphens/>
        <w:ind w:left="2148"/>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OECD Guidelines for multinational enterprises </w:t>
      </w:r>
    </w:p>
    <w:p w14:paraId="2A7BC3E6" w14:textId="77777777" w:rsidR="001E5DFD" w:rsidRPr="00D34E5C" w:rsidRDefault="001E5DFD" w:rsidP="001313EE">
      <w:pPr>
        <w:numPr>
          <w:ilvl w:val="0"/>
          <w:numId w:val="45"/>
        </w:numPr>
        <w:suppressAutoHyphens/>
        <w:ind w:left="2148"/>
        <w:jc w:val="both"/>
        <w:rPr>
          <w:rFonts w:ascii="Verdana" w:eastAsia="Century Gothic" w:hAnsi="Verdana"/>
          <w:color w:val="2D659A"/>
          <w:szCs w:val="20"/>
          <w:lang w:val="en-US"/>
        </w:rPr>
      </w:pPr>
      <w:r w:rsidRPr="00D34E5C">
        <w:rPr>
          <w:rFonts w:ascii="Verdana" w:eastAsia="Century Gothic" w:hAnsi="Verdana"/>
          <w:color w:val="2D659A"/>
          <w:szCs w:val="20"/>
          <w:lang w:val="en-US"/>
        </w:rPr>
        <w:t>Tripartite Declaration of Principles concerning Multinational Enterprises and Social Policy (MNE Declaration)</w:t>
      </w:r>
    </w:p>
    <w:p w14:paraId="69172A6A" w14:textId="77777777" w:rsidR="001E5DFD" w:rsidRPr="00D34E5C" w:rsidRDefault="001E5DFD" w:rsidP="001313EE">
      <w:pPr>
        <w:numPr>
          <w:ilvl w:val="0"/>
          <w:numId w:val="45"/>
        </w:numPr>
        <w:suppressAutoHyphens/>
        <w:ind w:left="2148"/>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ISO 26000 – Social Responsibility  </w:t>
      </w:r>
    </w:p>
    <w:p w14:paraId="38C318DF" w14:textId="77777777" w:rsidR="001E5DFD" w:rsidRPr="00D34E5C" w:rsidRDefault="001E5DFD" w:rsidP="001E5DFD">
      <w:pPr>
        <w:suppressAutoHyphens/>
        <w:spacing w:after="120"/>
        <w:ind w:left="708"/>
        <w:jc w:val="both"/>
        <w:rPr>
          <w:rFonts w:ascii="Verdana" w:eastAsia="Century Gothic" w:hAnsi="Verdana"/>
          <w:color w:val="2D659A"/>
          <w:szCs w:val="20"/>
          <w:lang w:val="en-US"/>
        </w:rPr>
      </w:pPr>
    </w:p>
    <w:p w14:paraId="2F9E0039" w14:textId="77777777" w:rsidR="001E5DFD" w:rsidRDefault="001E5DFD" w:rsidP="001E5DFD">
      <w:pPr>
        <w:suppressAutoHyphens/>
        <w:ind w:left="708"/>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As far as it regards the reference to the NACE (Nomenclature des Activités Économiques dans la Communauté Européenne) we believe it is necessary to provide a matching table to the economic classifications used in practice by the financial world. Generally speaking, these classifications are those of data providers such as MSCI, Bloomberg, Thomson Reuters and others. At European level, similar work has been done for climate benchmarks (EU) 2019/2089. </w:t>
      </w:r>
    </w:p>
    <w:p w14:paraId="5B7B630C" w14:textId="77777777" w:rsidR="001E5DFD" w:rsidRPr="00D34E5C" w:rsidRDefault="001E5DFD" w:rsidP="001E5DFD">
      <w:pPr>
        <w:suppressAutoHyphens/>
        <w:ind w:left="708"/>
        <w:jc w:val="both"/>
        <w:rPr>
          <w:rFonts w:ascii="Verdana" w:eastAsia="Century Gothic" w:hAnsi="Verdana"/>
          <w:color w:val="2D659A"/>
          <w:szCs w:val="20"/>
          <w:lang w:val="en-US"/>
        </w:rPr>
      </w:pPr>
    </w:p>
    <w:p w14:paraId="2793A31F" w14:textId="77777777" w:rsidR="001E5DFD" w:rsidRPr="00D34E5C" w:rsidRDefault="001E5DFD" w:rsidP="001E5DFD">
      <w:pPr>
        <w:suppressAutoHyphens/>
        <w:ind w:left="708"/>
        <w:jc w:val="both"/>
        <w:rPr>
          <w:rFonts w:ascii="Verdana" w:eastAsia="Century Gothic" w:hAnsi="Verdana"/>
          <w:color w:val="2D659A"/>
          <w:szCs w:val="20"/>
          <w:lang w:val="en-US"/>
        </w:rPr>
      </w:pPr>
      <w:r w:rsidRPr="00D34E5C">
        <w:rPr>
          <w:rFonts w:ascii="Verdana" w:eastAsia="Century Gothic" w:hAnsi="Verdana"/>
          <w:color w:val="2D659A"/>
          <w:szCs w:val="20"/>
          <w:lang w:val="en-US"/>
        </w:rPr>
        <w:t>This is important because it maintains consistency and reliability in the data. The climate transition benchmark handbook in Annex b lists these tables. This directly affects the data providers that will have to prepare their systems and align with the NACE classification, on which all sustainable taxonomy is based.</w:t>
      </w:r>
    </w:p>
    <w:p w14:paraId="65E594FB" w14:textId="77777777" w:rsidR="001E5DFD" w:rsidRPr="00D34E5C" w:rsidRDefault="001E5DFD" w:rsidP="001E5DFD">
      <w:pPr>
        <w:suppressAutoHyphens/>
        <w:spacing w:after="120"/>
        <w:jc w:val="both"/>
        <w:rPr>
          <w:rFonts w:ascii="Verdana" w:eastAsia="Century Gothic" w:hAnsi="Verdana"/>
          <w:color w:val="2D659A"/>
          <w:szCs w:val="20"/>
          <w:lang w:val="en-US"/>
        </w:rPr>
      </w:pPr>
    </w:p>
    <w:p w14:paraId="33914E48" w14:textId="77777777" w:rsidR="001E5DFD" w:rsidRPr="00D34E5C" w:rsidRDefault="001E5DFD" w:rsidP="001313EE">
      <w:pPr>
        <w:numPr>
          <w:ilvl w:val="0"/>
          <w:numId w:val="46"/>
        </w:numPr>
        <w:suppressAutoHyphens/>
        <w:spacing w:after="120"/>
        <w:contextualSpacing/>
        <w:jc w:val="both"/>
        <w:rPr>
          <w:rFonts w:ascii="Verdana" w:eastAsia="Century Gothic" w:hAnsi="Verdana"/>
          <w:color w:val="2D659A"/>
          <w:szCs w:val="20"/>
          <w:lang w:val="en-US"/>
        </w:rPr>
      </w:pPr>
      <w:bookmarkStart w:id="7" w:name="_Hlk43970334"/>
      <w:r w:rsidRPr="00D34E5C">
        <w:rPr>
          <w:rFonts w:ascii="Verdana" w:eastAsia="Century Gothic" w:hAnsi="Verdana"/>
          <w:b/>
          <w:bCs/>
          <w:color w:val="2D659A"/>
          <w:szCs w:val="20"/>
          <w:lang w:val="en-US"/>
        </w:rPr>
        <w:t>Level 2 Article 11.</w:t>
      </w:r>
      <w:bookmarkEnd w:id="7"/>
      <w:r w:rsidRPr="00D34E5C">
        <w:rPr>
          <w:rFonts w:ascii="Verdana" w:eastAsia="Century Gothic" w:hAnsi="Verdana"/>
          <w:b/>
          <w:bCs/>
          <w:color w:val="2D659A"/>
          <w:szCs w:val="20"/>
          <w:lang w:val="en-US"/>
        </w:rPr>
        <w:t xml:space="preserve"> </w:t>
      </w:r>
      <w:r w:rsidRPr="00C10040">
        <w:rPr>
          <w:rFonts w:ascii="Verdana" w:eastAsia="Century Gothic" w:hAnsi="Verdana"/>
          <w:b/>
          <w:bCs/>
          <w:color w:val="2D659A"/>
          <w:szCs w:val="20"/>
          <w:lang w:val="en-US"/>
        </w:rPr>
        <w:t>Definition of “make available”</w:t>
      </w:r>
      <w:r w:rsidRPr="00D34E5C">
        <w:rPr>
          <w:rFonts w:ascii="Verdana" w:eastAsia="Century Gothic" w:hAnsi="Verdana"/>
          <w:color w:val="2D659A"/>
          <w:szCs w:val="20"/>
          <w:lang w:val="en-US"/>
        </w:rPr>
        <w:t xml:space="preserve">: There is no formal definition in the SFDR as to the meaning of ‘make available’. Further clarification will be required from the ESA’s, including as to whether it is limited to active marketing by the FMP, or whether it also includes distribution of a FMP’s products through third parties, or products sold exclusively in response to reverse enquiries. </w:t>
      </w:r>
    </w:p>
    <w:p w14:paraId="6874E59D" w14:textId="77777777" w:rsidR="001E5DFD" w:rsidRPr="00D34E5C" w:rsidRDefault="001E5DFD" w:rsidP="001E5DFD">
      <w:pPr>
        <w:suppressAutoHyphens/>
        <w:spacing w:after="120"/>
        <w:ind w:left="720"/>
        <w:contextualSpacing/>
        <w:jc w:val="both"/>
        <w:rPr>
          <w:rFonts w:ascii="Verdana" w:eastAsia="Century Gothic" w:hAnsi="Verdana"/>
          <w:color w:val="2D659A"/>
          <w:szCs w:val="20"/>
          <w:lang w:val="en-US"/>
        </w:rPr>
      </w:pPr>
    </w:p>
    <w:p w14:paraId="6799A07C" w14:textId="77777777" w:rsidR="001E5DFD" w:rsidRPr="00D34E5C" w:rsidRDefault="001E5DFD" w:rsidP="001E5DFD">
      <w:pPr>
        <w:suppressAutoHyphens/>
        <w:spacing w:after="120"/>
        <w:ind w:left="720"/>
        <w:contextualSpacing/>
        <w:jc w:val="both"/>
        <w:rPr>
          <w:rFonts w:ascii="Verdana" w:eastAsia="Century Gothic" w:hAnsi="Verdana"/>
          <w:color w:val="2D659A"/>
          <w:szCs w:val="20"/>
          <w:lang w:val="en-US"/>
        </w:rPr>
      </w:pPr>
      <w:r w:rsidRPr="00D34E5C">
        <w:rPr>
          <w:rFonts w:ascii="Verdana" w:eastAsia="Century Gothic" w:hAnsi="Verdana"/>
          <w:color w:val="2D659A"/>
          <w:szCs w:val="20"/>
          <w:lang w:val="en-US"/>
        </w:rPr>
        <w:lastRenderedPageBreak/>
        <w:t>In short, we would consider a content “made available” when posted on a website in a way that is easily detectable and user friendly for the final customers.</w:t>
      </w:r>
    </w:p>
    <w:p w14:paraId="0BAE96D5" w14:textId="77777777" w:rsidR="001E5DFD" w:rsidRPr="00D34E5C" w:rsidRDefault="001E5DFD" w:rsidP="001E5DFD">
      <w:pPr>
        <w:spacing w:after="120"/>
        <w:ind w:left="720"/>
        <w:contextualSpacing/>
        <w:jc w:val="both"/>
        <w:rPr>
          <w:rFonts w:ascii="Verdana" w:eastAsia="Century Gothic" w:hAnsi="Verdana"/>
          <w:color w:val="2D659A"/>
          <w:szCs w:val="20"/>
          <w:lang w:val="en-US"/>
        </w:rPr>
      </w:pPr>
    </w:p>
    <w:p w14:paraId="43DD1E6E" w14:textId="77777777" w:rsidR="001E5DFD" w:rsidRPr="00D34E5C" w:rsidRDefault="001E5DFD" w:rsidP="001313EE">
      <w:pPr>
        <w:numPr>
          <w:ilvl w:val="0"/>
          <w:numId w:val="46"/>
        </w:numPr>
        <w:suppressAutoHyphens/>
        <w:spacing w:after="120"/>
        <w:contextualSpacing/>
        <w:jc w:val="both"/>
        <w:rPr>
          <w:rFonts w:ascii="Verdana" w:eastAsia="Century Gothic" w:hAnsi="Verdana"/>
          <w:color w:val="2D659A"/>
          <w:szCs w:val="20"/>
          <w:lang w:val="en-US"/>
        </w:rPr>
      </w:pPr>
      <w:bookmarkStart w:id="8" w:name="_Hlk43970341"/>
      <w:r w:rsidRPr="00D34E5C">
        <w:rPr>
          <w:rFonts w:ascii="Verdana" w:eastAsia="Century Gothic" w:hAnsi="Verdana"/>
          <w:b/>
          <w:bCs/>
          <w:color w:val="2D659A"/>
          <w:szCs w:val="20"/>
          <w:lang w:val="en-US"/>
        </w:rPr>
        <w:t>Level 2 Article 12</w:t>
      </w:r>
      <w:r>
        <w:rPr>
          <w:rFonts w:ascii="Verdana" w:eastAsia="Century Gothic" w:hAnsi="Verdana"/>
          <w:b/>
          <w:bCs/>
          <w:color w:val="2D659A"/>
          <w:szCs w:val="20"/>
          <w:lang w:val="en-US"/>
        </w:rPr>
        <w:t>.</w:t>
      </w:r>
      <w:r w:rsidRPr="00D34E5C">
        <w:rPr>
          <w:rFonts w:ascii="Verdana" w:eastAsia="Century Gothic" w:hAnsi="Verdana"/>
          <w:b/>
          <w:bCs/>
          <w:color w:val="2D659A"/>
          <w:szCs w:val="20"/>
          <w:lang w:val="en-US"/>
        </w:rPr>
        <w:t xml:space="preserve"> </w:t>
      </w:r>
      <w:bookmarkEnd w:id="8"/>
      <w:r w:rsidRPr="0009787D">
        <w:rPr>
          <w:rFonts w:ascii="Verdana" w:eastAsia="Century Gothic" w:hAnsi="Verdana"/>
          <w:color w:val="2D659A"/>
          <w:szCs w:val="20"/>
          <w:lang w:val="en-US"/>
        </w:rPr>
        <w:t xml:space="preserve">We also believe it is important to </w:t>
      </w:r>
      <w:r w:rsidRPr="00C10040">
        <w:rPr>
          <w:rFonts w:ascii="Verdana" w:eastAsia="Century Gothic" w:hAnsi="Verdana"/>
          <w:b/>
          <w:bCs/>
          <w:color w:val="2D659A"/>
          <w:szCs w:val="20"/>
          <w:lang w:val="en-US"/>
        </w:rPr>
        <w:t>clarify the scope in terms of financial products</w:t>
      </w:r>
      <w:r w:rsidRPr="0009787D">
        <w:rPr>
          <w:rFonts w:ascii="Verdana" w:eastAsia="Century Gothic" w:hAnsi="Verdana"/>
          <w:color w:val="2D659A"/>
          <w:szCs w:val="20"/>
          <w:lang w:val="en-US"/>
        </w:rPr>
        <w:t xml:space="preserve"> covered by the financial adviser adverse sustainability impacts statement as: </w:t>
      </w:r>
      <w:r>
        <w:rPr>
          <w:rFonts w:ascii="Verdana" w:eastAsia="Century Gothic" w:hAnsi="Verdana"/>
          <w:color w:val="2D659A"/>
          <w:szCs w:val="20"/>
          <w:lang w:val="en-US"/>
        </w:rPr>
        <w:t>a portfolio managed</w:t>
      </w:r>
      <w:r w:rsidRPr="0009787D">
        <w:rPr>
          <w:rFonts w:ascii="Verdana" w:eastAsia="Century Gothic" w:hAnsi="Verdana"/>
          <w:color w:val="2D659A"/>
          <w:szCs w:val="20"/>
          <w:lang w:val="en-US"/>
        </w:rPr>
        <w:t>; (b) an alternative investment fund (AIF); (c) an IBIP; (d) a pension product; (e) a pension scheme; (f) a UCITS; or (g) a PEPP.</w:t>
      </w:r>
    </w:p>
    <w:p w14:paraId="14E52C84" w14:textId="77777777" w:rsidR="001E5DFD" w:rsidRPr="00D34E5C" w:rsidRDefault="001E5DFD" w:rsidP="001E5DFD">
      <w:pPr>
        <w:spacing w:after="120"/>
        <w:ind w:left="720"/>
        <w:contextualSpacing/>
        <w:jc w:val="both"/>
        <w:rPr>
          <w:rFonts w:ascii="Verdana" w:eastAsia="Century Gothic" w:hAnsi="Verdana"/>
          <w:color w:val="2D659A"/>
          <w:szCs w:val="20"/>
          <w:lang w:val="en-US"/>
        </w:rPr>
      </w:pPr>
    </w:p>
    <w:p w14:paraId="36E99387" w14:textId="77777777" w:rsidR="001E5DFD" w:rsidRPr="00D34E5C" w:rsidRDefault="001E5DFD" w:rsidP="001E5DFD">
      <w:pPr>
        <w:spacing w:after="120"/>
        <w:ind w:left="720"/>
        <w:contextualSpacing/>
        <w:jc w:val="both"/>
        <w:rPr>
          <w:rFonts w:ascii="Verdana" w:eastAsia="Century Gothic" w:hAnsi="Verdana"/>
          <w:color w:val="2D659A"/>
          <w:szCs w:val="20"/>
          <w:lang w:val="en-US"/>
        </w:rPr>
      </w:pPr>
      <w:r w:rsidRPr="00D34E5C">
        <w:rPr>
          <w:rFonts w:ascii="Verdana" w:eastAsia="Century Gothic" w:hAnsi="Verdana"/>
          <w:color w:val="2D659A"/>
          <w:szCs w:val="20"/>
          <w:lang w:val="en-US"/>
        </w:rPr>
        <w:t>We expect that the same clarity and timeline is provided to the financial adviser adverse sustainability statement referred to in Article 12 of the draft RTS</w:t>
      </w:r>
      <w:r>
        <w:rPr>
          <w:rFonts w:ascii="Verdana" w:eastAsia="Century Gothic" w:hAnsi="Verdana"/>
          <w:color w:val="2D659A"/>
          <w:szCs w:val="20"/>
          <w:lang w:val="en-US"/>
        </w:rPr>
        <w:t xml:space="preserve"> as: </w:t>
      </w:r>
    </w:p>
    <w:p w14:paraId="39CD7823" w14:textId="77777777" w:rsidR="001E5DFD" w:rsidRPr="00D34E5C" w:rsidRDefault="001E5DFD" w:rsidP="001313EE">
      <w:pPr>
        <w:numPr>
          <w:ilvl w:val="0"/>
          <w:numId w:val="47"/>
        </w:numPr>
        <w:suppressAutoHyphens/>
        <w:spacing w:after="120"/>
        <w:ind w:left="1440"/>
        <w:contextualSpacing/>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according to Article 2 (12) of SFDR ‘financial product’ means: (a) a portfolio </w:t>
      </w:r>
    </w:p>
    <w:p w14:paraId="1A86A53E" w14:textId="77777777" w:rsidR="001E5DFD" w:rsidRPr="00D34E5C" w:rsidRDefault="001E5DFD" w:rsidP="001313EE">
      <w:pPr>
        <w:numPr>
          <w:ilvl w:val="0"/>
          <w:numId w:val="47"/>
        </w:numPr>
        <w:suppressAutoHyphens/>
        <w:spacing w:after="120"/>
        <w:ind w:left="1440"/>
        <w:contextualSpacing/>
        <w:jc w:val="both"/>
        <w:rPr>
          <w:rFonts w:ascii="Verdana" w:eastAsia="Century Gothic" w:hAnsi="Verdana"/>
          <w:color w:val="2D659A"/>
          <w:szCs w:val="20"/>
          <w:lang w:val="en-US"/>
        </w:rPr>
      </w:pPr>
      <w:r w:rsidRPr="00D34E5C">
        <w:rPr>
          <w:rFonts w:ascii="Verdana" w:eastAsia="Century Gothic" w:hAnsi="Verdana"/>
          <w:color w:val="2D659A"/>
          <w:szCs w:val="20"/>
          <w:lang w:val="en-US"/>
        </w:rPr>
        <w:t>the catalogue of products under investment advice is much larger, including any type of financial instrument;</w:t>
      </w:r>
    </w:p>
    <w:p w14:paraId="3A7DFCC9" w14:textId="77777777" w:rsidR="001E5DFD" w:rsidRPr="00D34E5C" w:rsidRDefault="001E5DFD" w:rsidP="001313EE">
      <w:pPr>
        <w:numPr>
          <w:ilvl w:val="0"/>
          <w:numId w:val="47"/>
        </w:numPr>
        <w:suppressAutoHyphens/>
        <w:spacing w:after="120"/>
        <w:ind w:left="1440"/>
        <w:contextualSpacing/>
        <w:jc w:val="both"/>
        <w:rPr>
          <w:rFonts w:ascii="Verdana" w:eastAsia="Century Gothic" w:hAnsi="Verdana"/>
          <w:color w:val="2D659A"/>
          <w:szCs w:val="20"/>
          <w:lang w:val="en-US"/>
        </w:rPr>
      </w:pPr>
      <w:r w:rsidRPr="00D34E5C">
        <w:rPr>
          <w:rFonts w:ascii="Verdana" w:eastAsia="Century Gothic" w:hAnsi="Verdana"/>
          <w:color w:val="2D659A"/>
          <w:szCs w:val="20"/>
          <w:lang w:val="en-US"/>
        </w:rPr>
        <w:t>according to Article 6 (2) of the SFDR financial advisers shall include descriptions in pre</w:t>
      </w:r>
      <w:r w:rsidRPr="00D34E5C">
        <w:rPr>
          <w:rFonts w:ascii="Cambria Math" w:eastAsia="Century Gothic" w:hAnsi="Cambria Math" w:cs="Cambria Math"/>
          <w:color w:val="2D659A"/>
          <w:szCs w:val="20"/>
          <w:lang w:val="en-US"/>
        </w:rPr>
        <w:t>‐</w:t>
      </w:r>
      <w:r w:rsidRPr="00D34E5C">
        <w:rPr>
          <w:rFonts w:ascii="Verdana" w:eastAsia="Century Gothic" w:hAnsi="Verdana"/>
          <w:color w:val="2D659A"/>
          <w:szCs w:val="20"/>
          <w:lang w:val="en-US"/>
        </w:rPr>
        <w:t>contractual disclosures of: (a) the manner in which sustainability risks are integrated into their investment or insurance advice; and (b) the result of the assessment of the likely impacts of sustainability risks on the returns of the financial products they advise on;</w:t>
      </w:r>
    </w:p>
    <w:p w14:paraId="0E578CE1" w14:textId="77777777" w:rsidR="001E5DFD" w:rsidRPr="00D34E5C" w:rsidRDefault="001E5DFD" w:rsidP="001313EE">
      <w:pPr>
        <w:numPr>
          <w:ilvl w:val="0"/>
          <w:numId w:val="47"/>
        </w:numPr>
        <w:suppressAutoHyphens/>
        <w:spacing w:after="120"/>
        <w:ind w:left="1440"/>
        <w:contextualSpacing/>
        <w:jc w:val="both"/>
        <w:rPr>
          <w:rFonts w:ascii="Verdana" w:eastAsia="Century Gothic" w:hAnsi="Verdana"/>
          <w:color w:val="2D659A"/>
          <w:szCs w:val="20"/>
          <w:lang w:val="en-US"/>
        </w:rPr>
      </w:pPr>
      <w:r w:rsidRPr="00D34E5C">
        <w:rPr>
          <w:rFonts w:ascii="Verdana" w:eastAsia="Century Gothic" w:hAnsi="Verdana"/>
          <w:color w:val="2D659A"/>
          <w:szCs w:val="20"/>
          <w:lang w:val="en-US"/>
        </w:rPr>
        <w:t>according to the proposed amendments to Article 52 of MiFID II Delegated Regulation 2017/565 investment firms shall provide a description of: (a) the types of financial instruments considered; (b) the range of financial instruments and providers, analysed per each type of instrument according to the scope of the service; (c) when providing independent advice, how the service provided satisfies the conditions for the provision of investment advice on an independent basis; (d) the factors taken into consideration in the selection process used by the investment firm to recommend financial instruments, including risks, costs and complexity of the financial instruments, including any sustainability factors.”;</w:t>
      </w:r>
    </w:p>
    <w:p w14:paraId="4FC44FC1" w14:textId="77777777" w:rsidR="001E5DFD" w:rsidRPr="00D34E5C" w:rsidRDefault="001E5DFD" w:rsidP="001313EE">
      <w:pPr>
        <w:numPr>
          <w:ilvl w:val="0"/>
          <w:numId w:val="47"/>
        </w:numPr>
        <w:suppressAutoHyphens/>
        <w:spacing w:after="120"/>
        <w:ind w:left="1440"/>
        <w:contextualSpacing/>
        <w:jc w:val="both"/>
        <w:rPr>
          <w:rFonts w:ascii="Verdana" w:eastAsia="Century Gothic" w:hAnsi="Verdana"/>
          <w:color w:val="2D659A"/>
          <w:szCs w:val="20"/>
          <w:lang w:val="en-US"/>
        </w:rPr>
      </w:pPr>
      <w:r w:rsidRPr="00D34E5C">
        <w:rPr>
          <w:rFonts w:ascii="Verdana" w:eastAsia="Century Gothic" w:hAnsi="Verdana"/>
          <w:color w:val="2D659A"/>
          <w:szCs w:val="20"/>
          <w:lang w:val="en-US"/>
        </w:rPr>
        <w:t>all the above mentioned types of disclosure must be consistent and coordinated.</w:t>
      </w:r>
    </w:p>
    <w:p w14:paraId="39348BE9" w14:textId="77777777" w:rsidR="001E5DFD" w:rsidRPr="00D34E5C" w:rsidRDefault="001E5DFD" w:rsidP="001E5DFD">
      <w:pPr>
        <w:spacing w:after="120"/>
        <w:ind w:left="720"/>
        <w:contextualSpacing/>
        <w:jc w:val="both"/>
        <w:rPr>
          <w:rFonts w:ascii="Verdana" w:eastAsia="Century Gothic" w:hAnsi="Verdana"/>
          <w:color w:val="2D659A"/>
          <w:szCs w:val="20"/>
          <w:lang w:val="en-US"/>
        </w:rPr>
      </w:pPr>
    </w:p>
    <w:p w14:paraId="2FE83998" w14:textId="77777777" w:rsidR="001E5DFD" w:rsidRDefault="001E5DFD" w:rsidP="001313EE">
      <w:pPr>
        <w:numPr>
          <w:ilvl w:val="0"/>
          <w:numId w:val="46"/>
        </w:numPr>
        <w:suppressAutoHyphens/>
        <w:jc w:val="both"/>
        <w:rPr>
          <w:rFonts w:ascii="Verdana" w:eastAsia="Century Gothic" w:hAnsi="Verdana"/>
          <w:color w:val="2D659A"/>
          <w:szCs w:val="20"/>
          <w:lang w:val="en-US"/>
        </w:rPr>
      </w:pPr>
      <w:bookmarkStart w:id="9" w:name="_Hlk43970362"/>
      <w:bookmarkStart w:id="10" w:name="_Hlk43971354"/>
      <w:r w:rsidRPr="00D34E5C">
        <w:rPr>
          <w:rFonts w:ascii="Verdana" w:eastAsia="Century Gothic" w:hAnsi="Verdana"/>
          <w:b/>
          <w:bCs/>
          <w:color w:val="2D659A"/>
          <w:szCs w:val="20"/>
          <w:lang w:val="en-US"/>
        </w:rPr>
        <w:t>Level 2 Article 14</w:t>
      </w:r>
      <w:r w:rsidRPr="00D34E5C">
        <w:rPr>
          <w:rFonts w:ascii="Verdana" w:eastAsia="Century Gothic" w:hAnsi="Verdana"/>
          <w:color w:val="2D659A"/>
          <w:szCs w:val="20"/>
          <w:lang w:val="en-US"/>
        </w:rPr>
        <w:t xml:space="preserve"> </w:t>
      </w:r>
      <w:r w:rsidRPr="00D34E5C">
        <w:rPr>
          <w:rFonts w:ascii="Verdana" w:eastAsia="Century Gothic" w:hAnsi="Verdana"/>
          <w:b/>
          <w:bCs/>
          <w:color w:val="2D659A"/>
          <w:szCs w:val="20"/>
          <w:lang w:val="en-US"/>
        </w:rPr>
        <w:t>para 1b and Art 16</w:t>
      </w:r>
      <w:r w:rsidRPr="00D34E5C">
        <w:rPr>
          <w:rFonts w:ascii="Verdana" w:eastAsia="Century Gothic" w:hAnsi="Verdana"/>
          <w:color w:val="2D659A"/>
          <w:szCs w:val="20"/>
          <w:lang w:val="en-US"/>
        </w:rPr>
        <w:t xml:space="preserve"> </w:t>
      </w:r>
      <w:bookmarkEnd w:id="9"/>
      <w:r w:rsidRPr="00D34E5C">
        <w:rPr>
          <w:rFonts w:ascii="Verdana" w:eastAsia="Century Gothic" w:hAnsi="Verdana"/>
          <w:color w:val="2D659A"/>
          <w:szCs w:val="20"/>
          <w:lang w:val="en-US"/>
        </w:rPr>
        <w:t xml:space="preserve">“no sustainable investment objective”: </w:t>
      </w:r>
      <w:r>
        <w:rPr>
          <w:rFonts w:ascii="Verdana" w:eastAsia="Century Gothic" w:hAnsi="Verdana"/>
          <w:color w:val="2D659A"/>
          <w:szCs w:val="20"/>
          <w:lang w:val="en-US"/>
        </w:rPr>
        <w:t>t</w:t>
      </w:r>
      <w:r w:rsidRPr="00D34E5C">
        <w:rPr>
          <w:rFonts w:ascii="Verdana" w:eastAsia="Century Gothic" w:hAnsi="Verdana"/>
          <w:color w:val="2D659A"/>
          <w:szCs w:val="20"/>
          <w:lang w:val="en-US"/>
        </w:rPr>
        <w:t xml:space="preserve">his sentence could be confusing for customers especially with regard to the information provided in Art 16 para 2. A positive wording would be better </w:t>
      </w:r>
      <w:r>
        <w:rPr>
          <w:rFonts w:ascii="Verdana" w:eastAsia="Century Gothic" w:hAnsi="Verdana"/>
          <w:color w:val="2D659A"/>
          <w:szCs w:val="20"/>
          <w:lang w:val="en-US"/>
        </w:rPr>
        <w:t>e.g.</w:t>
      </w:r>
      <w:r w:rsidRPr="00D34E5C">
        <w:rPr>
          <w:rFonts w:ascii="Verdana" w:eastAsia="Century Gothic" w:hAnsi="Verdana"/>
          <w:color w:val="2D659A"/>
          <w:szCs w:val="20"/>
          <w:lang w:val="en-US"/>
        </w:rPr>
        <w:t xml:space="preserve"> </w:t>
      </w:r>
      <w:r>
        <w:rPr>
          <w:rFonts w:ascii="Verdana" w:eastAsia="Century Gothic" w:hAnsi="Verdana"/>
          <w:color w:val="2D659A"/>
          <w:szCs w:val="20"/>
          <w:lang w:val="en-US"/>
        </w:rPr>
        <w:t>“</w:t>
      </w:r>
      <w:r w:rsidRPr="00D34E5C">
        <w:rPr>
          <w:rFonts w:ascii="Verdana" w:eastAsia="Century Gothic" w:hAnsi="Verdana"/>
          <w:color w:val="2D659A"/>
          <w:szCs w:val="20"/>
          <w:lang w:val="en-US"/>
        </w:rPr>
        <w:t>This investment only promotes environmental and/or social characteristics (and is no sustainable investment in the meaning of the EU-Taxonomy).”</w:t>
      </w:r>
    </w:p>
    <w:p w14:paraId="7AF64EC9" w14:textId="77777777" w:rsidR="001E5DFD" w:rsidRPr="00D34E5C" w:rsidRDefault="001E5DFD" w:rsidP="001E5DFD">
      <w:pPr>
        <w:suppressAutoHyphens/>
        <w:ind w:left="720"/>
        <w:jc w:val="both"/>
        <w:rPr>
          <w:rFonts w:ascii="Verdana" w:eastAsia="Century Gothic" w:hAnsi="Verdana"/>
          <w:color w:val="2D659A"/>
          <w:szCs w:val="20"/>
          <w:lang w:val="en-US"/>
        </w:rPr>
      </w:pPr>
    </w:p>
    <w:p w14:paraId="56397BAA" w14:textId="77777777" w:rsidR="001E5DFD" w:rsidRPr="00D34E5C" w:rsidRDefault="001E5DFD" w:rsidP="001313EE">
      <w:pPr>
        <w:numPr>
          <w:ilvl w:val="0"/>
          <w:numId w:val="46"/>
        </w:numPr>
        <w:suppressAutoHyphens/>
        <w:contextualSpacing/>
        <w:jc w:val="both"/>
        <w:rPr>
          <w:rFonts w:ascii="Verdana" w:eastAsia="Century Gothic" w:hAnsi="Verdana"/>
          <w:color w:val="2D659A"/>
          <w:szCs w:val="20"/>
          <w:lang w:val="en-US"/>
        </w:rPr>
      </w:pPr>
      <w:bookmarkStart w:id="11" w:name="_Hlk43970370"/>
      <w:r w:rsidRPr="00D34E5C">
        <w:rPr>
          <w:rFonts w:ascii="Verdana" w:eastAsia="Century Gothic" w:hAnsi="Verdana"/>
          <w:b/>
          <w:bCs/>
          <w:color w:val="2D659A"/>
          <w:szCs w:val="20"/>
          <w:lang w:val="en-US"/>
        </w:rPr>
        <w:t>Level 2 Article 19</w:t>
      </w:r>
      <w:bookmarkEnd w:id="11"/>
      <w:r w:rsidRPr="00D34E5C">
        <w:rPr>
          <w:rFonts w:ascii="Verdana" w:eastAsia="Century Gothic" w:hAnsi="Verdana"/>
          <w:color w:val="2D659A"/>
          <w:szCs w:val="20"/>
          <w:lang w:val="en-US"/>
        </w:rPr>
        <w:t>: it would be necessary to clarify at regulatory level the conditions under which the use of derivatives can be considered sustainable (“admitted derivatives”).</w:t>
      </w:r>
      <w:r>
        <w:rPr>
          <w:rFonts w:ascii="Verdana" w:eastAsia="Century Gothic" w:hAnsi="Verdana"/>
          <w:color w:val="2D659A"/>
          <w:szCs w:val="20"/>
          <w:lang w:val="en-US"/>
        </w:rPr>
        <w:t xml:space="preserve"> We believe exclusion of derivatives at this point in time should be considered by the ESA’s. </w:t>
      </w:r>
    </w:p>
    <w:p w14:paraId="764A1254" w14:textId="77777777" w:rsidR="001E5DFD" w:rsidRPr="00D34E5C" w:rsidRDefault="001E5DFD" w:rsidP="001E5DFD">
      <w:pPr>
        <w:suppressAutoHyphens/>
        <w:spacing w:after="120"/>
        <w:ind w:left="720"/>
        <w:contextualSpacing/>
        <w:jc w:val="both"/>
        <w:rPr>
          <w:rFonts w:ascii="Verdana" w:eastAsia="Century Gothic" w:hAnsi="Verdana"/>
          <w:color w:val="2D659A"/>
          <w:szCs w:val="20"/>
          <w:lang w:val="en-US"/>
        </w:rPr>
      </w:pPr>
    </w:p>
    <w:p w14:paraId="12AE1E19" w14:textId="77777777" w:rsidR="001E5DFD" w:rsidRPr="00D34E5C" w:rsidRDefault="001E5DFD" w:rsidP="001313EE">
      <w:pPr>
        <w:numPr>
          <w:ilvl w:val="0"/>
          <w:numId w:val="46"/>
        </w:numPr>
        <w:suppressAutoHyphens/>
        <w:spacing w:after="120"/>
        <w:contextualSpacing/>
        <w:jc w:val="both"/>
        <w:rPr>
          <w:rFonts w:ascii="Verdana" w:eastAsia="Century Gothic" w:hAnsi="Verdana"/>
          <w:color w:val="2D659A"/>
          <w:szCs w:val="20"/>
          <w:lang w:val="en-US"/>
        </w:rPr>
      </w:pPr>
      <w:bookmarkStart w:id="12" w:name="_Hlk43970375"/>
      <w:r w:rsidRPr="00D34E5C">
        <w:rPr>
          <w:rFonts w:ascii="Verdana" w:eastAsia="Century Gothic" w:hAnsi="Verdana"/>
          <w:b/>
          <w:color w:val="2D659A"/>
          <w:szCs w:val="20"/>
          <w:lang w:val="en-US"/>
        </w:rPr>
        <w:t>Level 2 Article 53</w:t>
      </w:r>
      <w:r w:rsidRPr="00D34E5C">
        <w:rPr>
          <w:rFonts w:ascii="Verdana" w:eastAsia="Century Gothic" w:hAnsi="Verdana"/>
          <w:color w:val="2D659A"/>
          <w:szCs w:val="20"/>
          <w:lang w:val="en-US"/>
        </w:rPr>
        <w:t xml:space="preserve"> </w:t>
      </w:r>
      <w:bookmarkEnd w:id="12"/>
      <w:r w:rsidRPr="00D34E5C">
        <w:rPr>
          <w:rFonts w:ascii="Verdana" w:eastAsia="Century Gothic" w:hAnsi="Verdana"/>
          <w:color w:val="2D659A"/>
          <w:szCs w:val="20"/>
          <w:lang w:val="en-US"/>
        </w:rPr>
        <w:t>of the draft RTS is not clear. Specifically, it is not fully clear what it is required by stating: ”In respect of a financial market participant that first considered the principal adverse impacts of its investment decisions before 1 March 2021, from that date until 30 June 2022, by way of derogation from Article 4(1), that financial market participant shall publish the information in Articles 5 to 10 except for the information that relates to a reference period”. In our view, taking into account that Article 4 of the SFDR shall apply from 10 March 2021 and that the transparency of adverse impacts have been conceived as ex-post quantitative reporting on investments made in the previous year, all financial market participants should begin to consider the principal adverse impacts of investment decisions on sustainability from 10 March 2021 and publish the first sustainability impact statement by 30 June 2022 referred to the previous fiscal year, to be issued on base June year by year.</w:t>
      </w:r>
    </w:p>
    <w:p w14:paraId="3CC5690B" w14:textId="77777777" w:rsidR="001E5DFD" w:rsidRPr="00D34E5C" w:rsidRDefault="001E5DFD" w:rsidP="001E5DFD">
      <w:pPr>
        <w:spacing w:after="120"/>
        <w:ind w:left="720"/>
        <w:contextualSpacing/>
        <w:jc w:val="both"/>
        <w:rPr>
          <w:rFonts w:ascii="Verdana" w:eastAsia="Century Gothic" w:hAnsi="Verdana"/>
          <w:b/>
          <w:color w:val="2D659A"/>
          <w:szCs w:val="20"/>
          <w:lang w:val="en-US"/>
        </w:rPr>
      </w:pPr>
    </w:p>
    <w:p w14:paraId="7C5B9B2A" w14:textId="77777777" w:rsidR="001E5DFD" w:rsidRPr="00D34E5C" w:rsidRDefault="001E5DFD" w:rsidP="001E5DFD">
      <w:pPr>
        <w:spacing w:after="120"/>
        <w:ind w:left="720"/>
        <w:contextualSpacing/>
        <w:jc w:val="both"/>
        <w:rPr>
          <w:rFonts w:ascii="Verdana" w:eastAsia="Century Gothic" w:hAnsi="Verdana"/>
          <w:color w:val="2D659A"/>
          <w:szCs w:val="20"/>
          <w:lang w:val="en-US"/>
        </w:rPr>
      </w:pPr>
      <w:r w:rsidRPr="00D34E5C">
        <w:rPr>
          <w:rFonts w:ascii="Verdana" w:eastAsia="Century Gothic" w:hAnsi="Verdana"/>
          <w:color w:val="2D659A"/>
          <w:szCs w:val="20"/>
          <w:lang w:val="en-US"/>
        </w:rPr>
        <w:t>This interpretation, in addition to being more compliant with the Level 1 text, would allow to better align the timing of entry into force of the SFDR with those of the Taxonomy Regulation</w:t>
      </w:r>
      <w:r>
        <w:rPr>
          <w:rFonts w:ascii="Verdana" w:eastAsia="Century Gothic" w:hAnsi="Verdana"/>
          <w:color w:val="2D659A"/>
          <w:szCs w:val="20"/>
          <w:lang w:val="en-US"/>
        </w:rPr>
        <w:t xml:space="preserve">, NFRD </w:t>
      </w:r>
      <w:r w:rsidRPr="00D34E5C">
        <w:rPr>
          <w:rFonts w:ascii="Verdana" w:eastAsia="Century Gothic" w:hAnsi="Verdana"/>
          <w:color w:val="2D659A"/>
          <w:szCs w:val="20"/>
          <w:lang w:val="en-US"/>
        </w:rPr>
        <w:t>and on MiFID II amendments. Which would also allow financial market participants to operate with greater clarity and having available more useful elements for the correct fulfillment of the new disclosure requirements.</w:t>
      </w:r>
    </w:p>
    <w:p w14:paraId="615CA818" w14:textId="77777777" w:rsidR="001E5DFD" w:rsidRPr="00D34E5C" w:rsidRDefault="001E5DFD" w:rsidP="001E5DFD">
      <w:pPr>
        <w:spacing w:after="120"/>
        <w:ind w:left="720"/>
        <w:contextualSpacing/>
        <w:jc w:val="both"/>
        <w:rPr>
          <w:rFonts w:ascii="Verdana" w:eastAsia="Century Gothic" w:hAnsi="Verdana"/>
          <w:color w:val="2D659A"/>
          <w:szCs w:val="20"/>
          <w:lang w:val="en-US"/>
        </w:rPr>
      </w:pPr>
    </w:p>
    <w:p w14:paraId="3AA99B14" w14:textId="012E4529" w:rsidR="001E5DFD" w:rsidRDefault="001E5DFD" w:rsidP="001E5DFD">
      <w:pPr>
        <w:spacing w:after="120"/>
        <w:ind w:left="720"/>
        <w:contextualSpacing/>
        <w:jc w:val="both"/>
        <w:rPr>
          <w:rFonts w:ascii="Verdana" w:eastAsia="Century Gothic" w:hAnsi="Verdana"/>
          <w:b/>
          <w:bCs/>
          <w:color w:val="2D659A"/>
          <w:szCs w:val="20"/>
          <w:lang w:val="en-US"/>
        </w:rPr>
      </w:pPr>
      <w:r w:rsidRPr="00C10040">
        <w:rPr>
          <w:rFonts w:ascii="Verdana" w:eastAsia="Century Gothic" w:hAnsi="Verdana"/>
          <w:b/>
          <w:bCs/>
          <w:color w:val="2D659A"/>
          <w:szCs w:val="20"/>
          <w:lang w:val="en-US"/>
        </w:rPr>
        <w:t>We therefore strongly suggest</w:t>
      </w:r>
      <w:r w:rsidRPr="00D34E5C">
        <w:rPr>
          <w:rFonts w:ascii="Verdana" w:eastAsia="Century Gothic" w:hAnsi="Verdana"/>
          <w:color w:val="2D659A"/>
          <w:szCs w:val="20"/>
          <w:lang w:val="en-US"/>
        </w:rPr>
        <w:t xml:space="preserve"> </w:t>
      </w:r>
      <w:r w:rsidRPr="00C10040">
        <w:rPr>
          <w:rFonts w:ascii="Verdana" w:eastAsia="Century Gothic" w:hAnsi="Verdana"/>
          <w:b/>
          <w:bCs/>
          <w:color w:val="2D659A"/>
          <w:szCs w:val="20"/>
          <w:lang w:val="en-US"/>
        </w:rPr>
        <w:t>to evaluate further the objective and wording in Article 53 of the draft RTS in order to clarify exactly the timeline of application of the financial market participant adverse sustainability impact statement.</w:t>
      </w:r>
    </w:p>
    <w:p w14:paraId="671FE76C" w14:textId="77777777" w:rsidR="00AC7597" w:rsidRDefault="00AC7597" w:rsidP="001E5DFD">
      <w:pPr>
        <w:spacing w:after="120"/>
        <w:ind w:left="720"/>
        <w:contextualSpacing/>
        <w:jc w:val="both"/>
        <w:rPr>
          <w:rFonts w:ascii="Verdana" w:eastAsia="Century Gothic" w:hAnsi="Verdana"/>
          <w:b/>
          <w:bCs/>
          <w:color w:val="2D659A"/>
          <w:szCs w:val="20"/>
          <w:lang w:val="en-US"/>
        </w:rPr>
      </w:pPr>
    </w:p>
    <w:p w14:paraId="79A297E6" w14:textId="77777777" w:rsidR="00AC7597" w:rsidRPr="00D34E5C" w:rsidRDefault="00AC7597" w:rsidP="00AC7597">
      <w:pPr>
        <w:suppressAutoHyphens/>
        <w:spacing w:after="120"/>
        <w:jc w:val="both"/>
        <w:rPr>
          <w:rFonts w:ascii="Verdana" w:eastAsia="Century Gothic" w:hAnsi="Verdana"/>
          <w:b/>
          <w:bCs/>
          <w:color w:val="2D659A"/>
          <w:szCs w:val="20"/>
          <w:u w:val="single"/>
        </w:rPr>
      </w:pPr>
      <w:r w:rsidRPr="00D34E5C">
        <w:rPr>
          <w:rFonts w:ascii="Verdana" w:eastAsia="Century Gothic" w:hAnsi="Verdana"/>
          <w:b/>
          <w:bCs/>
          <w:color w:val="2D659A"/>
          <w:szCs w:val="20"/>
          <w:u w:val="single"/>
        </w:rPr>
        <w:t xml:space="preserve">CONCLUSIONS </w:t>
      </w:r>
    </w:p>
    <w:p w14:paraId="6DAA40B2"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There is incontrovertible scientific evidence that the EU Green Deal is a compulsory paramount step forward to achieve a better future sustainable lifestyle in Europe. We cannot but expect that the appropriate setup and activation of the Deal will have progressively significant effects on economies, societies and markets. Among else, financial markets are asked to take the profound effects of climate change into account soon enough to provide positive market signals encouraging low carbon economic development and competition. </w:t>
      </w:r>
    </w:p>
    <w:p w14:paraId="3780ED77"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We believe that this very articulate consultation shows without doubt that the EU is determined to break the deep ice between what for very long has been recognised as an “I would like” attitude and the “I do” precept. </w:t>
      </w:r>
    </w:p>
    <w:p w14:paraId="6822D15C"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Nevertheless, the depth this consultation goes through, in terms of granularity and expectations, has ignited a robust and constructive conversation among market participants. In synthesis, we do agree that we need to pursue the necessary steps before it is too late. On the other hand, the considerable amount of programs, overlapping legislative packages, consultations, amendments and regulations converging in a limited timeframe is representing a burden that needs to be managed to face the necessary steps in an articulated and partaken manner. One of the risks we highlighted, for instance, calls for undertaking the discrepancies in terms of costs and opportunities among market players of different size. </w:t>
      </w:r>
    </w:p>
    <w:p w14:paraId="1AC69C2D"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The complexity and granularity of the required disclosure, as represented in this consultation, makes it difficult for market participants to suddenly comply with the magnitude and qualitative depth of the expected data. Indeed, the lack of accountable and reliable data has been for long time a concern that it does not seem to be resolved yet. While we do agree that without the necessary steps towards a better functioning, more transparent and </w:t>
      </w:r>
      <w:r w:rsidRPr="00D34E5C">
        <w:rPr>
          <w:rFonts w:ascii="Verdana" w:eastAsia="Century Gothic" w:hAnsi="Verdana"/>
          <w:i/>
          <w:color w:val="2D659A"/>
          <w:szCs w:val="20"/>
        </w:rPr>
        <w:t>greenwashless</w:t>
      </w:r>
      <w:r w:rsidRPr="00D34E5C">
        <w:rPr>
          <w:rFonts w:ascii="Verdana" w:eastAsia="Century Gothic" w:hAnsi="Verdana"/>
          <w:color w:val="2D659A"/>
          <w:szCs w:val="20"/>
        </w:rPr>
        <w:t xml:space="preserve"> market place the Deal will struggle to find its way, we do highlight our concerns regarding some pivotal points we have listed and elaborated on in this paper. </w:t>
      </w:r>
    </w:p>
    <w:p w14:paraId="50623773"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We call for clarity on issues that still need interpretation and guidance, also when it comes to understand and manage the dichotomy between EU and non-EU investee companies. We recognise how Europe is leading the way in the great shift towards a more sustainable future on Earth, yet we would require a practical framework to manage the discrepancies between virtuous and compliant EU issuers and the less constrained companies operating outside the EU, both of which will contribute to define investment products under article 8 and 9 of the SFDR. </w:t>
      </w:r>
    </w:p>
    <w:p w14:paraId="62F60D18"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Overall, we welcome the consultation and its content while we trust that the open discussion lit up by it will underline the considerations collected in this paper and will make them useful and viable for the European system of financial supervision. </w:t>
      </w:r>
    </w:p>
    <w:bookmarkEnd w:id="3"/>
    <w:bookmarkEnd w:id="10"/>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12A52A5" w14:textId="3B7C8F34" w:rsidR="001E5DFD" w:rsidRPr="00D34E5C" w:rsidRDefault="001E5DFD" w:rsidP="001E5DFD">
      <w:pPr>
        <w:suppressAutoHyphens/>
        <w:spacing w:after="120"/>
        <w:jc w:val="both"/>
        <w:rPr>
          <w:rFonts w:ascii="Verdana" w:eastAsia="Century Gothic" w:hAnsi="Verdana"/>
          <w:color w:val="2D659A"/>
          <w:szCs w:val="20"/>
        </w:rPr>
      </w:pPr>
      <w:permStart w:id="1221819945" w:edGrp="everyone"/>
      <w:r w:rsidRPr="00D34E5C">
        <w:rPr>
          <w:rFonts w:ascii="Verdana" w:eastAsia="Century Gothic" w:hAnsi="Verdana"/>
          <w:color w:val="2D659A"/>
          <w:szCs w:val="20"/>
        </w:rPr>
        <w:t>No, we do</w:t>
      </w:r>
      <w:r w:rsidR="00F11C3F">
        <w:rPr>
          <w:rFonts w:ascii="Verdana" w:eastAsia="Century Gothic" w:hAnsi="Verdana"/>
          <w:color w:val="2D659A"/>
          <w:szCs w:val="20"/>
        </w:rPr>
        <w:t xml:space="preserve"> </w:t>
      </w:r>
      <w:r w:rsidRPr="00D34E5C">
        <w:rPr>
          <w:rFonts w:ascii="Verdana" w:eastAsia="Century Gothic" w:hAnsi="Verdana"/>
          <w:color w:val="2D659A"/>
          <w:szCs w:val="20"/>
        </w:rPr>
        <w:t>n</w:t>
      </w:r>
      <w:r w:rsidR="00F11C3F">
        <w:rPr>
          <w:rFonts w:ascii="Verdana" w:eastAsia="Century Gothic" w:hAnsi="Verdana"/>
          <w:color w:val="2D659A"/>
          <w:szCs w:val="20"/>
        </w:rPr>
        <w:t>o</w:t>
      </w:r>
      <w:r w:rsidRPr="00D34E5C">
        <w:rPr>
          <w:rFonts w:ascii="Verdana" w:eastAsia="Century Gothic" w:hAnsi="Verdana"/>
          <w:color w:val="2D659A"/>
          <w:szCs w:val="20"/>
        </w:rPr>
        <w:t>t agree with the approach proposed</w:t>
      </w:r>
    </w:p>
    <w:p w14:paraId="2FB17E00"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First of all, we don't agree that the indicators in Table 1 always lead to principal adverse impacts, because:</w:t>
      </w:r>
    </w:p>
    <w:p w14:paraId="473B9BB8" w14:textId="77777777" w:rsidR="001E5DFD" w:rsidRPr="00D34E5C" w:rsidRDefault="001E5DFD" w:rsidP="001313EE">
      <w:pPr>
        <w:numPr>
          <w:ilvl w:val="0"/>
          <w:numId w:val="55"/>
        </w:num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Indicator 1 is not related to invested capital. Large financial market participants will therefore show higher emissions.</w:t>
      </w:r>
    </w:p>
    <w:p w14:paraId="54D1B3E4" w14:textId="77777777" w:rsidR="001E5DFD" w:rsidRPr="00D34E5C" w:rsidRDefault="001E5DFD" w:rsidP="001313EE">
      <w:pPr>
        <w:numPr>
          <w:ilvl w:val="0"/>
          <w:numId w:val="55"/>
        </w:num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It is not checked whether an indicator is “material” for a sector or company. For example, it is asked whether a company has a Deforestation Policy (indicator 11). Companies for which this is not relevant will not have such a policy. According to Table 1, this in turn, can be qualified as a principal adverse impact. </w:t>
      </w:r>
      <w:r w:rsidRPr="00D34E5C">
        <w:rPr>
          <w:rFonts w:ascii="Verdana" w:eastAsia="Century Gothic" w:hAnsi="Verdana"/>
          <w:b/>
          <w:bCs/>
          <w:color w:val="2D659A"/>
          <w:szCs w:val="20"/>
          <w:u w:val="single"/>
        </w:rPr>
        <w:t>(Please also see the paragraph materiality, in our answer to question 11)</w:t>
      </w:r>
      <w:r w:rsidRPr="00D34E5C">
        <w:rPr>
          <w:rFonts w:ascii="Verdana" w:eastAsia="Century Gothic" w:hAnsi="Verdana"/>
          <w:color w:val="2D659A"/>
          <w:szCs w:val="20"/>
        </w:rPr>
        <w:t xml:space="preserve"> </w:t>
      </w:r>
    </w:p>
    <w:p w14:paraId="0BEF07B3" w14:textId="77777777" w:rsidR="001E5DFD" w:rsidRPr="00D34E5C" w:rsidRDefault="001E5DFD" w:rsidP="001313EE">
      <w:pPr>
        <w:numPr>
          <w:ilvl w:val="0"/>
          <w:numId w:val="55"/>
        </w:num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Numbers are not always comparable. An extreme example forms a utility company that could reduce emissions from 200 to 100 units and thus complies with the Paris Agreement Reduction Pathway (positive). But a gym chain that has emissions of 100 units is not doing well. So the number 100 says nothing about the underlying risk. </w:t>
      </w:r>
      <w:r w:rsidRPr="00D34E5C">
        <w:rPr>
          <w:rFonts w:ascii="Verdana" w:eastAsia="Century Gothic" w:hAnsi="Verdana"/>
          <w:b/>
          <w:bCs/>
          <w:color w:val="2D659A"/>
          <w:szCs w:val="20"/>
          <w:u w:val="single"/>
        </w:rPr>
        <w:t>(Please also see the paragraph incomparability, in our answer to question 11)</w:t>
      </w:r>
    </w:p>
    <w:p w14:paraId="6C0717A5" w14:textId="77777777" w:rsidR="001E5DFD" w:rsidRPr="00D34E5C" w:rsidRDefault="001E5DFD" w:rsidP="001313EE">
      <w:pPr>
        <w:numPr>
          <w:ilvl w:val="0"/>
          <w:numId w:val="55"/>
        </w:num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In order to promote the transition, investments must also be made in “polluting” sectors that then reduce their emissions over time (compare Benchmark Regulation). This transition element is not reflected in this number.</w:t>
      </w:r>
      <w:r>
        <w:rPr>
          <w:rFonts w:ascii="Verdana" w:eastAsia="Century Gothic" w:hAnsi="Verdana"/>
          <w:color w:val="2D659A"/>
          <w:szCs w:val="20"/>
        </w:rPr>
        <w:t xml:space="preserve"> </w:t>
      </w:r>
      <w:r w:rsidRPr="00D34E5C">
        <w:rPr>
          <w:rFonts w:ascii="Verdana" w:eastAsia="Century Gothic" w:hAnsi="Verdana"/>
          <w:b/>
          <w:bCs/>
          <w:color w:val="2D659A"/>
          <w:szCs w:val="20"/>
          <w:u w:val="single"/>
        </w:rPr>
        <w:t>(Please also see our general remarks sections, on cross-sectoral legislation)</w:t>
      </w:r>
      <w:r w:rsidRPr="00D34E5C">
        <w:rPr>
          <w:rFonts w:ascii="Verdana" w:eastAsia="Century Gothic" w:hAnsi="Verdana"/>
          <w:color w:val="2D659A"/>
          <w:szCs w:val="20"/>
        </w:rPr>
        <w:t xml:space="preserve"> </w:t>
      </w:r>
    </w:p>
    <w:p w14:paraId="672308EE" w14:textId="77777777" w:rsidR="001E5DFD" w:rsidRPr="00D34E5C" w:rsidRDefault="001E5DFD" w:rsidP="001313EE">
      <w:pPr>
        <w:numPr>
          <w:ilvl w:val="0"/>
          <w:numId w:val="55"/>
        </w:num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The numbers themselves have little meaning for the (retail) customer. This will have to be placed in context. </w:t>
      </w:r>
      <w:r w:rsidRPr="00D34E5C">
        <w:rPr>
          <w:rFonts w:ascii="Verdana" w:eastAsia="Century Gothic" w:hAnsi="Verdana"/>
          <w:b/>
          <w:bCs/>
          <w:color w:val="2D659A"/>
          <w:szCs w:val="20"/>
          <w:u w:val="single"/>
        </w:rPr>
        <w:t>(Please also see our general remarks sections, on information overload for retail investors)</w:t>
      </w:r>
    </w:p>
    <w:p w14:paraId="461A7331" w14:textId="77777777" w:rsidR="001E5DFD" w:rsidRPr="00D34E5C" w:rsidRDefault="001E5DFD" w:rsidP="001E5DFD">
      <w:pPr>
        <w:suppressAutoHyphens/>
        <w:spacing w:after="120"/>
        <w:jc w:val="both"/>
        <w:rPr>
          <w:rFonts w:ascii="Verdana" w:eastAsia="Century Gothic" w:hAnsi="Verdana"/>
          <w:i/>
          <w:iCs/>
          <w:color w:val="2D659A"/>
          <w:szCs w:val="20"/>
          <w:lang w:val="en-US"/>
        </w:rPr>
      </w:pPr>
      <w:r w:rsidRPr="00D34E5C">
        <w:rPr>
          <w:rFonts w:ascii="Verdana" w:eastAsia="Century Gothic" w:hAnsi="Verdana"/>
          <w:i/>
          <w:iCs/>
          <w:color w:val="2D659A"/>
          <w:szCs w:val="20"/>
          <w:lang w:val="en-US"/>
        </w:rPr>
        <w:t>Opt-in regime</w:t>
      </w:r>
    </w:p>
    <w:p w14:paraId="7FC20BBE" w14:textId="77777777"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We do not see how an opt-in regime could be useful for end-investors. First of all, the underlying methodologies of the table fields are non-identical and therefore hardly comparable. Second, with the opt-in possibility firms are required to minimally add one indicator from table 2 and one indicator from table 3. This means, that in reality most firms will not disclose the same indicators from table 2 and 3 as they have a choice of freedom. This means the aggregate for an investor is hardly comparable (note: if the same key indicators are disclosed, their underlying methodologies are still possibly non-identical and therefore non-comparable). The phasing-in of several key indicators from table 1 seems more feasible. </w:t>
      </w:r>
    </w:p>
    <w:p w14:paraId="52497C45" w14:textId="77777777" w:rsidR="001E5DFD" w:rsidRPr="00D34E5C" w:rsidRDefault="001E5DFD" w:rsidP="001E5DFD">
      <w:pPr>
        <w:suppressAutoHyphens/>
        <w:spacing w:after="120"/>
        <w:jc w:val="both"/>
        <w:rPr>
          <w:rFonts w:ascii="Verdana" w:eastAsia="Century Gothic" w:hAnsi="Verdana"/>
          <w:i/>
          <w:iCs/>
          <w:color w:val="2D659A"/>
          <w:szCs w:val="20"/>
          <w:lang w:val="en-US"/>
        </w:rPr>
      </w:pPr>
      <w:r w:rsidRPr="00D34E5C">
        <w:rPr>
          <w:rFonts w:ascii="Verdana" w:eastAsia="Century Gothic" w:hAnsi="Verdana"/>
          <w:i/>
          <w:iCs/>
          <w:color w:val="2D659A"/>
          <w:szCs w:val="20"/>
          <w:lang w:val="en-US"/>
        </w:rPr>
        <w:t>Timing</w:t>
      </w:r>
    </w:p>
    <w:p w14:paraId="683153D5" w14:textId="77777777"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While Chapter VI art 53 states:” In respect of a financial market participant that first considered the principal adverse impacts of its investment decisions before 1 March 2021, from that date until 30 June 2022, by way of derogation from Article 4(1), that financial market participant shall publish the information in Articles 5 to 10 except for the information that relates to a reference period.”, it is not clear why the formal inception is march 2021 when the first disclosure document will refer to the previous fiscal year and will be issued rolling on base June year by year.</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lastRenderedPageBreak/>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43C42ABE" w14:textId="77777777" w:rsidR="001E5DFD" w:rsidRPr="00D34E5C" w:rsidRDefault="001E5DFD" w:rsidP="001E5DFD">
      <w:pPr>
        <w:suppressAutoHyphens/>
        <w:spacing w:after="120"/>
        <w:jc w:val="both"/>
        <w:rPr>
          <w:rFonts w:ascii="Verdana" w:eastAsia="Century Gothic" w:hAnsi="Verdana"/>
          <w:i/>
          <w:iCs/>
          <w:color w:val="2D659A"/>
          <w:szCs w:val="20"/>
        </w:rPr>
      </w:pPr>
      <w:permStart w:id="729947415" w:edGrp="everyone"/>
      <w:r w:rsidRPr="00D34E5C">
        <w:rPr>
          <w:rFonts w:ascii="Verdana" w:eastAsia="Century Gothic" w:hAnsi="Verdana"/>
          <w:i/>
          <w:iCs/>
          <w:color w:val="2D659A"/>
          <w:szCs w:val="20"/>
        </w:rPr>
        <w:t>Aggregated principal adverse impacts have no added value for individual investors</w:t>
      </w:r>
    </w:p>
    <w:p w14:paraId="57A88ABF"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The proposed level 2 text is a one-size-fits-all approach that does hardly differentiate between the size, nature and scale of FMP’s and the types of products they make available. </w:t>
      </w:r>
    </w:p>
    <w:p w14:paraId="77DFA56A"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Accordingly to Article 4 of the SFDR, which is entitled “Transparency of adverse sustainability impacts at entity level” and to what is reported on page 14 of the consultation paper “In order to promote comparable disclosures at entity level, the ESAs have proposed a reporting template containing principal adverse impacts in Table 1” financial market participant adverse sustainability statement should be conceived as a disclosure at entity level. </w:t>
      </w:r>
    </w:p>
    <w:p w14:paraId="59D9C027"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If this is the case, it means that Data on Table 1 should be represented per participant and not per product. Consequently, it should report all the detailed quantitative information proposed by Annex I to the draft RTS regarding to all financial products manufactured by the same entity without any possibility to take into account the relevant differences existing between each product. At entity level a financial market participant can decide to offer financial products promoting, among other characteristics, environmental or social characteristics, or a combination of those characteristics, financial products having sustainable investment as their objectives and not sustainable financial products.</w:t>
      </w:r>
    </w:p>
    <w:p w14:paraId="11AD80B2"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We wonder which is the utility of such quantitative complex disclosure both for:</w:t>
      </w:r>
    </w:p>
    <w:p w14:paraId="482EEF0D" w14:textId="77777777" w:rsidR="001E5DFD" w:rsidRPr="00D34E5C" w:rsidRDefault="001E5DFD" w:rsidP="001313EE">
      <w:pPr>
        <w:numPr>
          <w:ilvl w:val="0"/>
          <w:numId w:val="56"/>
        </w:numPr>
        <w:suppressAutoHyphens/>
        <w:spacing w:after="120"/>
        <w:contextualSpacing/>
        <w:jc w:val="both"/>
        <w:rPr>
          <w:rFonts w:ascii="Verdana" w:hAnsi="Verdana"/>
          <w:color w:val="2D659A"/>
          <w:szCs w:val="20"/>
        </w:rPr>
      </w:pPr>
      <w:r w:rsidRPr="00D34E5C">
        <w:rPr>
          <w:rFonts w:ascii="Verdana" w:hAnsi="Verdana"/>
          <w:color w:val="2D659A"/>
          <w:szCs w:val="20"/>
        </w:rPr>
        <w:t>end-investors, who could not only understand the overwhelming amount of aggregated information, but most of all would simply not be interested in it, as they want to understand the specific sustainability nature of each financial product they invest in (reversibly, end investors are not or less interested in strategies they do not invest in);</w:t>
      </w:r>
    </w:p>
    <w:p w14:paraId="4B959D04" w14:textId="77777777" w:rsidR="001E5DFD" w:rsidRDefault="001E5DFD" w:rsidP="001313EE">
      <w:pPr>
        <w:numPr>
          <w:ilvl w:val="0"/>
          <w:numId w:val="56"/>
        </w:numPr>
        <w:suppressAutoHyphens/>
        <w:spacing w:after="120"/>
        <w:contextualSpacing/>
        <w:jc w:val="both"/>
        <w:rPr>
          <w:rFonts w:ascii="Verdana" w:hAnsi="Verdana"/>
          <w:color w:val="2D659A"/>
          <w:szCs w:val="20"/>
        </w:rPr>
      </w:pPr>
      <w:r w:rsidRPr="00D34E5C">
        <w:rPr>
          <w:rFonts w:ascii="Verdana" w:hAnsi="Verdana"/>
          <w:color w:val="2D659A"/>
          <w:szCs w:val="20"/>
        </w:rPr>
        <w:t>financial advisers as they have to select financial products to advice on on the basis of their specific sustainability nature.</w:t>
      </w:r>
    </w:p>
    <w:p w14:paraId="45B56D62" w14:textId="77777777" w:rsidR="001E5DFD" w:rsidRPr="00D34E5C" w:rsidRDefault="001E5DFD" w:rsidP="001E5DFD">
      <w:pPr>
        <w:suppressAutoHyphens/>
        <w:spacing w:after="120"/>
        <w:ind w:left="720"/>
        <w:contextualSpacing/>
        <w:jc w:val="both"/>
        <w:rPr>
          <w:rFonts w:ascii="Verdana" w:hAnsi="Verdana"/>
          <w:color w:val="2D659A"/>
          <w:szCs w:val="20"/>
        </w:rPr>
      </w:pPr>
    </w:p>
    <w:p w14:paraId="5C3214A7"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The SFDR covers a wide range of financial products and financial market participants, including, i.e. PEPPs, AIFMs, UCITs and investment firms authorized under MiFID II providing portfolio management. Bearing the end-investor in mind, a disclosure on entity level might make sense for an IORP, as their AUM is bulk and different underlying pension schemes might not differ greatly in their asset allocation. Whilst for individual investor (opposite to their collective pension), they are interested in the material adverse impacts of products they invest in. </w:t>
      </w:r>
    </w:p>
    <w:p w14:paraId="084F3286" w14:textId="5BA50685"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rPr>
        <w:t>From a portfolio management perspective</w:t>
      </w:r>
      <w:r w:rsidR="00F11C3F">
        <w:rPr>
          <w:rFonts w:ascii="Verdana" w:eastAsia="Century Gothic" w:hAnsi="Verdana"/>
          <w:color w:val="2D659A"/>
          <w:szCs w:val="20"/>
        </w:rPr>
        <w:t>,</w:t>
      </w:r>
      <w:r w:rsidRPr="00D34E5C">
        <w:rPr>
          <w:rFonts w:ascii="Verdana" w:eastAsia="Century Gothic" w:hAnsi="Verdana"/>
          <w:color w:val="2D659A"/>
          <w:szCs w:val="20"/>
          <w:lang w:val="en-US"/>
        </w:rPr>
        <w:t xml:space="preserve"> disclosure on an entity level will in most cases lead to the disclosure of principal adverse impacts irrespective of the value of the metrics. In our view investors are interested in the disclosures regarding the products and services they invest in (reversibly, investors are not or less interested in strategies they do not invest in). Investors therefore, are interested in product-specific disclosures and less in aggregated company disclosures. For the latter, investors should consult the NFRD disclosures, not the SFDR disclosure by FMP’s that offers investment services. </w:t>
      </w:r>
    </w:p>
    <w:p w14:paraId="6151E8B6" w14:textId="77777777"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Disclosing aggregated amounts to all investors might even lead to a confusing overview for individual investors (i.e. a client that </w:t>
      </w:r>
      <w:r>
        <w:rPr>
          <w:rFonts w:ascii="Verdana" w:eastAsia="Century Gothic" w:hAnsi="Verdana"/>
          <w:color w:val="2D659A"/>
          <w:szCs w:val="20"/>
          <w:lang w:val="en-US"/>
        </w:rPr>
        <w:t>has</w:t>
      </w:r>
      <w:r w:rsidRPr="00D34E5C">
        <w:rPr>
          <w:rFonts w:ascii="Verdana" w:eastAsia="Century Gothic" w:hAnsi="Verdana"/>
          <w:color w:val="2D659A"/>
          <w:szCs w:val="20"/>
          <w:lang w:val="en-US"/>
        </w:rPr>
        <w:t xml:space="preserve"> invested in non ESG-related products, is disclosed an ESG impact or a client that has invested in ESG related products ex-fossil fuels, will be showed the principal adverse impacts </w:t>
      </w:r>
      <w:r>
        <w:rPr>
          <w:rFonts w:ascii="Verdana" w:eastAsia="Century Gothic" w:hAnsi="Verdana"/>
          <w:color w:val="2D659A"/>
          <w:szCs w:val="20"/>
          <w:lang w:val="en-US"/>
        </w:rPr>
        <w:t>regarding</w:t>
      </w:r>
      <w:r w:rsidRPr="00D34E5C">
        <w:rPr>
          <w:rFonts w:ascii="Verdana" w:eastAsia="Century Gothic" w:hAnsi="Verdana"/>
          <w:color w:val="2D659A"/>
          <w:szCs w:val="20"/>
          <w:lang w:val="en-US"/>
        </w:rPr>
        <w:t xml:space="preserve"> fossil fuels that the investment firms </w:t>
      </w:r>
      <w:r>
        <w:rPr>
          <w:rFonts w:ascii="Verdana" w:eastAsia="Century Gothic" w:hAnsi="Verdana"/>
          <w:color w:val="2D659A"/>
          <w:szCs w:val="20"/>
          <w:lang w:val="en-US"/>
        </w:rPr>
        <w:t>have</w:t>
      </w:r>
      <w:r w:rsidRPr="00D34E5C">
        <w:rPr>
          <w:rFonts w:ascii="Verdana" w:eastAsia="Century Gothic" w:hAnsi="Verdana"/>
          <w:color w:val="2D659A"/>
          <w:szCs w:val="20"/>
          <w:lang w:val="en-US"/>
        </w:rPr>
        <w:t xml:space="preserve"> aggregated on company level). </w:t>
      </w:r>
    </w:p>
    <w:p w14:paraId="1E598A80" w14:textId="77777777" w:rsidR="001E5DFD" w:rsidRPr="00D34E5C" w:rsidRDefault="001E5DFD" w:rsidP="001E5DFD">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We therefore believe that:</w:t>
      </w:r>
    </w:p>
    <w:p w14:paraId="6C23180E" w14:textId="63EB3183" w:rsidR="001E5DFD" w:rsidRPr="00D34E5C" w:rsidRDefault="001E5DFD" w:rsidP="001313EE">
      <w:pPr>
        <w:numPr>
          <w:ilvl w:val="0"/>
          <w:numId w:val="57"/>
        </w:numPr>
        <w:suppressAutoHyphens/>
        <w:spacing w:after="120"/>
        <w:contextualSpacing/>
        <w:jc w:val="both"/>
        <w:rPr>
          <w:rFonts w:ascii="Verdana" w:hAnsi="Verdana"/>
          <w:color w:val="2D659A"/>
          <w:szCs w:val="20"/>
          <w:lang w:val="en-US"/>
        </w:rPr>
      </w:pPr>
      <w:r w:rsidRPr="00D34E5C">
        <w:rPr>
          <w:rFonts w:ascii="Verdana" w:hAnsi="Verdana"/>
          <w:color w:val="2D659A"/>
          <w:szCs w:val="20"/>
          <w:lang w:val="en-US"/>
        </w:rPr>
        <w:lastRenderedPageBreak/>
        <w:t>Table 1 should be conceived differently and be drastically reduced</w:t>
      </w:r>
      <w:r w:rsidR="00F11C3F">
        <w:rPr>
          <w:rFonts w:ascii="Verdana" w:hAnsi="Verdana"/>
          <w:color w:val="2D659A"/>
          <w:szCs w:val="20"/>
          <w:lang w:val="en-US"/>
        </w:rPr>
        <w:t xml:space="preserve"> in size</w:t>
      </w:r>
      <w:r w:rsidRPr="00D34E5C">
        <w:rPr>
          <w:rFonts w:ascii="Verdana" w:hAnsi="Verdana"/>
          <w:color w:val="2D659A"/>
          <w:szCs w:val="20"/>
          <w:lang w:val="en-US"/>
        </w:rPr>
        <w:t>;</w:t>
      </w:r>
    </w:p>
    <w:p w14:paraId="195EBCD6" w14:textId="77777777" w:rsidR="001E5DFD" w:rsidRPr="00D34E5C" w:rsidRDefault="001E5DFD" w:rsidP="001313EE">
      <w:pPr>
        <w:numPr>
          <w:ilvl w:val="0"/>
          <w:numId w:val="57"/>
        </w:numPr>
        <w:suppressAutoHyphens/>
        <w:spacing w:after="120"/>
        <w:contextualSpacing/>
        <w:jc w:val="both"/>
        <w:rPr>
          <w:rFonts w:ascii="Verdana" w:hAnsi="Verdana"/>
          <w:color w:val="2D659A"/>
          <w:szCs w:val="20"/>
          <w:lang w:val="en-US"/>
        </w:rPr>
      </w:pPr>
      <w:r w:rsidRPr="00D34E5C">
        <w:rPr>
          <w:rFonts w:ascii="Verdana" w:hAnsi="Verdana"/>
          <w:color w:val="2D659A"/>
          <w:szCs w:val="20"/>
          <w:lang w:val="en-US"/>
        </w:rPr>
        <w:t xml:space="preserve">it would be necessary to differentiate by product type: the data required by an entity level that provides the individual portfolio management service should be quite different from an asset management company that establishes and manages investment funds. </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40E71B66" w14:textId="77777777" w:rsidR="001E5DFD" w:rsidRPr="00D34E5C" w:rsidRDefault="001E5DFD" w:rsidP="001E5DFD">
      <w:pPr>
        <w:suppressAutoHyphens/>
        <w:spacing w:after="120"/>
        <w:jc w:val="both"/>
        <w:rPr>
          <w:rFonts w:ascii="Verdana" w:eastAsia="Century Gothic" w:hAnsi="Verdana"/>
          <w:color w:val="2D659A"/>
          <w:szCs w:val="20"/>
        </w:rPr>
      </w:pPr>
      <w:permStart w:id="677205538" w:edGrp="everyone"/>
      <w:r w:rsidRPr="00D34E5C">
        <w:rPr>
          <w:rFonts w:ascii="Verdana" w:eastAsia="Century Gothic" w:hAnsi="Verdana"/>
          <w:color w:val="2D659A"/>
          <w:szCs w:val="20"/>
        </w:rPr>
        <w:t xml:space="preserve">Yes. We believe that it is useful to report on product-level in line with Art. 8 and Art. 9, as we outlined in other sections of this CP. Furthermore, it is also possible to introduce some key indicators for products outside the scope of Art. 8 and Art. 9. </w:t>
      </w:r>
    </w:p>
    <w:p w14:paraId="7D12FF9A" w14:textId="77777777" w:rsidR="001E5DFD" w:rsidRPr="00E902E3" w:rsidRDefault="001E5DFD" w:rsidP="001E5DFD">
      <w:pPr>
        <w:jc w:val="both"/>
        <w:rPr>
          <w:szCs w:val="20"/>
        </w:rPr>
      </w:pPr>
      <w:r w:rsidRPr="00D34E5C">
        <w:rPr>
          <w:rFonts w:ascii="Verdana" w:eastAsia="Century Gothic" w:hAnsi="Verdana"/>
          <w:color w:val="2D659A"/>
          <w:szCs w:val="20"/>
        </w:rPr>
        <w:t xml:space="preserve">We believe that the “greener” the product the more information should be provided. Under the current proposals, a large FMP (&gt;500 employees) will automatically have to disclose a complete table 1, whilst it may not offer any ESG products or services. This does not seem very proportionate. </w:t>
      </w:r>
      <w:r w:rsidRPr="00AF3381">
        <w:rPr>
          <w:rFonts w:ascii="Verdana" w:eastAsia="Century Gothic" w:hAnsi="Verdana"/>
          <w:color w:val="2D659A"/>
          <w:szCs w:val="20"/>
        </w:rPr>
        <w:t>That’s why we propose to restrict the list of key indicators to be disclosed.</w:t>
      </w:r>
    </w:p>
    <w:p w14:paraId="5CE4B832" w14:textId="77777777" w:rsidR="001E5DFD" w:rsidRDefault="001E5DFD" w:rsidP="001E5DFD">
      <w:pPr>
        <w:suppressAutoHyphens/>
        <w:spacing w:after="120"/>
        <w:jc w:val="both"/>
        <w:rPr>
          <w:rFonts w:ascii="Verdana" w:eastAsia="Century Gothic" w:hAnsi="Verdana"/>
          <w:iCs/>
          <w:color w:val="2D659A"/>
          <w:szCs w:val="20"/>
          <w:lang w:val="en-US"/>
        </w:rPr>
      </w:pPr>
    </w:p>
    <w:p w14:paraId="4D7B3CBE" w14:textId="77777777" w:rsidR="001E5DFD" w:rsidRPr="001136C1" w:rsidRDefault="001E5DFD" w:rsidP="001E5DFD">
      <w:pPr>
        <w:suppressAutoHyphens/>
        <w:spacing w:after="120"/>
        <w:jc w:val="both"/>
        <w:rPr>
          <w:rFonts w:ascii="Verdana" w:eastAsia="Century Gothic" w:hAnsi="Verdana"/>
          <w:iCs/>
          <w:color w:val="2D659A"/>
          <w:szCs w:val="20"/>
          <w:lang w:val="en-US"/>
        </w:rPr>
      </w:pPr>
      <w:r w:rsidRPr="00D34E5C">
        <w:rPr>
          <w:rFonts w:ascii="Verdana" w:eastAsia="Century Gothic" w:hAnsi="Verdana"/>
          <w:iCs/>
          <w:color w:val="2D659A"/>
          <w:szCs w:val="20"/>
          <w:lang w:val="en-US"/>
        </w:rPr>
        <w:t>Furthermore, credit institutions would totally depend on a restricted number of info providers, of which, the 3 largest in size are all characterized by being controlled by US capital. The present inability of the market to provide accurate and reliable numbers on a plethora of indicators suggests that market participants will likely be encouraged to not report on too many of those indicators as expressed by RTS art 7.2.</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1D9B04AB" w14:textId="77777777" w:rsidR="001E5DFD" w:rsidRPr="00D34E5C" w:rsidRDefault="001E5DFD" w:rsidP="001E5DFD">
      <w:pPr>
        <w:suppressAutoHyphens/>
        <w:spacing w:after="120"/>
        <w:jc w:val="both"/>
        <w:rPr>
          <w:rFonts w:ascii="Verdana" w:eastAsia="Century Gothic" w:hAnsi="Verdana"/>
          <w:i/>
          <w:iCs/>
          <w:color w:val="2D659A"/>
          <w:szCs w:val="20"/>
        </w:rPr>
      </w:pPr>
      <w:permStart w:id="1220688604" w:edGrp="everyone"/>
      <w:r w:rsidRPr="00D34E5C">
        <w:rPr>
          <w:rFonts w:ascii="Verdana" w:eastAsia="Century Gothic" w:hAnsi="Verdana"/>
          <w:i/>
          <w:iCs/>
          <w:color w:val="2D659A"/>
          <w:szCs w:val="20"/>
        </w:rPr>
        <w:t xml:space="preserve">Non-alignment level 1 with level 2 </w:t>
      </w:r>
    </w:p>
    <w:p w14:paraId="5F0ECEF0"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The SFDR requires FMP’s to disclose 1) policies and 2) actions. Table I, on the other hand, is mostly about indicators. An indicator is not a policy and in our opinion also not a good representation of a policy. We believe this set of indicators does not fit well with the mandate the ESA’s have been provided with by the level 1 text. </w:t>
      </w:r>
    </w:p>
    <w:p w14:paraId="5625BD94" w14:textId="77777777" w:rsidR="001E5DFD" w:rsidRPr="00D34E5C" w:rsidRDefault="001E5DFD" w:rsidP="001E5DFD">
      <w:pPr>
        <w:suppressAutoHyphens/>
        <w:spacing w:after="120"/>
        <w:jc w:val="both"/>
        <w:rPr>
          <w:rFonts w:ascii="Verdana" w:eastAsia="Century Gothic" w:hAnsi="Verdana"/>
          <w:i/>
          <w:iCs/>
          <w:color w:val="2D659A"/>
          <w:szCs w:val="20"/>
        </w:rPr>
      </w:pPr>
      <w:r w:rsidRPr="00D34E5C">
        <w:rPr>
          <w:rFonts w:ascii="Verdana" w:eastAsia="Century Gothic" w:hAnsi="Verdana"/>
          <w:i/>
          <w:iCs/>
          <w:color w:val="2D659A"/>
          <w:szCs w:val="20"/>
        </w:rPr>
        <w:t xml:space="preserve">Decrease the number of key indicators </w:t>
      </w:r>
    </w:p>
    <w:p w14:paraId="00E6C24B"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First of all, we believe disclosure should take place on a product by product basis, and to a lesser degree on entity level. If disclosure on entity level has to take place, we believe Table 1 should be drastically minimised, and Table 2 and 3 should be deleted (see opt-in paragraph in our answer to question 1).  Better is to assess the most viable and important indicators, where the data challenge is of least concern. Wit</w:t>
      </w:r>
      <w:r>
        <w:rPr>
          <w:rFonts w:ascii="Verdana" w:eastAsia="Century Gothic" w:hAnsi="Verdana"/>
          <w:color w:val="2D659A"/>
          <w:szCs w:val="20"/>
        </w:rPr>
        <w:t>h</w:t>
      </w:r>
      <w:r w:rsidRPr="00D34E5C">
        <w:rPr>
          <w:rFonts w:ascii="Verdana" w:eastAsia="Century Gothic" w:hAnsi="Verdana"/>
          <w:color w:val="2D659A"/>
          <w:szCs w:val="20"/>
        </w:rPr>
        <w:t xml:space="preserve"> the current proposal, Table 1 contains too many indicators. The focus should be on a few indicators, that are meaningful to end-investors. More information is, in this case, not always better. It should be about understandable information. Furthermore, we believe the ESA’s should test with (retail) clients what information adds value for them. As mentioned before, more detailed information can be provided in disclosure on product-level. </w:t>
      </w:r>
    </w:p>
    <w:p w14:paraId="2FB85D76"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It seems appropriate to propose a phased introduction of only 5-10 (to be selected) indicators to be reported in the first step</w:t>
      </w:r>
      <w:r>
        <w:rPr>
          <w:rFonts w:ascii="Verdana" w:eastAsia="Century Gothic" w:hAnsi="Verdana"/>
          <w:color w:val="2D659A"/>
          <w:szCs w:val="20"/>
        </w:rPr>
        <w:t xml:space="preserve"> (regarding consistency principle)</w:t>
      </w:r>
      <w:r w:rsidRPr="00D34E5C">
        <w:rPr>
          <w:rFonts w:ascii="Verdana" w:eastAsia="Century Gothic" w:hAnsi="Verdana"/>
          <w:color w:val="2D659A"/>
          <w:szCs w:val="20"/>
        </w:rPr>
        <w:t xml:space="preserve">. These indicators should be of general relevance and already have good data coverage. </w:t>
      </w:r>
    </w:p>
    <w:p w14:paraId="4EE643C5" w14:textId="77777777" w:rsidR="001E5DFD" w:rsidRPr="00D34E5C" w:rsidRDefault="001E5DFD" w:rsidP="001E5DFD">
      <w:pPr>
        <w:suppressAutoHyphens/>
        <w:spacing w:after="120"/>
        <w:jc w:val="both"/>
        <w:rPr>
          <w:rFonts w:ascii="Verdana" w:eastAsia="Century Gothic" w:hAnsi="Verdana"/>
          <w:i/>
          <w:iCs/>
          <w:color w:val="2D659A"/>
          <w:szCs w:val="20"/>
        </w:rPr>
      </w:pPr>
      <w:r w:rsidRPr="00D34E5C">
        <w:rPr>
          <w:rFonts w:ascii="Verdana" w:eastAsia="Century Gothic" w:hAnsi="Verdana"/>
          <w:i/>
          <w:iCs/>
          <w:color w:val="2D659A"/>
          <w:szCs w:val="20"/>
        </w:rPr>
        <w:t>Taxonomy alignment</w:t>
      </w:r>
    </w:p>
    <w:p w14:paraId="72C2C1FB" w14:textId="77777777" w:rsidR="001E5DFD" w:rsidRPr="001136C1" w:rsidRDefault="001E5DFD" w:rsidP="001E5DFD">
      <w:pPr>
        <w:jc w:val="both"/>
        <w:rPr>
          <w:rFonts w:ascii="Verdana" w:eastAsia="Century Gothic" w:hAnsi="Verdana"/>
          <w:color w:val="2D659A"/>
          <w:szCs w:val="20"/>
        </w:rPr>
      </w:pPr>
      <w:r w:rsidRPr="001136C1">
        <w:rPr>
          <w:rFonts w:ascii="Verdana" w:eastAsia="Century Gothic" w:hAnsi="Verdana"/>
          <w:color w:val="2D659A"/>
          <w:szCs w:val="20"/>
        </w:rPr>
        <w:lastRenderedPageBreak/>
        <w:t>Elements of the taxonomy that have already been developed (i.e. climate change mitigation and adaptation) will be integrated into law by December 2020, becoming effective a year later. As other environmental objectives (like sustainable use of and protection of water and marine resources, transition to a circular economy, waste prevention and recycling, pollution prevention and control, protection of healthy ecosystems) are still under development, we do not expect these taxonomy objectives to become effective before 2023.  The current taxonomy does not cover social activities. Given the current context, we believe that the development of the social taxonomy not only is important but it should be brought forward. It is important to note that the Taxonomy Regulation contains provisions for Minimum Safeguards. The minimum safeguards in the taxonomy were designed to ensure that Taxonomy activities do not harm social objectives – in essence, a form of DNSH to social aspects (plus a range of governance issues). These build from several frameworks including the RBC guidelines referenced in the Disclosure Regulation concept of Principal Adverse Impact.  The inclusion of the OECD MNEs Guidelines and the UN GPs as a framework to define minimum safeguards effectively ensures high and ample social standards. The OECD MNEs are the only government-backed and the most comprehensive instrument covering all major social and governance risks. Therefore those financial products that are taxonomy aligned by default have no exposure to adverse impacts – social and environmental.</w:t>
      </w:r>
    </w:p>
    <w:p w14:paraId="3498A170" w14:textId="77777777" w:rsidR="001E5DFD" w:rsidRPr="00E902E3" w:rsidRDefault="001E5DFD" w:rsidP="001E5DFD">
      <w:pPr>
        <w:jc w:val="both"/>
        <w:rPr>
          <w:szCs w:val="20"/>
        </w:rPr>
      </w:pPr>
    </w:p>
    <w:p w14:paraId="5E7604DA" w14:textId="77777777" w:rsidR="001E5DFD" w:rsidRPr="00D34E5C" w:rsidRDefault="001E5DFD" w:rsidP="001E5DFD">
      <w:pPr>
        <w:suppressAutoHyphens/>
        <w:spacing w:after="120"/>
        <w:jc w:val="both"/>
        <w:rPr>
          <w:rFonts w:ascii="Verdana" w:eastAsia="Century Gothic" w:hAnsi="Verdana"/>
          <w:i/>
          <w:iCs/>
          <w:color w:val="2D659A"/>
          <w:szCs w:val="20"/>
        </w:rPr>
      </w:pPr>
      <w:r w:rsidRPr="00D34E5C">
        <w:rPr>
          <w:rFonts w:ascii="Verdana" w:eastAsia="Century Gothic" w:hAnsi="Verdana"/>
          <w:i/>
          <w:iCs/>
          <w:color w:val="2D659A"/>
          <w:szCs w:val="20"/>
        </w:rPr>
        <w:t xml:space="preserve">Definition of fossil fuel </w:t>
      </w:r>
    </w:p>
    <w:p w14:paraId="70A4FDC1" w14:textId="77777777" w:rsidR="001E5DFD" w:rsidRPr="005F5116" w:rsidRDefault="001E5DFD" w:rsidP="001E5DFD">
      <w:pPr>
        <w:jc w:val="both"/>
        <w:rPr>
          <w:rFonts w:ascii="Verdana" w:eastAsia="Century Gothic" w:hAnsi="Verdana"/>
          <w:color w:val="2D659A"/>
          <w:szCs w:val="20"/>
        </w:rPr>
      </w:pPr>
      <w:r w:rsidRPr="005F5116">
        <w:rPr>
          <w:rFonts w:ascii="Verdana" w:eastAsia="Century Gothic" w:hAnsi="Verdana"/>
          <w:color w:val="2D659A"/>
          <w:szCs w:val="20"/>
        </w:rPr>
        <w:t xml:space="preserve">We disagree with the narrow interpretation of "fossil fuel” in the definition in article 1(1). In our view, “fossil fuel” for compliance with the </w:t>
      </w:r>
      <w:r>
        <w:rPr>
          <w:rFonts w:ascii="Verdana" w:eastAsia="Century Gothic" w:hAnsi="Verdana"/>
          <w:color w:val="2D659A"/>
          <w:szCs w:val="20"/>
        </w:rPr>
        <w:t>SFDR</w:t>
      </w:r>
      <w:r w:rsidRPr="005F5116">
        <w:rPr>
          <w:rFonts w:ascii="Verdana" w:eastAsia="Century Gothic" w:hAnsi="Verdana"/>
          <w:color w:val="2D659A"/>
          <w:szCs w:val="20"/>
        </w:rPr>
        <w:t xml:space="preserve"> must follow the definition by Eurostat: "Fossil fuel is a generic term for non-renewable energy sources such as coal, coal products, natural gas, derived gas, crude oil, petroleum products and non-renewable wastes. These fuels originate from plants and animals that existed in the geological past (for example, millions of years ago). Fossil fuels can be also made by industrial processes from other fossil fuels." Any deviation from commonly used definitions in the European Union would be highly confusing, for investors, for companies that would be required to report two different costly sets of information, and for monitoring the EU’s environmental footprint in statistics.</w:t>
      </w:r>
    </w:p>
    <w:p w14:paraId="04A7B7CC" w14:textId="77777777" w:rsidR="001E5DFD" w:rsidRPr="00E902E3" w:rsidRDefault="001E5DFD" w:rsidP="001E5DFD">
      <w:pPr>
        <w:jc w:val="both"/>
        <w:rPr>
          <w:szCs w:val="20"/>
        </w:rPr>
      </w:pPr>
    </w:p>
    <w:p w14:paraId="3142C921" w14:textId="77777777" w:rsidR="001E5DFD" w:rsidRPr="00D34E5C" w:rsidRDefault="001E5DFD" w:rsidP="001E5DFD">
      <w:pPr>
        <w:suppressAutoHyphens/>
        <w:spacing w:after="120"/>
        <w:jc w:val="both"/>
        <w:rPr>
          <w:rFonts w:ascii="Verdana" w:eastAsia="Century Gothic" w:hAnsi="Verdana"/>
          <w:i/>
          <w:iCs/>
          <w:color w:val="2D659A"/>
          <w:szCs w:val="20"/>
        </w:rPr>
      </w:pPr>
      <w:r w:rsidRPr="00D34E5C">
        <w:rPr>
          <w:rFonts w:ascii="Verdana" w:eastAsia="Century Gothic" w:hAnsi="Verdana"/>
          <w:i/>
          <w:iCs/>
          <w:color w:val="2D659A"/>
          <w:szCs w:val="20"/>
        </w:rPr>
        <w:t>Proportionality</w:t>
      </w:r>
    </w:p>
    <w:p w14:paraId="6A2ABD6B"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Policy option 1.3 (detailed rules on </w:t>
      </w:r>
      <w:r w:rsidRPr="00D34E5C">
        <w:rPr>
          <w:rFonts w:ascii="Verdana" w:eastAsia="Century Gothic" w:hAnsi="Verdana"/>
          <w:i/>
          <w:iCs/>
          <w:color w:val="2D659A"/>
          <w:szCs w:val="20"/>
        </w:rPr>
        <w:t>all</w:t>
      </w:r>
      <w:r w:rsidRPr="00D34E5C">
        <w:rPr>
          <w:rFonts w:ascii="Verdana" w:eastAsia="Century Gothic" w:hAnsi="Verdana"/>
          <w:color w:val="2D659A"/>
          <w:szCs w:val="20"/>
        </w:rPr>
        <w:t xml:space="preserve"> adverse impacts) would require very granular, detailed information that is mostly not available, or meaningful yet (see table below). The ESA’s also believe that this is the most resource intensive and expensive option for FMP’s. This very strict and granular approach, leaves little room to the initial proposed proportionality in the level 1 text. We believe that proportionality is essential in order for smaller market participants to be able to implement the disclosure requirements. Although the SFDR text mentions proportionality, we would like to highlight again that for smaller market participants (and especially, those that just exceed the 500 employee limit) it might be very costly to implement all the necessary requirements.</w:t>
      </w:r>
    </w:p>
    <w:p w14:paraId="04B1A830"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Furthermore, the quality and availability of data will become more important with this regulation. Parties with a large budget can invest more in data providers, and can therefore provide more reliable data. Smaller parties must make choices for the amount of data and the reliability of the data. This may be at the expense of reliability, and thus at the expense of the comparability of data between FMP’s. We don’t believe this is desirable. We are in favour of the EU providing a database of all the data for all companies that we need to report on if this data is to be released. In this way, all asset managers have the same data and the reports are more comparable. Recently the EBF, together with five other financial industry associations, was calling for the European Commission to establish a common ESG data </w:t>
      </w:r>
      <w:r w:rsidRPr="00D34E5C">
        <w:rPr>
          <w:rFonts w:ascii="Verdana" w:eastAsia="Century Gothic" w:hAnsi="Verdana"/>
          <w:color w:val="2D659A"/>
          <w:szCs w:val="20"/>
        </w:rPr>
        <w:lastRenderedPageBreak/>
        <w:t>register in the European Union to enhance the availability of relevant and reliable ESG data, facilitate disclosure and scale-up sustainable funding.</w:t>
      </w:r>
      <w:r w:rsidRPr="00D34E5C">
        <w:rPr>
          <w:rFonts w:ascii="Verdana" w:eastAsia="Century Gothic" w:hAnsi="Verdana"/>
          <w:color w:val="2D659A"/>
          <w:szCs w:val="20"/>
          <w:vertAlign w:val="superscript"/>
        </w:rPr>
        <w:footnoteReference w:id="4"/>
      </w:r>
    </w:p>
    <w:p w14:paraId="2E8DE5A6" w14:textId="77777777" w:rsidR="001E5DFD" w:rsidRPr="00D34E5C" w:rsidRDefault="001E5DFD" w:rsidP="001E5DFD">
      <w:pPr>
        <w:suppressAutoHyphens/>
        <w:spacing w:after="120"/>
        <w:jc w:val="both"/>
        <w:rPr>
          <w:rFonts w:ascii="Verdana" w:eastAsia="Century Gothic" w:hAnsi="Verdana"/>
          <w:i/>
          <w:iCs/>
          <w:color w:val="2D659A"/>
          <w:szCs w:val="20"/>
        </w:rPr>
      </w:pPr>
      <w:r w:rsidRPr="00D34E5C">
        <w:rPr>
          <w:rFonts w:ascii="Verdana" w:eastAsia="Century Gothic" w:hAnsi="Verdana"/>
          <w:i/>
          <w:iCs/>
          <w:color w:val="2D659A"/>
          <w:szCs w:val="20"/>
        </w:rPr>
        <w:t>Materiality of the data</w:t>
      </w:r>
    </w:p>
    <w:p w14:paraId="14AFCB3A"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Table 1 does not take into account “materiality” of an indicator for a company or sector. We have also responded to this issue in our answer to questions 11. Please find in table 2, below,</w:t>
      </w:r>
      <w:r>
        <w:rPr>
          <w:rFonts w:ascii="Verdana" w:eastAsia="Century Gothic" w:hAnsi="Verdana"/>
          <w:color w:val="2D659A"/>
          <w:szCs w:val="20"/>
        </w:rPr>
        <w:t xml:space="preserve"> </w:t>
      </w:r>
      <w:r w:rsidRPr="00D34E5C">
        <w:rPr>
          <w:rFonts w:ascii="Verdana" w:eastAsia="Century Gothic" w:hAnsi="Verdana"/>
          <w:color w:val="2D659A"/>
          <w:szCs w:val="20"/>
        </w:rPr>
        <w:t xml:space="preserve">a more elaborate answer per principal adverse sustainability indicator, and the subsequent metric the ESA’s propose. </w:t>
      </w:r>
    </w:p>
    <w:p w14:paraId="37143335" w14:textId="0A3F8BBC" w:rsidR="001E5DFD" w:rsidRPr="00D34E5C" w:rsidRDefault="001E5DFD" w:rsidP="001E5DFD">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 xml:space="preserve">Table 2. </w:t>
      </w:r>
    </w:p>
    <w:tbl>
      <w:tblPr>
        <w:tblW w:w="9849" w:type="dxa"/>
        <w:tblInd w:w="-426" w:type="dxa"/>
        <w:tblCellMar>
          <w:left w:w="70" w:type="dxa"/>
          <w:right w:w="70" w:type="dxa"/>
        </w:tblCellMar>
        <w:tblLook w:val="04A0" w:firstRow="1" w:lastRow="0" w:firstColumn="1" w:lastColumn="0" w:noHBand="0" w:noVBand="1"/>
      </w:tblPr>
      <w:tblGrid>
        <w:gridCol w:w="516"/>
        <w:gridCol w:w="1572"/>
        <w:gridCol w:w="3840"/>
        <w:gridCol w:w="3921"/>
      </w:tblGrid>
      <w:tr w:rsidR="001E5DFD" w:rsidRPr="00D34E5C" w14:paraId="75C04D0F" w14:textId="77777777" w:rsidTr="001E5DFD">
        <w:trPr>
          <w:trHeight w:val="233"/>
        </w:trPr>
        <w:tc>
          <w:tcPr>
            <w:tcW w:w="516" w:type="dxa"/>
            <w:vAlign w:val="center"/>
            <w:hideMark/>
          </w:tcPr>
          <w:p w14:paraId="1CFD4881" w14:textId="77777777" w:rsidR="001E5DFD" w:rsidRPr="00D34E5C" w:rsidRDefault="001E5DFD" w:rsidP="001E5DFD">
            <w:pPr>
              <w:suppressAutoHyphens/>
              <w:spacing w:after="120"/>
              <w:jc w:val="both"/>
              <w:rPr>
                <w:rFonts w:ascii="Verdana" w:eastAsia="Century Gothic" w:hAnsi="Verdana"/>
                <w:color w:val="2D659A"/>
                <w:szCs w:val="20"/>
              </w:rPr>
            </w:pPr>
          </w:p>
        </w:tc>
        <w:tc>
          <w:tcPr>
            <w:tcW w:w="1572" w:type="dxa"/>
            <w:vAlign w:val="center"/>
            <w:hideMark/>
          </w:tcPr>
          <w:p w14:paraId="3BD344F2" w14:textId="77777777" w:rsidR="001E5DFD" w:rsidRPr="00D34E5C" w:rsidRDefault="001E5DFD" w:rsidP="001E5DFD">
            <w:pPr>
              <w:suppressAutoHyphens/>
              <w:spacing w:after="120"/>
              <w:jc w:val="both"/>
              <w:rPr>
                <w:rFonts w:ascii="Verdana" w:eastAsia="Century Gothic" w:hAnsi="Verdana"/>
                <w:color w:val="2D659A"/>
                <w:szCs w:val="20"/>
                <w:lang w:eastAsia="nl-NL"/>
              </w:rPr>
            </w:pPr>
          </w:p>
        </w:tc>
        <w:tc>
          <w:tcPr>
            <w:tcW w:w="3840" w:type="dxa"/>
            <w:tcBorders>
              <w:top w:val="single" w:sz="4" w:space="0" w:color="auto"/>
              <w:left w:val="single" w:sz="4" w:space="0" w:color="auto"/>
              <w:bottom w:val="single" w:sz="4" w:space="0" w:color="auto"/>
              <w:right w:val="single" w:sz="4" w:space="0" w:color="auto"/>
            </w:tcBorders>
            <w:noWrap/>
            <w:vAlign w:val="center"/>
            <w:hideMark/>
          </w:tcPr>
          <w:p w14:paraId="3308C7B7" w14:textId="77777777" w:rsidR="001E5DFD" w:rsidRPr="00D34E5C" w:rsidRDefault="001E5DFD" w:rsidP="001E5DFD">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Adverse sustainability indicator</w:t>
            </w:r>
          </w:p>
        </w:tc>
        <w:tc>
          <w:tcPr>
            <w:tcW w:w="3921" w:type="dxa"/>
            <w:tcBorders>
              <w:top w:val="single" w:sz="4" w:space="0" w:color="auto"/>
              <w:left w:val="nil"/>
              <w:bottom w:val="single" w:sz="4" w:space="0" w:color="auto"/>
              <w:right w:val="single" w:sz="4" w:space="0" w:color="auto"/>
            </w:tcBorders>
            <w:noWrap/>
            <w:vAlign w:val="center"/>
            <w:hideMark/>
          </w:tcPr>
          <w:p w14:paraId="72E27C1D" w14:textId="77777777" w:rsidR="001E5DFD" w:rsidRPr="00D34E5C" w:rsidRDefault="001E5DFD" w:rsidP="001E5DFD">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Comments</w:t>
            </w:r>
          </w:p>
        </w:tc>
      </w:tr>
      <w:tr w:rsidR="001E5DFD" w:rsidRPr="00D34E5C" w14:paraId="39E2FF01" w14:textId="77777777" w:rsidTr="001E5DFD">
        <w:trPr>
          <w:trHeight w:val="930"/>
        </w:trPr>
        <w:tc>
          <w:tcPr>
            <w:tcW w:w="516" w:type="dxa"/>
            <w:vMerge w:val="restart"/>
            <w:tcBorders>
              <w:top w:val="single" w:sz="4" w:space="0" w:color="auto"/>
              <w:left w:val="single" w:sz="4" w:space="0" w:color="auto"/>
              <w:bottom w:val="single" w:sz="4" w:space="0" w:color="auto"/>
              <w:right w:val="single" w:sz="4" w:space="0" w:color="auto"/>
            </w:tcBorders>
            <w:shd w:val="clear" w:color="auto" w:fill="70AD47"/>
            <w:textDirection w:val="tbLrV"/>
            <w:vAlign w:val="center"/>
            <w:hideMark/>
          </w:tcPr>
          <w:p w14:paraId="6D592145" w14:textId="77777777" w:rsidR="001E5DFD" w:rsidRPr="00D34E5C" w:rsidRDefault="001E5DFD" w:rsidP="001E5DFD">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Environmental</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9D08E"/>
            <w:vAlign w:val="center"/>
            <w:hideMark/>
          </w:tcPr>
          <w:p w14:paraId="0F5E58C5" w14:textId="77777777" w:rsidR="001E5DFD" w:rsidRPr="00D34E5C" w:rsidRDefault="001E5DFD" w:rsidP="001E5DFD">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Greenhouse gas emissions</w:t>
            </w:r>
          </w:p>
        </w:tc>
        <w:tc>
          <w:tcPr>
            <w:tcW w:w="3840" w:type="dxa"/>
            <w:tcBorders>
              <w:top w:val="nil"/>
              <w:left w:val="nil"/>
              <w:bottom w:val="single" w:sz="4" w:space="0" w:color="auto"/>
              <w:right w:val="single" w:sz="4" w:space="0" w:color="auto"/>
            </w:tcBorders>
            <w:vAlign w:val="center"/>
            <w:hideMark/>
          </w:tcPr>
          <w:p w14:paraId="3180250E"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1. Carbon emissions (broken down by scope 1, 2 and 3 carbon emissions - including agriculture, forestry and other land use (AFOLU) emissions - and in total)</w:t>
            </w:r>
          </w:p>
        </w:tc>
        <w:tc>
          <w:tcPr>
            <w:tcW w:w="3921" w:type="dxa"/>
            <w:tcBorders>
              <w:top w:val="nil"/>
              <w:left w:val="nil"/>
              <w:bottom w:val="single" w:sz="4" w:space="0" w:color="auto"/>
              <w:right w:val="single" w:sz="4" w:space="0" w:color="auto"/>
            </w:tcBorders>
            <w:vAlign w:val="center"/>
            <w:hideMark/>
          </w:tcPr>
          <w:p w14:paraId="1C1A595D" w14:textId="77777777" w:rsidR="001E5DFD" w:rsidRPr="00D34E5C" w:rsidRDefault="001E5DFD" w:rsidP="001E5DFD">
            <w:pPr>
              <w:suppressAutoHyphens/>
              <w:jc w:val="both"/>
              <w:rPr>
                <w:rFonts w:ascii="Verdana" w:eastAsia="Century Gothic" w:hAnsi="Verdana"/>
                <w:color w:val="2D659A"/>
                <w:szCs w:val="20"/>
              </w:rPr>
            </w:pPr>
            <w:r w:rsidRPr="00AC2287">
              <w:rPr>
                <w:rFonts w:ascii="Verdana" w:eastAsia="Century Gothic" w:hAnsi="Verdana"/>
                <w:color w:val="2D659A"/>
                <w:szCs w:val="20"/>
              </w:rPr>
              <w:t>See our answer to question 11. Data for scope 3 is not available now. Current methodologies can lead to double counting. When the methodology is refined and data is available this can be included in the future. Meanwhile, Scope 3 could be envisaged with a selection of relevant sectors (Energy/Power, Oil &amp; Gas, Shipping, Automotive, Construction…) and a phase in approach by sectors (starting with energy/power for instance) and as far as methodologies are developed. Scope 1 and 2 are not always available, even scope 2 will lead to double counting. Furthermore we do see from year to year big differences in reported emissions from companies.</w:t>
            </w:r>
            <w:r>
              <w:rPr>
                <w:szCs w:val="20"/>
                <w:lang w:eastAsia="nl-NL"/>
              </w:rPr>
              <w:t xml:space="preserve"> </w:t>
            </w:r>
          </w:p>
        </w:tc>
      </w:tr>
      <w:tr w:rsidR="001E5DFD" w:rsidRPr="00D34E5C" w14:paraId="574A849C" w14:textId="77777777" w:rsidTr="001E5DFD">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DA85F"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12AA4"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359D9F29"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2. Carbon footprint</w:t>
            </w:r>
          </w:p>
        </w:tc>
        <w:tc>
          <w:tcPr>
            <w:tcW w:w="3921" w:type="dxa"/>
            <w:tcBorders>
              <w:top w:val="nil"/>
              <w:left w:val="nil"/>
              <w:bottom w:val="single" w:sz="4" w:space="0" w:color="auto"/>
              <w:right w:val="single" w:sz="4" w:space="0" w:color="auto"/>
            </w:tcBorders>
            <w:noWrap/>
            <w:vAlign w:val="center"/>
            <w:hideMark/>
          </w:tcPr>
          <w:p w14:paraId="7AEFA99A"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w:t>
            </w:r>
          </w:p>
        </w:tc>
      </w:tr>
      <w:tr w:rsidR="001E5DFD" w:rsidRPr="00D34E5C" w14:paraId="213801DF" w14:textId="77777777" w:rsidTr="001E5DFD">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CE44B0"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E02FB"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5435385D"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3. Weighted average carbon intensity</w:t>
            </w:r>
          </w:p>
        </w:tc>
        <w:tc>
          <w:tcPr>
            <w:tcW w:w="3921" w:type="dxa"/>
            <w:tcBorders>
              <w:top w:val="nil"/>
              <w:left w:val="nil"/>
              <w:bottom w:val="single" w:sz="4" w:space="0" w:color="auto"/>
              <w:right w:val="single" w:sz="4" w:space="0" w:color="auto"/>
            </w:tcBorders>
            <w:noWrap/>
            <w:vAlign w:val="center"/>
            <w:hideMark/>
          </w:tcPr>
          <w:p w14:paraId="18C0382E"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w:t>
            </w:r>
          </w:p>
        </w:tc>
      </w:tr>
      <w:tr w:rsidR="001E5DFD" w:rsidRPr="00D34E5C" w14:paraId="4FB4A941" w14:textId="77777777" w:rsidTr="001E5DFD">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C9496"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D30C3"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71D45C76"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4. Solid fossil fuel sector exposure</w:t>
            </w:r>
          </w:p>
        </w:tc>
        <w:tc>
          <w:tcPr>
            <w:tcW w:w="3921" w:type="dxa"/>
            <w:tcBorders>
              <w:top w:val="nil"/>
              <w:left w:val="nil"/>
              <w:bottom w:val="single" w:sz="4" w:space="0" w:color="auto"/>
              <w:right w:val="single" w:sz="4" w:space="0" w:color="auto"/>
            </w:tcBorders>
            <w:vAlign w:val="center"/>
            <w:hideMark/>
          </w:tcPr>
          <w:p w14:paraId="7AEC20D6"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Data is not available. Furthermore, </w:t>
            </w:r>
            <w:r>
              <w:rPr>
                <w:rFonts w:ascii="Verdana" w:eastAsia="Century Gothic" w:hAnsi="Verdana"/>
                <w:color w:val="2D659A"/>
                <w:szCs w:val="20"/>
              </w:rPr>
              <w:t>w</w:t>
            </w:r>
            <w:r w:rsidRPr="00D34E5C">
              <w:rPr>
                <w:rFonts w:ascii="Verdana" w:eastAsia="Century Gothic" w:hAnsi="Verdana"/>
                <w:color w:val="2D659A"/>
                <w:szCs w:val="20"/>
              </w:rPr>
              <w:t>e</w:t>
            </w:r>
            <w:r>
              <w:rPr>
                <w:rFonts w:ascii="Verdana" w:eastAsia="Century Gothic" w:hAnsi="Verdana"/>
                <w:color w:val="2D659A"/>
                <w:szCs w:val="20"/>
              </w:rPr>
              <w:t xml:space="preserve"> </w:t>
            </w:r>
            <w:r w:rsidRPr="00D34E5C">
              <w:rPr>
                <w:rFonts w:ascii="Verdana" w:eastAsia="Century Gothic" w:hAnsi="Verdana"/>
                <w:color w:val="2D659A"/>
                <w:szCs w:val="20"/>
              </w:rPr>
              <w:t xml:space="preserve">disagree with the narrow interpretation of "fossil fuel” in the definition in article 1(1). In our view, “fossil fuel” for compliance with the </w:t>
            </w:r>
            <w:r>
              <w:rPr>
                <w:rFonts w:ascii="Verdana" w:eastAsia="Century Gothic" w:hAnsi="Verdana"/>
                <w:color w:val="2D659A"/>
                <w:szCs w:val="20"/>
              </w:rPr>
              <w:t>SFDR</w:t>
            </w:r>
            <w:r w:rsidRPr="00D34E5C">
              <w:rPr>
                <w:rFonts w:ascii="Verdana" w:eastAsia="Century Gothic" w:hAnsi="Verdana"/>
                <w:color w:val="2D659A"/>
                <w:szCs w:val="20"/>
              </w:rPr>
              <w:t xml:space="preserve"> must follow the definition by Eurostat.</w:t>
            </w:r>
          </w:p>
        </w:tc>
      </w:tr>
      <w:tr w:rsidR="001E5DFD" w:rsidRPr="00D34E5C" w14:paraId="7718F044" w14:textId="77777777" w:rsidTr="001E5DFD">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CDF1A9"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1572" w:type="dxa"/>
            <w:vMerge w:val="restart"/>
            <w:tcBorders>
              <w:top w:val="nil"/>
              <w:left w:val="single" w:sz="4" w:space="0" w:color="auto"/>
              <w:bottom w:val="single" w:sz="4" w:space="0" w:color="auto"/>
              <w:right w:val="single" w:sz="4" w:space="0" w:color="auto"/>
            </w:tcBorders>
            <w:shd w:val="clear" w:color="auto" w:fill="A9D08E"/>
            <w:vAlign w:val="center"/>
            <w:hideMark/>
          </w:tcPr>
          <w:p w14:paraId="57BCD26F" w14:textId="77777777" w:rsidR="001E5DFD" w:rsidRPr="00D34E5C" w:rsidRDefault="001E5DFD" w:rsidP="001E5DFD">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Energy performance</w:t>
            </w:r>
          </w:p>
        </w:tc>
        <w:tc>
          <w:tcPr>
            <w:tcW w:w="3840" w:type="dxa"/>
            <w:tcBorders>
              <w:top w:val="nil"/>
              <w:left w:val="nil"/>
              <w:bottom w:val="single" w:sz="4" w:space="0" w:color="auto"/>
              <w:right w:val="single" w:sz="4" w:space="0" w:color="auto"/>
            </w:tcBorders>
            <w:vAlign w:val="center"/>
            <w:hideMark/>
          </w:tcPr>
          <w:p w14:paraId="01E1D7B3"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5. Total energy consumption from non-renewable sources and share of non-renewable energy consumption</w:t>
            </w:r>
          </w:p>
        </w:tc>
        <w:tc>
          <w:tcPr>
            <w:tcW w:w="3921" w:type="dxa"/>
            <w:tcBorders>
              <w:top w:val="nil"/>
              <w:left w:val="nil"/>
              <w:bottom w:val="single" w:sz="4" w:space="0" w:color="auto"/>
              <w:right w:val="single" w:sz="4" w:space="0" w:color="auto"/>
            </w:tcBorders>
            <w:vAlign w:val="center"/>
            <w:hideMark/>
          </w:tcPr>
          <w:p w14:paraId="501CACAB"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Data is not available.  For 5-8 we would rather see indicators for % portfolio invested in sustainable energy with a 'visible trend'.</w:t>
            </w:r>
          </w:p>
        </w:tc>
      </w:tr>
      <w:tr w:rsidR="001E5DFD" w:rsidRPr="00D34E5C" w14:paraId="0F1F0B58" w14:textId="77777777" w:rsidTr="001E5DFD">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650E0"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5D1951B4"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2F60464D"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6. Breakdown of energy consumption by type of non-renewable sources of energy</w:t>
            </w:r>
          </w:p>
        </w:tc>
        <w:tc>
          <w:tcPr>
            <w:tcW w:w="3921" w:type="dxa"/>
            <w:tcBorders>
              <w:top w:val="nil"/>
              <w:left w:val="nil"/>
              <w:bottom w:val="single" w:sz="4" w:space="0" w:color="auto"/>
              <w:right w:val="single" w:sz="4" w:space="0" w:color="auto"/>
            </w:tcBorders>
            <w:vAlign w:val="center"/>
            <w:hideMark/>
          </w:tcPr>
          <w:p w14:paraId="1B75BEA2"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Data is not available. Doubts if companies themselves have insights in this breakdown</w:t>
            </w:r>
          </w:p>
        </w:tc>
      </w:tr>
      <w:tr w:rsidR="001E5DFD" w:rsidRPr="00D34E5C" w14:paraId="411D5E2B" w14:textId="77777777" w:rsidTr="001E5DFD">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2F52D"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4D84A0C1"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7417EB0B"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7. Energy consumption intensity</w:t>
            </w:r>
          </w:p>
        </w:tc>
        <w:tc>
          <w:tcPr>
            <w:tcW w:w="3921" w:type="dxa"/>
            <w:tcBorders>
              <w:top w:val="nil"/>
              <w:left w:val="nil"/>
              <w:bottom w:val="single" w:sz="4" w:space="0" w:color="auto"/>
              <w:right w:val="single" w:sz="4" w:space="0" w:color="auto"/>
            </w:tcBorders>
            <w:vAlign w:val="center"/>
            <w:hideMark/>
          </w:tcPr>
          <w:p w14:paraId="54A10A84"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Non-availability of data. Only a small selection of companies provide</w:t>
            </w:r>
            <w:r>
              <w:rPr>
                <w:rFonts w:ascii="Verdana" w:eastAsia="Century Gothic" w:hAnsi="Verdana"/>
                <w:color w:val="2D659A"/>
                <w:szCs w:val="20"/>
              </w:rPr>
              <w:t>s</w:t>
            </w:r>
            <w:r w:rsidRPr="00D34E5C">
              <w:rPr>
                <w:rFonts w:ascii="Verdana" w:eastAsia="Century Gothic" w:hAnsi="Verdana"/>
                <w:color w:val="2D659A"/>
                <w:szCs w:val="20"/>
              </w:rPr>
              <w:t xml:space="preserve"> the GHG data to CDP. But that does not mean that energy consumption is available. Furthermore against what should it be weighted?</w:t>
            </w:r>
          </w:p>
        </w:tc>
      </w:tr>
      <w:tr w:rsidR="001E5DFD" w:rsidRPr="00D34E5C" w14:paraId="38F4A7EE" w14:textId="77777777" w:rsidTr="001E5DFD">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266E6"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3D223FC6"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65F56DF0"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8. Energy consumption intensity per sector</w:t>
            </w:r>
          </w:p>
        </w:tc>
        <w:tc>
          <w:tcPr>
            <w:tcW w:w="3921" w:type="dxa"/>
            <w:tcBorders>
              <w:top w:val="nil"/>
              <w:left w:val="nil"/>
              <w:bottom w:val="single" w:sz="4" w:space="0" w:color="auto"/>
              <w:right w:val="single" w:sz="4" w:space="0" w:color="auto"/>
            </w:tcBorders>
            <w:noWrap/>
            <w:vAlign w:val="center"/>
            <w:hideMark/>
          </w:tcPr>
          <w:p w14:paraId="13877651" w14:textId="77777777" w:rsidR="001E5DFD" w:rsidRDefault="001E5DFD" w:rsidP="001E5DFD">
            <w:pPr>
              <w:jc w:val="both"/>
              <w:rPr>
                <w:rFonts w:ascii="Verdana" w:eastAsia="Century Gothic" w:hAnsi="Verdana"/>
                <w:color w:val="2D659A"/>
                <w:szCs w:val="20"/>
              </w:rPr>
            </w:pPr>
            <w:r w:rsidRPr="00E902E3">
              <w:rPr>
                <w:szCs w:val="20"/>
              </w:rPr>
              <w:t> </w:t>
            </w:r>
            <w:r w:rsidRPr="00AC2287">
              <w:rPr>
                <w:rFonts w:ascii="Verdana" w:eastAsia="Century Gothic" w:hAnsi="Verdana"/>
                <w:color w:val="2D659A"/>
                <w:szCs w:val="20"/>
              </w:rPr>
              <w:t>Not covered by most data rating agencies. We recommend to ask for the energy and electricity mix of our portfolios – overall - , which will provide a very good picture of where investors’ investments in the energy sector look like rather than on the energy consumption description of all investees which is</w:t>
            </w:r>
            <w:r>
              <w:rPr>
                <w:rFonts w:ascii="Verdana" w:eastAsia="Century Gothic" w:hAnsi="Verdana"/>
                <w:color w:val="2D659A"/>
                <w:szCs w:val="20"/>
              </w:rPr>
              <w:t>:</w:t>
            </w:r>
          </w:p>
          <w:p w14:paraId="4ED2CB01" w14:textId="77777777" w:rsidR="001E5DFD" w:rsidRDefault="001E5DFD" w:rsidP="001E5DFD">
            <w:pPr>
              <w:jc w:val="both"/>
              <w:rPr>
                <w:rFonts w:ascii="Verdana" w:eastAsia="Century Gothic" w:hAnsi="Verdana"/>
                <w:color w:val="2D659A"/>
                <w:szCs w:val="20"/>
              </w:rPr>
            </w:pPr>
            <w:r w:rsidRPr="00AC2287">
              <w:rPr>
                <w:rFonts w:ascii="Verdana" w:eastAsia="Century Gothic" w:hAnsi="Verdana"/>
                <w:color w:val="2D659A"/>
                <w:szCs w:val="20"/>
              </w:rPr>
              <w:t xml:space="preserve">a) extremely cumbersome and today impossible </w:t>
            </w:r>
          </w:p>
          <w:p w14:paraId="07C2CD71" w14:textId="77777777" w:rsidR="001E5DFD" w:rsidRDefault="001E5DFD" w:rsidP="001E5DFD">
            <w:pPr>
              <w:jc w:val="both"/>
              <w:rPr>
                <w:szCs w:val="20"/>
              </w:rPr>
            </w:pPr>
            <w:r w:rsidRPr="00AC2287">
              <w:rPr>
                <w:rFonts w:ascii="Verdana" w:eastAsia="Century Gothic" w:hAnsi="Verdana"/>
                <w:color w:val="2D659A"/>
                <w:szCs w:val="20"/>
              </w:rPr>
              <w:t>b) less meaningful as the key lies in the energy and electricity markets.</w:t>
            </w:r>
            <w:r w:rsidRPr="00E902E3">
              <w:rPr>
                <w:szCs w:val="20"/>
              </w:rPr>
              <w:t xml:space="preserve"> </w:t>
            </w:r>
          </w:p>
          <w:p w14:paraId="575026FD" w14:textId="77777777" w:rsidR="001E5DFD" w:rsidRPr="00D34E5C" w:rsidRDefault="001E5DFD" w:rsidP="001E5DFD">
            <w:pPr>
              <w:suppressAutoHyphens/>
              <w:spacing w:after="120"/>
              <w:jc w:val="both"/>
              <w:rPr>
                <w:rFonts w:ascii="Verdana" w:eastAsia="Century Gothic" w:hAnsi="Verdana"/>
                <w:color w:val="2D659A"/>
                <w:szCs w:val="20"/>
              </w:rPr>
            </w:pPr>
          </w:p>
        </w:tc>
      </w:tr>
      <w:tr w:rsidR="001E5DFD" w:rsidRPr="00D34E5C" w14:paraId="398D4023" w14:textId="77777777" w:rsidTr="001E5DFD">
        <w:trPr>
          <w:trHeight w:val="17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B1E25"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1572" w:type="dxa"/>
            <w:vMerge w:val="restart"/>
            <w:tcBorders>
              <w:top w:val="nil"/>
              <w:left w:val="single" w:sz="4" w:space="0" w:color="auto"/>
              <w:bottom w:val="single" w:sz="4" w:space="0" w:color="auto"/>
              <w:right w:val="single" w:sz="4" w:space="0" w:color="auto"/>
            </w:tcBorders>
            <w:shd w:val="clear" w:color="auto" w:fill="A9D08E"/>
            <w:vAlign w:val="center"/>
            <w:hideMark/>
          </w:tcPr>
          <w:p w14:paraId="1D202C43" w14:textId="77777777" w:rsidR="001E5DFD" w:rsidRPr="00D34E5C" w:rsidRDefault="001E5DFD" w:rsidP="001E5DFD">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Biodiversity</w:t>
            </w:r>
          </w:p>
        </w:tc>
        <w:tc>
          <w:tcPr>
            <w:tcW w:w="3840" w:type="dxa"/>
            <w:tcBorders>
              <w:top w:val="nil"/>
              <w:left w:val="nil"/>
              <w:bottom w:val="single" w:sz="4" w:space="0" w:color="auto"/>
              <w:right w:val="single" w:sz="4" w:space="0" w:color="auto"/>
            </w:tcBorders>
            <w:vAlign w:val="center"/>
            <w:hideMark/>
          </w:tcPr>
          <w:p w14:paraId="764ED05E"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9. Biodiversity and ecosystem preservation practices</w:t>
            </w:r>
          </w:p>
        </w:tc>
        <w:tc>
          <w:tcPr>
            <w:tcW w:w="3921" w:type="dxa"/>
            <w:tcBorders>
              <w:top w:val="nil"/>
              <w:left w:val="nil"/>
              <w:bottom w:val="single" w:sz="4" w:space="0" w:color="auto"/>
              <w:right w:val="single" w:sz="4" w:space="0" w:color="auto"/>
            </w:tcBorders>
            <w:vAlign w:val="center"/>
            <w:hideMark/>
          </w:tcPr>
          <w:p w14:paraId="489C91AC"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As there is no data, the share of all investments in investee companies that do not assess, monitor or control the pressures corresponding to the indirect and direct drivers of biodiversity and ecosystems changes, is 100%. For both 9 and 10 ESA's could ask what % in high risk companies that have policies in the field of soil degradation, deforestation (% certified forest products), sustainable palm oil (% certified palm oil) and perhaps also a % portfolio that invests in non-organic pesticides.</w:t>
            </w:r>
          </w:p>
        </w:tc>
      </w:tr>
      <w:tr w:rsidR="001E5DFD" w:rsidRPr="00D34E5C" w14:paraId="3357E934" w14:textId="77777777" w:rsidTr="001E5DFD">
        <w:trPr>
          <w:trHeight w:val="11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25195"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5760BD49"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354A729C"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10. Natural species and protected areas</w:t>
            </w:r>
          </w:p>
        </w:tc>
        <w:tc>
          <w:tcPr>
            <w:tcW w:w="3921" w:type="dxa"/>
            <w:tcBorders>
              <w:top w:val="nil"/>
              <w:left w:val="nil"/>
              <w:bottom w:val="single" w:sz="4" w:space="0" w:color="auto"/>
              <w:right w:val="single" w:sz="4" w:space="0" w:color="auto"/>
            </w:tcBorders>
            <w:vAlign w:val="center"/>
            <w:hideMark/>
          </w:tcPr>
          <w:p w14:paraId="041BA364"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Hardly any company will provide this information. Reliability is very questionable as well. So FMP's will have to make use of third parties who are going to investigate this and estimate it. Most of these companies are not listed. So data raters have to dig into the supply chain and then come up with unreliable, non-comparable figures.</w:t>
            </w:r>
          </w:p>
        </w:tc>
      </w:tr>
      <w:tr w:rsidR="001E5DFD" w:rsidRPr="00D34E5C" w14:paraId="0E8DF74F" w14:textId="77777777" w:rsidTr="001E5DFD">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A3A5E"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0DBE171F"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5089B41D"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11. Deforestation</w:t>
            </w:r>
          </w:p>
        </w:tc>
        <w:tc>
          <w:tcPr>
            <w:tcW w:w="3921" w:type="dxa"/>
            <w:tcBorders>
              <w:top w:val="nil"/>
              <w:left w:val="nil"/>
              <w:bottom w:val="single" w:sz="4" w:space="0" w:color="auto"/>
              <w:right w:val="single" w:sz="4" w:space="0" w:color="auto"/>
            </w:tcBorders>
            <w:vAlign w:val="center"/>
            <w:hideMark/>
          </w:tcPr>
          <w:p w14:paraId="4DCF8AAF" w14:textId="77777777" w:rsidR="001E5DFD" w:rsidRPr="00AC2287" w:rsidRDefault="001E5DFD" w:rsidP="001E5DFD">
            <w:pPr>
              <w:suppressAutoHyphens/>
              <w:spacing w:after="120"/>
              <w:jc w:val="both"/>
              <w:rPr>
                <w:rFonts w:ascii="Verdana" w:eastAsia="Century Gothic" w:hAnsi="Verdana"/>
                <w:color w:val="2D659A"/>
                <w:szCs w:val="20"/>
              </w:rPr>
            </w:pPr>
            <w:r w:rsidRPr="00AC2287">
              <w:rPr>
                <w:rFonts w:ascii="Verdana" w:eastAsia="Century Gothic" w:hAnsi="Verdana"/>
                <w:color w:val="2D659A"/>
                <w:szCs w:val="20"/>
              </w:rPr>
              <w:t xml:space="preserve">We suggest to change it to number of companies or % of investments  that commit/have a policy on No deforestation, No peat, No Exploitation (NDPE) out of total number (or investments) that could be associated to the risk of </w:t>
            </w:r>
            <w:r w:rsidRPr="00AC2287">
              <w:rPr>
                <w:rFonts w:ascii="Verdana" w:eastAsia="Century Gothic" w:hAnsi="Verdana"/>
                <w:color w:val="2D659A"/>
                <w:szCs w:val="20"/>
              </w:rPr>
              <w:lastRenderedPageBreak/>
              <w:t>deforestation (limiting it to a number of relevant economic activities).</w:t>
            </w:r>
          </w:p>
          <w:p w14:paraId="2E0846B9" w14:textId="77777777" w:rsidR="001E5DFD" w:rsidRPr="00D34E5C" w:rsidRDefault="001E5DFD" w:rsidP="001E5DFD">
            <w:pPr>
              <w:suppressAutoHyphens/>
              <w:spacing w:after="120"/>
              <w:jc w:val="both"/>
              <w:rPr>
                <w:rFonts w:ascii="Verdana" w:eastAsia="Century Gothic" w:hAnsi="Verdana"/>
                <w:color w:val="2D659A"/>
                <w:szCs w:val="20"/>
              </w:rPr>
            </w:pPr>
            <w:r w:rsidRPr="00AC2287">
              <w:rPr>
                <w:rFonts w:ascii="Verdana" w:eastAsia="Century Gothic" w:hAnsi="Verdana"/>
                <w:color w:val="2D659A"/>
                <w:szCs w:val="20"/>
              </w:rPr>
              <w:t>11 is a</w:t>
            </w:r>
            <w:r w:rsidRPr="00D34E5C">
              <w:rPr>
                <w:rFonts w:ascii="Verdana" w:eastAsia="Century Gothic" w:hAnsi="Verdana"/>
                <w:color w:val="2D659A"/>
                <w:szCs w:val="20"/>
              </w:rPr>
              <w:t xml:space="preserve"> typical example of materiality vs. sector. Most companies do not have a deforestation policy. As for many companies that is not relevant (e.g. Software technology company). So once you are solely invested in IT companies you score 100%. </w:t>
            </w:r>
          </w:p>
        </w:tc>
      </w:tr>
      <w:tr w:rsidR="001E5DFD" w:rsidRPr="00D34E5C" w14:paraId="0C182D2C" w14:textId="77777777" w:rsidTr="001E5DFD">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54BD7"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1572" w:type="dxa"/>
            <w:vMerge w:val="restart"/>
            <w:tcBorders>
              <w:top w:val="nil"/>
              <w:left w:val="single" w:sz="4" w:space="0" w:color="auto"/>
              <w:bottom w:val="single" w:sz="4" w:space="0" w:color="auto"/>
              <w:right w:val="single" w:sz="4" w:space="0" w:color="auto"/>
            </w:tcBorders>
            <w:shd w:val="clear" w:color="auto" w:fill="A9D08E"/>
            <w:vAlign w:val="center"/>
            <w:hideMark/>
          </w:tcPr>
          <w:p w14:paraId="1E4B7583" w14:textId="77777777" w:rsidR="001E5DFD" w:rsidRPr="00D34E5C" w:rsidRDefault="001E5DFD" w:rsidP="001E5DFD">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Water</w:t>
            </w:r>
          </w:p>
        </w:tc>
        <w:tc>
          <w:tcPr>
            <w:tcW w:w="3840" w:type="dxa"/>
            <w:tcBorders>
              <w:top w:val="nil"/>
              <w:left w:val="nil"/>
              <w:bottom w:val="single" w:sz="4" w:space="0" w:color="auto"/>
              <w:right w:val="single" w:sz="4" w:space="0" w:color="auto"/>
            </w:tcBorders>
            <w:vAlign w:val="center"/>
            <w:hideMark/>
          </w:tcPr>
          <w:p w14:paraId="4FE7E68D"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12. Water emissions</w:t>
            </w:r>
          </w:p>
        </w:tc>
        <w:tc>
          <w:tcPr>
            <w:tcW w:w="3921" w:type="dxa"/>
            <w:tcBorders>
              <w:top w:val="nil"/>
              <w:left w:val="nil"/>
              <w:bottom w:val="single" w:sz="4" w:space="0" w:color="auto"/>
              <w:right w:val="single" w:sz="4" w:space="0" w:color="auto"/>
            </w:tcBorders>
            <w:vAlign w:val="center"/>
            <w:hideMark/>
          </w:tcPr>
          <w:p w14:paraId="0E847F66"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A handful of companies have provided this data to CDP. Most data providers do not even provide assumptions or estimations.</w:t>
            </w:r>
          </w:p>
        </w:tc>
      </w:tr>
      <w:tr w:rsidR="001E5DFD" w:rsidRPr="00D34E5C" w14:paraId="35FC96E2" w14:textId="77777777" w:rsidTr="001E5DFD">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99E8B"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3893FEC2"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20A11E2A"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13. Exposure to areas of high water stress</w:t>
            </w:r>
          </w:p>
        </w:tc>
        <w:tc>
          <w:tcPr>
            <w:tcW w:w="3921" w:type="dxa"/>
            <w:tcBorders>
              <w:top w:val="nil"/>
              <w:left w:val="nil"/>
              <w:bottom w:val="single" w:sz="4" w:space="0" w:color="auto"/>
              <w:right w:val="single" w:sz="4" w:space="0" w:color="auto"/>
            </w:tcBorders>
            <w:vAlign w:val="center"/>
            <w:hideMark/>
          </w:tcPr>
          <w:p w14:paraId="600EE1E2"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A handful of companies have provided this data to CDP. Most data providers do not even provide assumptions or estimations.</w:t>
            </w:r>
          </w:p>
        </w:tc>
      </w:tr>
      <w:tr w:rsidR="001E5DFD" w:rsidRPr="00D34E5C" w14:paraId="07B798BD" w14:textId="77777777" w:rsidTr="001E5DFD">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538A4"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32CAAB91"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2424B82A"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14. Untreated discharged waste water</w:t>
            </w:r>
          </w:p>
        </w:tc>
        <w:tc>
          <w:tcPr>
            <w:tcW w:w="3921" w:type="dxa"/>
            <w:tcBorders>
              <w:top w:val="nil"/>
              <w:left w:val="nil"/>
              <w:bottom w:val="single" w:sz="4" w:space="0" w:color="auto"/>
              <w:right w:val="single" w:sz="4" w:space="0" w:color="auto"/>
            </w:tcBorders>
            <w:noWrap/>
            <w:vAlign w:val="center"/>
            <w:hideMark/>
          </w:tcPr>
          <w:p w14:paraId="2FB9D89C"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Non availability of data. </w:t>
            </w:r>
          </w:p>
        </w:tc>
      </w:tr>
      <w:tr w:rsidR="001E5DFD" w:rsidRPr="00D34E5C" w14:paraId="38248478" w14:textId="77777777" w:rsidTr="001E5DFD">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B49C0"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1572" w:type="dxa"/>
            <w:vMerge w:val="restart"/>
            <w:tcBorders>
              <w:top w:val="nil"/>
              <w:left w:val="single" w:sz="4" w:space="0" w:color="auto"/>
              <w:bottom w:val="single" w:sz="4" w:space="0" w:color="auto"/>
              <w:right w:val="single" w:sz="4" w:space="0" w:color="auto"/>
            </w:tcBorders>
            <w:shd w:val="clear" w:color="auto" w:fill="A9D08E"/>
            <w:vAlign w:val="center"/>
            <w:hideMark/>
          </w:tcPr>
          <w:p w14:paraId="13F92258" w14:textId="77777777" w:rsidR="001E5DFD" w:rsidRPr="00D34E5C" w:rsidRDefault="001E5DFD" w:rsidP="001E5DFD">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Waste</w:t>
            </w:r>
          </w:p>
        </w:tc>
        <w:tc>
          <w:tcPr>
            <w:tcW w:w="3840" w:type="dxa"/>
            <w:tcBorders>
              <w:top w:val="nil"/>
              <w:left w:val="nil"/>
              <w:bottom w:val="single" w:sz="4" w:space="0" w:color="auto"/>
              <w:right w:val="single" w:sz="4" w:space="0" w:color="auto"/>
            </w:tcBorders>
            <w:vAlign w:val="center"/>
            <w:hideMark/>
          </w:tcPr>
          <w:p w14:paraId="57A74A68"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15. Hazardous waste ratio</w:t>
            </w:r>
          </w:p>
        </w:tc>
        <w:tc>
          <w:tcPr>
            <w:tcW w:w="3921" w:type="dxa"/>
            <w:tcBorders>
              <w:top w:val="nil"/>
              <w:left w:val="nil"/>
              <w:bottom w:val="single" w:sz="4" w:space="0" w:color="auto"/>
              <w:right w:val="single" w:sz="4" w:space="0" w:color="auto"/>
            </w:tcBorders>
            <w:vAlign w:val="center"/>
            <w:hideMark/>
          </w:tcPr>
          <w:p w14:paraId="47DE59B6"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Are companies under NFRD obliged to provide this data? We don't believe so. Relying on estimates has many limitations. Possibly better to focus on i.e. landfill waste and exposure to materials on the UN POP list (instead of hazardous waste ratio).</w:t>
            </w:r>
          </w:p>
        </w:tc>
      </w:tr>
      <w:tr w:rsidR="001E5DFD" w:rsidRPr="00D34E5C" w14:paraId="5B36419A" w14:textId="77777777" w:rsidTr="001E5DFD">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AB1E7"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0B87E19C"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76E6C65B"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16. Non-recycled waste ratio</w:t>
            </w:r>
          </w:p>
        </w:tc>
        <w:tc>
          <w:tcPr>
            <w:tcW w:w="3921" w:type="dxa"/>
            <w:tcBorders>
              <w:top w:val="nil"/>
              <w:left w:val="nil"/>
              <w:bottom w:val="single" w:sz="4" w:space="0" w:color="auto"/>
              <w:right w:val="single" w:sz="4" w:space="0" w:color="auto"/>
            </w:tcBorders>
            <w:noWrap/>
            <w:vAlign w:val="center"/>
            <w:hideMark/>
          </w:tcPr>
          <w:p w14:paraId="0E54831A"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Non availability of data. </w:t>
            </w:r>
          </w:p>
        </w:tc>
      </w:tr>
      <w:tr w:rsidR="001E5DFD" w:rsidRPr="00D34E5C" w14:paraId="56655068" w14:textId="77777777" w:rsidTr="001E5DFD">
        <w:trPr>
          <w:trHeight w:val="930"/>
        </w:trPr>
        <w:tc>
          <w:tcPr>
            <w:tcW w:w="516" w:type="dxa"/>
            <w:vMerge w:val="restart"/>
            <w:tcBorders>
              <w:top w:val="nil"/>
              <w:left w:val="single" w:sz="4" w:space="0" w:color="auto"/>
              <w:bottom w:val="single" w:sz="4" w:space="0" w:color="auto"/>
              <w:right w:val="single" w:sz="4" w:space="0" w:color="auto"/>
            </w:tcBorders>
            <w:shd w:val="clear" w:color="auto" w:fill="ED7D31"/>
            <w:textDirection w:val="tbLrV"/>
            <w:vAlign w:val="center"/>
            <w:hideMark/>
          </w:tcPr>
          <w:p w14:paraId="4B7FA3E3"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b/>
                <w:bCs/>
                <w:color w:val="2D659A"/>
                <w:szCs w:val="20"/>
              </w:rPr>
              <w:t>Socia</w:t>
            </w:r>
            <w:r w:rsidRPr="00D34E5C">
              <w:rPr>
                <w:rFonts w:ascii="Verdana" w:eastAsia="Century Gothic" w:hAnsi="Verdana"/>
                <w:color w:val="2D659A"/>
                <w:szCs w:val="20"/>
              </w:rPr>
              <w:t>l</w:t>
            </w:r>
          </w:p>
        </w:tc>
        <w:tc>
          <w:tcPr>
            <w:tcW w:w="1572" w:type="dxa"/>
            <w:vMerge w:val="restart"/>
            <w:tcBorders>
              <w:top w:val="nil"/>
              <w:left w:val="single" w:sz="4" w:space="0" w:color="auto"/>
              <w:bottom w:val="single" w:sz="4" w:space="0" w:color="auto"/>
              <w:right w:val="single" w:sz="4" w:space="0" w:color="auto"/>
            </w:tcBorders>
            <w:shd w:val="clear" w:color="auto" w:fill="F8CBAD"/>
            <w:vAlign w:val="center"/>
            <w:hideMark/>
          </w:tcPr>
          <w:p w14:paraId="7ABF075D" w14:textId="77777777" w:rsidR="001E5DFD" w:rsidRPr="00D34E5C" w:rsidRDefault="001E5DFD" w:rsidP="001E5DFD">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Social and employee matters</w:t>
            </w:r>
          </w:p>
        </w:tc>
        <w:tc>
          <w:tcPr>
            <w:tcW w:w="3840" w:type="dxa"/>
            <w:tcBorders>
              <w:top w:val="nil"/>
              <w:left w:val="nil"/>
              <w:bottom w:val="single" w:sz="4" w:space="0" w:color="auto"/>
              <w:right w:val="single" w:sz="4" w:space="0" w:color="auto"/>
            </w:tcBorders>
            <w:vAlign w:val="center"/>
            <w:hideMark/>
          </w:tcPr>
          <w:p w14:paraId="0D8A7B11"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17. Implementation of fundamental ILO Conventions</w:t>
            </w:r>
          </w:p>
        </w:tc>
        <w:tc>
          <w:tcPr>
            <w:tcW w:w="3921" w:type="dxa"/>
            <w:tcBorders>
              <w:top w:val="nil"/>
              <w:left w:val="nil"/>
              <w:bottom w:val="single" w:sz="4" w:space="0" w:color="auto"/>
              <w:right w:val="single" w:sz="4" w:space="0" w:color="auto"/>
            </w:tcBorders>
            <w:vAlign w:val="center"/>
            <w:hideMark/>
          </w:tcPr>
          <w:p w14:paraId="149FED75"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Not available in most cases. If available, what does this data reflect? Are the companies with policies either good or bad? Or did the company just not have the resources to make it available to the public?  Materiality issue is relevant for 17, 21 and 22. </w:t>
            </w:r>
          </w:p>
        </w:tc>
      </w:tr>
      <w:tr w:rsidR="001E5DFD" w:rsidRPr="00D34E5C" w14:paraId="6108B608" w14:textId="77777777" w:rsidTr="001E5DFD">
        <w:trPr>
          <w:trHeight w:val="233"/>
        </w:trPr>
        <w:tc>
          <w:tcPr>
            <w:tcW w:w="0" w:type="auto"/>
            <w:vMerge/>
            <w:tcBorders>
              <w:top w:val="nil"/>
              <w:left w:val="single" w:sz="4" w:space="0" w:color="auto"/>
              <w:bottom w:val="single" w:sz="4" w:space="0" w:color="auto"/>
              <w:right w:val="single" w:sz="4" w:space="0" w:color="auto"/>
            </w:tcBorders>
            <w:vAlign w:val="center"/>
            <w:hideMark/>
          </w:tcPr>
          <w:p w14:paraId="07CA9AC0" w14:textId="77777777" w:rsidR="001E5DFD" w:rsidRPr="00D34E5C" w:rsidRDefault="001E5DFD" w:rsidP="001E5DFD">
            <w:pPr>
              <w:suppressAutoHyphens/>
              <w:spacing w:after="120"/>
              <w:jc w:val="both"/>
              <w:rPr>
                <w:rFonts w:ascii="Verdana" w:eastAsia="Century Gothic" w:hAnsi="Verdana"/>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029F599F"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363DE022"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18. Gender pay gap</w:t>
            </w:r>
          </w:p>
        </w:tc>
        <w:tc>
          <w:tcPr>
            <w:tcW w:w="3921" w:type="dxa"/>
            <w:tcBorders>
              <w:top w:val="nil"/>
              <w:left w:val="nil"/>
              <w:bottom w:val="single" w:sz="4" w:space="0" w:color="auto"/>
              <w:right w:val="single" w:sz="4" w:space="0" w:color="auto"/>
            </w:tcBorders>
            <w:noWrap/>
            <w:vAlign w:val="center"/>
            <w:hideMark/>
          </w:tcPr>
          <w:p w14:paraId="7ECC5B1B" w14:textId="77777777" w:rsidR="001E5DFD" w:rsidRPr="00AC2287" w:rsidRDefault="001E5DFD" w:rsidP="001E5DFD">
            <w:pPr>
              <w:jc w:val="both"/>
              <w:rPr>
                <w:rFonts w:ascii="Verdana" w:eastAsia="Century Gothic" w:hAnsi="Verdana"/>
                <w:color w:val="2D659A"/>
                <w:szCs w:val="20"/>
              </w:rPr>
            </w:pPr>
            <w:r w:rsidRPr="00AC2287">
              <w:rPr>
                <w:rFonts w:ascii="Verdana" w:eastAsia="Century Gothic" w:hAnsi="Verdana"/>
                <w:color w:val="2D659A"/>
                <w:szCs w:val="20"/>
              </w:rPr>
              <w:t xml:space="preserve">Non availability of data. Such calculation is not possible  because: </w:t>
            </w:r>
          </w:p>
          <w:p w14:paraId="00D01B17" w14:textId="2E739784" w:rsidR="001E5DFD" w:rsidRDefault="001E5DFD" w:rsidP="001313EE">
            <w:pPr>
              <w:numPr>
                <w:ilvl w:val="0"/>
                <w:numId w:val="58"/>
              </w:numPr>
              <w:spacing w:line="240" w:lineRule="exact"/>
              <w:jc w:val="both"/>
              <w:rPr>
                <w:rFonts w:ascii="Verdana" w:eastAsia="Century Gothic" w:hAnsi="Verdana"/>
                <w:color w:val="2D659A"/>
                <w:szCs w:val="20"/>
              </w:rPr>
            </w:pPr>
            <w:r w:rsidRPr="00AC2287">
              <w:rPr>
                <w:rFonts w:ascii="Verdana" w:eastAsia="Century Gothic" w:hAnsi="Verdana"/>
                <w:color w:val="2D659A"/>
                <w:szCs w:val="20"/>
              </w:rPr>
              <w:t>Only very few companies disclose gender gap – namely companies from the UK</w:t>
            </w:r>
            <w:r w:rsidR="00F11C3F">
              <w:rPr>
                <w:rFonts w:ascii="Verdana" w:eastAsia="Century Gothic" w:hAnsi="Verdana"/>
                <w:color w:val="2D659A"/>
                <w:szCs w:val="20"/>
              </w:rPr>
              <w:t>,</w:t>
            </w:r>
            <w:r w:rsidRPr="00AC2287">
              <w:rPr>
                <w:rFonts w:ascii="Verdana" w:eastAsia="Century Gothic" w:hAnsi="Verdana"/>
                <w:color w:val="2D659A"/>
                <w:szCs w:val="20"/>
              </w:rPr>
              <w:t xml:space="preserve"> France</w:t>
            </w:r>
            <w:r w:rsidR="00F11C3F">
              <w:rPr>
                <w:rFonts w:ascii="Verdana" w:eastAsia="Century Gothic" w:hAnsi="Verdana"/>
                <w:color w:val="2D659A"/>
                <w:szCs w:val="20"/>
              </w:rPr>
              <w:t xml:space="preserve"> and Spain</w:t>
            </w:r>
            <w:r w:rsidRPr="00AC2287">
              <w:rPr>
                <w:rFonts w:ascii="Verdana" w:eastAsia="Century Gothic" w:hAnsi="Verdana"/>
                <w:color w:val="2D659A"/>
                <w:szCs w:val="20"/>
              </w:rPr>
              <w:t xml:space="preserve"> where it is compulsory (other countries address the issue but no</w:t>
            </w:r>
            <w:r w:rsidR="00DE1D21">
              <w:rPr>
                <w:rFonts w:ascii="Verdana" w:eastAsia="Century Gothic" w:hAnsi="Verdana"/>
                <w:color w:val="2D659A"/>
                <w:szCs w:val="20"/>
              </w:rPr>
              <w:t>t in their annual reporting)</w:t>
            </w:r>
            <w:r w:rsidRPr="00AC2287">
              <w:rPr>
                <w:rFonts w:ascii="Verdana" w:eastAsia="Century Gothic" w:hAnsi="Verdana"/>
                <w:color w:val="2D659A"/>
                <w:szCs w:val="20"/>
              </w:rPr>
              <w:t xml:space="preserve">. It should be first, at the very least, be compulsory across the EU and one unified methodology provided. </w:t>
            </w:r>
          </w:p>
          <w:p w14:paraId="4AABF3A2" w14:textId="77777777" w:rsidR="001E5DFD" w:rsidRDefault="001E5DFD" w:rsidP="001313EE">
            <w:pPr>
              <w:numPr>
                <w:ilvl w:val="0"/>
                <w:numId w:val="58"/>
              </w:numPr>
              <w:spacing w:line="240" w:lineRule="exact"/>
              <w:jc w:val="both"/>
              <w:rPr>
                <w:rFonts w:ascii="Verdana" w:eastAsia="Century Gothic" w:hAnsi="Verdana"/>
                <w:color w:val="2D659A"/>
                <w:szCs w:val="20"/>
              </w:rPr>
            </w:pPr>
            <w:r w:rsidRPr="00AC2287">
              <w:rPr>
                <w:rFonts w:ascii="Verdana" w:eastAsia="Century Gothic" w:hAnsi="Verdana"/>
                <w:color w:val="2D659A"/>
                <w:szCs w:val="20"/>
              </w:rPr>
              <w:t xml:space="preserve">But also what is consider as “pay”, as “employee” and how </w:t>
            </w:r>
            <w:r w:rsidRPr="00AC2287">
              <w:rPr>
                <w:rFonts w:ascii="Verdana" w:eastAsia="Century Gothic" w:hAnsi="Verdana"/>
                <w:color w:val="2D659A"/>
                <w:szCs w:val="20"/>
              </w:rPr>
              <w:lastRenderedPageBreak/>
              <w:t xml:space="preserve">the employee’s pay is calculated varies from company to company, and within the few jurisdictions where it is mandatory. </w:t>
            </w:r>
          </w:p>
          <w:p w14:paraId="41AE631F" w14:textId="77777777" w:rsidR="001E5DFD" w:rsidRPr="00AC2287" w:rsidRDefault="001E5DFD" w:rsidP="001313EE">
            <w:pPr>
              <w:numPr>
                <w:ilvl w:val="0"/>
                <w:numId w:val="58"/>
              </w:numPr>
              <w:spacing w:line="240" w:lineRule="exact"/>
              <w:jc w:val="both"/>
              <w:rPr>
                <w:rFonts w:ascii="Verdana" w:eastAsia="Century Gothic" w:hAnsi="Verdana"/>
                <w:color w:val="2D659A"/>
                <w:szCs w:val="20"/>
              </w:rPr>
            </w:pPr>
            <w:r w:rsidRPr="00AC2287">
              <w:rPr>
                <w:rFonts w:ascii="Verdana" w:eastAsia="Century Gothic" w:hAnsi="Verdana"/>
                <w:color w:val="2D659A"/>
                <w:szCs w:val="20"/>
              </w:rPr>
              <w:t xml:space="preserve">Further, regulations varied in what “gender pay gap is and what is required to publish” e.g. in the UK companies with over 250 employees are required to publish any differences in salaries and bonuses between men and women within their organizations using 6 key figures including average gender pay gap as a mean average and as a median average, the same applies for bonuses but those are to be reported separately; French regulation provides a specific methodology for calculating the gender pay index using five indicators, each indicator is assigned a maximum score (being 100 the maximum score). </w:t>
            </w:r>
          </w:p>
          <w:p w14:paraId="5A1D7653" w14:textId="77777777" w:rsidR="001E5DFD" w:rsidRDefault="001E5DFD" w:rsidP="001E5DFD">
            <w:pPr>
              <w:suppressAutoHyphens/>
              <w:spacing w:after="120"/>
              <w:jc w:val="both"/>
              <w:rPr>
                <w:rFonts w:ascii="Verdana" w:eastAsia="Century Gothic" w:hAnsi="Verdana"/>
                <w:color w:val="2D659A"/>
                <w:szCs w:val="20"/>
              </w:rPr>
            </w:pPr>
          </w:p>
          <w:p w14:paraId="375134BB" w14:textId="77777777" w:rsidR="001E5DFD" w:rsidRDefault="001E5DFD" w:rsidP="001E5DFD">
            <w:pPr>
              <w:suppressAutoHyphens/>
              <w:spacing w:after="120"/>
              <w:jc w:val="both"/>
              <w:rPr>
                <w:rFonts w:ascii="Verdana" w:eastAsia="Century Gothic" w:hAnsi="Verdana"/>
                <w:color w:val="2D659A"/>
                <w:szCs w:val="20"/>
              </w:rPr>
            </w:pPr>
            <w:r w:rsidRPr="00AC2287">
              <w:rPr>
                <w:rFonts w:ascii="Verdana" w:eastAsia="Century Gothic" w:hAnsi="Verdana"/>
                <w:color w:val="2D659A"/>
                <w:szCs w:val="20"/>
              </w:rPr>
              <w:t>Therefore, we will be adding apples to pears, and the total sum will be meaningless.</w:t>
            </w:r>
          </w:p>
          <w:p w14:paraId="4160B6F6" w14:textId="77777777" w:rsidR="001E5DFD" w:rsidRDefault="001E5DFD" w:rsidP="001E5DFD">
            <w:pPr>
              <w:suppressAutoHyphens/>
              <w:spacing w:after="120"/>
              <w:jc w:val="both"/>
              <w:rPr>
                <w:rFonts w:ascii="Verdana" w:eastAsia="Century Gothic" w:hAnsi="Verdana"/>
                <w:color w:val="2D659A"/>
                <w:szCs w:val="20"/>
              </w:rPr>
            </w:pPr>
          </w:p>
          <w:p w14:paraId="3657CAB8" w14:textId="77777777" w:rsidR="001E5DFD" w:rsidRPr="00D34E5C" w:rsidRDefault="001E5DFD" w:rsidP="001E5DFD">
            <w:pPr>
              <w:suppressAutoHyphens/>
              <w:spacing w:after="120"/>
              <w:jc w:val="both"/>
              <w:rPr>
                <w:rFonts w:ascii="Verdana" w:eastAsia="Century Gothic" w:hAnsi="Verdana"/>
                <w:color w:val="2D659A"/>
                <w:szCs w:val="20"/>
              </w:rPr>
            </w:pPr>
          </w:p>
        </w:tc>
      </w:tr>
      <w:tr w:rsidR="001E5DFD" w:rsidRPr="00D34E5C" w14:paraId="08D4B4BF" w14:textId="77777777" w:rsidTr="001E5DFD">
        <w:trPr>
          <w:trHeight w:val="930"/>
        </w:trPr>
        <w:tc>
          <w:tcPr>
            <w:tcW w:w="0" w:type="auto"/>
            <w:vMerge/>
            <w:tcBorders>
              <w:top w:val="nil"/>
              <w:left w:val="single" w:sz="4" w:space="0" w:color="auto"/>
              <w:bottom w:val="single" w:sz="4" w:space="0" w:color="auto"/>
              <w:right w:val="single" w:sz="4" w:space="0" w:color="auto"/>
            </w:tcBorders>
            <w:vAlign w:val="center"/>
            <w:hideMark/>
          </w:tcPr>
          <w:p w14:paraId="263C2BCC" w14:textId="77777777" w:rsidR="001E5DFD" w:rsidRPr="00D34E5C" w:rsidRDefault="001E5DFD" w:rsidP="001E5DFD">
            <w:pPr>
              <w:suppressAutoHyphens/>
              <w:spacing w:after="120"/>
              <w:jc w:val="both"/>
              <w:rPr>
                <w:rFonts w:ascii="Verdana" w:eastAsia="Century Gothic" w:hAnsi="Verdana"/>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6D68F13F"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6DFBEA4E"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19. Excessive CEO pay ratio</w:t>
            </w:r>
          </w:p>
        </w:tc>
        <w:tc>
          <w:tcPr>
            <w:tcW w:w="3921" w:type="dxa"/>
            <w:tcBorders>
              <w:top w:val="nil"/>
              <w:left w:val="nil"/>
              <w:bottom w:val="single" w:sz="4" w:space="0" w:color="auto"/>
              <w:right w:val="single" w:sz="4" w:space="0" w:color="auto"/>
            </w:tcBorders>
            <w:vAlign w:val="center"/>
            <w:hideMark/>
          </w:tcPr>
          <w:p w14:paraId="7458AC3E"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We would like to link questions 19 and 20 to engagement of FMP's. So for question 18, % voting against board remuneration. And for question 19, % board member (re) appointment. Then question 19 is not only about gender, but broader board diversity and also board independence.</w:t>
            </w:r>
          </w:p>
        </w:tc>
      </w:tr>
      <w:tr w:rsidR="001E5DFD" w:rsidRPr="00D34E5C" w14:paraId="3F76A506" w14:textId="77777777" w:rsidTr="001E5DFD">
        <w:trPr>
          <w:trHeight w:val="233"/>
        </w:trPr>
        <w:tc>
          <w:tcPr>
            <w:tcW w:w="0" w:type="auto"/>
            <w:vMerge/>
            <w:tcBorders>
              <w:top w:val="nil"/>
              <w:left w:val="single" w:sz="4" w:space="0" w:color="auto"/>
              <w:bottom w:val="single" w:sz="4" w:space="0" w:color="auto"/>
              <w:right w:val="single" w:sz="4" w:space="0" w:color="auto"/>
            </w:tcBorders>
            <w:vAlign w:val="center"/>
            <w:hideMark/>
          </w:tcPr>
          <w:p w14:paraId="6326BE5A" w14:textId="77777777" w:rsidR="001E5DFD" w:rsidRPr="00D34E5C" w:rsidRDefault="001E5DFD" w:rsidP="001E5DFD">
            <w:pPr>
              <w:suppressAutoHyphens/>
              <w:spacing w:after="120"/>
              <w:jc w:val="both"/>
              <w:rPr>
                <w:rFonts w:ascii="Verdana" w:eastAsia="Century Gothic" w:hAnsi="Verdana"/>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60618106"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179FA676"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20. Board gender diversity</w:t>
            </w:r>
          </w:p>
        </w:tc>
        <w:tc>
          <w:tcPr>
            <w:tcW w:w="3921" w:type="dxa"/>
            <w:tcBorders>
              <w:top w:val="nil"/>
              <w:left w:val="nil"/>
              <w:bottom w:val="single" w:sz="4" w:space="0" w:color="auto"/>
              <w:right w:val="single" w:sz="4" w:space="0" w:color="auto"/>
            </w:tcBorders>
            <w:noWrap/>
            <w:vAlign w:val="center"/>
            <w:hideMark/>
          </w:tcPr>
          <w:p w14:paraId="62C1CA31"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Is available, although not by all data providers. </w:t>
            </w:r>
          </w:p>
        </w:tc>
      </w:tr>
      <w:tr w:rsidR="001E5DFD" w:rsidRPr="00D34E5C" w14:paraId="4CB3C47E" w14:textId="77777777" w:rsidTr="001E5DFD">
        <w:trPr>
          <w:trHeight w:val="465"/>
        </w:trPr>
        <w:tc>
          <w:tcPr>
            <w:tcW w:w="0" w:type="auto"/>
            <w:vMerge/>
            <w:tcBorders>
              <w:top w:val="nil"/>
              <w:left w:val="single" w:sz="4" w:space="0" w:color="auto"/>
              <w:bottom w:val="single" w:sz="4" w:space="0" w:color="auto"/>
              <w:right w:val="single" w:sz="4" w:space="0" w:color="auto"/>
            </w:tcBorders>
            <w:vAlign w:val="center"/>
            <w:hideMark/>
          </w:tcPr>
          <w:p w14:paraId="45A5AE3F" w14:textId="77777777" w:rsidR="001E5DFD" w:rsidRPr="00D34E5C" w:rsidRDefault="001E5DFD" w:rsidP="001E5DFD">
            <w:pPr>
              <w:suppressAutoHyphens/>
              <w:spacing w:after="120"/>
              <w:jc w:val="both"/>
              <w:rPr>
                <w:rFonts w:ascii="Verdana" w:eastAsia="Century Gothic" w:hAnsi="Verdana"/>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001A8347"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142AECD9"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21. Insufficient whistleblower protection</w:t>
            </w:r>
          </w:p>
        </w:tc>
        <w:tc>
          <w:tcPr>
            <w:tcW w:w="3921" w:type="dxa"/>
            <w:tcBorders>
              <w:top w:val="nil"/>
              <w:left w:val="nil"/>
              <w:bottom w:val="single" w:sz="4" w:space="0" w:color="auto"/>
              <w:right w:val="single" w:sz="4" w:space="0" w:color="auto"/>
            </w:tcBorders>
            <w:vAlign w:val="center"/>
            <w:hideMark/>
          </w:tcPr>
          <w:p w14:paraId="4DCD0132"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Is available, although not by all data providers. Materiality issue is relevant for 17, 21 and 22. </w:t>
            </w:r>
          </w:p>
        </w:tc>
      </w:tr>
      <w:tr w:rsidR="001E5DFD" w:rsidRPr="00D34E5C" w14:paraId="1A9401AF" w14:textId="77777777" w:rsidTr="001E5DFD">
        <w:trPr>
          <w:trHeight w:val="465"/>
        </w:trPr>
        <w:tc>
          <w:tcPr>
            <w:tcW w:w="0" w:type="auto"/>
            <w:vMerge/>
            <w:tcBorders>
              <w:top w:val="nil"/>
              <w:left w:val="single" w:sz="4" w:space="0" w:color="auto"/>
              <w:bottom w:val="single" w:sz="4" w:space="0" w:color="auto"/>
              <w:right w:val="single" w:sz="4" w:space="0" w:color="auto"/>
            </w:tcBorders>
            <w:vAlign w:val="center"/>
            <w:hideMark/>
          </w:tcPr>
          <w:p w14:paraId="27860651" w14:textId="77777777" w:rsidR="001E5DFD" w:rsidRPr="00D34E5C" w:rsidRDefault="001E5DFD" w:rsidP="001E5DFD">
            <w:pPr>
              <w:suppressAutoHyphens/>
              <w:spacing w:after="120"/>
              <w:jc w:val="both"/>
              <w:rPr>
                <w:rFonts w:ascii="Verdana" w:eastAsia="Century Gothic" w:hAnsi="Verdana"/>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5BAD2485"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1C5EED04"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22. Investment in investee companies without workplace accident prevention policies</w:t>
            </w:r>
          </w:p>
        </w:tc>
        <w:tc>
          <w:tcPr>
            <w:tcW w:w="3921" w:type="dxa"/>
            <w:tcBorders>
              <w:top w:val="nil"/>
              <w:left w:val="nil"/>
              <w:bottom w:val="single" w:sz="4" w:space="0" w:color="auto"/>
              <w:right w:val="single" w:sz="4" w:space="0" w:color="auto"/>
            </w:tcBorders>
            <w:vAlign w:val="center"/>
            <w:hideMark/>
          </w:tcPr>
          <w:p w14:paraId="00B77F1C"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Is available, although not by all data providers. Materiality issue is relevant for 17, 21 and 22. </w:t>
            </w:r>
          </w:p>
        </w:tc>
      </w:tr>
      <w:tr w:rsidR="001E5DFD" w:rsidRPr="00D34E5C" w14:paraId="6B8E7290" w14:textId="77777777" w:rsidTr="001E5DFD">
        <w:trPr>
          <w:trHeight w:val="698"/>
        </w:trPr>
        <w:tc>
          <w:tcPr>
            <w:tcW w:w="0" w:type="auto"/>
            <w:vMerge/>
            <w:tcBorders>
              <w:top w:val="nil"/>
              <w:left w:val="single" w:sz="4" w:space="0" w:color="auto"/>
              <w:bottom w:val="single" w:sz="4" w:space="0" w:color="auto"/>
              <w:right w:val="single" w:sz="4" w:space="0" w:color="auto"/>
            </w:tcBorders>
            <w:vAlign w:val="center"/>
            <w:hideMark/>
          </w:tcPr>
          <w:p w14:paraId="3B114601" w14:textId="77777777" w:rsidR="001E5DFD" w:rsidRPr="00D34E5C" w:rsidRDefault="001E5DFD" w:rsidP="001E5DFD">
            <w:pPr>
              <w:suppressAutoHyphens/>
              <w:spacing w:after="120"/>
              <w:jc w:val="both"/>
              <w:rPr>
                <w:rFonts w:ascii="Verdana" w:eastAsia="Century Gothic" w:hAnsi="Verdana"/>
                <w:color w:val="2D659A"/>
                <w:szCs w:val="20"/>
              </w:rPr>
            </w:pPr>
          </w:p>
        </w:tc>
        <w:tc>
          <w:tcPr>
            <w:tcW w:w="1572" w:type="dxa"/>
            <w:vMerge w:val="restart"/>
            <w:tcBorders>
              <w:top w:val="nil"/>
              <w:left w:val="single" w:sz="4" w:space="0" w:color="auto"/>
              <w:bottom w:val="single" w:sz="4" w:space="0" w:color="auto"/>
              <w:right w:val="single" w:sz="4" w:space="0" w:color="auto"/>
            </w:tcBorders>
            <w:shd w:val="clear" w:color="auto" w:fill="F8CBAD"/>
            <w:vAlign w:val="center"/>
            <w:hideMark/>
          </w:tcPr>
          <w:p w14:paraId="20B778E2" w14:textId="77777777" w:rsidR="001E5DFD" w:rsidRPr="00D34E5C" w:rsidRDefault="001E5DFD" w:rsidP="001E5DFD">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Human Rights</w:t>
            </w:r>
          </w:p>
        </w:tc>
        <w:tc>
          <w:tcPr>
            <w:tcW w:w="3840" w:type="dxa"/>
            <w:tcBorders>
              <w:top w:val="nil"/>
              <w:left w:val="nil"/>
              <w:bottom w:val="single" w:sz="4" w:space="0" w:color="auto"/>
              <w:right w:val="single" w:sz="4" w:space="0" w:color="auto"/>
            </w:tcBorders>
            <w:vAlign w:val="center"/>
            <w:hideMark/>
          </w:tcPr>
          <w:p w14:paraId="39A53019"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23. Human rights policy</w:t>
            </w:r>
          </w:p>
        </w:tc>
        <w:tc>
          <w:tcPr>
            <w:tcW w:w="3921" w:type="dxa"/>
            <w:tcBorders>
              <w:top w:val="nil"/>
              <w:left w:val="nil"/>
              <w:bottom w:val="single" w:sz="4" w:space="0" w:color="auto"/>
              <w:right w:val="single" w:sz="4" w:space="0" w:color="auto"/>
            </w:tcBorders>
            <w:vAlign w:val="center"/>
            <w:hideMark/>
          </w:tcPr>
          <w:p w14:paraId="1132F930"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Is mostly only available for companies where human rights issues are an issue (i.e. material). So only high-risk sectors and/or companies are relevant to be disclosed.</w:t>
            </w:r>
          </w:p>
        </w:tc>
      </w:tr>
      <w:tr w:rsidR="001E5DFD" w:rsidRPr="00D34E5C" w14:paraId="0FF15723" w14:textId="77777777" w:rsidTr="001E5DFD">
        <w:trPr>
          <w:trHeight w:val="698"/>
        </w:trPr>
        <w:tc>
          <w:tcPr>
            <w:tcW w:w="0" w:type="auto"/>
            <w:vMerge/>
            <w:tcBorders>
              <w:top w:val="nil"/>
              <w:left w:val="single" w:sz="4" w:space="0" w:color="auto"/>
              <w:bottom w:val="single" w:sz="4" w:space="0" w:color="auto"/>
              <w:right w:val="single" w:sz="4" w:space="0" w:color="auto"/>
            </w:tcBorders>
            <w:vAlign w:val="center"/>
            <w:hideMark/>
          </w:tcPr>
          <w:p w14:paraId="52CDED21" w14:textId="77777777" w:rsidR="001E5DFD" w:rsidRPr="00D34E5C" w:rsidRDefault="001E5DFD" w:rsidP="001E5DFD">
            <w:pPr>
              <w:suppressAutoHyphens/>
              <w:spacing w:after="120"/>
              <w:jc w:val="both"/>
              <w:rPr>
                <w:rFonts w:ascii="Verdana" w:eastAsia="Century Gothic" w:hAnsi="Verdana"/>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410EFDB4"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7727BFC0"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24. Due diligence</w:t>
            </w:r>
          </w:p>
        </w:tc>
        <w:tc>
          <w:tcPr>
            <w:tcW w:w="3921" w:type="dxa"/>
            <w:tcBorders>
              <w:top w:val="nil"/>
              <w:left w:val="nil"/>
              <w:bottom w:val="single" w:sz="4" w:space="0" w:color="auto"/>
              <w:right w:val="single" w:sz="4" w:space="0" w:color="auto"/>
            </w:tcBorders>
            <w:vAlign w:val="center"/>
            <w:hideMark/>
          </w:tcPr>
          <w:p w14:paraId="4AF40F07"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Is mostly only available for companies where human rights issues are an issue (i.e. material). So only high-risk sectors and/or companies are relevant to be disclosed.</w:t>
            </w:r>
          </w:p>
        </w:tc>
      </w:tr>
      <w:tr w:rsidR="001E5DFD" w:rsidRPr="00D34E5C" w14:paraId="040FD58B" w14:textId="77777777" w:rsidTr="001E5DFD">
        <w:trPr>
          <w:trHeight w:val="698"/>
        </w:trPr>
        <w:tc>
          <w:tcPr>
            <w:tcW w:w="0" w:type="auto"/>
            <w:vMerge/>
            <w:tcBorders>
              <w:top w:val="nil"/>
              <w:left w:val="single" w:sz="4" w:space="0" w:color="auto"/>
              <w:bottom w:val="single" w:sz="4" w:space="0" w:color="auto"/>
              <w:right w:val="single" w:sz="4" w:space="0" w:color="auto"/>
            </w:tcBorders>
            <w:vAlign w:val="center"/>
            <w:hideMark/>
          </w:tcPr>
          <w:p w14:paraId="38A89A27" w14:textId="77777777" w:rsidR="001E5DFD" w:rsidRPr="00D34E5C" w:rsidRDefault="001E5DFD" w:rsidP="001E5DFD">
            <w:pPr>
              <w:suppressAutoHyphens/>
              <w:spacing w:after="120"/>
              <w:jc w:val="both"/>
              <w:rPr>
                <w:rFonts w:ascii="Verdana" w:eastAsia="Century Gothic" w:hAnsi="Verdana"/>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372EAC1A"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148D246F"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25. Processes and measures for preventing trafficking in human beings</w:t>
            </w:r>
          </w:p>
        </w:tc>
        <w:tc>
          <w:tcPr>
            <w:tcW w:w="3921" w:type="dxa"/>
            <w:tcBorders>
              <w:top w:val="nil"/>
              <w:left w:val="nil"/>
              <w:bottom w:val="single" w:sz="4" w:space="0" w:color="auto"/>
              <w:right w:val="single" w:sz="4" w:space="0" w:color="auto"/>
            </w:tcBorders>
            <w:vAlign w:val="center"/>
            <w:hideMark/>
          </w:tcPr>
          <w:p w14:paraId="05BB78A4"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Is mostly only available for companies where human rights issues are an issue (i.e. material). So only high-risk sectors and/or companies are relevant to be disclosed.</w:t>
            </w:r>
          </w:p>
        </w:tc>
      </w:tr>
      <w:tr w:rsidR="001E5DFD" w:rsidRPr="00D34E5C" w14:paraId="63315FA1" w14:textId="77777777" w:rsidTr="001E5DFD">
        <w:trPr>
          <w:trHeight w:val="465"/>
        </w:trPr>
        <w:tc>
          <w:tcPr>
            <w:tcW w:w="0" w:type="auto"/>
            <w:vMerge/>
            <w:tcBorders>
              <w:top w:val="nil"/>
              <w:left w:val="single" w:sz="4" w:space="0" w:color="auto"/>
              <w:bottom w:val="single" w:sz="4" w:space="0" w:color="auto"/>
              <w:right w:val="single" w:sz="4" w:space="0" w:color="auto"/>
            </w:tcBorders>
            <w:vAlign w:val="center"/>
            <w:hideMark/>
          </w:tcPr>
          <w:p w14:paraId="6E7FDE2E" w14:textId="77777777" w:rsidR="001E5DFD" w:rsidRPr="00D34E5C" w:rsidRDefault="001E5DFD" w:rsidP="001E5DFD">
            <w:pPr>
              <w:suppressAutoHyphens/>
              <w:spacing w:after="120"/>
              <w:jc w:val="both"/>
              <w:rPr>
                <w:rFonts w:ascii="Verdana" w:eastAsia="Century Gothic" w:hAnsi="Verdana"/>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3A7B7CC1"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2E6DBD46"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26. Operations and suppliers at significant risk of incidents of child labour</w:t>
            </w:r>
          </w:p>
        </w:tc>
        <w:tc>
          <w:tcPr>
            <w:tcW w:w="3921" w:type="dxa"/>
            <w:tcBorders>
              <w:top w:val="nil"/>
              <w:left w:val="nil"/>
              <w:bottom w:val="single" w:sz="4" w:space="0" w:color="auto"/>
              <w:right w:val="single" w:sz="4" w:space="0" w:color="auto"/>
            </w:tcBorders>
            <w:vAlign w:val="center"/>
            <w:hideMark/>
          </w:tcPr>
          <w:p w14:paraId="4302F302"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Non availability of data. Furthermore</w:t>
            </w:r>
            <w:r>
              <w:rPr>
                <w:rFonts w:ascii="Verdana" w:eastAsia="Century Gothic" w:hAnsi="Verdana"/>
                <w:color w:val="2D659A"/>
                <w:szCs w:val="20"/>
              </w:rPr>
              <w:t>,</w:t>
            </w:r>
            <w:r w:rsidRPr="00D34E5C">
              <w:rPr>
                <w:rFonts w:ascii="Verdana" w:eastAsia="Century Gothic" w:hAnsi="Verdana"/>
                <w:color w:val="2D659A"/>
                <w:szCs w:val="20"/>
              </w:rPr>
              <w:t xml:space="preserve"> questions around the definition of the ESA's: what 'operations and suppliers' are to be included?</w:t>
            </w:r>
          </w:p>
        </w:tc>
      </w:tr>
      <w:tr w:rsidR="001E5DFD" w:rsidRPr="00D34E5C" w14:paraId="1C1CAD8A" w14:textId="77777777" w:rsidTr="001E5DFD">
        <w:trPr>
          <w:trHeight w:val="465"/>
        </w:trPr>
        <w:tc>
          <w:tcPr>
            <w:tcW w:w="0" w:type="auto"/>
            <w:vMerge/>
            <w:tcBorders>
              <w:top w:val="nil"/>
              <w:left w:val="single" w:sz="4" w:space="0" w:color="auto"/>
              <w:bottom w:val="single" w:sz="4" w:space="0" w:color="auto"/>
              <w:right w:val="single" w:sz="4" w:space="0" w:color="auto"/>
            </w:tcBorders>
            <w:vAlign w:val="center"/>
            <w:hideMark/>
          </w:tcPr>
          <w:p w14:paraId="782E7D66" w14:textId="77777777" w:rsidR="001E5DFD" w:rsidRPr="00D34E5C" w:rsidRDefault="001E5DFD" w:rsidP="001E5DFD">
            <w:pPr>
              <w:suppressAutoHyphens/>
              <w:spacing w:after="120"/>
              <w:jc w:val="both"/>
              <w:rPr>
                <w:rFonts w:ascii="Verdana" w:eastAsia="Century Gothic" w:hAnsi="Verdana"/>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2A8DB10F"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18CE61CC"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27. Operations and suppliers at significant risk of incidents of forced or compulsory labour</w:t>
            </w:r>
          </w:p>
        </w:tc>
        <w:tc>
          <w:tcPr>
            <w:tcW w:w="3921" w:type="dxa"/>
            <w:tcBorders>
              <w:top w:val="nil"/>
              <w:left w:val="nil"/>
              <w:bottom w:val="single" w:sz="4" w:space="0" w:color="auto"/>
              <w:right w:val="single" w:sz="4" w:space="0" w:color="auto"/>
            </w:tcBorders>
            <w:noWrap/>
            <w:vAlign w:val="center"/>
            <w:hideMark/>
          </w:tcPr>
          <w:p w14:paraId="408A7E51"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Non availability of data. </w:t>
            </w:r>
          </w:p>
        </w:tc>
      </w:tr>
      <w:tr w:rsidR="001E5DFD" w:rsidRPr="00D34E5C" w14:paraId="7BC2E016" w14:textId="77777777" w:rsidTr="001E5DFD">
        <w:trPr>
          <w:trHeight w:val="465"/>
        </w:trPr>
        <w:tc>
          <w:tcPr>
            <w:tcW w:w="0" w:type="auto"/>
            <w:vMerge/>
            <w:tcBorders>
              <w:top w:val="nil"/>
              <w:left w:val="single" w:sz="4" w:space="0" w:color="auto"/>
              <w:bottom w:val="single" w:sz="4" w:space="0" w:color="auto"/>
              <w:right w:val="single" w:sz="4" w:space="0" w:color="auto"/>
            </w:tcBorders>
            <w:vAlign w:val="center"/>
            <w:hideMark/>
          </w:tcPr>
          <w:p w14:paraId="133A3EE2" w14:textId="77777777" w:rsidR="001E5DFD" w:rsidRPr="00D34E5C" w:rsidRDefault="001E5DFD" w:rsidP="001E5DFD">
            <w:pPr>
              <w:suppressAutoHyphens/>
              <w:spacing w:after="120"/>
              <w:jc w:val="both"/>
              <w:rPr>
                <w:rFonts w:ascii="Verdana" w:eastAsia="Century Gothic" w:hAnsi="Verdana"/>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3C8B1CF9"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3FE35120"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28. Number and nature of identified cases of severe human rights issues and incidents</w:t>
            </w:r>
          </w:p>
        </w:tc>
        <w:tc>
          <w:tcPr>
            <w:tcW w:w="3921" w:type="dxa"/>
            <w:tcBorders>
              <w:top w:val="nil"/>
              <w:left w:val="nil"/>
              <w:bottom w:val="single" w:sz="4" w:space="0" w:color="auto"/>
              <w:right w:val="single" w:sz="4" w:space="0" w:color="auto"/>
            </w:tcBorders>
            <w:noWrap/>
            <w:vAlign w:val="center"/>
            <w:hideMark/>
          </w:tcPr>
          <w:p w14:paraId="0EAC1C35"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Data is somewhat available, but in most cases unreliable. </w:t>
            </w:r>
          </w:p>
        </w:tc>
      </w:tr>
      <w:tr w:rsidR="001E5DFD" w:rsidRPr="00D34E5C" w14:paraId="4790D40A" w14:textId="77777777" w:rsidTr="001E5DFD">
        <w:trPr>
          <w:trHeight w:val="465"/>
        </w:trPr>
        <w:tc>
          <w:tcPr>
            <w:tcW w:w="0" w:type="auto"/>
            <w:vMerge/>
            <w:tcBorders>
              <w:top w:val="nil"/>
              <w:left w:val="single" w:sz="4" w:space="0" w:color="auto"/>
              <w:bottom w:val="single" w:sz="4" w:space="0" w:color="auto"/>
              <w:right w:val="single" w:sz="4" w:space="0" w:color="auto"/>
            </w:tcBorders>
            <w:vAlign w:val="center"/>
            <w:hideMark/>
          </w:tcPr>
          <w:p w14:paraId="7E1BAD17" w14:textId="77777777" w:rsidR="001E5DFD" w:rsidRPr="00D34E5C" w:rsidRDefault="001E5DFD" w:rsidP="001E5DFD">
            <w:pPr>
              <w:suppressAutoHyphens/>
              <w:spacing w:after="120"/>
              <w:jc w:val="both"/>
              <w:rPr>
                <w:rFonts w:ascii="Verdana" w:eastAsia="Century Gothic" w:hAnsi="Verdana"/>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06CC4A5D"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664D80C3"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29. Exposure to controversial weapons (land mines and cluster bombs)</w:t>
            </w:r>
          </w:p>
        </w:tc>
        <w:tc>
          <w:tcPr>
            <w:tcW w:w="3921" w:type="dxa"/>
            <w:tcBorders>
              <w:top w:val="nil"/>
              <w:left w:val="nil"/>
              <w:bottom w:val="single" w:sz="4" w:space="0" w:color="auto"/>
              <w:right w:val="single" w:sz="4" w:space="0" w:color="auto"/>
            </w:tcBorders>
            <w:vAlign w:val="center"/>
            <w:hideMark/>
          </w:tcPr>
          <w:p w14:paraId="4651B4C5"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Data is available, but significant differences are observed between interpretations of data providers</w:t>
            </w:r>
          </w:p>
        </w:tc>
      </w:tr>
      <w:tr w:rsidR="001E5DFD" w:rsidRPr="00D34E5C" w14:paraId="6F3F4183" w14:textId="77777777" w:rsidTr="001E5DFD">
        <w:trPr>
          <w:trHeight w:val="233"/>
        </w:trPr>
        <w:tc>
          <w:tcPr>
            <w:tcW w:w="0" w:type="auto"/>
            <w:vMerge/>
            <w:tcBorders>
              <w:top w:val="nil"/>
              <w:left w:val="single" w:sz="4" w:space="0" w:color="auto"/>
              <w:bottom w:val="single" w:sz="4" w:space="0" w:color="auto"/>
              <w:right w:val="single" w:sz="4" w:space="0" w:color="auto"/>
            </w:tcBorders>
            <w:vAlign w:val="center"/>
            <w:hideMark/>
          </w:tcPr>
          <w:p w14:paraId="1A2361BF" w14:textId="77777777" w:rsidR="001E5DFD" w:rsidRPr="00D34E5C" w:rsidRDefault="001E5DFD" w:rsidP="001E5DFD">
            <w:pPr>
              <w:suppressAutoHyphens/>
              <w:spacing w:after="120"/>
              <w:jc w:val="both"/>
              <w:rPr>
                <w:rFonts w:ascii="Verdana" w:eastAsia="Century Gothic" w:hAnsi="Verdana"/>
                <w:color w:val="2D659A"/>
                <w:szCs w:val="20"/>
              </w:rPr>
            </w:pPr>
          </w:p>
        </w:tc>
        <w:tc>
          <w:tcPr>
            <w:tcW w:w="1572" w:type="dxa"/>
            <w:vMerge w:val="restart"/>
            <w:tcBorders>
              <w:top w:val="nil"/>
              <w:left w:val="single" w:sz="4" w:space="0" w:color="auto"/>
              <w:bottom w:val="single" w:sz="4" w:space="0" w:color="auto"/>
              <w:right w:val="single" w:sz="4" w:space="0" w:color="auto"/>
            </w:tcBorders>
            <w:shd w:val="clear" w:color="auto" w:fill="F8CBAD"/>
            <w:vAlign w:val="center"/>
            <w:hideMark/>
          </w:tcPr>
          <w:p w14:paraId="5A699542" w14:textId="77777777" w:rsidR="001E5DFD" w:rsidRPr="00D34E5C" w:rsidRDefault="001E5DFD" w:rsidP="001E5DFD">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Anti-corruption and anti-bribery</w:t>
            </w:r>
          </w:p>
        </w:tc>
        <w:tc>
          <w:tcPr>
            <w:tcW w:w="3840" w:type="dxa"/>
            <w:tcBorders>
              <w:top w:val="nil"/>
              <w:left w:val="nil"/>
              <w:bottom w:val="single" w:sz="4" w:space="0" w:color="auto"/>
              <w:right w:val="single" w:sz="4" w:space="0" w:color="auto"/>
            </w:tcBorders>
            <w:vAlign w:val="center"/>
            <w:hideMark/>
          </w:tcPr>
          <w:p w14:paraId="1F8FD9A6"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30. Anti-corruption and anti-bribery policies</w:t>
            </w:r>
          </w:p>
        </w:tc>
        <w:tc>
          <w:tcPr>
            <w:tcW w:w="3921" w:type="dxa"/>
            <w:tcBorders>
              <w:top w:val="nil"/>
              <w:left w:val="nil"/>
              <w:bottom w:val="single" w:sz="4" w:space="0" w:color="auto"/>
              <w:right w:val="single" w:sz="4" w:space="0" w:color="auto"/>
            </w:tcBorders>
            <w:vAlign w:val="center"/>
            <w:hideMark/>
          </w:tcPr>
          <w:p w14:paraId="6C9D7285"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Materiality issue, this is only relevant for high-level risk companies/sectors. </w:t>
            </w:r>
          </w:p>
        </w:tc>
      </w:tr>
      <w:tr w:rsidR="001E5DFD" w:rsidRPr="00D34E5C" w14:paraId="0012A810" w14:textId="77777777" w:rsidTr="001E5DFD">
        <w:trPr>
          <w:trHeight w:val="698"/>
        </w:trPr>
        <w:tc>
          <w:tcPr>
            <w:tcW w:w="0" w:type="auto"/>
            <w:vMerge/>
            <w:tcBorders>
              <w:top w:val="nil"/>
              <w:left w:val="single" w:sz="4" w:space="0" w:color="auto"/>
              <w:bottom w:val="single" w:sz="4" w:space="0" w:color="auto"/>
              <w:right w:val="single" w:sz="4" w:space="0" w:color="auto"/>
            </w:tcBorders>
            <w:vAlign w:val="center"/>
            <w:hideMark/>
          </w:tcPr>
          <w:p w14:paraId="68C13FB0" w14:textId="77777777" w:rsidR="001E5DFD" w:rsidRPr="00D34E5C" w:rsidRDefault="001E5DFD" w:rsidP="001E5DFD">
            <w:pPr>
              <w:suppressAutoHyphens/>
              <w:spacing w:after="120"/>
              <w:jc w:val="both"/>
              <w:rPr>
                <w:rFonts w:ascii="Verdana" w:eastAsia="Century Gothic" w:hAnsi="Verdana"/>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58B541F1"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3CAF8FD2"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31. Cases of insufficient action taken to address breaches of standards of anti-corruption and anti-bribery</w:t>
            </w:r>
          </w:p>
        </w:tc>
        <w:tc>
          <w:tcPr>
            <w:tcW w:w="3921" w:type="dxa"/>
            <w:tcBorders>
              <w:top w:val="nil"/>
              <w:left w:val="nil"/>
              <w:bottom w:val="single" w:sz="4" w:space="0" w:color="auto"/>
              <w:right w:val="single" w:sz="4" w:space="0" w:color="auto"/>
            </w:tcBorders>
            <w:vAlign w:val="center"/>
            <w:hideMark/>
          </w:tcPr>
          <w:p w14:paraId="362D39E4"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Is more or less available with at least one data provider, though not ready to distribute. The wording of 31 is very complex. It would be better to focus on 'severe cases' only. </w:t>
            </w:r>
          </w:p>
        </w:tc>
      </w:tr>
      <w:tr w:rsidR="001E5DFD" w:rsidRPr="00D34E5C" w14:paraId="3C75498D" w14:textId="77777777" w:rsidTr="001E5DFD">
        <w:trPr>
          <w:trHeight w:val="698"/>
        </w:trPr>
        <w:tc>
          <w:tcPr>
            <w:tcW w:w="0" w:type="auto"/>
            <w:vMerge/>
            <w:tcBorders>
              <w:top w:val="nil"/>
              <w:left w:val="single" w:sz="4" w:space="0" w:color="auto"/>
              <w:bottom w:val="single" w:sz="4" w:space="0" w:color="auto"/>
              <w:right w:val="single" w:sz="4" w:space="0" w:color="auto"/>
            </w:tcBorders>
            <w:vAlign w:val="center"/>
            <w:hideMark/>
          </w:tcPr>
          <w:p w14:paraId="66C6252F" w14:textId="77777777" w:rsidR="001E5DFD" w:rsidRPr="00D34E5C" w:rsidRDefault="001E5DFD" w:rsidP="001E5DFD">
            <w:pPr>
              <w:suppressAutoHyphens/>
              <w:spacing w:after="120"/>
              <w:jc w:val="both"/>
              <w:rPr>
                <w:rFonts w:ascii="Verdana" w:eastAsia="Century Gothic" w:hAnsi="Verdana"/>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5A8D5ED4"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7C7BE1EC"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32. Number of convictions and amount of fines for violation of anti-corruption and anti-bribery laws</w:t>
            </w:r>
          </w:p>
        </w:tc>
        <w:tc>
          <w:tcPr>
            <w:tcW w:w="3921" w:type="dxa"/>
            <w:tcBorders>
              <w:top w:val="nil"/>
              <w:left w:val="nil"/>
              <w:bottom w:val="single" w:sz="4" w:space="0" w:color="auto"/>
              <w:right w:val="single" w:sz="4" w:space="0" w:color="auto"/>
            </w:tcBorders>
            <w:vAlign w:val="center"/>
            <w:hideMark/>
          </w:tcPr>
          <w:p w14:paraId="3797250E"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Not readily available by at least one data provider. Furthermore</w:t>
            </w:r>
            <w:r>
              <w:rPr>
                <w:rFonts w:ascii="Verdana" w:eastAsia="Century Gothic" w:hAnsi="Verdana"/>
                <w:color w:val="2D659A"/>
                <w:szCs w:val="20"/>
              </w:rPr>
              <w:t xml:space="preserve">, </w:t>
            </w:r>
            <w:r w:rsidRPr="00D34E5C">
              <w:rPr>
                <w:rFonts w:ascii="Verdana" w:eastAsia="Century Gothic" w:hAnsi="Verdana"/>
                <w:color w:val="2D659A"/>
                <w:szCs w:val="20"/>
              </w:rPr>
              <w:t>we question what time period should be used? I.e. the past year. If so, if you have to report a positive number here you just have bad luck.</w:t>
            </w:r>
          </w:p>
        </w:tc>
      </w:tr>
      <w:tr w:rsidR="001E5DFD" w:rsidRPr="00D34E5C" w14:paraId="052BEE3E" w14:textId="77777777" w:rsidTr="001E5DFD">
        <w:trPr>
          <w:trHeight w:val="698"/>
        </w:trPr>
        <w:tc>
          <w:tcPr>
            <w:tcW w:w="0" w:type="auto"/>
            <w:vMerge/>
            <w:tcBorders>
              <w:top w:val="nil"/>
              <w:left w:val="single" w:sz="4" w:space="0" w:color="auto"/>
              <w:bottom w:val="single" w:sz="4" w:space="0" w:color="auto"/>
              <w:right w:val="single" w:sz="4" w:space="0" w:color="auto"/>
            </w:tcBorders>
            <w:vAlign w:val="center"/>
            <w:hideMark/>
          </w:tcPr>
          <w:p w14:paraId="7A937A4A" w14:textId="77777777" w:rsidR="001E5DFD" w:rsidRPr="00D34E5C" w:rsidRDefault="001E5DFD" w:rsidP="001E5DFD">
            <w:pPr>
              <w:suppressAutoHyphens/>
              <w:spacing w:after="120"/>
              <w:jc w:val="both"/>
              <w:rPr>
                <w:rFonts w:ascii="Verdana" w:eastAsia="Century Gothic" w:hAnsi="Verdana"/>
                <w:color w:val="2D659A"/>
                <w:szCs w:val="20"/>
              </w:rPr>
            </w:pPr>
          </w:p>
        </w:tc>
        <w:tc>
          <w:tcPr>
            <w:tcW w:w="0" w:type="auto"/>
            <w:vMerge/>
            <w:tcBorders>
              <w:top w:val="nil"/>
              <w:left w:val="single" w:sz="4" w:space="0" w:color="auto"/>
              <w:bottom w:val="single" w:sz="4" w:space="0" w:color="auto"/>
              <w:right w:val="single" w:sz="4" w:space="0" w:color="auto"/>
            </w:tcBorders>
            <w:vAlign w:val="center"/>
            <w:hideMark/>
          </w:tcPr>
          <w:p w14:paraId="06C76172" w14:textId="77777777" w:rsidR="001E5DFD" w:rsidRPr="00D34E5C" w:rsidRDefault="001E5DFD" w:rsidP="001E5DFD">
            <w:pPr>
              <w:suppressAutoHyphens/>
              <w:spacing w:after="120"/>
              <w:jc w:val="both"/>
              <w:rPr>
                <w:rFonts w:ascii="Verdana" w:eastAsia="Century Gothic" w:hAnsi="Verdana"/>
                <w:b/>
                <w:bCs/>
                <w:color w:val="2D659A"/>
                <w:szCs w:val="20"/>
              </w:rPr>
            </w:pPr>
          </w:p>
        </w:tc>
        <w:tc>
          <w:tcPr>
            <w:tcW w:w="3840" w:type="dxa"/>
            <w:tcBorders>
              <w:top w:val="nil"/>
              <w:left w:val="nil"/>
              <w:bottom w:val="single" w:sz="4" w:space="0" w:color="auto"/>
              <w:right w:val="single" w:sz="4" w:space="0" w:color="auto"/>
            </w:tcBorders>
            <w:vAlign w:val="center"/>
            <w:hideMark/>
          </w:tcPr>
          <w:p w14:paraId="29F20FEF"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Table 2 and Table 3: we don't believe an opt-in policy is a good solution. Phasing in other indicators compulsory in a later stage is a better alternative.</w:t>
            </w:r>
          </w:p>
        </w:tc>
        <w:tc>
          <w:tcPr>
            <w:tcW w:w="3921" w:type="dxa"/>
            <w:tcBorders>
              <w:top w:val="nil"/>
              <w:left w:val="nil"/>
              <w:bottom w:val="single" w:sz="4" w:space="0" w:color="auto"/>
              <w:right w:val="single" w:sz="4" w:space="0" w:color="auto"/>
            </w:tcBorders>
            <w:noWrap/>
            <w:vAlign w:val="center"/>
            <w:hideMark/>
          </w:tcPr>
          <w:p w14:paraId="4659FC2C"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w:t>
            </w:r>
          </w:p>
        </w:tc>
      </w:tr>
    </w:tbl>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lastRenderedPageBreak/>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38104BD5" w14:textId="77777777" w:rsidR="001E5DFD" w:rsidRPr="001E5DFD" w:rsidRDefault="001E5DFD" w:rsidP="001E5DFD">
      <w:pPr>
        <w:suppressAutoHyphens/>
        <w:spacing w:after="120"/>
        <w:jc w:val="both"/>
        <w:rPr>
          <w:rFonts w:ascii="Verdana" w:eastAsia="Century Gothic" w:hAnsi="Verdana"/>
          <w:color w:val="2D659A"/>
          <w:szCs w:val="20"/>
          <w:lang w:eastAsia="en-US"/>
        </w:rPr>
      </w:pPr>
      <w:permStart w:id="209390932" w:edGrp="everyone"/>
      <w:r w:rsidRPr="001E5DFD">
        <w:rPr>
          <w:rFonts w:ascii="Verdana" w:eastAsia="Century Gothic" w:hAnsi="Verdana"/>
          <w:color w:val="2D659A"/>
          <w:szCs w:val="20"/>
          <w:lang w:eastAsia="en-US"/>
        </w:rPr>
        <w:t xml:space="preserve">No, we don’t agree with the list of indicators and, in general, we do not recommend any other indicators. </w:t>
      </w:r>
    </w:p>
    <w:p w14:paraId="643A0890" w14:textId="77777777" w:rsidR="001E5DFD" w:rsidRPr="001E5DFD" w:rsidRDefault="001E5DFD" w:rsidP="001E5DFD">
      <w:pPr>
        <w:spacing w:line="240" w:lineRule="exact"/>
        <w:jc w:val="both"/>
        <w:rPr>
          <w:rFonts w:ascii="Verdana" w:eastAsia="Century Gothic" w:hAnsi="Verdana"/>
          <w:i/>
          <w:iCs/>
          <w:color w:val="2D659A"/>
          <w:szCs w:val="20"/>
          <w:lang w:eastAsia="en-US"/>
        </w:rPr>
      </w:pPr>
      <w:r w:rsidRPr="001E5DFD">
        <w:rPr>
          <w:rFonts w:ascii="Verdana" w:eastAsia="Century Gothic" w:hAnsi="Verdana"/>
          <w:i/>
          <w:iCs/>
          <w:color w:val="2D659A"/>
          <w:szCs w:val="20"/>
          <w:lang w:eastAsia="en-US"/>
        </w:rPr>
        <w:t>List of indicators</w:t>
      </w:r>
    </w:p>
    <w:p w14:paraId="21676284" w14:textId="77777777" w:rsidR="001E5DFD" w:rsidRPr="001E5DFD" w:rsidRDefault="001E5DFD" w:rsidP="001E5DFD">
      <w:pPr>
        <w:spacing w:line="240" w:lineRule="exact"/>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As answered to other questions as well, Table 1 contains too many indicators. The focus of the ESA’s should be on a few, meaningful indicators. More detailed information can be provided over time in disclosures on product-level. We reject the idea of a full list of ESG disclosures and subsequent adverse indicators at this point in time. A better solution would be to start with a relatively small set of indicators , for example indicators that connect rather well with the to-be-set up taxonomy. Phasing in other indicators over time is a more useful tool.</w:t>
      </w:r>
    </w:p>
    <w:p w14:paraId="163B3281" w14:textId="77777777" w:rsidR="001E5DFD" w:rsidRPr="001E5DFD" w:rsidRDefault="001E5DFD" w:rsidP="001E5DFD">
      <w:pPr>
        <w:spacing w:line="240" w:lineRule="exact"/>
        <w:jc w:val="both"/>
        <w:rPr>
          <w:rFonts w:ascii="Verdana" w:eastAsia="Century Gothic" w:hAnsi="Verdana"/>
          <w:color w:val="2D659A"/>
          <w:szCs w:val="20"/>
          <w:lang w:eastAsia="en-US"/>
        </w:rPr>
      </w:pPr>
    </w:p>
    <w:p w14:paraId="780D3C74" w14:textId="77777777" w:rsidR="001E5DFD" w:rsidRPr="001E5DFD" w:rsidRDefault="001E5DFD" w:rsidP="001E5DFD">
      <w:pPr>
        <w:spacing w:line="240" w:lineRule="exact"/>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 xml:space="preserve">Our understanding is that the draft RTS go beyond the provisions of the level 1 text, and according to Art 4, financial market participants are only requested to provide a qualitative information on the points covered in this article. If this is a correct interpretation, there will be a strong case for quantitative indicators to be optional.  </w:t>
      </w:r>
    </w:p>
    <w:p w14:paraId="2ED513D2" w14:textId="77777777" w:rsidR="001E5DFD" w:rsidRPr="001E5DFD" w:rsidRDefault="001E5DFD" w:rsidP="001E5DFD">
      <w:pPr>
        <w:spacing w:line="240" w:lineRule="exact"/>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 xml:space="preserve">We favour an approach either of only qualitative indicators or an approach of a few mandatory under “comply or explain” or recommended indicators that might become compulsory over time, or basis, where the following criteria are taken into account: </w:t>
      </w:r>
    </w:p>
    <w:p w14:paraId="3F66257F" w14:textId="77777777" w:rsidR="001E5DFD" w:rsidRPr="001E5DFD" w:rsidRDefault="001E5DFD" w:rsidP="001313EE">
      <w:pPr>
        <w:numPr>
          <w:ilvl w:val="0"/>
          <w:numId w:val="59"/>
        </w:numPr>
        <w:suppressAutoHyphens/>
        <w:spacing w:after="120" w:line="240" w:lineRule="exact"/>
        <w:contextualSpacing/>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 xml:space="preserve">Availability and maturity of data </w:t>
      </w:r>
    </w:p>
    <w:p w14:paraId="4CB95A8B" w14:textId="77777777" w:rsidR="001E5DFD" w:rsidRPr="001E5DFD" w:rsidRDefault="001E5DFD" w:rsidP="001313EE">
      <w:pPr>
        <w:numPr>
          <w:ilvl w:val="0"/>
          <w:numId w:val="59"/>
        </w:numPr>
        <w:suppressAutoHyphens/>
        <w:spacing w:after="120" w:line="240" w:lineRule="exact"/>
        <w:contextualSpacing/>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Availability of a standardised methodology applied to companies</w:t>
      </w:r>
    </w:p>
    <w:p w14:paraId="7DD3656D" w14:textId="77777777" w:rsidR="001E5DFD" w:rsidRPr="001E5DFD" w:rsidRDefault="001E5DFD" w:rsidP="001313EE">
      <w:pPr>
        <w:numPr>
          <w:ilvl w:val="0"/>
          <w:numId w:val="59"/>
        </w:numPr>
        <w:suppressAutoHyphens/>
        <w:spacing w:after="120" w:line="240" w:lineRule="exact"/>
        <w:contextualSpacing/>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 xml:space="preserve">Availability of a methodology to aggregate performance – and in their absence, disclosures breakdown by asset class (debt/equity). </w:t>
      </w:r>
    </w:p>
    <w:p w14:paraId="31E70C1F" w14:textId="77777777" w:rsidR="001E5DFD" w:rsidRPr="001E5DFD" w:rsidRDefault="001E5DFD" w:rsidP="001313EE">
      <w:pPr>
        <w:numPr>
          <w:ilvl w:val="0"/>
          <w:numId w:val="59"/>
        </w:numPr>
        <w:suppressAutoHyphens/>
        <w:spacing w:after="120" w:line="240" w:lineRule="exact"/>
        <w:contextualSpacing/>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 xml:space="preserve">Demonstrated relationship between indicator at firm-level and real world impact. </w:t>
      </w:r>
    </w:p>
    <w:p w14:paraId="07C8CF1E" w14:textId="77777777" w:rsidR="001E5DFD" w:rsidRPr="001E5DFD" w:rsidRDefault="001E5DFD" w:rsidP="001E5DFD">
      <w:pPr>
        <w:spacing w:line="240" w:lineRule="exact"/>
        <w:jc w:val="both"/>
        <w:rPr>
          <w:rFonts w:ascii="Verdana" w:eastAsia="Century Gothic" w:hAnsi="Verdana"/>
          <w:color w:val="2D659A"/>
          <w:szCs w:val="20"/>
          <w:lang w:eastAsia="en-US"/>
        </w:rPr>
      </w:pPr>
    </w:p>
    <w:p w14:paraId="3DBE5ACF" w14:textId="77777777" w:rsidR="001E5DFD" w:rsidRPr="001E5DFD" w:rsidRDefault="001E5DFD" w:rsidP="001E5DFD">
      <w:pPr>
        <w:spacing w:line="240" w:lineRule="exact"/>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 xml:space="preserve">We propose the following list of indicators (quantifiable) given their meaningfulness: </w:t>
      </w:r>
    </w:p>
    <w:p w14:paraId="4AAE97C8" w14:textId="77777777" w:rsidR="001E5DFD" w:rsidRPr="001E5DFD" w:rsidRDefault="001E5DFD" w:rsidP="001313EE">
      <w:pPr>
        <w:numPr>
          <w:ilvl w:val="0"/>
          <w:numId w:val="60"/>
        </w:numPr>
        <w:suppressAutoHyphens/>
        <w:spacing w:after="120" w:line="240" w:lineRule="exact"/>
        <w:contextualSpacing/>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 xml:space="preserve">Carbon footprint and GHG scope 1, 2 </w:t>
      </w:r>
    </w:p>
    <w:p w14:paraId="2701B2AB" w14:textId="77777777" w:rsidR="001E5DFD" w:rsidRPr="001E5DFD" w:rsidRDefault="001E5DFD" w:rsidP="001313EE">
      <w:pPr>
        <w:numPr>
          <w:ilvl w:val="0"/>
          <w:numId w:val="60"/>
        </w:numPr>
        <w:suppressAutoHyphens/>
        <w:spacing w:after="120" w:line="240" w:lineRule="exact"/>
        <w:contextualSpacing/>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Carbon footprint and GHG scope 3, with a selection of relevant sectors (Energy/Power, Oil &amp; Gas, Shipping, Automotive, Construction…) and a phase in by sectors (starting with energy/power for instance) and as far as methodologies are developed</w:t>
      </w:r>
    </w:p>
    <w:p w14:paraId="073009E4" w14:textId="5F502757" w:rsidR="001E5DFD" w:rsidRPr="001E5DFD" w:rsidRDefault="00522C74" w:rsidP="001313EE">
      <w:pPr>
        <w:numPr>
          <w:ilvl w:val="0"/>
          <w:numId w:val="60"/>
        </w:numPr>
        <w:suppressAutoHyphens/>
        <w:spacing w:after="120" w:line="240" w:lineRule="exact"/>
        <w:contextualSpacing/>
        <w:jc w:val="both"/>
        <w:rPr>
          <w:rFonts w:ascii="Verdana" w:eastAsia="Century Gothic" w:hAnsi="Verdana"/>
          <w:color w:val="2D659A"/>
          <w:szCs w:val="20"/>
          <w:lang w:eastAsia="en-US"/>
        </w:rPr>
      </w:pPr>
      <w:r>
        <w:rPr>
          <w:rFonts w:ascii="Verdana" w:eastAsia="Century Gothic" w:hAnsi="Verdana"/>
          <w:color w:val="2D659A"/>
          <w:szCs w:val="20"/>
          <w:lang w:eastAsia="en-US"/>
        </w:rPr>
        <w:t>General e</w:t>
      </w:r>
      <w:r w:rsidR="001E5DFD" w:rsidRPr="001E5DFD">
        <w:rPr>
          <w:rFonts w:ascii="Verdana" w:eastAsia="Century Gothic" w:hAnsi="Verdana"/>
          <w:color w:val="2D659A"/>
          <w:szCs w:val="20"/>
          <w:lang w:eastAsia="en-US"/>
        </w:rPr>
        <w:t>xposure to coal at a</w:t>
      </w:r>
      <w:r>
        <w:rPr>
          <w:rFonts w:ascii="Verdana" w:eastAsia="Century Gothic" w:hAnsi="Verdana"/>
          <w:color w:val="2D659A"/>
          <w:szCs w:val="20"/>
          <w:lang w:eastAsia="en-US"/>
        </w:rPr>
        <w:t>n early</w:t>
      </w:r>
      <w:r w:rsidR="001E5DFD" w:rsidRPr="001E5DFD">
        <w:rPr>
          <w:rFonts w:ascii="Verdana" w:eastAsia="Century Gothic" w:hAnsi="Verdana"/>
          <w:color w:val="2D659A"/>
          <w:szCs w:val="20"/>
          <w:lang w:eastAsia="en-US"/>
        </w:rPr>
        <w:t xml:space="preserve"> stage</w:t>
      </w:r>
      <w:r>
        <w:rPr>
          <w:rFonts w:ascii="Verdana" w:eastAsia="Century Gothic" w:hAnsi="Verdana"/>
          <w:color w:val="2D659A"/>
          <w:szCs w:val="20"/>
          <w:lang w:eastAsia="en-US"/>
        </w:rPr>
        <w:t xml:space="preserve"> (in terms of absolute metric tonnes and percentage of revenue).</w:t>
      </w:r>
    </w:p>
    <w:p w14:paraId="58F8130B" w14:textId="77777777" w:rsidR="001E5DFD" w:rsidRPr="001E5DFD" w:rsidRDefault="001E5DFD" w:rsidP="001E5DFD">
      <w:pPr>
        <w:spacing w:line="240" w:lineRule="exact"/>
        <w:jc w:val="both"/>
        <w:rPr>
          <w:rFonts w:ascii="Verdana" w:eastAsia="Century Gothic" w:hAnsi="Verdana"/>
          <w:color w:val="2D659A"/>
          <w:szCs w:val="20"/>
          <w:lang w:eastAsia="en-US"/>
        </w:rPr>
      </w:pPr>
    </w:p>
    <w:p w14:paraId="3FFF7512" w14:textId="77777777" w:rsidR="001E5DFD" w:rsidRPr="001E5DFD" w:rsidRDefault="001E5DFD" w:rsidP="001E5DFD">
      <w:pPr>
        <w:spacing w:line="240" w:lineRule="exact"/>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 xml:space="preserve">We would like to add to the list the following non-quantifiable disclosures: </w:t>
      </w:r>
    </w:p>
    <w:p w14:paraId="463B18D8" w14:textId="77777777" w:rsidR="001E5DFD" w:rsidRPr="001E5DFD" w:rsidRDefault="001E5DFD" w:rsidP="001313EE">
      <w:pPr>
        <w:numPr>
          <w:ilvl w:val="0"/>
          <w:numId w:val="61"/>
        </w:numPr>
        <w:suppressAutoHyphens/>
        <w:spacing w:after="120" w:line="240" w:lineRule="exact"/>
        <w:contextualSpacing/>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Governance of sustainability within financial market participants</w:t>
      </w:r>
    </w:p>
    <w:p w14:paraId="6434E01F" w14:textId="77777777" w:rsidR="001E5DFD" w:rsidRPr="001E5DFD" w:rsidRDefault="001E5DFD" w:rsidP="001313EE">
      <w:pPr>
        <w:numPr>
          <w:ilvl w:val="0"/>
          <w:numId w:val="61"/>
        </w:numPr>
        <w:suppressAutoHyphens/>
        <w:spacing w:after="120" w:line="240" w:lineRule="exact"/>
        <w:contextualSpacing/>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Paris alignment/climate and ESG strategy at firm-level</w:t>
      </w:r>
    </w:p>
    <w:p w14:paraId="5B86F44E" w14:textId="77777777" w:rsidR="001E5DFD" w:rsidRPr="001E5DFD" w:rsidRDefault="001E5DFD" w:rsidP="001313EE">
      <w:pPr>
        <w:numPr>
          <w:ilvl w:val="0"/>
          <w:numId w:val="61"/>
        </w:numPr>
        <w:suppressAutoHyphens/>
        <w:spacing w:after="120" w:line="240" w:lineRule="exact"/>
        <w:contextualSpacing/>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 xml:space="preserve">ESG Due diligence processes – identified cases and remediation actions. </w:t>
      </w:r>
    </w:p>
    <w:p w14:paraId="63573584" w14:textId="77777777" w:rsidR="001E5DFD" w:rsidRPr="001E5DFD" w:rsidRDefault="001E5DFD" w:rsidP="001E5DFD">
      <w:pPr>
        <w:spacing w:line="240" w:lineRule="exact"/>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We also favour disclosures in line with the OECD recommendations on due diligence for institutional investors.</w:t>
      </w:r>
    </w:p>
    <w:p w14:paraId="23ACF959" w14:textId="77777777" w:rsidR="001E5DFD" w:rsidRPr="001E5DFD" w:rsidRDefault="001E5DFD" w:rsidP="001E5DFD">
      <w:pPr>
        <w:suppressAutoHyphens/>
        <w:spacing w:after="120"/>
        <w:jc w:val="both"/>
        <w:rPr>
          <w:rFonts w:ascii="Verdana" w:eastAsia="Century Gothic" w:hAnsi="Verdana"/>
          <w:i/>
          <w:iCs/>
          <w:color w:val="2D659A"/>
          <w:szCs w:val="20"/>
          <w:lang w:eastAsia="en-US"/>
        </w:rPr>
      </w:pPr>
      <w:r w:rsidRPr="001E5DFD">
        <w:rPr>
          <w:rFonts w:ascii="Verdana" w:eastAsia="Century Gothic" w:hAnsi="Verdana"/>
          <w:i/>
          <w:iCs/>
          <w:color w:val="2D659A"/>
          <w:szCs w:val="20"/>
          <w:lang w:eastAsia="en-US"/>
        </w:rPr>
        <w:t>Materiality</w:t>
      </w:r>
    </w:p>
    <w:p w14:paraId="3DE6907E" w14:textId="77777777" w:rsidR="001E5DFD" w:rsidRPr="001E5DFD" w:rsidRDefault="001E5DFD" w:rsidP="001E5DFD">
      <w:pPr>
        <w:suppressAutoHyphens/>
        <w:spacing w:after="120"/>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 xml:space="preserve">As mentioned before. Table 2 does not take into account “materiality” of an indicator for a company or sector </w:t>
      </w:r>
      <w:r w:rsidRPr="001E5DFD">
        <w:rPr>
          <w:rFonts w:ascii="Verdana" w:eastAsia="Century Gothic" w:hAnsi="Verdana"/>
          <w:b/>
          <w:bCs/>
          <w:color w:val="2D659A"/>
          <w:szCs w:val="20"/>
          <w:u w:val="single"/>
          <w:lang w:eastAsia="en-US"/>
        </w:rPr>
        <w:t>(also see our answer to question 4).</w:t>
      </w:r>
      <w:r w:rsidRPr="001E5DFD">
        <w:rPr>
          <w:rFonts w:ascii="Verdana" w:eastAsia="Century Gothic" w:hAnsi="Verdana"/>
          <w:color w:val="2D659A"/>
          <w:szCs w:val="20"/>
          <w:lang w:eastAsia="en-US"/>
        </w:rPr>
        <w:t xml:space="preserve"> We urge the ESA’s to align the proposed indicators with the proposed ‘double-materiality’ standard in the NFRD.</w:t>
      </w:r>
      <w:r w:rsidRPr="001E5DFD">
        <w:rPr>
          <w:rFonts w:ascii="Verdana" w:eastAsia="Century Gothic" w:hAnsi="Verdana"/>
          <w:color w:val="2D659A"/>
          <w:szCs w:val="20"/>
          <w:vertAlign w:val="superscript"/>
          <w:lang w:eastAsia="en-US"/>
        </w:rPr>
        <w:footnoteReference w:id="5"/>
      </w:r>
      <w:r w:rsidRPr="001E5DFD">
        <w:rPr>
          <w:rFonts w:ascii="Verdana" w:eastAsia="Century Gothic" w:hAnsi="Verdana"/>
          <w:color w:val="2D659A"/>
          <w:szCs w:val="20"/>
          <w:lang w:eastAsia="en-US"/>
        </w:rPr>
        <w:t xml:space="preserve"> </w:t>
      </w:r>
    </w:p>
    <w:p w14:paraId="5141FE59" w14:textId="77777777" w:rsidR="001E5DFD" w:rsidRPr="001E5DFD" w:rsidRDefault="001E5DFD" w:rsidP="001E5DFD">
      <w:pPr>
        <w:suppressAutoHyphens/>
        <w:spacing w:after="120"/>
        <w:jc w:val="both"/>
        <w:rPr>
          <w:rFonts w:ascii="Verdana" w:eastAsia="Century Gothic" w:hAnsi="Verdana"/>
          <w:i/>
          <w:iCs/>
          <w:color w:val="2D659A"/>
          <w:szCs w:val="20"/>
          <w:lang w:eastAsia="en-US"/>
        </w:rPr>
      </w:pPr>
      <w:r w:rsidRPr="001E5DFD">
        <w:rPr>
          <w:rFonts w:ascii="Verdana" w:eastAsia="Century Gothic" w:hAnsi="Verdana"/>
          <w:i/>
          <w:iCs/>
          <w:color w:val="2D659A"/>
          <w:szCs w:val="20"/>
          <w:lang w:eastAsia="en-US"/>
        </w:rPr>
        <w:t>Data</w:t>
      </w:r>
    </w:p>
    <w:p w14:paraId="6BC78E98" w14:textId="77777777" w:rsidR="001E5DFD" w:rsidRPr="001E5DFD" w:rsidRDefault="001E5DFD" w:rsidP="001E5DFD">
      <w:pPr>
        <w:spacing w:before="240" w:line="240" w:lineRule="exact"/>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 xml:space="preserve">Data on policy-indicators is available, but data on metrics is not widely available (low coverage). We and data providers only have access to this data if companies report on it publicly. </w:t>
      </w:r>
      <w:r w:rsidRPr="001E5DFD">
        <w:rPr>
          <w:rFonts w:ascii="Verdana" w:eastAsia="Century Gothic" w:hAnsi="Verdana"/>
          <w:color w:val="2D659A"/>
          <w:szCs w:val="20"/>
          <w:lang w:eastAsia="en-US"/>
        </w:rPr>
        <w:lastRenderedPageBreak/>
        <w:t xml:space="preserve">Data coverage of companies in the EU may improve with the update of the NFRD, but this does not apply to companies outside the EU. With thousands of (potential) investee companies it is unrealistic to expect that FMP’s can approach those companies actively. </w:t>
      </w:r>
    </w:p>
    <w:p w14:paraId="61B65D7F" w14:textId="77777777" w:rsidR="001E5DFD" w:rsidRPr="001E5DFD" w:rsidRDefault="001E5DFD" w:rsidP="001E5DFD">
      <w:pPr>
        <w:suppressAutoHyphens/>
        <w:spacing w:before="240" w:after="120"/>
        <w:jc w:val="both"/>
        <w:rPr>
          <w:rFonts w:ascii="Verdana" w:eastAsia="Century Gothic" w:hAnsi="Verdana"/>
          <w:i/>
          <w:iCs/>
          <w:color w:val="2D659A"/>
          <w:szCs w:val="20"/>
          <w:lang w:eastAsia="en-US"/>
        </w:rPr>
      </w:pPr>
      <w:r w:rsidRPr="001E5DFD">
        <w:rPr>
          <w:rFonts w:ascii="Verdana" w:eastAsia="Century Gothic" w:hAnsi="Verdana"/>
          <w:i/>
          <w:iCs/>
          <w:color w:val="2D659A"/>
          <w:szCs w:val="20"/>
          <w:lang w:eastAsia="en-US"/>
        </w:rPr>
        <w:t>Forward-looking climate scenario’s</w:t>
      </w:r>
    </w:p>
    <w:p w14:paraId="2C2DA9C7" w14:textId="77777777" w:rsidR="001E5DFD" w:rsidRPr="001E5DFD" w:rsidRDefault="001E5DFD" w:rsidP="001E5DFD">
      <w:pPr>
        <w:spacing w:line="240" w:lineRule="exact"/>
        <w:jc w:val="both"/>
        <w:rPr>
          <w:rFonts w:ascii="Verdana" w:eastAsia="Century Gothic" w:hAnsi="Verdana"/>
          <w:color w:val="2D659A"/>
          <w:szCs w:val="20"/>
          <w:lang w:eastAsia="en-US"/>
        </w:rPr>
      </w:pPr>
      <w:r w:rsidRPr="001E5DFD">
        <w:rPr>
          <w:rFonts w:ascii="Verdana" w:eastAsia="Century Gothic" w:hAnsi="Verdana"/>
          <w:color w:val="2D659A"/>
          <w:szCs w:val="20"/>
          <w:lang w:eastAsia="en-US"/>
        </w:rPr>
        <w:t xml:space="preserve">At this point in time, we don’t see merit in including forward-looking indicators or the use of forward looking climate scenarios (as proposed in Art. 10). Our proposal would be to delete these climate scenarios. </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0E1A9E7C" w14:textId="77777777" w:rsidR="001E5DFD" w:rsidRPr="00D34E5C" w:rsidRDefault="001E5DFD" w:rsidP="001E5DFD">
      <w:pPr>
        <w:suppressAutoHyphens/>
        <w:spacing w:after="120"/>
        <w:jc w:val="both"/>
        <w:rPr>
          <w:rFonts w:ascii="Verdana" w:eastAsia="Century Gothic" w:hAnsi="Verdana"/>
          <w:color w:val="2D659A"/>
          <w:szCs w:val="20"/>
        </w:rPr>
      </w:pPr>
      <w:permStart w:id="418122716" w:edGrp="everyone"/>
      <w:r w:rsidRPr="00D34E5C">
        <w:rPr>
          <w:rFonts w:ascii="Verdana" w:eastAsia="Century Gothic" w:hAnsi="Verdana"/>
          <w:color w:val="2D659A"/>
          <w:szCs w:val="20"/>
        </w:rPr>
        <w:t xml:space="preserve">Although some FMP’s might see merit in a relative measure of carbon emissions relative to the EU 2030 climate and energy framework, we believe it is – given the objections to Annex I at this point in time – premature to ask for relative measures of carbon emissions relative to the EU 2030 framework. </w:t>
      </w:r>
    </w:p>
    <w:p w14:paraId="2E3EBD82" w14:textId="77777777" w:rsidR="001E5DFD" w:rsidRPr="00D34E5C" w:rsidRDefault="001E5DFD" w:rsidP="001E5DFD">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Furthermore, we wonder what is meant by ‘relative to the prevailing carbon price’?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526095FC" w14:textId="231D075B" w:rsidR="00AC7597" w:rsidRDefault="001E5DFD" w:rsidP="003E573C">
      <w:pPr>
        <w:rPr>
          <w:rFonts w:ascii="Verdana" w:eastAsia="Century Gothic" w:hAnsi="Verdana"/>
          <w:color w:val="2D659A"/>
          <w:szCs w:val="20"/>
        </w:rPr>
      </w:pPr>
      <w:permStart w:id="569465455" w:edGrp="everyone"/>
      <w:r w:rsidRPr="00D34E5C">
        <w:rPr>
          <w:rFonts w:ascii="Verdana" w:eastAsia="Century Gothic" w:hAnsi="Verdana"/>
          <w:color w:val="2D659A"/>
          <w:szCs w:val="20"/>
        </w:rPr>
        <w:t xml:space="preserve">In general, we agree with measuring both the share in companies without a particular issue and the share of all companies in the investments without that issue. Although we estimate that the outcome, will be too complex for most clients to be </w:t>
      </w:r>
      <w:r w:rsidR="007D07BE">
        <w:rPr>
          <w:rFonts w:ascii="Verdana" w:eastAsia="Century Gothic" w:hAnsi="Verdana"/>
          <w:color w:val="2D659A"/>
          <w:szCs w:val="20"/>
        </w:rPr>
        <w:t>fully understood and used</w:t>
      </w:r>
      <w:r w:rsidRPr="00D34E5C">
        <w:rPr>
          <w:rFonts w:ascii="Verdana" w:eastAsia="Century Gothic" w:hAnsi="Verdana"/>
          <w:color w:val="2D659A"/>
          <w:szCs w:val="20"/>
        </w:rPr>
        <w:t>.</w:t>
      </w:r>
    </w:p>
    <w:permEnd w:id="569465455"/>
    <w:p w14:paraId="2267AC0F" w14:textId="693FDF26"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633F9891" w14:textId="77777777" w:rsidR="00AC7597" w:rsidRPr="00D34E5C" w:rsidRDefault="00AC7597" w:rsidP="00366DF2">
      <w:pPr>
        <w:suppressAutoHyphens/>
        <w:spacing w:after="120"/>
        <w:jc w:val="both"/>
        <w:rPr>
          <w:rFonts w:ascii="Verdana" w:eastAsia="Century Gothic" w:hAnsi="Verdana"/>
          <w:color w:val="2D659A"/>
          <w:szCs w:val="20"/>
        </w:rPr>
      </w:pPr>
      <w:permStart w:id="1713528049" w:edGrp="everyone"/>
      <w:r w:rsidRPr="00D34E5C">
        <w:rPr>
          <w:rFonts w:ascii="Verdana" w:eastAsia="Century Gothic" w:hAnsi="Verdana"/>
          <w:color w:val="2D659A"/>
          <w:szCs w:val="20"/>
        </w:rPr>
        <w:t>No, we do no</w:t>
      </w:r>
      <w:r>
        <w:rPr>
          <w:rFonts w:ascii="Verdana" w:eastAsia="Century Gothic" w:hAnsi="Verdana"/>
          <w:color w:val="2D659A"/>
          <w:szCs w:val="20"/>
        </w:rPr>
        <w:t>t</w:t>
      </w:r>
      <w:r w:rsidRPr="00D34E5C">
        <w:rPr>
          <w:rFonts w:ascii="Verdana" w:eastAsia="Century Gothic" w:hAnsi="Verdana"/>
          <w:color w:val="2D659A"/>
          <w:szCs w:val="20"/>
        </w:rPr>
        <w:t xml:space="preserve"> believe more indicators should be added, because there are already (too) many indicators in Table 1. More information is not always better. It should be about understandable information. It should be tested with (retail) clients what information adds value for them.</w:t>
      </w:r>
    </w:p>
    <w:p w14:paraId="56921133" w14:textId="77777777" w:rsidR="00AC7597" w:rsidRDefault="00AC7597" w:rsidP="003E573C">
      <w:pPr>
        <w:rPr>
          <w:rFonts w:ascii="Verdana" w:eastAsia="Century Gothic" w:hAnsi="Verdana"/>
          <w:color w:val="2D659A"/>
          <w:szCs w:val="20"/>
        </w:rPr>
      </w:pPr>
      <w:r w:rsidRPr="00D34E5C">
        <w:rPr>
          <w:rFonts w:ascii="Verdana" w:eastAsia="Century Gothic" w:hAnsi="Verdana"/>
          <w:color w:val="2D659A"/>
          <w:szCs w:val="20"/>
        </w:rPr>
        <w:t>Furthermore, we wonder what kind of indicators the ESA’s have in mind</w:t>
      </w:r>
    </w:p>
    <w:permEnd w:id="1713528049"/>
    <w:p w14:paraId="6DB9AF7D" w14:textId="1E58FA96"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2C95B178" w14:textId="77777777" w:rsidR="00AC7597" w:rsidRDefault="00AC7597" w:rsidP="003E573C">
      <w:pPr>
        <w:rPr>
          <w:rFonts w:ascii="Verdana" w:hAnsi="Verdana"/>
          <w:color w:val="2D659A"/>
          <w:szCs w:val="20"/>
        </w:rPr>
      </w:pPr>
      <w:permStart w:id="221670941" w:edGrp="everyone"/>
      <w:r w:rsidRPr="00D34E5C">
        <w:rPr>
          <w:rFonts w:ascii="Verdana" w:hAnsi="Verdana"/>
          <w:color w:val="2D659A"/>
          <w:szCs w:val="20"/>
        </w:rPr>
        <w:lastRenderedPageBreak/>
        <w:t>On the S and G more data (not hard data, but policies) seems to be available according to data providers. So we believe E, S and G matters should be included in the indicators from the start, if available and material.</w:t>
      </w:r>
    </w:p>
    <w:permEnd w:id="221670941"/>
    <w:p w14:paraId="57161E15" w14:textId="4D17FEC5"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3"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3"/>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5997B4C7" w14:textId="2D2794ED" w:rsidR="00AC7597" w:rsidRPr="00D34E5C" w:rsidRDefault="00AC7597" w:rsidP="00AC7597">
      <w:pPr>
        <w:suppressAutoHyphens/>
        <w:spacing w:after="120"/>
        <w:jc w:val="both"/>
        <w:rPr>
          <w:rFonts w:ascii="Verdana" w:eastAsia="Century Gothic" w:hAnsi="Verdana"/>
          <w:color w:val="2D659A"/>
          <w:szCs w:val="20"/>
          <w:lang w:val="en-US"/>
        </w:rPr>
      </w:pPr>
      <w:permStart w:id="610013876" w:edGrp="everyone"/>
      <w:r w:rsidRPr="00D34E5C">
        <w:rPr>
          <w:rFonts w:ascii="Verdana" w:eastAsia="Century Gothic" w:hAnsi="Verdana"/>
          <w:color w:val="2D659A"/>
          <w:szCs w:val="20"/>
        </w:rPr>
        <w:t>We should build up a database from March 2021 only, with no backward calculations required.</w:t>
      </w:r>
      <w:r>
        <w:rPr>
          <w:rStyle w:val="FootnoteReference"/>
          <w:rFonts w:ascii="Verdana" w:eastAsia="Century Gothic" w:hAnsi="Verdana"/>
          <w:color w:val="2D659A"/>
          <w:szCs w:val="20"/>
        </w:rPr>
        <w:footnoteReference w:id="6"/>
      </w:r>
      <w:r w:rsidRPr="00D34E5C">
        <w:rPr>
          <w:rFonts w:ascii="Verdana" w:eastAsia="Century Gothic" w:hAnsi="Verdana"/>
          <w:color w:val="2D659A"/>
          <w:szCs w:val="20"/>
        </w:rPr>
        <w:t xml:space="preserve">  </w:t>
      </w:r>
      <w:r w:rsidRPr="00D34E5C">
        <w:rPr>
          <w:rFonts w:ascii="Verdana" w:eastAsia="Century Gothic" w:hAnsi="Verdana"/>
          <w:color w:val="2D659A"/>
          <w:szCs w:val="20"/>
          <w:lang w:val="en-US"/>
        </w:rPr>
        <w:t xml:space="preserve">Historical comparison of principal adverse impact disclosures up to ten years is potentially excessive for items that are constantly and rapidly evolving </w:t>
      </w:r>
      <w:r w:rsidR="00756E3C">
        <w:rPr>
          <w:rFonts w:ascii="Verdana" w:eastAsia="Century Gothic" w:hAnsi="Verdana"/>
          <w:color w:val="2D659A"/>
          <w:szCs w:val="20"/>
          <w:lang w:val="en-US"/>
        </w:rPr>
        <w:t>Although we could</w:t>
      </w:r>
      <w:r w:rsidRPr="00D34E5C">
        <w:rPr>
          <w:rFonts w:ascii="Verdana" w:eastAsia="Century Gothic" w:hAnsi="Verdana"/>
          <w:color w:val="2D659A"/>
          <w:szCs w:val="20"/>
        </w:rPr>
        <w:t xml:space="preserve"> understand the motivation behind the possible historical comparison of principal adverse impact disclosures up to ten years, but this has to be well designed in order not to prejudice the comparison in such a long term period.</w:t>
      </w:r>
    </w:p>
    <w:p w14:paraId="2BFF29D5"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Eventually there could occur serious problems with data comparability among years given the expected developments/improvements in ESG disclosures. When companies start to disclose or improve their own disclosures this will have an impact in the analysis of such information in a prolonged period, hurting comparability and any kind of conclusion of improvement/stagnation in the quality and range of such data provided by FMP.</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0010E24E" w14:textId="77777777" w:rsidR="00AC7597" w:rsidRPr="00D34E5C" w:rsidRDefault="00AC7597" w:rsidP="00AC7597">
      <w:pPr>
        <w:suppressAutoHyphens/>
        <w:spacing w:after="120"/>
        <w:jc w:val="both"/>
        <w:rPr>
          <w:rFonts w:ascii="Verdana" w:eastAsia="Century Gothic" w:hAnsi="Verdana"/>
          <w:color w:val="2D659A"/>
          <w:szCs w:val="20"/>
        </w:rPr>
      </w:pPr>
      <w:permStart w:id="790175202" w:edGrp="everyone"/>
      <w:r w:rsidRPr="00D34E5C">
        <w:rPr>
          <w:rFonts w:ascii="Verdana" w:eastAsia="Century Gothic" w:hAnsi="Verdana"/>
          <w:color w:val="2D659A"/>
          <w:szCs w:val="20"/>
        </w:rPr>
        <w:t>The large amount of information to be disclosed in itself might lead to window dressing techniques (i.e. specific selection of underlying data). For example, the tendency to exclude a section of the population from sample analysis due to unavailability of data. This erodes the idea of randomness since the exclusion of a certain class of data is somewhat identical to collecting data from a subset of the population.</w:t>
      </w:r>
      <w:r>
        <w:rPr>
          <w:rFonts w:ascii="Verdana" w:eastAsia="Century Gothic" w:hAnsi="Verdana"/>
          <w:color w:val="2D659A"/>
          <w:szCs w:val="20"/>
        </w:rPr>
        <w:t xml:space="preserve"> </w:t>
      </w:r>
      <w:r w:rsidRPr="00D34E5C">
        <w:rPr>
          <w:rFonts w:ascii="Verdana" w:eastAsia="Century Gothic" w:hAnsi="Verdana"/>
          <w:color w:val="2D659A"/>
          <w:szCs w:val="20"/>
        </w:rPr>
        <w:t>The</w:t>
      </w:r>
      <w:r>
        <w:rPr>
          <w:rFonts w:ascii="Verdana" w:eastAsia="Century Gothic" w:hAnsi="Verdana"/>
          <w:color w:val="2D659A"/>
          <w:szCs w:val="20"/>
        </w:rPr>
        <w:t xml:space="preserve"> </w:t>
      </w:r>
      <w:r w:rsidRPr="00D34E5C">
        <w:rPr>
          <w:rFonts w:ascii="Verdana" w:eastAsia="Century Gothic" w:hAnsi="Verdana"/>
          <w:color w:val="2D659A"/>
          <w:szCs w:val="20"/>
        </w:rPr>
        <w:t>resulting parameter is  therefore not representative of the population as a whole.</w:t>
      </w:r>
    </w:p>
    <w:p w14:paraId="22C66C6E" w14:textId="77777777" w:rsidR="00AC7597" w:rsidRPr="00D34E5C" w:rsidRDefault="00AC7597" w:rsidP="00AC7597">
      <w:pPr>
        <w:suppressAutoHyphens/>
        <w:spacing w:after="120"/>
        <w:jc w:val="both"/>
        <w:rPr>
          <w:rFonts w:ascii="Verdana" w:eastAsia="Century Gothic" w:hAnsi="Verdana"/>
          <w:i/>
          <w:iCs/>
          <w:color w:val="2D659A"/>
          <w:szCs w:val="20"/>
        </w:rPr>
      </w:pPr>
      <w:r w:rsidRPr="00D34E5C">
        <w:rPr>
          <w:rFonts w:ascii="Verdana" w:eastAsia="Century Gothic" w:hAnsi="Verdana"/>
          <w:i/>
          <w:iCs/>
          <w:color w:val="2D659A"/>
          <w:szCs w:val="20"/>
        </w:rPr>
        <w:t xml:space="preserve">Data absence leads to nudging to certain investment styles or sectors </w:t>
      </w:r>
    </w:p>
    <w:p w14:paraId="313A843E"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We have been informed by data providers that many of the requested data points are not available (</w:t>
      </w:r>
      <w:r w:rsidRPr="00D34E5C">
        <w:rPr>
          <w:rFonts w:ascii="Verdana" w:eastAsia="Century Gothic" w:hAnsi="Verdana"/>
          <w:b/>
          <w:bCs/>
          <w:color w:val="2D659A"/>
          <w:szCs w:val="20"/>
          <w:u w:val="single"/>
        </w:rPr>
        <w:t>see also our table/response to question 4</w:t>
      </w:r>
      <w:r w:rsidRPr="00D34E5C">
        <w:rPr>
          <w:rFonts w:ascii="Verdana" w:eastAsia="Century Gothic" w:hAnsi="Verdana"/>
          <w:color w:val="2D659A"/>
          <w:szCs w:val="20"/>
        </w:rPr>
        <w:t>). In certain areas, data might be available but only for certain, specific sectors. Depending on the focus of the portfolio, a company may or may not be able to report on this. In some cases</w:t>
      </w:r>
      <w:r>
        <w:rPr>
          <w:rFonts w:ascii="Verdana" w:eastAsia="Century Gothic" w:hAnsi="Verdana"/>
          <w:color w:val="2D659A"/>
          <w:szCs w:val="20"/>
        </w:rPr>
        <w:t>,</w:t>
      </w:r>
      <w:r w:rsidRPr="00D34E5C">
        <w:rPr>
          <w:rFonts w:ascii="Verdana" w:eastAsia="Century Gothic" w:hAnsi="Verdana"/>
          <w:color w:val="2D659A"/>
          <w:szCs w:val="20"/>
        </w:rPr>
        <w:t xml:space="preserve"> this turns out to be positive if companies cannot report on this, in some cases it is negative if you cannot. This can lead to portfolio managers with a specific focus being in favour or disadvantage under the proposed SFDR (for example, thematic investors). So that is rather a matter of luck, and can lead to unintended investor behaviour for certain investment styles of asset managers / portfolio managers. For example, for a highly concentrated portfolio in technological start-ups (have </w:t>
      </w:r>
      <w:r w:rsidRPr="00D34E5C">
        <w:rPr>
          <w:rFonts w:ascii="Verdana" w:eastAsia="Century Gothic" w:hAnsi="Verdana"/>
          <w:color w:val="2D659A"/>
          <w:szCs w:val="20"/>
        </w:rPr>
        <w:lastRenderedPageBreak/>
        <w:t>low relative CO2 emissions, no impact on land degradation, and the CEO does not receive a salary, but has a large option package).</w:t>
      </w:r>
    </w:p>
    <w:p w14:paraId="2CEFFC31" w14:textId="77777777" w:rsidR="00AC7597" w:rsidRPr="00D34E5C" w:rsidRDefault="00AC7597" w:rsidP="00AC7597">
      <w:pPr>
        <w:suppressAutoHyphens/>
        <w:spacing w:after="120"/>
        <w:jc w:val="both"/>
        <w:rPr>
          <w:rFonts w:ascii="Verdana" w:eastAsia="Century Gothic" w:hAnsi="Verdana"/>
          <w:i/>
          <w:color w:val="2D659A"/>
          <w:szCs w:val="20"/>
          <w:lang w:val="en-US"/>
        </w:rPr>
      </w:pPr>
      <w:r w:rsidRPr="00D34E5C">
        <w:rPr>
          <w:rFonts w:ascii="Verdana" w:eastAsia="Century Gothic" w:hAnsi="Verdana"/>
          <w:i/>
          <w:color w:val="2D659A"/>
          <w:szCs w:val="20"/>
          <w:lang w:val="en-US"/>
        </w:rPr>
        <w:t>Data challenges</w:t>
      </w:r>
    </w:p>
    <w:p w14:paraId="0DAAAA16" w14:textId="77777777" w:rsidR="00AC7597" w:rsidRPr="00D34E5C" w:rsidRDefault="00AC7597" w:rsidP="00AC7597">
      <w:pPr>
        <w:suppressAutoHyphens/>
        <w:spacing w:after="120"/>
        <w:jc w:val="both"/>
        <w:rPr>
          <w:rFonts w:ascii="Verdana" w:eastAsia="Century Gothic" w:hAnsi="Verdana"/>
          <w:iCs/>
          <w:color w:val="2D659A"/>
          <w:szCs w:val="20"/>
          <w:lang w:val="en-US"/>
        </w:rPr>
      </w:pPr>
      <w:r w:rsidRPr="00D34E5C">
        <w:rPr>
          <w:rFonts w:ascii="Verdana" w:eastAsia="Century Gothic" w:hAnsi="Verdana"/>
          <w:iCs/>
          <w:color w:val="2D659A"/>
          <w:szCs w:val="20"/>
          <w:lang w:val="en-US"/>
        </w:rPr>
        <w:t>For many taxonomy activities the data required for the technical screening criteria is lacking because of limited corporate reporting. Both data providers and investors will have to use estimates, based on assumptions that give the end investor no certainty about the disclosed information and therefore, could be misleading. The TEG has also mentioned this in their last final report.</w:t>
      </w:r>
    </w:p>
    <w:p w14:paraId="674BD000" w14:textId="77777777" w:rsidR="00AC7597" w:rsidRDefault="00AC7597" w:rsidP="00AC7597">
      <w:pPr>
        <w:jc w:val="both"/>
        <w:rPr>
          <w:rFonts w:ascii="Verdana" w:eastAsia="Century Gothic" w:hAnsi="Verdana"/>
          <w:color w:val="2D659A"/>
          <w:szCs w:val="20"/>
        </w:rPr>
      </w:pPr>
      <w:r w:rsidRPr="00037448">
        <w:rPr>
          <w:rFonts w:ascii="Verdana" w:eastAsia="Century Gothic" w:hAnsi="Verdana"/>
          <w:color w:val="2D659A"/>
          <w:szCs w:val="20"/>
        </w:rPr>
        <w:t xml:space="preserve">Another challenge is that many investors and data rating agencies use a different classification system than the NACE nomenclature of macro-sectors and economic activities used in the taxonomy. Therefore company reporting is often not according to NACE. Most data providers assess companies, not their economic activities and therefore the taxonomy does not align very well with the practical reality of data providers and rating agencies. </w:t>
      </w:r>
    </w:p>
    <w:p w14:paraId="6277912D" w14:textId="77777777" w:rsidR="00AC7597" w:rsidRPr="00037448" w:rsidRDefault="00AC7597" w:rsidP="00AC7597">
      <w:pPr>
        <w:jc w:val="both"/>
        <w:rPr>
          <w:rFonts w:ascii="Verdana" w:eastAsia="Century Gothic" w:hAnsi="Verdana"/>
          <w:color w:val="2D659A"/>
          <w:szCs w:val="20"/>
        </w:rPr>
      </w:pPr>
    </w:p>
    <w:p w14:paraId="20094AE2" w14:textId="77777777" w:rsidR="00AC7597" w:rsidRPr="00D34E5C" w:rsidRDefault="00AC7597" w:rsidP="00AC7597">
      <w:pPr>
        <w:suppressAutoHyphens/>
        <w:spacing w:after="120"/>
        <w:jc w:val="both"/>
        <w:rPr>
          <w:rFonts w:ascii="Verdana" w:eastAsia="Century Gothic" w:hAnsi="Verdana"/>
          <w:i/>
          <w:iCs/>
          <w:color w:val="2D659A"/>
          <w:szCs w:val="20"/>
        </w:rPr>
      </w:pPr>
      <w:r w:rsidRPr="00D34E5C">
        <w:rPr>
          <w:rFonts w:ascii="Verdana" w:eastAsia="Century Gothic" w:hAnsi="Verdana"/>
          <w:i/>
          <w:iCs/>
          <w:color w:val="2D659A"/>
          <w:szCs w:val="20"/>
        </w:rPr>
        <w:t>Materiality</w:t>
      </w:r>
    </w:p>
    <w:p w14:paraId="1F8A8A48"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Most ESG scores include determining which factors are </w:t>
      </w:r>
      <w:r w:rsidRPr="00D34E5C">
        <w:rPr>
          <w:rFonts w:ascii="Verdana" w:eastAsia="Century Gothic" w:hAnsi="Verdana"/>
          <w:i/>
          <w:iCs/>
          <w:color w:val="2D659A"/>
          <w:szCs w:val="20"/>
        </w:rPr>
        <w:t>material</w:t>
      </w:r>
      <w:r w:rsidRPr="00D34E5C">
        <w:rPr>
          <w:rFonts w:ascii="Verdana" w:eastAsia="Century Gothic" w:hAnsi="Verdana"/>
          <w:color w:val="2D659A"/>
          <w:szCs w:val="20"/>
        </w:rPr>
        <w:t xml:space="preserve"> to a company’s financial performance. This (double)</w:t>
      </w:r>
      <w:r>
        <w:rPr>
          <w:rFonts w:ascii="Verdana" w:eastAsia="Century Gothic" w:hAnsi="Verdana"/>
          <w:color w:val="2D659A"/>
          <w:szCs w:val="20"/>
        </w:rPr>
        <w:t xml:space="preserve"> </w:t>
      </w:r>
      <w:r w:rsidRPr="00D34E5C">
        <w:rPr>
          <w:rFonts w:ascii="Verdana" w:eastAsia="Century Gothic" w:hAnsi="Verdana"/>
          <w:color w:val="2D659A"/>
          <w:szCs w:val="20"/>
        </w:rPr>
        <w:t>materiality standard is also part of the proposed NFDR, and we do not see why the SFDR does not make any reference to the materiality of adverse impacts to specific companies.</w:t>
      </w:r>
      <w:r w:rsidRPr="00D34E5C">
        <w:rPr>
          <w:rFonts w:ascii="Verdana" w:eastAsia="Century Gothic" w:hAnsi="Verdana"/>
          <w:color w:val="2D659A"/>
          <w:szCs w:val="20"/>
          <w:vertAlign w:val="superscript"/>
        </w:rPr>
        <w:footnoteReference w:id="7"/>
      </w:r>
      <w:r w:rsidRPr="00D34E5C">
        <w:rPr>
          <w:rFonts w:ascii="Verdana" w:eastAsia="Century Gothic" w:hAnsi="Verdana"/>
          <w:color w:val="2D659A"/>
          <w:szCs w:val="20"/>
        </w:rPr>
        <w:t xml:space="preserve"> How different parties use materiality in practice in the end however, is based on differences how materiality is defined and unveiled. Information is only of use when it is material to the company, to its shareholders, to society and the environment. We believe disclosing Table 1 on entity level does not qualify to all the before mentioned requirements. </w:t>
      </w:r>
    </w:p>
    <w:p w14:paraId="20E7BF41" w14:textId="77777777" w:rsidR="00AC7597" w:rsidRPr="00D34E5C" w:rsidRDefault="00AC7597" w:rsidP="00AC7597">
      <w:pPr>
        <w:suppressAutoHyphens/>
        <w:spacing w:after="120"/>
        <w:jc w:val="both"/>
        <w:rPr>
          <w:rFonts w:ascii="Verdana" w:eastAsia="Century Gothic" w:hAnsi="Verdana"/>
          <w:i/>
          <w:iCs/>
          <w:color w:val="2D659A"/>
          <w:szCs w:val="20"/>
        </w:rPr>
      </w:pPr>
      <w:r w:rsidRPr="00D34E5C">
        <w:rPr>
          <w:rFonts w:ascii="Verdana" w:eastAsia="Century Gothic" w:hAnsi="Verdana"/>
          <w:i/>
          <w:iCs/>
          <w:color w:val="2D659A"/>
          <w:szCs w:val="20"/>
        </w:rPr>
        <w:t>Scope 1, 2, and 3 emissions.</w:t>
      </w:r>
    </w:p>
    <w:p w14:paraId="75A0E4F2" w14:textId="77777777" w:rsidR="00AC7597" w:rsidRPr="00D34E5C" w:rsidRDefault="00AC7597" w:rsidP="00AC7597">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Regarding Annex 1, Table 1, one of the mandatory indicators is “</w:t>
      </w:r>
      <w:r w:rsidRPr="00D34E5C">
        <w:rPr>
          <w:rFonts w:ascii="Verdana" w:eastAsia="Century Gothic" w:hAnsi="Verdana"/>
          <w:i/>
          <w:color w:val="2D659A"/>
          <w:szCs w:val="20"/>
          <w:lang w:val="en-US"/>
        </w:rPr>
        <w:t>Carbon emissions (broken down by scope 1, 2 and 3 carbon emissions - including agriculture, forestry and other land use (AFOLU) emissions - and in total</w:t>
      </w:r>
      <w:r w:rsidRPr="00D34E5C">
        <w:rPr>
          <w:rFonts w:ascii="Verdana" w:eastAsia="Century Gothic" w:hAnsi="Verdana"/>
          <w:color w:val="2D659A"/>
          <w:szCs w:val="20"/>
          <w:lang w:val="en-US"/>
        </w:rPr>
        <w:t>”. According to Annex 1(f), (g) and (i), total carbon emissions, carbon footprint and carbon intensity are indicators that shall be calculated in accordance with formulas which considers investee company’s scope 1, 2 and 3 carbon emissions.</w:t>
      </w:r>
    </w:p>
    <w:p w14:paraId="387C0AEE" w14:textId="77777777" w:rsidR="00AC7597" w:rsidRPr="00D34E5C" w:rsidRDefault="00AC7597" w:rsidP="00AC7597">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However, while total carbon emissions are calculated with scope 1, 2 and 3 emissions, and should be broken down by scope, there is no indication if carbon footprint and carbon intensity should also be broken down.</w:t>
      </w:r>
    </w:p>
    <w:p w14:paraId="09BC1F69" w14:textId="77777777" w:rsidR="00AC7597" w:rsidRPr="00077FF7" w:rsidRDefault="00AC7597" w:rsidP="00AC7597">
      <w:pPr>
        <w:jc w:val="both"/>
        <w:rPr>
          <w:rFonts w:ascii="Verdana" w:eastAsia="Century Gothic" w:hAnsi="Verdana"/>
          <w:color w:val="2D659A"/>
          <w:szCs w:val="20"/>
          <w:lang w:val="en-US"/>
        </w:rPr>
      </w:pPr>
      <w:r w:rsidRPr="00077FF7">
        <w:rPr>
          <w:rFonts w:ascii="Verdana" w:eastAsia="Century Gothic" w:hAnsi="Verdana"/>
          <w:color w:val="2D659A"/>
          <w:szCs w:val="20"/>
          <w:lang w:val="en-US"/>
        </w:rPr>
        <w:t xml:space="preserve">It is widely recognized that scope 3 carbon emissions, which in some cases, constitutes for the majority of emission impact (eg car industry), are very difficult to obtain, and only few companies are disclosing such emissions (most of them focus on scope 1 and 2). </w:t>
      </w:r>
    </w:p>
    <w:p w14:paraId="110DB58C" w14:textId="77777777" w:rsidR="00AC7597" w:rsidRPr="00E902E3" w:rsidRDefault="00AC7597" w:rsidP="00AC7597">
      <w:pPr>
        <w:jc w:val="both"/>
        <w:rPr>
          <w:szCs w:val="20"/>
          <w:lang w:val="en-US"/>
        </w:rPr>
      </w:pPr>
    </w:p>
    <w:p w14:paraId="55FA6A64" w14:textId="77777777" w:rsidR="00AC7597" w:rsidRPr="00D34E5C" w:rsidRDefault="00AC7597" w:rsidP="00AC7597">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According to the consultation paper (page 14): “</w:t>
      </w:r>
      <w:r w:rsidRPr="00D34E5C">
        <w:rPr>
          <w:rFonts w:ascii="Verdana" w:eastAsia="Century Gothic" w:hAnsi="Verdana"/>
          <w:i/>
          <w:color w:val="2D659A"/>
          <w:szCs w:val="20"/>
          <w:lang w:val="en-US"/>
        </w:rPr>
        <w:t>The ESAs, taking into account the input received by the JRC and EEA, saw as the best approach to use a mandatory set of indicators to ensure a minimum level of harmonised assessment of principal adverse impacts of investment decisions on sustainability factors</w:t>
      </w:r>
      <w:r w:rsidRPr="00D34E5C">
        <w:rPr>
          <w:rFonts w:ascii="Verdana" w:eastAsia="Century Gothic" w:hAnsi="Verdana"/>
          <w:color w:val="2D659A"/>
          <w:szCs w:val="20"/>
          <w:lang w:val="en-US"/>
        </w:rPr>
        <w:t>”.</w:t>
      </w:r>
    </w:p>
    <w:p w14:paraId="02D05074" w14:textId="77777777" w:rsidR="00AC7597" w:rsidRDefault="00AC7597" w:rsidP="00AC7597">
      <w:pPr>
        <w:suppressAutoHyphens/>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Our concerns regard the inclusion of scope 3 by default, disregarding the balance between (i) incentivizing companies’ disclosures on scope 3 and (ii) the need to be able to present lower carbon emissions. If such indicators are being designed to ensure a minimum level of harmonized assessment i.e. an improved comparison, among FMP investment decisions, as a large portion of companies do not disclose scope 3 emissions, such inclusion may penalize the investments made towards companies that are actually disclosing scope 3 emissions.  Such </w:t>
      </w:r>
      <w:r w:rsidRPr="00D34E5C">
        <w:rPr>
          <w:rFonts w:ascii="Verdana" w:eastAsia="Century Gothic" w:hAnsi="Verdana"/>
          <w:color w:val="2D659A"/>
          <w:szCs w:val="20"/>
          <w:lang w:val="en-US"/>
        </w:rPr>
        <w:lastRenderedPageBreak/>
        <w:t>companies, which carbon emissions are lower than other companies, could in fact register higher emissions (scope 1, 2 and 3) than companies that only disclose scope 1 and 2 carbon emissions, and therefore be “discriminated” for disclosing the full range of scopes. So, when referring to indicators that measure carbon emissions, they should be broken down by scope, thus increasing comparability.</w:t>
      </w:r>
    </w:p>
    <w:p w14:paraId="0CAB289E" w14:textId="77777777" w:rsidR="00AC7597" w:rsidRPr="00D34E5C" w:rsidRDefault="00AC7597" w:rsidP="00AC7597">
      <w:pPr>
        <w:suppressAutoHyphens/>
        <w:jc w:val="both"/>
        <w:rPr>
          <w:rFonts w:ascii="Verdana" w:eastAsia="Century Gothic" w:hAnsi="Verdana"/>
          <w:color w:val="2D659A"/>
          <w:szCs w:val="20"/>
          <w:lang w:val="en-US"/>
        </w:rPr>
      </w:pPr>
    </w:p>
    <w:p w14:paraId="1D41EAE7" w14:textId="77777777" w:rsidR="00AC7597" w:rsidRDefault="00AC7597" w:rsidP="00AC7597">
      <w:pPr>
        <w:suppressAutoHyphens/>
        <w:jc w:val="both"/>
        <w:rPr>
          <w:rFonts w:ascii="Verdana" w:eastAsia="Century Gothic" w:hAnsi="Verdana"/>
          <w:color w:val="2D659A"/>
          <w:szCs w:val="20"/>
        </w:rPr>
      </w:pPr>
      <w:r w:rsidRPr="008F2649">
        <w:rPr>
          <w:rFonts w:ascii="Verdana" w:eastAsia="Century Gothic" w:hAnsi="Verdana"/>
          <w:color w:val="2D659A"/>
          <w:szCs w:val="20"/>
        </w:rPr>
        <w:t xml:space="preserve">Furthermore, some FMP’s already publish the CO2 footprint of companies (equity only). Not disclosing other ‘adverse impacts‘ is justified given that other potentially interesting data are simply not available. Even with the current CO2 data, FMP’s have encountered the necessary caveats. Partly, carbon emission data is estimated, but also over time FMP’s have analysed rather large fluctuations in the CO2 data of a company itself. The use of CO2 footprint data (CO2 per market value) also benefits companies with high valuations. </w:t>
      </w:r>
      <w:r w:rsidRPr="00D34E5C">
        <w:rPr>
          <w:rFonts w:ascii="Verdana" w:eastAsia="Century Gothic" w:hAnsi="Verdana"/>
          <w:color w:val="2D659A"/>
          <w:szCs w:val="20"/>
        </w:rPr>
        <w:t xml:space="preserve">Fund managers who invest in highly valued companies, and who may therefore take more financial risk, have an advantage under the proposed SFDR. </w:t>
      </w:r>
    </w:p>
    <w:p w14:paraId="04DD5E8D" w14:textId="77777777" w:rsidR="00AC7597" w:rsidRPr="00D34E5C" w:rsidRDefault="00AC7597" w:rsidP="00AC7597">
      <w:pPr>
        <w:suppressAutoHyphens/>
        <w:jc w:val="both"/>
        <w:rPr>
          <w:rFonts w:ascii="Verdana" w:eastAsia="Century Gothic" w:hAnsi="Verdana"/>
          <w:color w:val="2D659A"/>
          <w:szCs w:val="20"/>
        </w:rPr>
      </w:pPr>
    </w:p>
    <w:tbl>
      <w:tblPr>
        <w:tblW w:w="9168" w:type="dxa"/>
        <w:tblInd w:w="70" w:type="dxa"/>
        <w:tblCellMar>
          <w:left w:w="70" w:type="dxa"/>
          <w:right w:w="70" w:type="dxa"/>
        </w:tblCellMar>
        <w:tblLook w:val="04A0" w:firstRow="1" w:lastRow="0" w:firstColumn="1" w:lastColumn="0" w:noHBand="0" w:noVBand="1"/>
      </w:tblPr>
      <w:tblGrid>
        <w:gridCol w:w="2996"/>
        <w:gridCol w:w="1520"/>
        <w:gridCol w:w="2723"/>
        <w:gridCol w:w="1929"/>
      </w:tblGrid>
      <w:tr w:rsidR="00AC7597" w:rsidRPr="00D34E5C" w14:paraId="4D95CE25" w14:textId="77777777" w:rsidTr="00366DF2">
        <w:trPr>
          <w:trHeight w:val="303"/>
        </w:trPr>
        <w:tc>
          <w:tcPr>
            <w:tcW w:w="2996" w:type="dxa"/>
            <w:noWrap/>
            <w:vAlign w:val="bottom"/>
            <w:hideMark/>
          </w:tcPr>
          <w:p w14:paraId="3B810C1F" w14:textId="77777777" w:rsidR="00AC7597" w:rsidRPr="00D34E5C" w:rsidRDefault="00AC7597" w:rsidP="00366DF2">
            <w:pPr>
              <w:suppressAutoHyphens/>
              <w:spacing w:after="120"/>
              <w:jc w:val="both"/>
              <w:rPr>
                <w:rFonts w:ascii="Verdana" w:eastAsia="Century Gothic" w:hAnsi="Verdana"/>
                <w:color w:val="2D659A"/>
                <w:szCs w:val="20"/>
              </w:rPr>
            </w:pPr>
          </w:p>
        </w:tc>
        <w:tc>
          <w:tcPr>
            <w:tcW w:w="1520" w:type="dxa"/>
            <w:tcBorders>
              <w:top w:val="single" w:sz="4" w:space="0" w:color="auto"/>
              <w:left w:val="single" w:sz="4" w:space="0" w:color="auto"/>
              <w:bottom w:val="single" w:sz="4" w:space="0" w:color="auto"/>
              <w:right w:val="single" w:sz="4" w:space="0" w:color="auto"/>
            </w:tcBorders>
            <w:shd w:val="clear" w:color="auto" w:fill="4472C4"/>
            <w:noWrap/>
            <w:vAlign w:val="bottom"/>
            <w:hideMark/>
          </w:tcPr>
          <w:p w14:paraId="60BAC8A1" w14:textId="77777777" w:rsidR="00AC7597" w:rsidRPr="00E52CE1" w:rsidRDefault="00AC7597" w:rsidP="00366DF2">
            <w:pPr>
              <w:suppressAutoHyphens/>
              <w:spacing w:after="120"/>
              <w:jc w:val="both"/>
              <w:rPr>
                <w:rFonts w:ascii="Verdana" w:eastAsia="Century Gothic" w:hAnsi="Verdana"/>
                <w:color w:val="E7E6E6"/>
                <w:szCs w:val="20"/>
              </w:rPr>
            </w:pPr>
            <w:r w:rsidRPr="00E52CE1">
              <w:rPr>
                <w:rFonts w:ascii="Verdana" w:eastAsia="Century Gothic" w:hAnsi="Verdana"/>
                <w:color w:val="E7E6E6"/>
                <w:szCs w:val="20"/>
              </w:rPr>
              <w:t>Availability</w:t>
            </w:r>
          </w:p>
        </w:tc>
        <w:tc>
          <w:tcPr>
            <w:tcW w:w="2723" w:type="dxa"/>
            <w:tcBorders>
              <w:top w:val="single" w:sz="4" w:space="0" w:color="auto"/>
              <w:left w:val="nil"/>
              <w:bottom w:val="single" w:sz="4" w:space="0" w:color="auto"/>
              <w:right w:val="single" w:sz="4" w:space="0" w:color="auto"/>
            </w:tcBorders>
            <w:shd w:val="clear" w:color="auto" w:fill="4472C4"/>
            <w:noWrap/>
            <w:vAlign w:val="bottom"/>
            <w:hideMark/>
          </w:tcPr>
          <w:p w14:paraId="78AFB608" w14:textId="77777777" w:rsidR="00AC7597" w:rsidRPr="00E52CE1" w:rsidRDefault="00AC7597" w:rsidP="00366DF2">
            <w:pPr>
              <w:suppressAutoHyphens/>
              <w:spacing w:after="120"/>
              <w:jc w:val="both"/>
              <w:rPr>
                <w:rFonts w:ascii="Verdana" w:eastAsia="Century Gothic" w:hAnsi="Verdana"/>
                <w:color w:val="E7E6E6"/>
                <w:szCs w:val="20"/>
              </w:rPr>
            </w:pPr>
            <w:r w:rsidRPr="00E52CE1">
              <w:rPr>
                <w:rFonts w:ascii="Verdana" w:eastAsia="Century Gothic" w:hAnsi="Verdana"/>
                <w:color w:val="E7E6E6"/>
                <w:szCs w:val="20"/>
              </w:rPr>
              <w:t>Quality and comparability</w:t>
            </w:r>
          </w:p>
        </w:tc>
        <w:tc>
          <w:tcPr>
            <w:tcW w:w="1929" w:type="dxa"/>
            <w:tcBorders>
              <w:top w:val="single" w:sz="4" w:space="0" w:color="auto"/>
              <w:left w:val="nil"/>
              <w:bottom w:val="single" w:sz="4" w:space="0" w:color="auto"/>
              <w:right w:val="single" w:sz="4" w:space="0" w:color="auto"/>
            </w:tcBorders>
            <w:shd w:val="clear" w:color="auto" w:fill="4472C4"/>
            <w:noWrap/>
            <w:vAlign w:val="bottom"/>
            <w:hideMark/>
          </w:tcPr>
          <w:p w14:paraId="07E7402E" w14:textId="77777777" w:rsidR="00AC7597" w:rsidRPr="00E52CE1" w:rsidRDefault="00AC7597" w:rsidP="00366DF2">
            <w:pPr>
              <w:suppressAutoHyphens/>
              <w:spacing w:after="120"/>
              <w:jc w:val="both"/>
              <w:rPr>
                <w:rFonts w:ascii="Verdana" w:eastAsia="Century Gothic" w:hAnsi="Verdana"/>
                <w:b/>
                <w:bCs/>
                <w:color w:val="E7E6E6"/>
                <w:szCs w:val="20"/>
              </w:rPr>
            </w:pPr>
            <w:r w:rsidRPr="00E52CE1">
              <w:rPr>
                <w:rFonts w:ascii="Verdana" w:eastAsia="Century Gothic" w:hAnsi="Verdana"/>
                <w:b/>
                <w:bCs/>
                <w:color w:val="E7E6E6"/>
                <w:szCs w:val="20"/>
              </w:rPr>
              <w:t>Include in SFDR?</w:t>
            </w:r>
          </w:p>
        </w:tc>
      </w:tr>
      <w:tr w:rsidR="00AC7597" w:rsidRPr="00D34E5C" w14:paraId="76F153FA" w14:textId="77777777" w:rsidTr="00366DF2">
        <w:trPr>
          <w:trHeight w:val="303"/>
        </w:trPr>
        <w:tc>
          <w:tcPr>
            <w:tcW w:w="2996"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7124C71" w14:textId="77777777" w:rsidR="00AC7597" w:rsidRPr="00E52CE1" w:rsidRDefault="00AC7597" w:rsidP="00366DF2">
            <w:pPr>
              <w:suppressAutoHyphens/>
              <w:spacing w:after="120"/>
              <w:jc w:val="both"/>
              <w:rPr>
                <w:rFonts w:ascii="Verdana" w:eastAsia="Century Gothic" w:hAnsi="Verdana"/>
                <w:color w:val="E7E6E6"/>
                <w:szCs w:val="20"/>
              </w:rPr>
            </w:pPr>
            <w:r w:rsidRPr="00E52CE1">
              <w:rPr>
                <w:rFonts w:ascii="Verdana" w:eastAsia="Century Gothic" w:hAnsi="Verdana"/>
                <w:color w:val="E7E6E6"/>
                <w:szCs w:val="20"/>
              </w:rPr>
              <w:t>Scope 1</w:t>
            </w:r>
          </w:p>
        </w:tc>
        <w:tc>
          <w:tcPr>
            <w:tcW w:w="1520" w:type="dxa"/>
            <w:tcBorders>
              <w:top w:val="nil"/>
              <w:left w:val="nil"/>
              <w:bottom w:val="single" w:sz="4" w:space="0" w:color="auto"/>
              <w:right w:val="single" w:sz="4" w:space="0" w:color="auto"/>
            </w:tcBorders>
            <w:noWrap/>
            <w:vAlign w:val="bottom"/>
            <w:hideMark/>
          </w:tcPr>
          <w:p w14:paraId="640B4D36" w14:textId="77777777" w:rsidR="00AC7597" w:rsidRPr="00D34E5C" w:rsidRDefault="00AC7597" w:rsidP="00366DF2">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Partly</w:t>
            </w:r>
          </w:p>
        </w:tc>
        <w:tc>
          <w:tcPr>
            <w:tcW w:w="2723" w:type="dxa"/>
            <w:tcBorders>
              <w:top w:val="nil"/>
              <w:left w:val="nil"/>
              <w:bottom w:val="single" w:sz="4" w:space="0" w:color="auto"/>
              <w:right w:val="single" w:sz="4" w:space="0" w:color="auto"/>
            </w:tcBorders>
            <w:noWrap/>
            <w:vAlign w:val="bottom"/>
            <w:hideMark/>
          </w:tcPr>
          <w:p w14:paraId="209DF95F" w14:textId="77777777" w:rsidR="00AC7597" w:rsidRPr="00D34E5C" w:rsidRDefault="00AC7597" w:rsidP="00366DF2">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Medium</w:t>
            </w:r>
          </w:p>
        </w:tc>
        <w:tc>
          <w:tcPr>
            <w:tcW w:w="1929" w:type="dxa"/>
            <w:tcBorders>
              <w:top w:val="nil"/>
              <w:left w:val="nil"/>
              <w:bottom w:val="single" w:sz="4" w:space="0" w:color="auto"/>
              <w:right w:val="single" w:sz="4" w:space="0" w:color="auto"/>
            </w:tcBorders>
            <w:noWrap/>
            <w:vAlign w:val="bottom"/>
            <w:hideMark/>
          </w:tcPr>
          <w:p w14:paraId="67746270" w14:textId="77777777" w:rsidR="00AC7597" w:rsidRPr="00D34E5C" w:rsidRDefault="00AC7597" w:rsidP="00366DF2">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Yes</w:t>
            </w:r>
          </w:p>
        </w:tc>
      </w:tr>
      <w:tr w:rsidR="00AC7597" w:rsidRPr="00D34E5C" w14:paraId="163FFFA6" w14:textId="77777777" w:rsidTr="00366DF2">
        <w:trPr>
          <w:trHeight w:val="303"/>
        </w:trPr>
        <w:tc>
          <w:tcPr>
            <w:tcW w:w="2996" w:type="dxa"/>
            <w:tcBorders>
              <w:top w:val="nil"/>
              <w:left w:val="single" w:sz="4" w:space="0" w:color="auto"/>
              <w:bottom w:val="single" w:sz="4" w:space="0" w:color="auto"/>
              <w:right w:val="single" w:sz="4" w:space="0" w:color="auto"/>
            </w:tcBorders>
            <w:shd w:val="clear" w:color="auto" w:fill="002060"/>
            <w:noWrap/>
            <w:vAlign w:val="bottom"/>
            <w:hideMark/>
          </w:tcPr>
          <w:p w14:paraId="232F903D" w14:textId="77777777" w:rsidR="00AC7597" w:rsidRPr="00E52CE1" w:rsidRDefault="00AC7597" w:rsidP="00366DF2">
            <w:pPr>
              <w:suppressAutoHyphens/>
              <w:spacing w:after="120"/>
              <w:jc w:val="both"/>
              <w:rPr>
                <w:rFonts w:ascii="Verdana" w:eastAsia="Century Gothic" w:hAnsi="Verdana"/>
                <w:color w:val="E7E6E6"/>
                <w:szCs w:val="20"/>
              </w:rPr>
            </w:pPr>
            <w:r w:rsidRPr="00E52CE1">
              <w:rPr>
                <w:rFonts w:ascii="Verdana" w:eastAsia="Century Gothic" w:hAnsi="Verdana"/>
                <w:color w:val="E7E6E6"/>
                <w:szCs w:val="20"/>
              </w:rPr>
              <w:t>Scope 2</w:t>
            </w:r>
          </w:p>
        </w:tc>
        <w:tc>
          <w:tcPr>
            <w:tcW w:w="1520" w:type="dxa"/>
            <w:tcBorders>
              <w:top w:val="nil"/>
              <w:left w:val="nil"/>
              <w:bottom w:val="single" w:sz="4" w:space="0" w:color="auto"/>
              <w:right w:val="single" w:sz="4" w:space="0" w:color="auto"/>
            </w:tcBorders>
            <w:noWrap/>
            <w:vAlign w:val="bottom"/>
            <w:hideMark/>
          </w:tcPr>
          <w:p w14:paraId="72BD35B8" w14:textId="77777777" w:rsidR="00AC7597" w:rsidRPr="00D34E5C" w:rsidRDefault="00AC7597" w:rsidP="00366DF2">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Partly</w:t>
            </w:r>
          </w:p>
        </w:tc>
        <w:tc>
          <w:tcPr>
            <w:tcW w:w="2723" w:type="dxa"/>
            <w:tcBorders>
              <w:top w:val="nil"/>
              <w:left w:val="nil"/>
              <w:bottom w:val="single" w:sz="4" w:space="0" w:color="auto"/>
              <w:right w:val="single" w:sz="4" w:space="0" w:color="auto"/>
            </w:tcBorders>
            <w:noWrap/>
            <w:vAlign w:val="bottom"/>
            <w:hideMark/>
          </w:tcPr>
          <w:p w14:paraId="5FC2D192" w14:textId="77777777" w:rsidR="00AC7597" w:rsidRPr="00D34E5C" w:rsidRDefault="00AC7597" w:rsidP="00366DF2">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Low</w:t>
            </w:r>
          </w:p>
        </w:tc>
        <w:tc>
          <w:tcPr>
            <w:tcW w:w="1929" w:type="dxa"/>
            <w:tcBorders>
              <w:top w:val="nil"/>
              <w:left w:val="nil"/>
              <w:bottom w:val="single" w:sz="4" w:space="0" w:color="auto"/>
              <w:right w:val="single" w:sz="4" w:space="0" w:color="auto"/>
            </w:tcBorders>
            <w:noWrap/>
            <w:vAlign w:val="bottom"/>
            <w:hideMark/>
          </w:tcPr>
          <w:p w14:paraId="4FEEC673" w14:textId="77777777" w:rsidR="00AC7597" w:rsidRPr="00D34E5C" w:rsidRDefault="00AC7597" w:rsidP="00366DF2">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Yes</w:t>
            </w:r>
          </w:p>
        </w:tc>
      </w:tr>
      <w:tr w:rsidR="00AC7597" w:rsidRPr="00D34E5C" w14:paraId="0F7F7C64" w14:textId="77777777" w:rsidTr="00366DF2">
        <w:trPr>
          <w:trHeight w:val="303"/>
        </w:trPr>
        <w:tc>
          <w:tcPr>
            <w:tcW w:w="2996" w:type="dxa"/>
            <w:tcBorders>
              <w:top w:val="nil"/>
              <w:left w:val="single" w:sz="4" w:space="0" w:color="auto"/>
              <w:bottom w:val="single" w:sz="4" w:space="0" w:color="auto"/>
              <w:right w:val="single" w:sz="4" w:space="0" w:color="auto"/>
            </w:tcBorders>
            <w:shd w:val="clear" w:color="auto" w:fill="002060"/>
            <w:noWrap/>
            <w:vAlign w:val="bottom"/>
            <w:hideMark/>
          </w:tcPr>
          <w:p w14:paraId="303F3CED" w14:textId="77777777" w:rsidR="00AC7597" w:rsidRPr="00E52CE1" w:rsidRDefault="00AC7597" w:rsidP="00366DF2">
            <w:pPr>
              <w:suppressAutoHyphens/>
              <w:spacing w:after="120"/>
              <w:jc w:val="both"/>
              <w:rPr>
                <w:rFonts w:ascii="Verdana" w:eastAsia="Century Gothic" w:hAnsi="Verdana"/>
                <w:color w:val="E7E6E6"/>
                <w:szCs w:val="20"/>
              </w:rPr>
            </w:pPr>
            <w:r w:rsidRPr="00E52CE1">
              <w:rPr>
                <w:rFonts w:ascii="Verdana" w:eastAsia="Century Gothic" w:hAnsi="Verdana"/>
                <w:color w:val="E7E6E6"/>
                <w:szCs w:val="20"/>
              </w:rPr>
              <w:t>Scope 3</w:t>
            </w:r>
          </w:p>
        </w:tc>
        <w:tc>
          <w:tcPr>
            <w:tcW w:w="1520" w:type="dxa"/>
            <w:tcBorders>
              <w:top w:val="nil"/>
              <w:left w:val="nil"/>
              <w:bottom w:val="single" w:sz="4" w:space="0" w:color="auto"/>
              <w:right w:val="single" w:sz="4" w:space="0" w:color="auto"/>
            </w:tcBorders>
            <w:noWrap/>
            <w:vAlign w:val="bottom"/>
            <w:hideMark/>
          </w:tcPr>
          <w:p w14:paraId="05111DBA" w14:textId="77777777" w:rsidR="00AC7597" w:rsidRPr="00D34E5C" w:rsidRDefault="00AC7597" w:rsidP="00366DF2">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No</w:t>
            </w:r>
          </w:p>
        </w:tc>
        <w:tc>
          <w:tcPr>
            <w:tcW w:w="2723" w:type="dxa"/>
            <w:tcBorders>
              <w:top w:val="nil"/>
              <w:left w:val="nil"/>
              <w:bottom w:val="single" w:sz="4" w:space="0" w:color="auto"/>
              <w:right w:val="single" w:sz="4" w:space="0" w:color="auto"/>
            </w:tcBorders>
            <w:noWrap/>
            <w:vAlign w:val="bottom"/>
            <w:hideMark/>
          </w:tcPr>
          <w:p w14:paraId="7CAE22F0" w14:textId="77777777" w:rsidR="00AC7597" w:rsidRPr="00D34E5C" w:rsidRDefault="00AC7597" w:rsidP="00366DF2">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Low</w:t>
            </w:r>
          </w:p>
        </w:tc>
        <w:tc>
          <w:tcPr>
            <w:tcW w:w="1929" w:type="dxa"/>
            <w:tcBorders>
              <w:top w:val="nil"/>
              <w:left w:val="nil"/>
              <w:bottom w:val="single" w:sz="4" w:space="0" w:color="auto"/>
              <w:right w:val="single" w:sz="4" w:space="0" w:color="auto"/>
            </w:tcBorders>
            <w:noWrap/>
            <w:vAlign w:val="bottom"/>
            <w:hideMark/>
          </w:tcPr>
          <w:p w14:paraId="3F7F3E22" w14:textId="77777777" w:rsidR="00AC7597" w:rsidRPr="00D34E5C" w:rsidRDefault="00AC7597" w:rsidP="00366DF2">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No</w:t>
            </w:r>
          </w:p>
        </w:tc>
      </w:tr>
    </w:tbl>
    <w:p w14:paraId="28D3BA3B" w14:textId="77777777" w:rsidR="00AC7597" w:rsidRPr="00D34E5C" w:rsidRDefault="00AC7597" w:rsidP="00AC7597">
      <w:pPr>
        <w:suppressAutoHyphens/>
        <w:spacing w:after="120"/>
        <w:jc w:val="both"/>
        <w:rPr>
          <w:rFonts w:ascii="Verdana" w:eastAsia="Century Gothic" w:hAnsi="Verdana"/>
          <w:color w:val="2D659A"/>
          <w:szCs w:val="20"/>
        </w:rPr>
      </w:pPr>
    </w:p>
    <w:p w14:paraId="5D9C4239" w14:textId="77777777" w:rsidR="00AC7597" w:rsidRPr="00D34E5C" w:rsidRDefault="00AC7597" w:rsidP="00AC7597">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rPr>
        <w:t xml:space="preserve">At the moment there is no uniform methodology to calculate Scope 3 emissions. This leads to different interpretations and double-counting. We think that Scope 3 should therefore not be included from the start, but in the future Scope 3 could be included. </w:t>
      </w:r>
      <w:r w:rsidRPr="00D34E5C">
        <w:rPr>
          <w:rFonts w:ascii="Verdana" w:eastAsia="Century Gothic" w:hAnsi="Verdana"/>
          <w:color w:val="2D659A"/>
          <w:szCs w:val="20"/>
          <w:lang w:val="en-US"/>
        </w:rPr>
        <w:t>In any case, the ESAs should consider a grace period before applying scope 3 in the compulsory disclosure requirements on carbon emissions.</w:t>
      </w:r>
    </w:p>
    <w:p w14:paraId="4EA567E9" w14:textId="77777777" w:rsidR="00AC7597" w:rsidRPr="00D34E5C" w:rsidRDefault="00AC7597" w:rsidP="00AC7597">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If scope 3 will be included from the start in the SFDR, the ESAs should consider a grace period before applying scope 3 in the compulsory disclosure requirements on carbon emissions.</w:t>
      </w:r>
    </w:p>
    <w:p w14:paraId="3A90425E" w14:textId="77777777" w:rsidR="00AC7597" w:rsidRPr="00D34E5C" w:rsidRDefault="00AC7597" w:rsidP="00AC7597">
      <w:pPr>
        <w:suppressAutoHyphens/>
        <w:spacing w:after="120"/>
        <w:jc w:val="both"/>
        <w:rPr>
          <w:rFonts w:ascii="Verdana" w:eastAsia="Century Gothic" w:hAnsi="Verdana"/>
          <w:i/>
          <w:iCs/>
          <w:color w:val="2D659A"/>
          <w:szCs w:val="20"/>
        </w:rPr>
      </w:pPr>
      <w:r w:rsidRPr="00D34E5C">
        <w:rPr>
          <w:rFonts w:ascii="Verdana" w:eastAsia="Century Gothic" w:hAnsi="Verdana"/>
          <w:i/>
          <w:iCs/>
          <w:color w:val="2D659A"/>
          <w:szCs w:val="20"/>
        </w:rPr>
        <w:t>Policies</w:t>
      </w:r>
    </w:p>
    <w:p w14:paraId="4B4ED921" w14:textId="77777777" w:rsidR="00AC7597" w:rsidRPr="002A54AB" w:rsidRDefault="00AC7597" w:rsidP="00AC7597">
      <w:pPr>
        <w:jc w:val="both"/>
        <w:rPr>
          <w:rFonts w:ascii="Verdana" w:eastAsia="Century Gothic" w:hAnsi="Verdana"/>
          <w:color w:val="2D659A"/>
          <w:szCs w:val="20"/>
        </w:rPr>
      </w:pPr>
      <w:r w:rsidRPr="002A54AB">
        <w:rPr>
          <w:rFonts w:ascii="Verdana" w:eastAsia="Century Gothic" w:hAnsi="Verdana"/>
          <w:color w:val="2D659A"/>
          <w:szCs w:val="20"/>
        </w:rPr>
        <w:t xml:space="preserve">Data on policy-indicators is available, but data on metrics is not widely available (low coverage). We and data providers only have access to this data if companies report on it publicly. Data coverage of companies in the EU may improve with the update of the NFRD, but this does not apply to companies outside the EU. With thousands of (potential) investee companies it is unrealistic to expect that we can approach those companies actively. </w:t>
      </w:r>
    </w:p>
    <w:p w14:paraId="2AEC9DAF" w14:textId="77777777" w:rsidR="00AC7597" w:rsidRPr="002A54AB" w:rsidRDefault="00AC7597" w:rsidP="00AC7597">
      <w:pPr>
        <w:jc w:val="both"/>
        <w:rPr>
          <w:rFonts w:ascii="Verdana" w:eastAsia="Century Gothic" w:hAnsi="Verdana"/>
          <w:color w:val="2D659A"/>
          <w:szCs w:val="20"/>
        </w:rPr>
      </w:pPr>
    </w:p>
    <w:p w14:paraId="5269FC1E"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It therefore seems that the process is subject to subjectivity, which means that the process of determining - and reporting on - impact is also experienced as complicated. The field of impact measurement is still under development and banks are mainly gaining independent research and experience.</w:t>
      </w:r>
    </w:p>
    <w:p w14:paraId="46F9F7EB" w14:textId="77777777" w:rsidR="00AC7597" w:rsidRPr="00D34E5C" w:rsidRDefault="00AC7597" w:rsidP="00AC7597">
      <w:pPr>
        <w:suppressAutoHyphens/>
        <w:spacing w:after="120"/>
        <w:jc w:val="both"/>
        <w:rPr>
          <w:rFonts w:ascii="Verdana" w:eastAsia="Century Gothic" w:hAnsi="Verdana"/>
          <w:i/>
          <w:iCs/>
          <w:color w:val="2D659A"/>
          <w:szCs w:val="20"/>
        </w:rPr>
      </w:pPr>
      <w:r w:rsidRPr="00D34E5C">
        <w:rPr>
          <w:rFonts w:ascii="Verdana" w:eastAsia="Century Gothic" w:hAnsi="Verdana"/>
          <w:i/>
          <w:iCs/>
          <w:color w:val="2D659A"/>
          <w:szCs w:val="20"/>
        </w:rPr>
        <w:t>Data incomparability might lead to window dressing</w:t>
      </w:r>
    </w:p>
    <w:p w14:paraId="7EA8D739"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Research from several think-tanks shows that the ESG data rating agencies hardly every agree on the ESG performance of a company. It seems that the process of rating agencies is subject to subjectivity, which means that the process of determining - and reporting on - impact is also experienced as overly complicated. As SFDR regulation is aimed at FMP’s and not at rating agencies, the issue of incomparability is not solved as FMP’s are still free to cho</w:t>
      </w:r>
      <w:r>
        <w:rPr>
          <w:rFonts w:ascii="Verdana" w:eastAsia="Century Gothic" w:hAnsi="Verdana"/>
          <w:color w:val="2D659A"/>
          <w:szCs w:val="20"/>
        </w:rPr>
        <w:t>o</w:t>
      </w:r>
      <w:r w:rsidRPr="00D34E5C">
        <w:rPr>
          <w:rFonts w:ascii="Verdana" w:eastAsia="Century Gothic" w:hAnsi="Verdana"/>
          <w:color w:val="2D659A"/>
          <w:szCs w:val="20"/>
        </w:rPr>
        <w:t xml:space="preserve">se what data provider or rating agency they prefer. </w:t>
      </w:r>
    </w:p>
    <w:p w14:paraId="2E559248"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Recent research of one of the biggest asset managers in the world found ‘discernible differences in how ESG data providers source and acquire raw data. In addition to using </w:t>
      </w:r>
      <w:r w:rsidRPr="00D34E5C">
        <w:rPr>
          <w:rFonts w:ascii="Verdana" w:eastAsia="Century Gothic" w:hAnsi="Verdana"/>
          <w:color w:val="2D659A"/>
          <w:szCs w:val="20"/>
        </w:rPr>
        <w:lastRenderedPageBreak/>
        <w:t>traditional sourcing techniques to gather data that is disclosed by the company or is otherwise publicly available, ESG data providers use statistical models to create estimates for unreported data. These models are based on averages and trends from what the data provider views as similar companies and industry benchmarks. This is an example of how investors are incorporating judgement calls by the data provider into their investment processes. Each ESG data provider has developed a method to aggregate and weight particular ESG factors for its summary scores. Again, these are proprietary judgments made by each provider.’</w:t>
      </w:r>
      <w:r w:rsidRPr="00D34E5C">
        <w:rPr>
          <w:rFonts w:ascii="Verdana" w:eastAsia="Century Gothic" w:hAnsi="Verdana"/>
          <w:color w:val="2D659A"/>
          <w:szCs w:val="20"/>
          <w:vertAlign w:val="superscript"/>
        </w:rPr>
        <w:footnoteReference w:id="8"/>
      </w:r>
    </w:p>
    <w:p w14:paraId="23D98F47" w14:textId="77777777" w:rsidR="00AC7597" w:rsidRPr="00D34E5C" w:rsidRDefault="00AC7597" w:rsidP="00AC7597">
      <w:pPr>
        <w:suppressAutoHyphens/>
        <w:spacing w:after="120"/>
        <w:jc w:val="both"/>
        <w:rPr>
          <w:rFonts w:ascii="Verdana" w:eastAsia="Century Gothic" w:hAnsi="Verdana"/>
          <w:i/>
          <w:iCs/>
          <w:color w:val="2D659A"/>
          <w:szCs w:val="20"/>
        </w:rPr>
      </w:pPr>
      <w:r w:rsidRPr="00D34E5C">
        <w:rPr>
          <w:rFonts w:ascii="Verdana" w:eastAsia="Century Gothic" w:hAnsi="Verdana"/>
          <w:i/>
          <w:iCs/>
          <w:color w:val="2D659A"/>
          <w:szCs w:val="20"/>
        </w:rPr>
        <w:t>Venue shopping</w:t>
      </w:r>
    </w:p>
    <w:p w14:paraId="6C5A5654"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FMP’s will use data providers and data rating agencies. What data is used, is up to either the rating agency and/or user of the ratings. This could lead to ESG-rating ‘venue-shopping’: 'venue-shopping' refers to the idea that financial market participants might seek to avoid obstacles to the realisation of their requirements by looking for new rating agencies that, given the alternative data and methods, align better with FMP’s preferences (for example, regarding costs or availability and not per se quality). </w:t>
      </w:r>
    </w:p>
    <w:p w14:paraId="60AED5EA"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As most SFDR data points require very detailed information, they can only be retrieved at very high costs, at the same time this data will still turn out to be unreliable and non-comparable. </w:t>
      </w:r>
    </w:p>
    <w:p w14:paraId="2E516686"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Some market leaders in the data-rating agency have declared recently, that there are no ‘end-to-end solutions with respect to the taxonomy’. As the SFDR requirements see on even more data fields (i.e. broader scope, not only environmental but also social and governance indicators) and has a far more stringent timeline that has no phases (in contrast to the taxonomy), this makes March 2021 an impossible deadline for FMP’s throughout Europe. </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77853769" w14:textId="77777777" w:rsidR="00AC7597" w:rsidRPr="00D34E5C" w:rsidRDefault="00AC7597" w:rsidP="00AC7597">
      <w:pPr>
        <w:suppressAutoHyphens/>
        <w:spacing w:after="120"/>
        <w:jc w:val="both"/>
        <w:rPr>
          <w:rFonts w:ascii="Verdana" w:eastAsia="Century Gothic" w:hAnsi="Verdana"/>
          <w:color w:val="2D659A"/>
          <w:szCs w:val="20"/>
        </w:rPr>
      </w:pPr>
      <w:permStart w:id="800330460" w:edGrp="everyone"/>
      <w:r w:rsidRPr="00D34E5C">
        <w:rPr>
          <w:rFonts w:ascii="Verdana" w:eastAsia="Century Gothic" w:hAnsi="Verdana"/>
          <w:color w:val="2D659A"/>
          <w:szCs w:val="20"/>
        </w:rPr>
        <w:t>On the one hand we believe that, if there are currently no mandatory templates for pre-contractual information and periodic reporting, they should not be introduced under this regulation. If those templates already exist, such as PRIIPs and UCITS KID, we prefer supplementing these with ESG information.</w:t>
      </w:r>
    </w:p>
    <w:p w14:paraId="4CABA9B6"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On the other hand the use of standard templates might proof to be the only way to avoid greenwashing. The templates also help to provide qualitative and comparable data. However, it is difficult to agree with reporting templates that are not yet available and which will be the subject of future consultation. </w:t>
      </w:r>
    </w:p>
    <w:p w14:paraId="709A7A9D"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Consistently with our above remarks, we must underline the need to:</w:t>
      </w:r>
    </w:p>
    <w:p w14:paraId="715ECE85" w14:textId="77777777" w:rsidR="00AC7597" w:rsidRPr="00D34E5C" w:rsidRDefault="00AC7597" w:rsidP="001313EE">
      <w:pPr>
        <w:numPr>
          <w:ilvl w:val="0"/>
          <w:numId w:val="62"/>
        </w:numPr>
        <w:suppressAutoHyphens/>
        <w:spacing w:after="120"/>
        <w:contextualSpacing/>
        <w:jc w:val="both"/>
        <w:rPr>
          <w:rFonts w:ascii="Verdana" w:hAnsi="Verdana"/>
          <w:color w:val="2D659A"/>
          <w:szCs w:val="20"/>
        </w:rPr>
      </w:pPr>
      <w:r w:rsidRPr="00D34E5C">
        <w:rPr>
          <w:rFonts w:ascii="Verdana" w:hAnsi="Verdana"/>
          <w:color w:val="2D659A"/>
          <w:szCs w:val="20"/>
        </w:rPr>
        <w:t>avoid too complex templates;</w:t>
      </w:r>
    </w:p>
    <w:p w14:paraId="5D25BD53" w14:textId="77777777" w:rsidR="00AC7597" w:rsidRPr="00D34E5C" w:rsidRDefault="00AC7597" w:rsidP="001313EE">
      <w:pPr>
        <w:numPr>
          <w:ilvl w:val="0"/>
          <w:numId w:val="62"/>
        </w:numPr>
        <w:suppressAutoHyphens/>
        <w:spacing w:after="120"/>
        <w:contextualSpacing/>
        <w:jc w:val="both"/>
        <w:rPr>
          <w:rFonts w:ascii="Verdana" w:hAnsi="Verdana"/>
          <w:color w:val="2D659A"/>
          <w:szCs w:val="20"/>
        </w:rPr>
      </w:pPr>
      <w:r w:rsidRPr="00D34E5C">
        <w:rPr>
          <w:rFonts w:ascii="Verdana" w:hAnsi="Verdana"/>
          <w:color w:val="2D659A"/>
          <w:szCs w:val="20"/>
        </w:rPr>
        <w:t>ensure that the required quantitative data must be linked to the taxonomy and the NFRD;</w:t>
      </w:r>
    </w:p>
    <w:p w14:paraId="0BDD007B" w14:textId="77777777" w:rsidR="00AC7597" w:rsidRPr="00D34E5C" w:rsidRDefault="00AC7597" w:rsidP="001313EE">
      <w:pPr>
        <w:numPr>
          <w:ilvl w:val="0"/>
          <w:numId w:val="62"/>
        </w:numPr>
        <w:suppressAutoHyphens/>
        <w:spacing w:after="120"/>
        <w:contextualSpacing/>
        <w:jc w:val="both"/>
        <w:rPr>
          <w:rFonts w:ascii="Verdana" w:hAnsi="Verdana"/>
          <w:color w:val="2D659A"/>
          <w:szCs w:val="20"/>
        </w:rPr>
      </w:pPr>
      <w:r w:rsidRPr="00D34E5C">
        <w:rPr>
          <w:rFonts w:ascii="Verdana" w:hAnsi="Verdana"/>
          <w:color w:val="2D659A"/>
          <w:szCs w:val="20"/>
        </w:rPr>
        <w:t>ensure adequate timeline for financial market participants and financial advisers.</w:t>
      </w:r>
    </w:p>
    <w:p w14:paraId="386834AB" w14:textId="77777777" w:rsidR="00AC7597" w:rsidRPr="00D34E5C" w:rsidRDefault="00AC7597" w:rsidP="00AC7597">
      <w:pPr>
        <w:suppressAutoHyphens/>
        <w:spacing w:after="120"/>
        <w:jc w:val="both"/>
        <w:rPr>
          <w:rFonts w:ascii="Verdana" w:eastAsia="Century Gothic" w:hAnsi="Verdana"/>
          <w:b/>
          <w:bCs/>
          <w:color w:val="2D659A"/>
          <w:szCs w:val="20"/>
        </w:rPr>
      </w:pPr>
    </w:p>
    <w:p w14:paraId="10B950A0" w14:textId="77777777" w:rsidR="00AC7597" w:rsidRPr="00D34E5C" w:rsidRDefault="00AC7597" w:rsidP="00AC7597">
      <w:pPr>
        <w:autoSpaceDE w:val="0"/>
        <w:autoSpaceDN w:val="0"/>
        <w:adjustRightInd w:val="0"/>
        <w:spacing w:after="120"/>
        <w:jc w:val="both"/>
        <w:rPr>
          <w:rFonts w:ascii="Verdana" w:hAnsi="Verdana"/>
          <w:color w:val="2D659A"/>
          <w:szCs w:val="20"/>
        </w:rPr>
      </w:pPr>
      <w:r w:rsidRPr="00D34E5C">
        <w:rPr>
          <w:rFonts w:ascii="Verdana" w:hAnsi="Verdana"/>
          <w:color w:val="2D659A"/>
          <w:szCs w:val="20"/>
        </w:rPr>
        <w:t xml:space="preserve">We believe these outstanding drafts of disclosure templates are risking the markets ability to implement on time. We ask the ESA’s to provide outstanding drafts as soon as possible to ensure realistic timeframe for the market to implement </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lastRenderedPageBreak/>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1283C3D9" w14:textId="77777777" w:rsidR="00AC7597" w:rsidRPr="00D34E5C" w:rsidRDefault="00AC7597" w:rsidP="00AC7597">
      <w:pPr>
        <w:suppressAutoHyphens/>
        <w:spacing w:after="120"/>
        <w:jc w:val="both"/>
        <w:rPr>
          <w:rFonts w:ascii="Verdana" w:eastAsia="Century Gothic" w:hAnsi="Verdana"/>
          <w:color w:val="2D659A"/>
          <w:szCs w:val="20"/>
        </w:rPr>
      </w:pPr>
      <w:permStart w:id="1179406826" w:edGrp="everyone"/>
      <w:r w:rsidRPr="00D34E5C">
        <w:rPr>
          <w:rFonts w:ascii="Verdana" w:eastAsia="Century Gothic" w:hAnsi="Verdana"/>
          <w:color w:val="2D659A"/>
          <w:szCs w:val="20"/>
          <w:lang w:val="en-US"/>
        </w:rPr>
        <w:t>It should be an open but limited template, leaving room for the different interpretations of sustainability. The elements as proposed in the RTS should be included in the pre-contractual and periodic templates, when having a focus on transparency of the methodology used in order to allow to maintain different strategies and interpretations</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234D97F7" w14:textId="77777777" w:rsidR="00AC7597" w:rsidRPr="00D34E5C" w:rsidRDefault="00AC7597" w:rsidP="00AC7597">
      <w:pPr>
        <w:suppressAutoHyphens/>
        <w:spacing w:after="120"/>
        <w:jc w:val="both"/>
        <w:rPr>
          <w:rFonts w:ascii="Verdana" w:eastAsia="Century Gothic" w:hAnsi="Verdana"/>
          <w:color w:val="2D659A"/>
          <w:szCs w:val="20"/>
        </w:rPr>
      </w:pPr>
      <w:permStart w:id="1646396141" w:edGrp="everyone"/>
      <w:r w:rsidRPr="00D34E5C">
        <w:rPr>
          <w:rFonts w:ascii="Verdana" w:eastAsia="Century Gothic" w:hAnsi="Verdana"/>
          <w:color w:val="2D659A"/>
          <w:szCs w:val="20"/>
        </w:rPr>
        <w:t xml:space="preserve">It makes more sense to do this on a product by product base, rather than aggregate. </w:t>
      </w:r>
    </w:p>
    <w:p w14:paraId="72CBB1AC"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The templates will not result in comparability between products of different suppliers. This depends on the methodology behind the metrics and the data provider used. </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695A12E" w14:textId="77777777" w:rsidR="00AC7597" w:rsidRPr="00D34E5C" w:rsidRDefault="00AC7597" w:rsidP="00AC7597">
      <w:pPr>
        <w:suppressAutoHyphens/>
        <w:spacing w:after="120"/>
        <w:jc w:val="both"/>
        <w:rPr>
          <w:rFonts w:ascii="Verdana" w:eastAsia="Century Gothic" w:hAnsi="Verdana"/>
          <w:color w:val="2D659A"/>
          <w:szCs w:val="20"/>
          <w:lang w:val="en-US"/>
        </w:rPr>
      </w:pPr>
      <w:permStart w:id="1271138379" w:edGrp="everyone"/>
      <w:r w:rsidRPr="00D34E5C">
        <w:rPr>
          <w:rFonts w:ascii="Verdana" w:eastAsia="Century Gothic" w:hAnsi="Verdana"/>
          <w:color w:val="2D659A"/>
          <w:szCs w:val="20"/>
          <w:lang w:val="en-US"/>
        </w:rPr>
        <w:t xml:space="preserve">As investors are already overwhelmed by the amount of information provided to them, before they are able to invest via advisory or discretionary services, we do think they should not be obliged to go through more information. We also think there has to be a balance between pre-contractual and website information with the more detailed information only to be mentioned on the website in order to avoid an information overload in the pre-contractual phase. Before executing the transaction, the investor should be informed on a sufficiently high level </w:t>
      </w:r>
      <w:r>
        <w:rPr>
          <w:rFonts w:ascii="Verdana" w:eastAsia="Century Gothic" w:hAnsi="Verdana"/>
          <w:color w:val="2D659A"/>
          <w:szCs w:val="20"/>
          <w:lang w:val="en-US"/>
        </w:rPr>
        <w:t xml:space="preserve">basis </w:t>
      </w:r>
      <w:r w:rsidRPr="00D34E5C">
        <w:rPr>
          <w:rFonts w:ascii="Verdana" w:eastAsia="Century Gothic" w:hAnsi="Verdana"/>
          <w:color w:val="2D659A"/>
          <w:szCs w:val="20"/>
          <w:lang w:val="en-US"/>
        </w:rPr>
        <w:t xml:space="preserve">in order to take an informed investment decision without being overloaded with information. We should also link these requirements to the additional requirements in light of the adaptations to MiFID II and IDD. </w:t>
      </w:r>
    </w:p>
    <w:p w14:paraId="75554F07" w14:textId="77777777" w:rsidR="00AC7597" w:rsidRPr="00D34E5C" w:rsidRDefault="00AC7597" w:rsidP="00AC7597">
      <w:pPr>
        <w:suppressAutoHyphens/>
        <w:autoSpaceDE w:val="0"/>
        <w:autoSpaceDN w:val="0"/>
        <w:adjustRightInd w:val="0"/>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For banks that are both an FMP as well as a FA, the requirements how to position the information on websites entail the risk of information overload while at the same time both need to ensure the comprehensibility of the disclosure for the consumer </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29DEC265" w14:textId="77777777" w:rsidR="00AC7597" w:rsidRPr="00D34E5C" w:rsidRDefault="00AC7597" w:rsidP="00AC7597">
      <w:pPr>
        <w:suppressAutoHyphens/>
        <w:spacing w:after="120"/>
        <w:jc w:val="both"/>
        <w:rPr>
          <w:rFonts w:ascii="Verdana" w:eastAsia="Century Gothic" w:hAnsi="Verdana"/>
          <w:color w:val="2D659A"/>
          <w:szCs w:val="20"/>
          <w:lang w:val="en-US"/>
        </w:rPr>
      </w:pPr>
      <w:permStart w:id="739535953" w:edGrp="everyone"/>
      <w:r w:rsidRPr="00D34E5C">
        <w:rPr>
          <w:rFonts w:ascii="Verdana" w:eastAsia="Century Gothic" w:hAnsi="Verdana"/>
          <w:color w:val="2D659A"/>
          <w:szCs w:val="20"/>
        </w:rPr>
        <w:t xml:space="preserve">No, we don’t believe the differences between Article 8 and Article 9 are sufficiently captured. </w:t>
      </w:r>
      <w:r w:rsidRPr="00D34E5C">
        <w:rPr>
          <w:rFonts w:ascii="Verdana" w:eastAsia="Century Gothic" w:hAnsi="Verdana"/>
          <w:color w:val="2D659A"/>
          <w:szCs w:val="20"/>
          <w:lang w:val="en-US"/>
        </w:rPr>
        <w:t>We have questions around the definitions of both ‘promoting ESG characteristics’ and ‘Sustainable Investment as its objective’. For example:</w:t>
      </w:r>
    </w:p>
    <w:p w14:paraId="61D45E67" w14:textId="77777777" w:rsidR="00AC7597" w:rsidRPr="00D34E5C" w:rsidRDefault="00AC7597" w:rsidP="001313EE">
      <w:pPr>
        <w:numPr>
          <w:ilvl w:val="0"/>
          <w:numId w:val="63"/>
        </w:numPr>
        <w:suppressAutoHyphens/>
        <w:spacing w:after="120"/>
        <w:jc w:val="both"/>
        <w:rPr>
          <w:rFonts w:ascii="Verdana" w:hAnsi="Verdana"/>
          <w:color w:val="2D659A"/>
          <w:szCs w:val="20"/>
          <w:lang w:val="en-US"/>
        </w:rPr>
      </w:pPr>
      <w:r w:rsidRPr="00D34E5C">
        <w:rPr>
          <w:rFonts w:ascii="Verdana" w:hAnsi="Verdana"/>
          <w:color w:val="2D659A"/>
          <w:szCs w:val="20"/>
          <w:lang w:val="en-US"/>
        </w:rPr>
        <w:t xml:space="preserve">According to the Background Analysis the ESA’s consider that the broad concept of ‘ESG integration’ should not be enough to justify that a product promotes </w:t>
      </w:r>
      <w:r w:rsidRPr="00D34E5C">
        <w:rPr>
          <w:rFonts w:ascii="Verdana" w:hAnsi="Verdana"/>
          <w:color w:val="2D659A"/>
          <w:szCs w:val="20"/>
          <w:lang w:val="en-US"/>
        </w:rPr>
        <w:lastRenderedPageBreak/>
        <w:t xml:space="preserve">environmental or social characteristics.  We agree with this approach. FMPs should be allowed to continue to apply different ESG approaches for products that do not fall under Art. 8 or Art. 9. These approaches may vary in intensity. It is unclear where ESG Integration ends and promotion of environmental or social characteristics start. Leading should be if the FMP promotes those products as Art. 8 or Art. 9.  </w:t>
      </w:r>
    </w:p>
    <w:p w14:paraId="2B367AB9" w14:textId="77777777" w:rsidR="00AC7597" w:rsidRPr="00D34E5C" w:rsidRDefault="00AC7597" w:rsidP="001313EE">
      <w:pPr>
        <w:numPr>
          <w:ilvl w:val="0"/>
          <w:numId w:val="63"/>
        </w:numPr>
        <w:suppressAutoHyphens/>
        <w:spacing w:after="120"/>
        <w:jc w:val="both"/>
        <w:rPr>
          <w:rFonts w:ascii="Verdana" w:eastAsia="Century Gothic" w:hAnsi="Verdana"/>
          <w:color w:val="2D659A"/>
          <w:szCs w:val="20"/>
        </w:rPr>
      </w:pPr>
      <w:r w:rsidRPr="00D34E5C">
        <w:rPr>
          <w:rFonts w:ascii="Verdana" w:eastAsia="Century Gothic" w:hAnsi="Verdana"/>
          <w:color w:val="2D659A"/>
          <w:szCs w:val="20"/>
          <w:lang w:val="en-US"/>
        </w:rPr>
        <w:t xml:space="preserve">Art. 8: where a financial product promotes, among other characteristics, environmental or social characteristics, or a combination of those characteristics. </w:t>
      </w:r>
      <w:r w:rsidRPr="00D34E5C">
        <w:rPr>
          <w:rFonts w:ascii="Verdana" w:eastAsia="Century Gothic" w:hAnsi="Verdana"/>
          <w:color w:val="2D659A"/>
          <w:szCs w:val="20"/>
        </w:rPr>
        <w:t>What is the definition of ‘promoting’ an ‘ESG characteristic’?</w:t>
      </w:r>
    </w:p>
    <w:p w14:paraId="640ED4DC" w14:textId="77777777" w:rsidR="00AC7597" w:rsidRPr="00D34E5C" w:rsidRDefault="00AC7597" w:rsidP="001313EE">
      <w:pPr>
        <w:numPr>
          <w:ilvl w:val="0"/>
          <w:numId w:val="63"/>
        </w:num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Promoting is a non-defined qualification. What defines as ‘promoting’? For example, adhering to PRI or UN Global Compact on an entity level, could implicate that all products that the entity makes available, are Article 8 products. Or, if exclusion of certain underlying stocks (like cluster ammunition, that has to be excluded by law) leads to the ‘promotion’ of ESG characteristics, this automatically would lead to qualifying as an Art. 8 product.  </w:t>
      </w:r>
    </w:p>
    <w:p w14:paraId="2808EAF8" w14:textId="77777777" w:rsidR="00AC7597" w:rsidRPr="00D34E5C" w:rsidRDefault="00AC7597" w:rsidP="001313EE">
      <w:pPr>
        <w:numPr>
          <w:ilvl w:val="0"/>
          <w:numId w:val="63"/>
        </w:numPr>
        <w:suppressAutoHyphens/>
        <w:spacing w:after="120"/>
        <w:jc w:val="both"/>
        <w:rPr>
          <w:rFonts w:ascii="Verdana" w:eastAsia="Century Gothic" w:hAnsi="Verdana"/>
          <w:color w:val="2D659A"/>
          <w:szCs w:val="20"/>
        </w:rPr>
      </w:pPr>
      <w:r w:rsidRPr="00D34E5C">
        <w:rPr>
          <w:rFonts w:ascii="Verdana" w:eastAsia="Century Gothic" w:hAnsi="Verdana"/>
          <w:color w:val="2D659A"/>
          <w:szCs w:val="20"/>
          <w:lang w:val="en-US"/>
        </w:rPr>
        <w:t xml:space="preserve">And as the definition of sustainable investment is rather vague (and not linked to the taxonomy in the </w:t>
      </w:r>
      <w:r>
        <w:rPr>
          <w:rFonts w:ascii="Verdana" w:eastAsia="Century Gothic" w:hAnsi="Verdana"/>
          <w:color w:val="2D659A"/>
          <w:szCs w:val="20"/>
          <w:lang w:val="en-US"/>
        </w:rPr>
        <w:t>SF</w:t>
      </w:r>
      <w:r w:rsidRPr="00D34E5C">
        <w:rPr>
          <w:rFonts w:ascii="Verdana" w:eastAsia="Century Gothic" w:hAnsi="Verdana"/>
          <w:color w:val="2D659A"/>
          <w:szCs w:val="20"/>
          <w:lang w:val="en-US"/>
        </w:rPr>
        <w:t xml:space="preserve">DR), what is the precise definition of an article 9 product? </w:t>
      </w:r>
    </w:p>
    <w:p w14:paraId="792AE6E9" w14:textId="77777777" w:rsidR="00AC7597" w:rsidRPr="00D34E5C" w:rsidRDefault="00AC7597" w:rsidP="001313EE">
      <w:pPr>
        <w:numPr>
          <w:ilvl w:val="0"/>
          <w:numId w:val="63"/>
        </w:num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Is an art. 9 product per se an art. 8 product as well? </w:t>
      </w:r>
    </w:p>
    <w:p w14:paraId="7DE96909" w14:textId="77777777" w:rsidR="00AC7597" w:rsidRPr="00D34E5C" w:rsidRDefault="00AC7597" w:rsidP="001313EE">
      <w:pPr>
        <w:numPr>
          <w:ilvl w:val="0"/>
          <w:numId w:val="63"/>
        </w:numPr>
        <w:suppressAutoHyphens/>
        <w:spacing w:after="120"/>
        <w:jc w:val="both"/>
        <w:rPr>
          <w:rFonts w:ascii="Verdana" w:hAnsi="Verdana"/>
          <w:color w:val="2D659A"/>
          <w:szCs w:val="20"/>
          <w:lang w:val="en-US"/>
        </w:rPr>
      </w:pPr>
      <w:r w:rsidRPr="00D34E5C">
        <w:rPr>
          <w:rFonts w:ascii="Verdana" w:hAnsi="Verdana"/>
          <w:color w:val="2D659A"/>
          <w:szCs w:val="20"/>
          <w:lang w:val="en-US"/>
        </w:rPr>
        <w:t xml:space="preserve">We would also like to comment that, there are </w:t>
      </w:r>
      <w:r>
        <w:rPr>
          <w:rFonts w:ascii="Verdana" w:hAnsi="Verdana"/>
          <w:color w:val="2D659A"/>
          <w:szCs w:val="20"/>
          <w:lang w:val="en-US"/>
        </w:rPr>
        <w:t xml:space="preserve">inconsistencies </w:t>
      </w:r>
      <w:r w:rsidRPr="00D34E5C">
        <w:rPr>
          <w:rFonts w:ascii="Verdana" w:hAnsi="Verdana"/>
          <w:color w:val="2D659A"/>
          <w:szCs w:val="20"/>
          <w:lang w:val="en-US"/>
        </w:rPr>
        <w:t>between the MiFID II definition of “sustainability preferences” and</w:t>
      </w:r>
      <w:r>
        <w:rPr>
          <w:rFonts w:ascii="Verdana" w:hAnsi="Verdana"/>
          <w:color w:val="2D659A"/>
          <w:szCs w:val="20"/>
          <w:lang w:val="en-US"/>
        </w:rPr>
        <w:t xml:space="preserve"> SFDR</w:t>
      </w:r>
      <w:r w:rsidRPr="00D34E5C">
        <w:rPr>
          <w:rFonts w:ascii="Verdana" w:hAnsi="Verdana"/>
          <w:color w:val="2D659A"/>
          <w:szCs w:val="20"/>
          <w:lang w:val="en-US"/>
        </w:rPr>
        <w:t xml:space="preserve"> art</w:t>
      </w:r>
      <w:r>
        <w:rPr>
          <w:rFonts w:ascii="Verdana" w:hAnsi="Verdana"/>
          <w:color w:val="2D659A"/>
          <w:szCs w:val="20"/>
          <w:lang w:val="en-US"/>
        </w:rPr>
        <w:t>.</w:t>
      </w:r>
      <w:r w:rsidRPr="00D34E5C">
        <w:rPr>
          <w:rFonts w:ascii="Verdana" w:hAnsi="Verdana"/>
          <w:color w:val="2D659A"/>
          <w:szCs w:val="20"/>
          <w:lang w:val="en-US"/>
        </w:rPr>
        <w:t xml:space="preserve"> 8 and art</w:t>
      </w:r>
      <w:r>
        <w:rPr>
          <w:rFonts w:ascii="Verdana" w:hAnsi="Verdana"/>
          <w:color w:val="2D659A"/>
          <w:szCs w:val="20"/>
          <w:lang w:val="en-US"/>
        </w:rPr>
        <w:t>.</w:t>
      </w:r>
      <w:r w:rsidRPr="00D34E5C">
        <w:rPr>
          <w:rFonts w:ascii="Verdana" w:hAnsi="Verdana"/>
          <w:color w:val="2D659A"/>
          <w:szCs w:val="20"/>
          <w:lang w:val="en-US"/>
        </w:rPr>
        <w:t xml:space="preserve"> 9 (question 16) definitions. EBF members find that this new definition which refers to “financial instruments”, to </w:t>
      </w:r>
      <w:r>
        <w:rPr>
          <w:rFonts w:ascii="Verdana" w:hAnsi="Verdana"/>
          <w:color w:val="2D659A"/>
          <w:szCs w:val="20"/>
          <w:lang w:val="en-US"/>
        </w:rPr>
        <w:t xml:space="preserve">SFDR </w:t>
      </w:r>
      <w:r w:rsidRPr="00D34E5C">
        <w:rPr>
          <w:rFonts w:ascii="Verdana" w:hAnsi="Verdana"/>
          <w:color w:val="2D659A"/>
          <w:szCs w:val="20"/>
          <w:lang w:val="en-US"/>
        </w:rPr>
        <w:t xml:space="preserve">article 2(17) or indicators have made things even more confusing than before. </w:t>
      </w:r>
    </w:p>
    <w:p w14:paraId="7E6F69CA" w14:textId="77777777" w:rsidR="00AC7597" w:rsidRPr="00D34E5C" w:rsidRDefault="00AC7597" w:rsidP="00AC7597">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Because of the unclear definitions, FMP’s might make selectively use of the vagueness in definitions. Unintentional, products might fall under article 8. On the other hand, intentional FMP’s might try to evade article 8 and article 9 disclosures whilst still pursuing ESG integration (but not actively ‘promote’ it). </w:t>
      </w:r>
    </w:p>
    <w:p w14:paraId="133A5D67"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lang w:val="en-US"/>
        </w:rPr>
        <w:t xml:space="preserve">Article 8 and 9 products which include environmental objectives (in our opinion, all art. 8 and 9 products), are required to disclose against the taxonomy. All other art. 8 products (in our opinion: none) and non-ESG products can opt to disclose against the taxonomy or provide a disclaimer. In that sense, without guidance from the taxonomy, disclosing for these products will proof to be almost impossible (not leading to any comparability). Measuring the environmental performance of an equity of bond fund, or other products, is one of the main goals of the taxonomy. We believe alignment is key, and that is certainly not the case with current timelines. </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lastRenderedPageBreak/>
        <w:t>&lt;ESA_QUESTION_</w:t>
      </w:r>
      <w:r w:rsidR="00C86E1C">
        <w:rPr>
          <w:rFonts w:cs="Arial"/>
        </w:rPr>
        <w:t>ESG</w:t>
      </w:r>
      <w:r>
        <w:rPr>
          <w:rFonts w:cs="Arial"/>
        </w:rPr>
        <w:t>_18&gt;</w:t>
      </w:r>
    </w:p>
    <w:p w14:paraId="206C1240" w14:textId="77777777" w:rsidR="00AC7597" w:rsidRPr="00D34E5C" w:rsidRDefault="00AC7597" w:rsidP="00366DF2">
      <w:pPr>
        <w:suppressAutoHyphens/>
        <w:spacing w:after="120"/>
        <w:jc w:val="both"/>
        <w:rPr>
          <w:rFonts w:ascii="Verdana" w:eastAsia="Century Gothic" w:hAnsi="Verdana"/>
          <w:color w:val="2D659A"/>
          <w:szCs w:val="20"/>
        </w:rPr>
      </w:pPr>
      <w:permStart w:id="1687822303" w:edGrp="everyone"/>
      <w:r w:rsidRPr="00D34E5C">
        <w:rPr>
          <w:rFonts w:ascii="Verdana" w:eastAsia="Century Gothic" w:hAnsi="Verdana"/>
          <w:color w:val="2D659A"/>
          <w:szCs w:val="20"/>
        </w:rPr>
        <w:t xml:space="preserve">Yes, this could be misleading to consumers as the underlying methodologies, reporting etc. are not standardised. </w:t>
      </w:r>
    </w:p>
    <w:p w14:paraId="30601A6B" w14:textId="6D04D71F" w:rsidR="003E573C" w:rsidRDefault="00AC7597" w:rsidP="003E573C">
      <w:pPr>
        <w:rPr>
          <w:rFonts w:cs="Arial"/>
        </w:rPr>
      </w:pPr>
      <w:r w:rsidRPr="00D34E5C">
        <w:rPr>
          <w:rFonts w:ascii="Verdana" w:eastAsia="Century Gothic" w:hAnsi="Verdana"/>
          <w:color w:val="2D659A"/>
          <w:szCs w:val="20"/>
        </w:rPr>
        <w:t>Graphical representation should be tested with (retail) clients. What are these consumers looking for? What do they understand? What is comprehensible for them? (</w:t>
      </w:r>
      <w:r w:rsidRPr="00D34E5C">
        <w:rPr>
          <w:rFonts w:ascii="Verdana" w:eastAsia="Century Gothic" w:hAnsi="Verdana"/>
          <w:b/>
          <w:bCs/>
          <w:color w:val="2D659A"/>
          <w:szCs w:val="20"/>
          <w:u w:val="single"/>
        </w:rPr>
        <w:t>please also see the paragraph ‘information overload’ in the general remarks section of this paper</w:t>
      </w:r>
      <w:r w:rsidRPr="00D34E5C">
        <w:rPr>
          <w:rFonts w:ascii="Verdana" w:eastAsia="Century Gothic" w:hAnsi="Verdana"/>
          <w:color w:val="2D659A"/>
          <w:szCs w:val="20"/>
        </w:rPr>
        <w:t xml:space="preserve">). </w:t>
      </w:r>
      <w:permEnd w:id="1687822303"/>
      <w:r w:rsidR="003E573C">
        <w:rPr>
          <w:rFonts w:cs="Arial"/>
        </w:rPr>
        <w:t>&lt;ESA_QUESTION_</w:t>
      </w:r>
      <w:r w:rsidR="00C86E1C">
        <w:rPr>
          <w:rFonts w:cs="Arial"/>
        </w:rPr>
        <w:t>ESG</w:t>
      </w:r>
      <w:r w:rsidR="003E573C">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AC9C6C4" w14:textId="77777777" w:rsidR="00AC7597" w:rsidRPr="00D34E5C" w:rsidRDefault="00AC7597" w:rsidP="00AC7597">
      <w:pPr>
        <w:suppressAutoHyphens/>
        <w:spacing w:after="120"/>
        <w:jc w:val="both"/>
        <w:rPr>
          <w:rFonts w:ascii="Verdana" w:eastAsia="Century Gothic" w:hAnsi="Verdana"/>
          <w:color w:val="2D659A"/>
          <w:szCs w:val="20"/>
        </w:rPr>
      </w:pPr>
      <w:permStart w:id="669663577" w:edGrp="everyone"/>
      <w:r w:rsidRPr="00D34E5C">
        <w:rPr>
          <w:rFonts w:ascii="Verdana" w:eastAsia="Century Gothic" w:hAnsi="Verdana"/>
          <w:color w:val="2D659A"/>
          <w:szCs w:val="20"/>
        </w:rPr>
        <w:t xml:space="preserve">We don’t agree with the definition of the solid fossil-fuel sector. As the definition (and implications of disclosure) is not clear yet for the fossil fuel sector, we believe it to be premature to capture other sectors such as nuclear energy. </w:t>
      </w:r>
    </w:p>
    <w:p w14:paraId="49DB16EF" w14:textId="77777777" w:rsidR="00AC7597" w:rsidRDefault="00AC7597" w:rsidP="00AC7597">
      <w:pPr>
        <w:suppressAutoHyphens/>
        <w:jc w:val="both"/>
        <w:rPr>
          <w:rFonts w:ascii="Verdana" w:eastAsia="Century Gothic" w:hAnsi="Verdana"/>
          <w:color w:val="2D659A"/>
          <w:szCs w:val="20"/>
        </w:rPr>
      </w:pPr>
      <w:r w:rsidRPr="00D34E5C">
        <w:rPr>
          <w:rFonts w:ascii="Verdana" w:eastAsia="Century Gothic" w:hAnsi="Verdana"/>
          <w:color w:val="2D659A"/>
          <w:szCs w:val="20"/>
        </w:rPr>
        <w:t xml:space="preserve">We disagree with the narrow interpretation of "fossil fuel” in the definition in article 1(1). In our view, “fossil fuel” for compliance with the </w:t>
      </w:r>
      <w:r>
        <w:rPr>
          <w:rFonts w:ascii="Verdana" w:eastAsia="Century Gothic" w:hAnsi="Verdana"/>
          <w:color w:val="2D659A"/>
          <w:szCs w:val="20"/>
        </w:rPr>
        <w:t>SFDR</w:t>
      </w:r>
      <w:r w:rsidRPr="00D34E5C">
        <w:rPr>
          <w:rFonts w:ascii="Verdana" w:eastAsia="Century Gothic" w:hAnsi="Verdana"/>
          <w:color w:val="2D659A"/>
          <w:szCs w:val="20"/>
        </w:rPr>
        <w:t xml:space="preserve"> must follow the definition by Eurostat: "Fossil fuel is a generic term for non-renewable energy sources such as coal, coal products, natural gas, derived gas, crude oil, petroleum products and non-renewable wastes. These fuels originate from plants and animals that existed in the geological past (for example, millions of years ago). Fossil fuels can be also made by industrial processes from other fossil fuels." Any deviation from commonly used definitions in the European Union would be highly confusing, for investors, for companies that would be required to report two different costly sets of information, and for monitoring the EU’s environmental footprint in statistics.</w:t>
      </w:r>
    </w:p>
    <w:p w14:paraId="750B9E78" w14:textId="77777777" w:rsidR="00AC7597" w:rsidRDefault="00AC7597" w:rsidP="00AC7597">
      <w:pPr>
        <w:suppressAutoHyphens/>
        <w:jc w:val="both"/>
        <w:rPr>
          <w:rFonts w:ascii="Verdana" w:eastAsia="Century Gothic" w:hAnsi="Verdana"/>
          <w:color w:val="2D659A"/>
          <w:szCs w:val="20"/>
        </w:rPr>
      </w:pPr>
    </w:p>
    <w:p w14:paraId="59CB6504" w14:textId="77777777" w:rsidR="00AC7597" w:rsidRPr="00D34E5C" w:rsidRDefault="00AC7597" w:rsidP="00AC7597">
      <w:pPr>
        <w:suppressAutoHyphens/>
        <w:jc w:val="both"/>
        <w:rPr>
          <w:rFonts w:ascii="Verdana" w:eastAsia="Century Gothic" w:hAnsi="Verdana"/>
          <w:color w:val="2D659A"/>
          <w:szCs w:val="20"/>
        </w:rPr>
      </w:pPr>
      <w:r w:rsidRPr="00D34E5C">
        <w:rPr>
          <w:rFonts w:ascii="Verdana" w:eastAsia="Century Gothic" w:hAnsi="Verdana"/>
          <w:color w:val="2D659A"/>
          <w:szCs w:val="20"/>
        </w:rPr>
        <w:t>There is also much debate on nuclear energy, even within the EU there is no clear answer if this is or is not sustainable. Therefore, we don’t think at this point in time FMP’s should report on this separately.</w:t>
      </w:r>
    </w:p>
    <w:p w14:paraId="6AEF3B5E" w14:textId="77777777" w:rsidR="00AC7597" w:rsidRPr="00D34E5C" w:rsidRDefault="00AC7597" w:rsidP="00AC7597">
      <w:pPr>
        <w:suppressAutoHyphens/>
        <w:jc w:val="both"/>
        <w:rPr>
          <w:rFonts w:ascii="Verdana" w:eastAsia="Century Gothic" w:hAnsi="Verdana"/>
          <w:b/>
          <w:bCs/>
          <w:color w:val="2D659A"/>
          <w:szCs w:val="20"/>
        </w:rPr>
      </w:pPr>
    </w:p>
    <w:p w14:paraId="76C57B15" w14:textId="77777777" w:rsidR="00AC7597" w:rsidRPr="00D34E5C" w:rsidRDefault="00AC7597" w:rsidP="00AC7597">
      <w:pPr>
        <w:suppressAutoHyphens/>
        <w:jc w:val="both"/>
        <w:rPr>
          <w:rFonts w:ascii="Verdana" w:eastAsia="Century Gothic" w:hAnsi="Verdana"/>
          <w:color w:val="2D659A"/>
          <w:szCs w:val="20"/>
        </w:rPr>
      </w:pPr>
      <w:r w:rsidRPr="00D34E5C">
        <w:rPr>
          <w:rFonts w:ascii="Verdana" w:eastAsia="Century Gothic" w:hAnsi="Verdana"/>
          <w:color w:val="2D659A"/>
          <w:szCs w:val="20"/>
        </w:rPr>
        <w:t>In any case it is important to bear in mind that:</w:t>
      </w:r>
    </w:p>
    <w:p w14:paraId="110FD13D" w14:textId="77777777" w:rsidR="00AC7597" w:rsidRPr="00D34E5C" w:rsidRDefault="00AC7597" w:rsidP="001313EE">
      <w:pPr>
        <w:numPr>
          <w:ilvl w:val="0"/>
          <w:numId w:val="64"/>
        </w:numPr>
        <w:suppressAutoHyphens/>
        <w:spacing w:after="120"/>
        <w:contextualSpacing/>
        <w:jc w:val="both"/>
        <w:rPr>
          <w:rFonts w:ascii="Verdana" w:hAnsi="Verdana"/>
          <w:color w:val="2D659A"/>
          <w:szCs w:val="20"/>
        </w:rPr>
      </w:pPr>
      <w:r w:rsidRPr="00D34E5C">
        <w:rPr>
          <w:rFonts w:ascii="Verdana" w:hAnsi="Verdana"/>
          <w:color w:val="2D659A"/>
          <w:szCs w:val="20"/>
        </w:rPr>
        <w:t>SFDR is related to “sustainable investment”, and, therefore to “an investment in an economic activity that contributes to an environmental objective, (…) or an investment in an economic activity that contributes to a social objective, (…)  or an investment in human capital or economically or socially disadvantaged communities, provided that such investments do not significantly harm any of those objectives and that the investee companies follow good governance practices, in particular with respect to sound management structures, employee relations, remuneration of staff and tax compliance”;</w:t>
      </w:r>
    </w:p>
    <w:p w14:paraId="26DAC756" w14:textId="77777777" w:rsidR="00AC7597" w:rsidRPr="00D34E5C" w:rsidRDefault="00AC7597" w:rsidP="001313EE">
      <w:pPr>
        <w:numPr>
          <w:ilvl w:val="0"/>
          <w:numId w:val="64"/>
        </w:numPr>
        <w:suppressAutoHyphens/>
        <w:spacing w:after="120"/>
        <w:contextualSpacing/>
        <w:jc w:val="both"/>
        <w:rPr>
          <w:rFonts w:ascii="Verdana" w:hAnsi="Verdana"/>
          <w:color w:val="2D659A"/>
          <w:szCs w:val="20"/>
        </w:rPr>
      </w:pPr>
      <w:r w:rsidRPr="00D34E5C">
        <w:rPr>
          <w:rFonts w:ascii="Verdana" w:hAnsi="Verdana"/>
          <w:color w:val="2D659A"/>
          <w:szCs w:val="20"/>
        </w:rPr>
        <w:t>Article 8 refers to products promoting “environmental or social characteristics, or a combination of those characteristics”. A product could be defined ESG (and then subjet to SFDR) even if it pursues only social ojectives. We don’t understand the reason to make an environmental indicator (exposure to solid fossil-fuel sectors) mandatory for any ESG product, even for those potentially pursuing only “S” (social) and/or “G” (governance) objectives.</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02E26746" w14:textId="77777777" w:rsidR="00AC7597" w:rsidRDefault="00AC7597" w:rsidP="00AC7597">
      <w:pPr>
        <w:jc w:val="both"/>
        <w:rPr>
          <w:rFonts w:ascii="Verdana" w:eastAsia="Century Gothic" w:hAnsi="Verdana"/>
          <w:color w:val="2D659A"/>
          <w:szCs w:val="20"/>
        </w:rPr>
      </w:pPr>
      <w:permStart w:id="806708611" w:edGrp="everyone"/>
      <w:r w:rsidRPr="00915131">
        <w:rPr>
          <w:rFonts w:ascii="Verdana" w:eastAsia="Century Gothic" w:hAnsi="Verdana"/>
          <w:color w:val="2D659A"/>
          <w:szCs w:val="20"/>
        </w:rPr>
        <w:t>No, they do not. The product disclosure rules do not take into consideration the difference between products. Much more clarity is required on this.</w:t>
      </w:r>
    </w:p>
    <w:p w14:paraId="42A0A965" w14:textId="77777777" w:rsidR="00AC7597" w:rsidRPr="00915131" w:rsidRDefault="00AC7597" w:rsidP="00AC7597">
      <w:pPr>
        <w:jc w:val="both"/>
        <w:rPr>
          <w:rFonts w:ascii="Verdana" w:eastAsia="Century Gothic" w:hAnsi="Verdana"/>
          <w:color w:val="2D659A"/>
          <w:szCs w:val="20"/>
        </w:rPr>
      </w:pPr>
    </w:p>
    <w:p w14:paraId="288F4DAE" w14:textId="77777777" w:rsidR="00AC7597" w:rsidRPr="00915131" w:rsidRDefault="00AC7597" w:rsidP="00AC7597">
      <w:pPr>
        <w:jc w:val="both"/>
        <w:rPr>
          <w:rFonts w:ascii="Verdana" w:eastAsia="Century Gothic" w:hAnsi="Verdana"/>
          <w:color w:val="2D659A"/>
          <w:szCs w:val="20"/>
        </w:rPr>
      </w:pPr>
      <w:r w:rsidRPr="00915131">
        <w:rPr>
          <w:rFonts w:ascii="Verdana" w:eastAsia="Century Gothic" w:hAnsi="Verdana"/>
          <w:color w:val="2D659A"/>
          <w:szCs w:val="20"/>
        </w:rPr>
        <w:t xml:space="preserve">The SFDR should be adjusted to the type of product, for example different disclosures for different products like funds-of-funds, multi-assets funds, government bond funds. </w:t>
      </w:r>
    </w:p>
    <w:p w14:paraId="1CA3C95B" w14:textId="77777777" w:rsidR="00AC7597" w:rsidRPr="00915131" w:rsidRDefault="00AC7597" w:rsidP="00AC7597">
      <w:pPr>
        <w:jc w:val="both"/>
        <w:rPr>
          <w:rFonts w:ascii="Verdana" w:eastAsia="Century Gothic" w:hAnsi="Verdana"/>
          <w:color w:val="2D659A"/>
          <w:szCs w:val="20"/>
        </w:rPr>
      </w:pPr>
      <w:r w:rsidRPr="00915131">
        <w:rPr>
          <w:rFonts w:ascii="Verdana" w:eastAsia="Century Gothic" w:hAnsi="Verdana"/>
          <w:color w:val="2D659A"/>
          <w:szCs w:val="20"/>
        </w:rPr>
        <w:t xml:space="preserve">Moreover it is necessary to analyse better the specific characteristics of the individual portfolio management which under the SFDR is considered as a “financial product”, but which is de facto an investment service provided to several individual investors taking into account their specific needs and investment objectives and which therefore pertains to several portfolios individually managed. </w:t>
      </w:r>
    </w:p>
    <w:p w14:paraId="527063ED" w14:textId="77777777" w:rsidR="00AC7597" w:rsidRPr="00915131" w:rsidRDefault="00AC7597" w:rsidP="00AC7597">
      <w:pPr>
        <w:jc w:val="both"/>
        <w:rPr>
          <w:rFonts w:ascii="Verdana" w:eastAsia="Century Gothic" w:hAnsi="Verdana"/>
          <w:color w:val="2D659A"/>
          <w:szCs w:val="20"/>
        </w:rPr>
      </w:pPr>
      <w:r w:rsidRPr="00915131">
        <w:rPr>
          <w:rFonts w:ascii="Verdana" w:eastAsia="Century Gothic" w:hAnsi="Verdana"/>
          <w:color w:val="2D659A"/>
          <w:szCs w:val="20"/>
        </w:rPr>
        <w:t>What does the precontractual and web-site product disclosure should regard in this case must be balanced taking into consideration that there isn’t a real “product”. Moreover making disclosures on a website for individual mandates has no sense and could contravene to GDPR</w:t>
      </w:r>
      <w:r>
        <w:rPr>
          <w:rFonts w:ascii="Verdana" w:eastAsia="Century Gothic" w:hAnsi="Verdana"/>
          <w:color w:val="2D659A"/>
          <w:szCs w:val="20"/>
        </w:rPr>
        <w:t xml:space="preserve"> and bank secrecy laws</w:t>
      </w:r>
      <w:r w:rsidRPr="00915131">
        <w:rPr>
          <w:rFonts w:ascii="Verdana" w:eastAsia="Century Gothic" w:hAnsi="Verdana"/>
          <w:color w:val="2D659A"/>
          <w:szCs w:val="20"/>
        </w:rPr>
        <w:t xml:space="preserve">. </w:t>
      </w:r>
    </w:p>
    <w:p w14:paraId="3CB659F5" w14:textId="77777777" w:rsidR="00AC7597" w:rsidRPr="00915131" w:rsidRDefault="00AC7597" w:rsidP="00AC7597">
      <w:pPr>
        <w:jc w:val="both"/>
        <w:rPr>
          <w:rFonts w:ascii="Verdana" w:eastAsia="Century Gothic" w:hAnsi="Verdana"/>
          <w:color w:val="2D659A"/>
          <w:szCs w:val="20"/>
        </w:rPr>
      </w:pPr>
      <w:r w:rsidRPr="00915131">
        <w:rPr>
          <w:rFonts w:ascii="Verdana" w:eastAsia="Century Gothic" w:hAnsi="Verdana"/>
          <w:color w:val="2D659A"/>
          <w:szCs w:val="20"/>
        </w:rPr>
        <w:t xml:space="preserve">Furthermore, underlying instruments consist both from direct investments (stocks and bonds) and from funds. How will banks have to combine the information? </w:t>
      </w:r>
    </w:p>
    <w:p w14:paraId="3AA5E432" w14:textId="77777777" w:rsidR="00AC7597" w:rsidRDefault="00AC7597" w:rsidP="00AC7597">
      <w:pPr>
        <w:jc w:val="both"/>
        <w:rPr>
          <w:rFonts w:ascii="Verdana" w:eastAsia="Century Gothic" w:hAnsi="Verdana"/>
          <w:color w:val="2D659A"/>
          <w:szCs w:val="20"/>
        </w:rPr>
      </w:pPr>
      <w:r w:rsidRPr="00915131">
        <w:rPr>
          <w:rFonts w:ascii="Verdana" w:eastAsia="Century Gothic" w:hAnsi="Verdana"/>
          <w:color w:val="2D659A"/>
          <w:szCs w:val="20"/>
        </w:rPr>
        <w:t xml:space="preserve">Regarding underlying investments in funds, there is no look-through approach and capturing the necessary information from asset managers could be extremely burdensome and costly with no commensurate benefit for end clients. </w:t>
      </w:r>
    </w:p>
    <w:p w14:paraId="093023FD" w14:textId="77777777" w:rsidR="00AC7597" w:rsidRPr="00915131" w:rsidRDefault="00AC7597" w:rsidP="00AC7597">
      <w:pPr>
        <w:jc w:val="both"/>
        <w:rPr>
          <w:rFonts w:ascii="Verdana" w:eastAsia="Century Gothic" w:hAnsi="Verdana"/>
          <w:color w:val="2D659A"/>
          <w:szCs w:val="20"/>
        </w:rPr>
      </w:pPr>
    </w:p>
    <w:p w14:paraId="16E161E0" w14:textId="77777777" w:rsidR="00AC7597" w:rsidRPr="00915131" w:rsidRDefault="00AC7597" w:rsidP="00AC7597">
      <w:pPr>
        <w:jc w:val="both"/>
        <w:rPr>
          <w:rFonts w:ascii="Verdana" w:eastAsia="Century Gothic" w:hAnsi="Verdana"/>
          <w:color w:val="2D659A"/>
          <w:szCs w:val="20"/>
        </w:rPr>
      </w:pPr>
      <w:r w:rsidRPr="00915131">
        <w:rPr>
          <w:rFonts w:ascii="Verdana" w:eastAsia="Century Gothic" w:hAnsi="Verdana"/>
          <w:color w:val="2D659A"/>
          <w:szCs w:val="20"/>
        </w:rPr>
        <w:t>Each fund manager has to make available information per fund. For a Fund mandate banks would have to present this information at aggregate level. But:</w:t>
      </w:r>
    </w:p>
    <w:p w14:paraId="5F74945B" w14:textId="77777777" w:rsidR="00AC7597" w:rsidRPr="00915131" w:rsidRDefault="00AC7597" w:rsidP="001313EE">
      <w:pPr>
        <w:pStyle w:val="CommentText"/>
        <w:numPr>
          <w:ilvl w:val="0"/>
          <w:numId w:val="65"/>
        </w:numPr>
        <w:jc w:val="both"/>
        <w:rPr>
          <w:rFonts w:ascii="Verdana" w:eastAsia="Century Gothic" w:hAnsi="Verdana"/>
          <w:color w:val="2D659A"/>
        </w:rPr>
      </w:pPr>
      <w:r w:rsidRPr="00915131">
        <w:rPr>
          <w:rFonts w:ascii="Verdana" w:eastAsia="Century Gothic" w:hAnsi="Verdana"/>
          <w:color w:val="2D659A"/>
        </w:rPr>
        <w:t>Each fund manager can select a different indicator for from Annex I table 2 &amp; 3</w:t>
      </w:r>
    </w:p>
    <w:p w14:paraId="166C59ED" w14:textId="77777777" w:rsidR="00AC7597" w:rsidRPr="00915131" w:rsidRDefault="00AC7597" w:rsidP="001313EE">
      <w:pPr>
        <w:pStyle w:val="CommentText"/>
        <w:numPr>
          <w:ilvl w:val="0"/>
          <w:numId w:val="65"/>
        </w:numPr>
        <w:jc w:val="both"/>
        <w:rPr>
          <w:rFonts w:ascii="Verdana" w:eastAsia="Century Gothic" w:hAnsi="Verdana"/>
          <w:color w:val="2D659A"/>
        </w:rPr>
      </w:pPr>
      <w:r w:rsidRPr="00915131">
        <w:rPr>
          <w:rFonts w:ascii="Verdana" w:eastAsia="Century Gothic" w:hAnsi="Verdana"/>
          <w:color w:val="2D659A"/>
        </w:rPr>
        <w:t>Each fund manager can use a different data provider (comparability?)</w:t>
      </w:r>
    </w:p>
    <w:p w14:paraId="55C29E08" w14:textId="77777777" w:rsidR="00AC7597" w:rsidRDefault="00AC7597" w:rsidP="001313EE">
      <w:pPr>
        <w:pStyle w:val="CommentText"/>
        <w:numPr>
          <w:ilvl w:val="0"/>
          <w:numId w:val="65"/>
        </w:numPr>
        <w:jc w:val="both"/>
        <w:rPr>
          <w:rFonts w:ascii="Verdana" w:eastAsia="Century Gothic" w:hAnsi="Verdana"/>
          <w:color w:val="2D659A"/>
        </w:rPr>
      </w:pPr>
      <w:r w:rsidRPr="00915131">
        <w:rPr>
          <w:rFonts w:ascii="Verdana" w:eastAsia="Century Gothic" w:hAnsi="Verdana"/>
          <w:color w:val="2D659A"/>
        </w:rPr>
        <w:t>How can  banks collect the data from the different websites</w:t>
      </w:r>
      <w:r>
        <w:rPr>
          <w:rFonts w:ascii="Verdana" w:eastAsia="Century Gothic" w:hAnsi="Verdana"/>
          <w:color w:val="2D659A"/>
        </w:rPr>
        <w:t>?</w:t>
      </w:r>
    </w:p>
    <w:p w14:paraId="263576F1" w14:textId="77777777" w:rsidR="00AC7597" w:rsidRPr="00915131" w:rsidRDefault="00AC7597" w:rsidP="001313EE">
      <w:pPr>
        <w:pStyle w:val="CommentText"/>
        <w:numPr>
          <w:ilvl w:val="0"/>
          <w:numId w:val="65"/>
        </w:numPr>
        <w:jc w:val="both"/>
        <w:rPr>
          <w:rFonts w:ascii="Verdana" w:eastAsia="Century Gothic" w:hAnsi="Verdana"/>
          <w:color w:val="2D659A"/>
        </w:rPr>
      </w:pPr>
      <w:r w:rsidRPr="00915131">
        <w:rPr>
          <w:rFonts w:ascii="Verdana" w:eastAsia="Century Gothic" w:hAnsi="Verdana"/>
          <w:color w:val="2D659A"/>
        </w:rPr>
        <w:t>Fund managers have the same timelines as banks. That means there is no time left for banks to analyse this issue and to implement a methodology, liaise with providers and set up data flows and new processes.</w:t>
      </w:r>
    </w:p>
    <w:p w14:paraId="6C20D3D0" w14:textId="77777777" w:rsidR="00AC7597" w:rsidRDefault="00AC7597" w:rsidP="00AC7597">
      <w:pPr>
        <w:jc w:val="both"/>
        <w:rPr>
          <w:rFonts w:ascii="Verdana" w:eastAsia="Century Gothic" w:hAnsi="Verdana"/>
          <w:color w:val="2D659A"/>
          <w:szCs w:val="20"/>
        </w:rPr>
      </w:pPr>
    </w:p>
    <w:p w14:paraId="426AD1B7" w14:textId="77777777" w:rsidR="00AC7597" w:rsidRDefault="00AC7597" w:rsidP="00AC7597">
      <w:pPr>
        <w:jc w:val="both"/>
        <w:rPr>
          <w:rFonts w:ascii="Verdana" w:eastAsia="Century Gothic" w:hAnsi="Verdana"/>
          <w:color w:val="2D659A"/>
          <w:szCs w:val="20"/>
        </w:rPr>
      </w:pPr>
      <w:r w:rsidRPr="00915131">
        <w:rPr>
          <w:rFonts w:ascii="Verdana" w:eastAsia="Century Gothic" w:hAnsi="Verdana"/>
          <w:color w:val="2D659A"/>
          <w:szCs w:val="20"/>
        </w:rPr>
        <w:t xml:space="preserve">Stocks </w:t>
      </w:r>
      <w:r>
        <w:rPr>
          <w:rFonts w:ascii="Verdana" w:eastAsia="Century Gothic" w:hAnsi="Verdana"/>
          <w:color w:val="2D659A"/>
          <w:szCs w:val="20"/>
        </w:rPr>
        <w:t xml:space="preserve">(like bonds) </w:t>
      </w:r>
      <w:r w:rsidRPr="00915131">
        <w:rPr>
          <w:rFonts w:ascii="Verdana" w:eastAsia="Century Gothic" w:hAnsi="Verdana"/>
          <w:color w:val="2D659A"/>
          <w:szCs w:val="20"/>
        </w:rPr>
        <w:t>are also a critical component of a lot of portfolios; they cannot be considered as products and therefore not qualify as either an art. 8 or art. 9 product. If a wealth management portfolio does apply to the SFDR requirements, FMP’s need information on the underlying stocks. These stocks in turn, are no products and thus do not fall under the SFDR. This leaves FMP’s rather in the dark on the ESG characteristics of the underlying securities.</w:t>
      </w:r>
    </w:p>
    <w:p w14:paraId="16FC3CC3" w14:textId="77777777" w:rsidR="00AC7597" w:rsidRDefault="00AC7597" w:rsidP="00AC7597">
      <w:pPr>
        <w:jc w:val="both"/>
        <w:rPr>
          <w:rFonts w:ascii="Verdana" w:eastAsia="Century Gothic" w:hAnsi="Verdana"/>
          <w:color w:val="2D659A"/>
          <w:szCs w:val="20"/>
        </w:rPr>
      </w:pPr>
    </w:p>
    <w:p w14:paraId="65B3D22A" w14:textId="77777777" w:rsidR="00AC7597" w:rsidRPr="00915131" w:rsidRDefault="00AC7597" w:rsidP="00AC7597">
      <w:pPr>
        <w:jc w:val="both"/>
        <w:rPr>
          <w:rFonts w:ascii="Verdana" w:eastAsia="Century Gothic" w:hAnsi="Verdana"/>
          <w:color w:val="2D659A"/>
          <w:szCs w:val="20"/>
        </w:rPr>
      </w:pPr>
      <w:r>
        <w:rPr>
          <w:rFonts w:ascii="Verdana" w:eastAsia="Century Gothic" w:hAnsi="Verdana"/>
          <w:color w:val="2D659A"/>
          <w:szCs w:val="20"/>
        </w:rPr>
        <w:t>F</w:t>
      </w:r>
      <w:r w:rsidRPr="00915131">
        <w:rPr>
          <w:rFonts w:ascii="Verdana" w:eastAsia="Century Gothic" w:hAnsi="Verdana"/>
          <w:color w:val="2D659A"/>
          <w:szCs w:val="20"/>
        </w:rPr>
        <w:t>or end clients, information on the strategy, the investment universe and the investment process of the mandate are prevailing.</w:t>
      </w:r>
    </w:p>
    <w:p w14:paraId="3E92807B" w14:textId="77777777" w:rsidR="00AC7597" w:rsidRDefault="00AC7597" w:rsidP="00AC7597">
      <w:pPr>
        <w:tabs>
          <w:tab w:val="num" w:pos="1440"/>
        </w:tabs>
        <w:jc w:val="both"/>
        <w:rPr>
          <w:rFonts w:ascii="Verdana" w:eastAsia="Century Gothic" w:hAnsi="Verdana"/>
          <w:color w:val="2D659A"/>
          <w:szCs w:val="20"/>
        </w:rPr>
      </w:pPr>
    </w:p>
    <w:p w14:paraId="1557C5C1" w14:textId="77777777" w:rsidR="00AC7597" w:rsidRPr="00915131" w:rsidRDefault="00AC7597" w:rsidP="00AC7597">
      <w:pPr>
        <w:tabs>
          <w:tab w:val="num" w:pos="1440"/>
        </w:tabs>
        <w:jc w:val="both"/>
        <w:rPr>
          <w:rFonts w:ascii="Verdana" w:eastAsia="Century Gothic" w:hAnsi="Verdana"/>
          <w:color w:val="2D659A"/>
          <w:szCs w:val="20"/>
        </w:rPr>
      </w:pPr>
      <w:r w:rsidRPr="00915131">
        <w:rPr>
          <w:rFonts w:ascii="Verdana" w:eastAsia="Century Gothic" w:hAnsi="Verdana"/>
          <w:color w:val="2D659A"/>
          <w:szCs w:val="20"/>
        </w:rPr>
        <w:t>Regarding portfolio management, a specific approach which make sense for end-clients and with a balanced cost for FMPs/ benefit for end-clients should be carefully studied and tested. Also a specific timeframe should be granted.</w:t>
      </w:r>
    </w:p>
    <w:p w14:paraId="634A3322" w14:textId="77777777" w:rsidR="00AC7597" w:rsidRPr="00915131" w:rsidRDefault="00AC7597" w:rsidP="00AC7597">
      <w:pPr>
        <w:jc w:val="both"/>
        <w:rPr>
          <w:rFonts w:ascii="Verdana" w:eastAsia="Century Gothic" w:hAnsi="Verdana"/>
          <w:color w:val="2D659A"/>
          <w:szCs w:val="20"/>
        </w:rPr>
      </w:pPr>
    </w:p>
    <w:p w14:paraId="30989E22" w14:textId="77777777" w:rsidR="00AC7597" w:rsidRPr="00915131" w:rsidRDefault="00AC7597" w:rsidP="00AC7597">
      <w:pPr>
        <w:jc w:val="both"/>
        <w:rPr>
          <w:rFonts w:ascii="Verdana" w:eastAsia="Century Gothic" w:hAnsi="Verdana"/>
          <w:color w:val="2D659A"/>
          <w:szCs w:val="20"/>
        </w:rPr>
      </w:pPr>
      <w:r w:rsidRPr="00915131">
        <w:rPr>
          <w:rFonts w:ascii="Verdana" w:eastAsia="Century Gothic" w:hAnsi="Verdana"/>
          <w:color w:val="2D659A"/>
          <w:szCs w:val="20"/>
        </w:rPr>
        <w:t>Last point, in relation with Multi-option products (MOPs),</w:t>
      </w:r>
      <w:r>
        <w:rPr>
          <w:rFonts w:ascii="Verdana" w:eastAsia="Century Gothic" w:hAnsi="Verdana"/>
          <w:color w:val="2D659A"/>
          <w:szCs w:val="20"/>
        </w:rPr>
        <w:t xml:space="preserve"> </w:t>
      </w:r>
      <w:r w:rsidRPr="00915131">
        <w:rPr>
          <w:rFonts w:ascii="Verdana" w:eastAsia="Century Gothic" w:hAnsi="Verdana"/>
          <w:color w:val="2D659A"/>
          <w:szCs w:val="20"/>
        </w:rPr>
        <w:t>it should be clarified that where a MOP qualifies under Article 8 or 9 of the Regulation, Articles 14-21 and 23-31 of the RTS do not apply, and MOPs manufacturers would only need to comply with Article 22 and 32 of the RTS. It would also be helpful for the RTS to explicitly state that this means no information on the product wrapper would need to be disclosed.</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 xml:space="preserve">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w:t>
      </w:r>
      <w:r w:rsidR="002A73F1" w:rsidRPr="002A73F1">
        <w:lastRenderedPageBreak/>
        <w:t>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7C349B75" w14:textId="77777777" w:rsidR="00AC7597" w:rsidRPr="00D34E5C" w:rsidRDefault="00AC7597" w:rsidP="00AC7597">
      <w:pPr>
        <w:suppressAutoHyphens/>
        <w:spacing w:after="120"/>
        <w:jc w:val="both"/>
        <w:rPr>
          <w:rFonts w:ascii="Verdana" w:eastAsia="Century Gothic" w:hAnsi="Verdana"/>
          <w:color w:val="2D659A"/>
          <w:szCs w:val="20"/>
        </w:rPr>
      </w:pPr>
      <w:permStart w:id="2245015" w:edGrp="everyone"/>
      <w:r w:rsidRPr="00D34E5C">
        <w:rPr>
          <w:rFonts w:ascii="Verdana" w:eastAsia="Century Gothic" w:hAnsi="Verdana"/>
          <w:color w:val="2D659A"/>
          <w:szCs w:val="20"/>
        </w:rPr>
        <w:t>In general, we agree with the proposed articles. Both articles refer to good governance. We think that this captures minimum requirements that should also apply to Art. 8. So, it is good if both have the same definition. Sound management structures, employee relations, remuneration of staff and tax compliance is a workable definition.</w:t>
      </w:r>
    </w:p>
    <w:p w14:paraId="093CD862"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Furthermore, we believe the definition of good governance should be aligned with:</w:t>
      </w:r>
    </w:p>
    <w:p w14:paraId="7E45EB42" w14:textId="77777777" w:rsidR="00AC7597" w:rsidRPr="00D34E5C" w:rsidRDefault="00AC7597" w:rsidP="00AC7597">
      <w:pPr>
        <w:suppressAutoHyphens/>
        <w:jc w:val="both"/>
        <w:rPr>
          <w:rFonts w:ascii="Verdana" w:eastAsia="Century Gothic" w:hAnsi="Verdana"/>
          <w:color w:val="2D659A"/>
          <w:szCs w:val="20"/>
        </w:rPr>
      </w:pPr>
      <w:r w:rsidRPr="00D34E5C">
        <w:rPr>
          <w:rFonts w:ascii="Verdana" w:eastAsia="Century Gothic" w:hAnsi="Verdana"/>
          <w:color w:val="2D659A"/>
          <w:szCs w:val="20"/>
        </w:rPr>
        <w:t xml:space="preserve">1) Taxonomy </w:t>
      </w:r>
    </w:p>
    <w:p w14:paraId="5B5F4400" w14:textId="77777777" w:rsidR="00AC7597" w:rsidRPr="00D34E5C" w:rsidRDefault="00AC7597" w:rsidP="00AC7597">
      <w:pPr>
        <w:suppressAutoHyphens/>
        <w:jc w:val="both"/>
        <w:rPr>
          <w:rFonts w:ascii="Verdana" w:eastAsia="Century Gothic" w:hAnsi="Verdana"/>
          <w:color w:val="2D659A"/>
          <w:szCs w:val="20"/>
        </w:rPr>
      </w:pPr>
      <w:r w:rsidRPr="00D34E5C">
        <w:rPr>
          <w:rFonts w:ascii="Verdana" w:eastAsia="Century Gothic" w:hAnsi="Verdana"/>
          <w:color w:val="2D659A"/>
          <w:szCs w:val="20"/>
        </w:rPr>
        <w:t xml:space="preserve">2) Other EC initiatives </w:t>
      </w:r>
      <w:r>
        <w:rPr>
          <w:rFonts w:ascii="Verdana" w:eastAsia="Century Gothic" w:hAnsi="Verdana"/>
          <w:color w:val="2D659A"/>
          <w:szCs w:val="20"/>
        </w:rPr>
        <w:t>on</w:t>
      </w:r>
      <w:r w:rsidRPr="00D34E5C">
        <w:rPr>
          <w:rFonts w:ascii="Verdana" w:eastAsia="Century Gothic" w:hAnsi="Verdana"/>
          <w:color w:val="2D659A"/>
          <w:szCs w:val="20"/>
        </w:rPr>
        <w:t xml:space="preserve"> corporate governance. The European Commission classifies its governance policy activities in broad categories, including directors and board members, shareholder rights, employee share ownership, remuneration policies, transparency, and financial institutions.</w:t>
      </w:r>
      <w:r w:rsidRPr="00D34E5C">
        <w:rPr>
          <w:rFonts w:ascii="Verdana" w:eastAsia="Century Gothic" w:hAnsi="Verdana"/>
          <w:color w:val="2D659A"/>
          <w:szCs w:val="20"/>
          <w:vertAlign w:val="superscript"/>
        </w:rPr>
        <w:footnoteReference w:id="9"/>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7AFEBF86" w14:textId="77777777" w:rsidR="00AC7597" w:rsidRPr="00D34E5C" w:rsidRDefault="00AC7597" w:rsidP="00AC7597">
      <w:pPr>
        <w:suppressAutoHyphens/>
        <w:spacing w:after="120"/>
        <w:jc w:val="both"/>
        <w:rPr>
          <w:rFonts w:ascii="Verdana" w:eastAsia="Century Gothic" w:hAnsi="Verdana"/>
          <w:color w:val="2D659A"/>
          <w:szCs w:val="20"/>
        </w:rPr>
      </w:pPr>
      <w:permStart w:id="1182486711" w:edGrp="everyone"/>
      <w:r w:rsidRPr="00D34E5C">
        <w:rPr>
          <w:rFonts w:ascii="Verdana" w:eastAsia="Century Gothic" w:hAnsi="Verdana"/>
          <w:color w:val="2D659A"/>
          <w:szCs w:val="20"/>
        </w:rPr>
        <w:t xml:space="preserve">We believe there is inconsistency between the taxonomy principle of DNSH in the taxonomy, and DNSH integrated in the definition of Level 1 Art. 2 (17) of the de SFDR. </w:t>
      </w:r>
    </w:p>
    <w:p w14:paraId="1A06630E" w14:textId="77777777" w:rsidR="00AC7597" w:rsidRPr="00D34E5C" w:rsidRDefault="00AC7597" w:rsidP="00AC7597">
      <w:pPr>
        <w:suppressAutoHyphens/>
        <w:spacing w:after="120"/>
        <w:jc w:val="both"/>
        <w:rPr>
          <w:rFonts w:ascii="Verdana" w:eastAsia="Century Gothic" w:hAnsi="Verdana"/>
          <w:i/>
          <w:iCs/>
          <w:color w:val="2D659A"/>
          <w:szCs w:val="20"/>
        </w:rPr>
      </w:pPr>
      <w:r w:rsidRPr="00D34E5C">
        <w:rPr>
          <w:rFonts w:ascii="Verdana" w:eastAsia="Century Gothic" w:hAnsi="Verdana"/>
          <w:i/>
          <w:iCs/>
          <w:color w:val="2D659A"/>
          <w:szCs w:val="20"/>
        </w:rPr>
        <w:t>DNSH definition and use in SFDR</w:t>
      </w:r>
    </w:p>
    <w:p w14:paraId="0212CECE"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We believe the taxonomy is leading in defining and identifying DNSH criteria. As we cannot expect granular DNSH criteria before 2022, we believe integrating DNSH criteria in article 2(17) of the SFDR, and subsequently in the disclosure requirements for Article 9 products is premature and could lead to confusion. </w:t>
      </w:r>
    </w:p>
    <w:p w14:paraId="26946996" w14:textId="77777777" w:rsidR="00AC7597" w:rsidRPr="00D34E5C" w:rsidRDefault="00AC7597" w:rsidP="00AC7597">
      <w:pPr>
        <w:suppressAutoHyphens/>
        <w:spacing w:after="120"/>
        <w:jc w:val="both"/>
        <w:rPr>
          <w:rFonts w:ascii="Verdana" w:eastAsia="Century Gothic" w:hAnsi="Verdana"/>
          <w:color w:val="2D659A"/>
          <w:szCs w:val="20"/>
          <w:lang w:val="en-US"/>
        </w:rPr>
      </w:pPr>
      <w:r w:rsidRPr="00D34E5C">
        <w:rPr>
          <w:rFonts w:ascii="Verdana" w:eastAsia="Century Gothic" w:hAnsi="Verdana"/>
          <w:color w:val="2D659A"/>
          <w:szCs w:val="20"/>
          <w:lang w:val="en-US"/>
        </w:rPr>
        <w:t xml:space="preserve">We would like to see clarifications on the overlap between the Taxonomy’s DNSH-criteria and the Principle Adverse Risk </w:t>
      </w:r>
      <w:r>
        <w:rPr>
          <w:rFonts w:ascii="Verdana" w:eastAsia="Century Gothic" w:hAnsi="Verdana"/>
          <w:color w:val="2D659A"/>
          <w:szCs w:val="20"/>
          <w:lang w:val="en-US"/>
        </w:rPr>
        <w:t>Impacts</w:t>
      </w:r>
      <w:r w:rsidRPr="00D34E5C">
        <w:rPr>
          <w:rFonts w:ascii="Verdana" w:eastAsia="Century Gothic" w:hAnsi="Verdana"/>
          <w:color w:val="2D659A"/>
          <w:szCs w:val="20"/>
          <w:lang w:val="en-US"/>
        </w:rPr>
        <w:t xml:space="preserve"> from the </w:t>
      </w:r>
      <w:r>
        <w:rPr>
          <w:rFonts w:ascii="Verdana" w:eastAsia="Century Gothic" w:hAnsi="Verdana"/>
          <w:color w:val="2D659A"/>
          <w:szCs w:val="20"/>
          <w:lang w:val="en-US"/>
        </w:rPr>
        <w:t>SFDR</w:t>
      </w:r>
      <w:r w:rsidRPr="00D34E5C">
        <w:rPr>
          <w:rFonts w:ascii="Verdana" w:eastAsia="Century Gothic" w:hAnsi="Verdana"/>
          <w:color w:val="2D659A"/>
          <w:szCs w:val="20"/>
          <w:lang w:val="en-US"/>
        </w:rPr>
        <w:t xml:space="preserve">. The Do No Significant Harm definition is included in both the taxonomy and disclosure regulation, but they differ in scope. This effectively, means no alignment. This in turn might prove to be very difficult for both regulated companies and regulators as the DNSH </w:t>
      </w:r>
      <w:r>
        <w:rPr>
          <w:rFonts w:ascii="Verdana" w:eastAsia="Century Gothic" w:hAnsi="Verdana"/>
          <w:color w:val="2D659A"/>
          <w:szCs w:val="20"/>
          <w:lang w:val="en-US"/>
        </w:rPr>
        <w:t>criterion</w:t>
      </w:r>
      <w:r w:rsidRPr="00D34E5C">
        <w:rPr>
          <w:rFonts w:ascii="Verdana" w:eastAsia="Century Gothic" w:hAnsi="Verdana"/>
          <w:color w:val="2D659A"/>
          <w:szCs w:val="20"/>
          <w:lang w:val="en-US"/>
        </w:rPr>
        <w:t xml:space="preserve"> is embedded in the definition of sustainable investment in the SFDR. So, DNSH seem to always apply when a firm in SFDR scope has to disclose. Basically, a firm has to describe DNSH criteria for E, S an G under the definition of a sustainable investment of the SFDR. For example, in a global equity fund, it might almost be impossible to safeguard social standards throughout the supply chain (and thus adhere to DNSH).  Importantly, the definition of “sustainable investment” introduces a new “do no significant harm” (DNSH) principle that is broader than the DNSH principle in the EU Taxonomy in that the scope here goes beyond the six environmental objectives.</w:t>
      </w:r>
    </w:p>
    <w:p w14:paraId="26A3748A" w14:textId="77777777" w:rsidR="00AC7597" w:rsidRPr="00D34E5C" w:rsidRDefault="00AC7597" w:rsidP="00AC7597">
      <w:pPr>
        <w:suppressAutoHyphens/>
        <w:spacing w:after="120"/>
        <w:jc w:val="both"/>
        <w:rPr>
          <w:rFonts w:ascii="Verdana" w:eastAsia="Century Gothic" w:hAnsi="Verdana"/>
          <w:i/>
          <w:iCs/>
          <w:color w:val="2D659A"/>
          <w:szCs w:val="20"/>
        </w:rPr>
      </w:pPr>
      <w:r w:rsidRPr="00D34E5C">
        <w:rPr>
          <w:rFonts w:ascii="Verdana" w:eastAsia="Century Gothic" w:hAnsi="Verdana"/>
          <w:i/>
          <w:iCs/>
          <w:color w:val="2D659A"/>
          <w:szCs w:val="20"/>
        </w:rPr>
        <w:t>Art. 8/9 and DNSH</w:t>
      </w:r>
    </w:p>
    <w:p w14:paraId="67BAA2D4"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Do not significantly harm is now used for Art. 8 and Art. 9 products. We believe that this concept does not fit the purpose of Art 8, products that promote ESG characteristics, very well. Under Art. 8 fall strategies like “best in class” and “exclusion”. Those products do not have sustainable investment as objective so there should not be a requirement that no significant harm is done to other sustainable objectives.  </w:t>
      </w:r>
    </w:p>
    <w:permEnd w:id="1182486711"/>
    <w:p w14:paraId="5F95ABFF" w14:textId="2402E6DD" w:rsidR="003E573C" w:rsidRDefault="003E573C" w:rsidP="003E573C">
      <w:pPr>
        <w:rPr>
          <w:rFonts w:cs="Arial"/>
        </w:rPr>
      </w:pPr>
      <w:r>
        <w:rPr>
          <w:rFonts w:cs="Arial"/>
        </w:rPr>
        <w:lastRenderedPageBreak/>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383D309A" w14:textId="77777777" w:rsidR="00AC7597" w:rsidRDefault="00AC7597" w:rsidP="00AC7597">
      <w:pPr>
        <w:suppressAutoHyphens/>
        <w:jc w:val="both"/>
        <w:rPr>
          <w:rFonts w:ascii="Verdana" w:eastAsia="Century Gothic" w:hAnsi="Verdana"/>
          <w:color w:val="2D659A"/>
          <w:szCs w:val="20"/>
        </w:rPr>
      </w:pPr>
      <w:permStart w:id="1634935588" w:edGrp="everyone"/>
      <w:r w:rsidRPr="00D34E5C">
        <w:rPr>
          <w:rFonts w:ascii="Verdana" w:eastAsia="Century Gothic" w:hAnsi="Verdana"/>
          <w:color w:val="2D659A"/>
          <w:szCs w:val="20"/>
        </w:rPr>
        <w:t>These strategies are actually already defined by the Global Alliance Forum Sustainable Finance and Eurosif.</w:t>
      </w:r>
      <w:r w:rsidRPr="00D34E5C">
        <w:rPr>
          <w:rFonts w:ascii="Verdana" w:eastAsia="Century Gothic" w:hAnsi="Verdana"/>
          <w:color w:val="2D659A"/>
          <w:szCs w:val="20"/>
          <w:vertAlign w:val="superscript"/>
        </w:rPr>
        <w:footnoteReference w:id="10"/>
      </w:r>
      <w:r w:rsidRPr="00D34E5C">
        <w:rPr>
          <w:rFonts w:ascii="Verdana" w:eastAsia="Century Gothic" w:hAnsi="Verdana"/>
          <w:color w:val="2D659A"/>
          <w:szCs w:val="20"/>
        </w:rPr>
        <w:t xml:space="preserve"> They relate to an area continuously developing, in which new investment strategies are emerging. It might be useful to adopt a shared definition of the mentioned investment strategies. </w:t>
      </w:r>
      <w:r w:rsidRPr="00D34E5C">
        <w:rPr>
          <w:rFonts w:ascii="Verdana" w:eastAsia="Century Gothic" w:hAnsi="Verdana"/>
          <w:color w:val="2D659A"/>
          <w:szCs w:val="20"/>
          <w:lang w:val="en-US"/>
        </w:rPr>
        <w:t>In order to avoid green washing and foster transparency and comparability we see merit in this task for the ESAs.</w:t>
      </w:r>
      <w:r>
        <w:rPr>
          <w:rFonts w:ascii="Verdana" w:eastAsia="Century Gothic" w:hAnsi="Verdana"/>
          <w:color w:val="2D659A"/>
          <w:szCs w:val="20"/>
          <w:lang w:val="en-US"/>
        </w:rPr>
        <w:t xml:space="preserve"> </w:t>
      </w:r>
      <w:r w:rsidRPr="00D34E5C">
        <w:rPr>
          <w:rFonts w:ascii="Verdana" w:eastAsia="Century Gothic" w:hAnsi="Verdana"/>
          <w:color w:val="2D659A"/>
          <w:szCs w:val="20"/>
        </w:rPr>
        <w:t>On the other hand, by providing a closed list of strategies financial market participants will be limited in the development of new products / strategies, which in turn could have a negative impact on market forces and initiatives</w:t>
      </w:r>
      <w:r>
        <w:rPr>
          <w:rFonts w:ascii="Verdana" w:eastAsia="Century Gothic" w:hAnsi="Verdana"/>
          <w:color w:val="2D659A"/>
          <w:szCs w:val="20"/>
        </w:rPr>
        <w:t xml:space="preserve">. In fact, it might even strengthen greenwashing. </w:t>
      </w:r>
    </w:p>
    <w:p w14:paraId="1E7E644E" w14:textId="77777777" w:rsidR="00AC7597" w:rsidRPr="00D34E5C" w:rsidRDefault="00AC7597" w:rsidP="00AC7597">
      <w:pPr>
        <w:suppressAutoHyphens/>
        <w:jc w:val="both"/>
        <w:rPr>
          <w:rFonts w:ascii="Verdana" w:eastAsia="Century Gothic" w:hAnsi="Verdana"/>
          <w:color w:val="2D659A"/>
          <w:szCs w:val="20"/>
        </w:rPr>
      </w:pPr>
    </w:p>
    <w:p w14:paraId="71DACE70" w14:textId="77777777" w:rsidR="00AC7597" w:rsidRPr="00D34E5C" w:rsidRDefault="00AC7597" w:rsidP="00AC7597">
      <w:pPr>
        <w:suppressAutoHyphens/>
        <w:jc w:val="both"/>
        <w:rPr>
          <w:rFonts w:ascii="Verdana" w:eastAsia="Century Gothic" w:hAnsi="Verdana"/>
          <w:color w:val="2D659A"/>
          <w:szCs w:val="20"/>
        </w:rPr>
      </w:pPr>
      <w:r w:rsidRPr="00D34E5C">
        <w:rPr>
          <w:rFonts w:ascii="Verdana" w:eastAsia="Century Gothic" w:hAnsi="Verdana"/>
          <w:color w:val="2D659A"/>
          <w:szCs w:val="20"/>
        </w:rPr>
        <w:t xml:space="preserve">If, however a list will be constructed, we believe defining these different strategies with great flexibility is key whilst adhering to already standing international principles: </w:t>
      </w:r>
    </w:p>
    <w:p w14:paraId="722E912D" w14:textId="77777777" w:rsidR="00AC7597" w:rsidRPr="00D34E5C" w:rsidRDefault="00AC7597" w:rsidP="001313EE">
      <w:pPr>
        <w:numPr>
          <w:ilvl w:val="0"/>
          <w:numId w:val="63"/>
        </w:numPr>
        <w:suppressAutoHyphens/>
        <w:jc w:val="both"/>
        <w:rPr>
          <w:rFonts w:ascii="Verdana" w:eastAsia="Century Gothic" w:hAnsi="Verdana"/>
          <w:color w:val="2D659A"/>
          <w:szCs w:val="20"/>
        </w:rPr>
      </w:pPr>
      <w:r w:rsidRPr="00D34E5C">
        <w:rPr>
          <w:rFonts w:ascii="Verdana" w:eastAsia="Century Gothic" w:hAnsi="Verdana"/>
          <w:color w:val="2D659A"/>
          <w:szCs w:val="20"/>
        </w:rPr>
        <w:t>Exclusionary screening (i.e. aligning with UN Global compact?)</w:t>
      </w:r>
    </w:p>
    <w:p w14:paraId="7F845A2A" w14:textId="77777777" w:rsidR="00AC7597" w:rsidRPr="00D34E5C" w:rsidRDefault="00AC7597" w:rsidP="001313EE">
      <w:pPr>
        <w:numPr>
          <w:ilvl w:val="0"/>
          <w:numId w:val="63"/>
        </w:numPr>
        <w:suppressAutoHyphens/>
        <w:jc w:val="both"/>
        <w:rPr>
          <w:rFonts w:ascii="Verdana" w:eastAsia="Century Gothic" w:hAnsi="Verdana"/>
          <w:color w:val="2D659A"/>
          <w:szCs w:val="20"/>
        </w:rPr>
      </w:pPr>
      <w:r w:rsidRPr="00D34E5C">
        <w:rPr>
          <w:rFonts w:ascii="Verdana" w:eastAsia="Century Gothic" w:hAnsi="Verdana"/>
          <w:color w:val="2D659A"/>
          <w:szCs w:val="20"/>
        </w:rPr>
        <w:t>ESG integration (i.e. aligning with PRI?)</w:t>
      </w:r>
    </w:p>
    <w:p w14:paraId="1383EFFA" w14:textId="77777777" w:rsidR="00AC7597" w:rsidRPr="00D34E5C" w:rsidRDefault="00AC7597" w:rsidP="001313EE">
      <w:pPr>
        <w:numPr>
          <w:ilvl w:val="0"/>
          <w:numId w:val="63"/>
        </w:numPr>
        <w:suppressAutoHyphens/>
        <w:jc w:val="both"/>
        <w:rPr>
          <w:rFonts w:ascii="Verdana" w:eastAsia="Century Gothic" w:hAnsi="Verdana"/>
          <w:color w:val="2D659A"/>
          <w:szCs w:val="20"/>
        </w:rPr>
      </w:pPr>
      <w:r w:rsidRPr="00D34E5C">
        <w:rPr>
          <w:rFonts w:ascii="Verdana" w:eastAsia="Century Gothic" w:hAnsi="Verdana"/>
          <w:color w:val="2D659A"/>
          <w:szCs w:val="20"/>
        </w:rPr>
        <w:t>Norms-based screening</w:t>
      </w:r>
    </w:p>
    <w:p w14:paraId="479A00E4" w14:textId="77777777" w:rsidR="00AC7597" w:rsidRPr="00D34E5C" w:rsidRDefault="00AC7597" w:rsidP="001313EE">
      <w:pPr>
        <w:numPr>
          <w:ilvl w:val="0"/>
          <w:numId w:val="63"/>
        </w:numPr>
        <w:suppressAutoHyphens/>
        <w:jc w:val="both"/>
        <w:rPr>
          <w:rFonts w:ascii="Verdana" w:eastAsia="Century Gothic" w:hAnsi="Verdana"/>
          <w:color w:val="2D659A"/>
          <w:szCs w:val="20"/>
        </w:rPr>
      </w:pPr>
      <w:r w:rsidRPr="00D34E5C">
        <w:rPr>
          <w:rFonts w:ascii="Verdana" w:eastAsia="Century Gothic" w:hAnsi="Verdana"/>
          <w:color w:val="2D659A"/>
          <w:szCs w:val="20"/>
        </w:rPr>
        <w:t>Active Ownership / Engagement (alignment with own FMP policies + SRDII</w:t>
      </w:r>
      <w:r>
        <w:rPr>
          <w:rFonts w:ascii="Verdana" w:eastAsia="Century Gothic" w:hAnsi="Verdana"/>
          <w:color w:val="2D659A"/>
          <w:szCs w:val="20"/>
        </w:rPr>
        <w:t>)</w:t>
      </w:r>
      <w:r>
        <w:rPr>
          <w:rStyle w:val="FootnoteReference"/>
          <w:rFonts w:ascii="Verdana" w:eastAsia="Century Gothic" w:hAnsi="Verdana"/>
          <w:color w:val="2D659A"/>
          <w:szCs w:val="20"/>
        </w:rPr>
        <w:footnoteReference w:id="11"/>
      </w:r>
    </w:p>
    <w:p w14:paraId="7A211812" w14:textId="77777777" w:rsidR="00AC7597" w:rsidRPr="00D34E5C" w:rsidRDefault="00AC7597" w:rsidP="001313EE">
      <w:pPr>
        <w:numPr>
          <w:ilvl w:val="0"/>
          <w:numId w:val="63"/>
        </w:numPr>
        <w:suppressAutoHyphens/>
        <w:jc w:val="both"/>
        <w:rPr>
          <w:rFonts w:ascii="Verdana" w:eastAsia="Century Gothic" w:hAnsi="Verdana"/>
          <w:color w:val="2D659A"/>
          <w:szCs w:val="20"/>
        </w:rPr>
      </w:pPr>
      <w:r w:rsidRPr="00D34E5C">
        <w:rPr>
          <w:rFonts w:ascii="Verdana" w:eastAsia="Century Gothic" w:hAnsi="Verdana"/>
          <w:color w:val="2D659A"/>
          <w:szCs w:val="20"/>
        </w:rPr>
        <w:t>Positive best-in-class screening</w:t>
      </w:r>
    </w:p>
    <w:p w14:paraId="62A5644C" w14:textId="77777777" w:rsidR="00AC7597" w:rsidRDefault="00AC7597" w:rsidP="001313EE">
      <w:pPr>
        <w:numPr>
          <w:ilvl w:val="0"/>
          <w:numId w:val="63"/>
        </w:numPr>
        <w:suppressAutoHyphens/>
        <w:jc w:val="both"/>
        <w:rPr>
          <w:rFonts w:ascii="Verdana" w:eastAsia="Century Gothic" w:hAnsi="Verdana"/>
          <w:color w:val="2D659A"/>
          <w:szCs w:val="20"/>
        </w:rPr>
      </w:pPr>
      <w:r w:rsidRPr="00D34E5C">
        <w:rPr>
          <w:rFonts w:ascii="Verdana" w:eastAsia="Century Gothic" w:hAnsi="Verdana"/>
          <w:color w:val="2D659A"/>
          <w:szCs w:val="20"/>
        </w:rPr>
        <w:t>Positive thematic / Impact investing</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440BB03A" w14:textId="77777777" w:rsidR="00AC7597" w:rsidRPr="00D34E5C" w:rsidRDefault="00AC7597" w:rsidP="00AC7597">
      <w:pPr>
        <w:suppressAutoHyphens/>
        <w:spacing w:after="120"/>
        <w:jc w:val="both"/>
        <w:rPr>
          <w:rFonts w:ascii="Verdana" w:eastAsia="Century Gothic" w:hAnsi="Verdana"/>
          <w:color w:val="2D659A"/>
          <w:szCs w:val="20"/>
        </w:rPr>
      </w:pPr>
      <w:permStart w:id="872961277" w:edGrp="everyone"/>
      <w:r w:rsidRPr="00D34E5C">
        <w:rPr>
          <w:rFonts w:ascii="Verdana" w:eastAsia="Century Gothic" w:hAnsi="Verdana"/>
          <w:color w:val="2D659A"/>
          <w:szCs w:val="20"/>
        </w:rPr>
        <w:t>We believe that the current practice of investment funds of monthly providing disclosure on the 10 top performer investments (instead of the 25 top proposed by the draft RTS) is sufficient.</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lastRenderedPageBreak/>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3B6B7296" w14:textId="77777777" w:rsidR="00AC7597" w:rsidRPr="00D34E5C" w:rsidRDefault="00AC7597" w:rsidP="00AC7597">
      <w:pPr>
        <w:suppressAutoHyphens/>
        <w:spacing w:after="120"/>
        <w:jc w:val="both"/>
        <w:rPr>
          <w:rFonts w:ascii="Verdana" w:eastAsia="Century Gothic" w:hAnsi="Verdana"/>
          <w:b/>
          <w:bCs/>
          <w:color w:val="2D659A"/>
          <w:szCs w:val="20"/>
        </w:rPr>
      </w:pPr>
      <w:permStart w:id="374105505" w:edGrp="everyone"/>
      <w:r w:rsidRPr="00D34E5C">
        <w:rPr>
          <w:rFonts w:ascii="Verdana" w:eastAsia="Century Gothic" w:hAnsi="Verdana"/>
          <w:b/>
          <w:bCs/>
          <w:color w:val="2D659A"/>
          <w:szCs w:val="20"/>
        </w:rPr>
        <w:t xml:space="preserve">a) an indication of any commitment of a minimum reduction rate of the investments (sometimes referred to as the “investable universe”) considered prior to the application of the investment strategy – in the draft RTS below it is in the pre-contractual disclosure Articles 17(b) and 26(b); </w:t>
      </w:r>
    </w:p>
    <w:p w14:paraId="2417AFF2"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Website</w:t>
      </w:r>
    </w:p>
    <w:p w14:paraId="3BC5AD62" w14:textId="77777777" w:rsidR="00AC7597" w:rsidRPr="00D34E5C" w:rsidRDefault="00AC7597" w:rsidP="00AC7597">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b) a short description of the policy to assess good governance practices of the investee companies – in the draft RTS below it is in pre-contractual disclosure Articles 17(c) and 26(c);</w:t>
      </w:r>
    </w:p>
    <w:p w14:paraId="2999539B"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Website</w:t>
      </w:r>
    </w:p>
    <w:p w14:paraId="7A293453" w14:textId="77777777" w:rsidR="00AC7597" w:rsidRPr="00D34E5C" w:rsidRDefault="00AC7597" w:rsidP="00AC7597">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 xml:space="preserve">c) a description of the limitations to </w:t>
      </w:r>
    </w:p>
    <w:p w14:paraId="19C95E3F" w14:textId="77777777" w:rsidR="00AC7597" w:rsidRPr="00D34E5C" w:rsidRDefault="00AC7597" w:rsidP="00AC7597">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 xml:space="preserve">(1) methodologies and </w:t>
      </w:r>
    </w:p>
    <w:p w14:paraId="5D3167BC" w14:textId="77777777" w:rsidR="00AC7597" w:rsidRPr="00D34E5C" w:rsidRDefault="00AC7597" w:rsidP="00AC7597">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 xml:space="preserve">(2) data sources and how such limitations do not affect the attainment of any environmental or social characteristics or sustainable investment objective of the financial product – in the draft RTS below it is in the website disclosure under Article 34(1)(k) and Article 35(1)(k); </w:t>
      </w:r>
    </w:p>
    <w:p w14:paraId="4B6570C3"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Website</w:t>
      </w:r>
    </w:p>
    <w:p w14:paraId="0DA3BE09" w14:textId="77777777" w:rsidR="00AC7597" w:rsidRPr="00D34E5C" w:rsidRDefault="00AC7597" w:rsidP="00AC7597">
      <w:pPr>
        <w:suppressAutoHyphens/>
        <w:spacing w:after="120"/>
        <w:jc w:val="both"/>
        <w:rPr>
          <w:rFonts w:ascii="Verdana" w:eastAsia="Century Gothic" w:hAnsi="Verdana"/>
          <w:b/>
          <w:bCs/>
          <w:color w:val="2D659A"/>
          <w:szCs w:val="20"/>
        </w:rPr>
      </w:pPr>
      <w:r w:rsidRPr="00D34E5C">
        <w:rPr>
          <w:rFonts w:ascii="Verdana" w:eastAsia="Century Gothic" w:hAnsi="Verdana"/>
          <w:b/>
          <w:bCs/>
          <w:color w:val="2D659A"/>
          <w:szCs w:val="20"/>
        </w:rPr>
        <w:t xml:space="preserve">d) a reference to whether data sources are external or internal and in what proportions – not currently reflected in the draft RTS but could complement the pre-contractual disclosures under Article 17. </w:t>
      </w:r>
    </w:p>
    <w:p w14:paraId="5DBE26E6" w14:textId="77777777" w:rsidR="00AC7597" w:rsidRPr="00D34E5C" w:rsidRDefault="00AC7597" w:rsidP="00AC7597">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Website</w:t>
      </w:r>
    </w:p>
    <w:p w14:paraId="62E73845" w14:textId="77777777" w:rsidR="00AC7597" w:rsidRPr="00C53391" w:rsidRDefault="00AC7597" w:rsidP="00AC7597">
      <w:pPr>
        <w:jc w:val="both"/>
        <w:rPr>
          <w:rFonts w:ascii="Verdana" w:eastAsia="Century Gothic" w:hAnsi="Verdana"/>
          <w:color w:val="2D659A"/>
          <w:szCs w:val="20"/>
        </w:rPr>
      </w:pPr>
      <w:r w:rsidRPr="00C53391">
        <w:rPr>
          <w:rFonts w:ascii="Verdana" w:eastAsia="Century Gothic" w:hAnsi="Verdana"/>
          <w:color w:val="2D659A"/>
          <w:szCs w:val="20"/>
        </w:rPr>
        <w:t xml:space="preserve">The question suggests that pre-contractual and website are contradictions, whilst we believe pre-contractual information can be pre-eminently published through the website. Since the introduction to the question refers to Article 6 (3) of the Disclosure Regulation, we suspect that the word pre-contractual information was used to refer to retail information documents, such as the UCITS KIID and PRIIPS KID. </w:t>
      </w:r>
    </w:p>
    <w:p w14:paraId="5B668C6D" w14:textId="77777777" w:rsidR="00AC7597" w:rsidRPr="00C53391" w:rsidRDefault="00AC7597" w:rsidP="00AC7597">
      <w:pPr>
        <w:jc w:val="both"/>
        <w:rPr>
          <w:rFonts w:ascii="Verdana" w:eastAsia="Century Gothic" w:hAnsi="Verdana"/>
          <w:color w:val="2D659A"/>
          <w:szCs w:val="20"/>
        </w:rPr>
      </w:pPr>
      <w:r w:rsidRPr="00C53391">
        <w:rPr>
          <w:rFonts w:ascii="Verdana" w:eastAsia="Century Gothic" w:hAnsi="Verdana"/>
          <w:color w:val="2D659A"/>
          <w:szCs w:val="20"/>
        </w:rPr>
        <w:t xml:space="preserve">However, there is no such document for DPM. The information obligations for </w:t>
      </w:r>
      <w:r>
        <w:rPr>
          <w:rFonts w:ascii="Verdana" w:eastAsia="Century Gothic" w:hAnsi="Verdana"/>
          <w:color w:val="2D659A"/>
          <w:szCs w:val="20"/>
        </w:rPr>
        <w:t>Discretionary Portfolio Management (DPM)</w:t>
      </w:r>
      <w:r w:rsidRPr="00C53391">
        <w:rPr>
          <w:rFonts w:ascii="Verdana" w:eastAsia="Century Gothic" w:hAnsi="Verdana"/>
          <w:color w:val="2D659A"/>
          <w:szCs w:val="20"/>
        </w:rPr>
        <w:t xml:space="preserve"> are set out in Article 24 paragraph 4 MiFID II, which is elaborated in, inter alia, Articles 46 - 51 Delegated Regulation 2017/565. Banks offering DPM have worked this out in an agreement. If that is now possible on the website, that could be beneficial. For the bank therefore, these questions seem irrelevant. </w:t>
      </w:r>
    </w:p>
    <w:p w14:paraId="082617E1" w14:textId="77777777" w:rsidR="00AC7597" w:rsidRPr="00C53391" w:rsidRDefault="00AC7597" w:rsidP="00AC7597">
      <w:pPr>
        <w:jc w:val="both"/>
        <w:rPr>
          <w:rFonts w:ascii="Verdana" w:eastAsia="Century Gothic" w:hAnsi="Verdana"/>
          <w:color w:val="2D659A"/>
          <w:szCs w:val="20"/>
        </w:rPr>
      </w:pPr>
      <w:r w:rsidRPr="00C53391">
        <w:rPr>
          <w:rFonts w:ascii="Verdana" w:eastAsia="Century Gothic" w:hAnsi="Verdana"/>
          <w:color w:val="2D659A"/>
          <w:szCs w:val="20"/>
        </w:rPr>
        <w:t xml:space="preserve">We assume most FMP’s buy the data and therefore don’t have to look up in the KID or on the website and therefore have no specific preference. </w:t>
      </w:r>
    </w:p>
    <w:p w14:paraId="386EC3E4" w14:textId="77777777" w:rsidR="00AC7597" w:rsidRPr="00C53391" w:rsidRDefault="00AC7597" w:rsidP="00AC7597">
      <w:pPr>
        <w:jc w:val="both"/>
        <w:rPr>
          <w:rFonts w:ascii="Verdana" w:eastAsia="Century Gothic" w:hAnsi="Verdana"/>
          <w:color w:val="2D659A"/>
          <w:szCs w:val="20"/>
        </w:rPr>
      </w:pPr>
      <w:r w:rsidRPr="00C53391">
        <w:rPr>
          <w:rFonts w:ascii="Verdana" w:eastAsia="Century Gothic" w:hAnsi="Verdana"/>
          <w:color w:val="2D659A"/>
          <w:szCs w:val="20"/>
        </w:rPr>
        <w:lastRenderedPageBreak/>
        <w:t>In order to keep the information documents accessible to the retail investor, we believe it would be obvious to answer all questions with the website:</w:t>
      </w:r>
    </w:p>
    <w:p w14:paraId="0C5DE1AA" w14:textId="77777777" w:rsidR="00AC7597" w:rsidRPr="00C53391" w:rsidRDefault="00AC7597" w:rsidP="001313EE">
      <w:pPr>
        <w:numPr>
          <w:ilvl w:val="0"/>
          <w:numId w:val="42"/>
        </w:numPr>
        <w:suppressAutoHyphens/>
        <w:spacing w:after="120"/>
        <w:jc w:val="both"/>
        <w:rPr>
          <w:rFonts w:ascii="Verdana" w:eastAsia="Century Gothic" w:hAnsi="Verdana"/>
          <w:color w:val="2D659A"/>
          <w:szCs w:val="20"/>
        </w:rPr>
      </w:pPr>
      <w:r w:rsidRPr="00C53391">
        <w:rPr>
          <w:rFonts w:ascii="Verdana" w:eastAsia="Century Gothic" w:hAnsi="Verdana"/>
          <w:color w:val="2D659A"/>
          <w:szCs w:val="20"/>
        </w:rPr>
        <w:t>an indication of any commitment of a minimum reduction rate of the investments (sometimes referred to as the “investable universe”) considered prior to the application of the investment strategy - in the draft RTS below it is in the pre-contractual disclosure Articles 17 (b) and 26 (b);</w:t>
      </w:r>
    </w:p>
    <w:p w14:paraId="08A6F673" w14:textId="77777777" w:rsidR="00AC7597" w:rsidRPr="00C53391" w:rsidRDefault="00AC7597" w:rsidP="001313EE">
      <w:pPr>
        <w:numPr>
          <w:ilvl w:val="0"/>
          <w:numId w:val="42"/>
        </w:numPr>
        <w:suppressAutoHyphens/>
        <w:spacing w:after="120"/>
        <w:jc w:val="both"/>
        <w:rPr>
          <w:rFonts w:ascii="Verdana" w:eastAsia="Century Gothic" w:hAnsi="Verdana"/>
          <w:color w:val="2D659A"/>
          <w:szCs w:val="20"/>
        </w:rPr>
      </w:pPr>
      <w:r w:rsidRPr="00C53391">
        <w:rPr>
          <w:rFonts w:ascii="Verdana" w:eastAsia="Century Gothic" w:hAnsi="Verdana"/>
          <w:color w:val="2D659A"/>
          <w:szCs w:val="20"/>
        </w:rPr>
        <w:t>a short description of the policy to assess good governance practices of the investee companies - in the draft RTS below it is in pre-contractual disclosure Articles 17 (c) and 26 (c);</w:t>
      </w:r>
    </w:p>
    <w:p w14:paraId="08495C64" w14:textId="77777777" w:rsidR="00AC7597" w:rsidRPr="00C53391" w:rsidRDefault="00AC7597" w:rsidP="001313EE">
      <w:pPr>
        <w:numPr>
          <w:ilvl w:val="0"/>
          <w:numId w:val="42"/>
        </w:numPr>
        <w:suppressAutoHyphens/>
        <w:spacing w:after="120"/>
        <w:jc w:val="both"/>
        <w:rPr>
          <w:rFonts w:ascii="Verdana" w:eastAsia="Century Gothic" w:hAnsi="Verdana"/>
          <w:color w:val="2D659A"/>
          <w:szCs w:val="20"/>
        </w:rPr>
      </w:pPr>
      <w:r w:rsidRPr="00C53391">
        <w:rPr>
          <w:rFonts w:ascii="Verdana" w:eastAsia="Century Gothic" w:hAnsi="Verdana"/>
          <w:color w:val="2D659A"/>
          <w:szCs w:val="20"/>
        </w:rP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 (1) (k) and Article 35 (1) (k); and</w:t>
      </w:r>
    </w:p>
    <w:p w14:paraId="016A2E2A" w14:textId="77777777" w:rsidR="00AC7597" w:rsidRPr="00C53391" w:rsidRDefault="00AC7597" w:rsidP="001313EE">
      <w:pPr>
        <w:numPr>
          <w:ilvl w:val="0"/>
          <w:numId w:val="42"/>
        </w:numPr>
        <w:suppressAutoHyphens/>
        <w:spacing w:after="120"/>
        <w:jc w:val="both"/>
        <w:rPr>
          <w:rFonts w:ascii="Verdana" w:eastAsia="Century Gothic" w:hAnsi="Verdana"/>
          <w:color w:val="2D659A"/>
          <w:szCs w:val="20"/>
        </w:rPr>
      </w:pPr>
      <w:r w:rsidRPr="00C53391">
        <w:rPr>
          <w:rFonts w:ascii="Verdana" w:eastAsia="Century Gothic" w:hAnsi="Verdana"/>
          <w:color w:val="2D659A"/>
          <w:szCs w:val="20"/>
        </w:rPr>
        <w:t>a reference to whether data sources are external or internal and in what proportions - not currently reflected in the draft RTS but could complement the pre-contractual disclosures under Article 17.</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46066C14" w14:textId="77777777" w:rsidR="00AC7597" w:rsidRPr="00D34E5C" w:rsidRDefault="00AC7597" w:rsidP="00AC7597">
      <w:pPr>
        <w:suppressAutoHyphens/>
        <w:autoSpaceDE w:val="0"/>
        <w:autoSpaceDN w:val="0"/>
        <w:adjustRightInd w:val="0"/>
        <w:spacing w:after="120"/>
        <w:jc w:val="both"/>
        <w:rPr>
          <w:rFonts w:ascii="Verdana" w:eastAsia="Century Gothic" w:hAnsi="Verdana"/>
          <w:color w:val="2D659A"/>
          <w:szCs w:val="20"/>
        </w:rPr>
      </w:pPr>
      <w:permStart w:id="624894902" w:edGrp="everyone"/>
      <w:r w:rsidRPr="00D34E5C">
        <w:rPr>
          <w:rFonts w:ascii="Verdana" w:eastAsia="Century Gothic" w:hAnsi="Verdana"/>
          <w:color w:val="2D659A"/>
          <w:szCs w:val="20"/>
        </w:rPr>
        <w:t>First of all, we believe it would be necessary to clarify at regulatory level the conditions under which the use of derivatives can be considered sustainable (“admitted derivatives”</w:t>
      </w:r>
      <w:r>
        <w:rPr>
          <w:rFonts w:ascii="Verdana" w:eastAsia="Century Gothic" w:hAnsi="Verdana"/>
          <w:color w:val="2D659A"/>
          <w:szCs w:val="20"/>
        </w:rPr>
        <w:t xml:space="preserve">) and – more in general – the scope. </w:t>
      </w:r>
    </w:p>
    <w:p w14:paraId="7F6D0B23" w14:textId="77777777" w:rsidR="00AC7597" w:rsidRPr="00D34E5C" w:rsidRDefault="00AC7597" w:rsidP="00AC7597">
      <w:pPr>
        <w:suppressAutoHyphens/>
        <w:autoSpaceDE w:val="0"/>
        <w:autoSpaceDN w:val="0"/>
        <w:adjustRightInd w:val="0"/>
        <w:spacing w:after="120"/>
        <w:jc w:val="both"/>
        <w:rPr>
          <w:rFonts w:ascii="Verdana" w:eastAsia="Century Gothic" w:hAnsi="Verdana"/>
          <w:color w:val="2D659A"/>
          <w:szCs w:val="20"/>
        </w:rPr>
      </w:pPr>
      <w:r w:rsidRPr="00D34E5C">
        <w:rPr>
          <w:rFonts w:ascii="Verdana" w:eastAsia="Century Gothic" w:hAnsi="Verdana"/>
          <w:color w:val="2D659A"/>
          <w:szCs w:val="20"/>
        </w:rPr>
        <w:t>Regarding the way to disclose the admitted derivatives which have been used, we believe that a separate information would be preferable.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098C034C" w14:textId="77777777" w:rsidR="00AC7597" w:rsidRPr="00D34E5C" w:rsidRDefault="00AC7597" w:rsidP="00366DF2">
      <w:pPr>
        <w:suppressAutoHyphens/>
        <w:spacing w:after="120"/>
        <w:jc w:val="both"/>
        <w:rPr>
          <w:rFonts w:ascii="Verdana" w:eastAsia="Century Gothic" w:hAnsi="Verdana"/>
          <w:color w:val="2D659A"/>
          <w:szCs w:val="20"/>
        </w:rPr>
      </w:pPr>
      <w:permStart w:id="1007688109" w:edGrp="everyone"/>
      <w:r w:rsidRPr="00D34E5C">
        <w:rPr>
          <w:rFonts w:ascii="Verdana" w:eastAsia="Century Gothic" w:hAnsi="Verdana"/>
          <w:color w:val="2D659A"/>
          <w:szCs w:val="20"/>
        </w:rPr>
        <w:t>In targeted interviews the Commission asked FMP’s about costs of integrating ESG considerations. Only six firms provided numbers on the prospective costs of ESG integration. First of all, n=6 is not a significant analysis.</w:t>
      </w:r>
      <w:r>
        <w:rPr>
          <w:rFonts w:ascii="Verdana" w:eastAsia="Century Gothic" w:hAnsi="Verdana"/>
          <w:color w:val="2D659A"/>
          <w:szCs w:val="20"/>
        </w:rPr>
        <w:t xml:space="preserve"> Furthermore, the ESA’s analysis did not include all ESG aspects that have been presented in this consultation paper. </w:t>
      </w:r>
      <w:r w:rsidRPr="00D34E5C">
        <w:rPr>
          <w:rFonts w:ascii="Verdana" w:eastAsia="Century Gothic" w:hAnsi="Verdana"/>
          <w:color w:val="2D659A"/>
          <w:szCs w:val="20"/>
        </w:rPr>
        <w:t>The ranges of total costs</w:t>
      </w:r>
      <w:r>
        <w:rPr>
          <w:rFonts w:ascii="Verdana" w:eastAsia="Century Gothic" w:hAnsi="Verdana"/>
          <w:color w:val="2D659A"/>
          <w:szCs w:val="20"/>
        </w:rPr>
        <w:t xml:space="preserve"> SFDR costs</w:t>
      </w:r>
      <w:r w:rsidRPr="00D34E5C">
        <w:rPr>
          <w:rFonts w:ascii="Verdana" w:eastAsia="Century Gothic" w:hAnsi="Verdana"/>
          <w:color w:val="2D659A"/>
          <w:szCs w:val="20"/>
        </w:rPr>
        <w:t xml:space="preserve"> are estimated between maximum 0.0001% to maximum 0.0003%. In our view, this is a complete unrealistic, and misleading estimation.</w:t>
      </w:r>
    </w:p>
    <w:p w14:paraId="5B672877" w14:textId="77777777" w:rsidR="00AC7597" w:rsidRPr="00D34E5C" w:rsidRDefault="00AC7597" w:rsidP="00366DF2">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 xml:space="preserve">As often noted, guidance on costs (with subsequent hard data) is almost impossible – for example, burdens borne by banks might change sales policies, which in effect impacts clients. Like ESG adverse impacts, there is no data quantifying burdens on a monetary scale. It is therefore impossible to state that on a maximum the costs to integrate ESG consideration would amount to 0.0003%. </w:t>
      </w:r>
    </w:p>
    <w:p w14:paraId="1F883D5E" w14:textId="77777777" w:rsidR="00AC7597" w:rsidRPr="00D34E5C" w:rsidRDefault="00AC7597" w:rsidP="00366DF2">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lastRenderedPageBreak/>
        <w:t>According to EFAMA the ‘European AUM’ accounted in 2018 for around 23.1 trillion euro.</w:t>
      </w:r>
      <w:r w:rsidRPr="00D34E5C">
        <w:rPr>
          <w:rFonts w:ascii="Verdana" w:eastAsia="Century Gothic" w:hAnsi="Verdana"/>
          <w:color w:val="2D659A"/>
          <w:szCs w:val="20"/>
          <w:vertAlign w:val="superscript"/>
        </w:rPr>
        <w:footnoteReference w:id="12"/>
      </w:r>
      <w:r w:rsidRPr="00D34E5C">
        <w:rPr>
          <w:rFonts w:ascii="Verdana" w:eastAsia="Century Gothic" w:hAnsi="Verdana"/>
          <w:color w:val="2D659A"/>
          <w:szCs w:val="20"/>
        </w:rPr>
        <w:t xml:space="preserve"> Even if costs would only – at maximum – amount to 0.0003% of AUM, this would - in the analysis of the ESA’s - mean that total costs could to process and report adverse impacts rise to a staggering 6.9 billion euro throughout Europe. </w:t>
      </w:r>
    </w:p>
    <w:p w14:paraId="48A6F459" w14:textId="77777777" w:rsidR="00AC7597" w:rsidRDefault="00AC7597" w:rsidP="00366DF2">
      <w:pPr>
        <w:jc w:val="both"/>
        <w:rPr>
          <w:rFonts w:ascii="Verdana" w:eastAsia="Century Gothic" w:hAnsi="Verdana"/>
          <w:color w:val="2D659A"/>
          <w:szCs w:val="20"/>
        </w:rPr>
      </w:pPr>
      <w:r w:rsidRPr="00C960DC">
        <w:rPr>
          <w:rFonts w:ascii="Verdana" w:eastAsia="Century Gothic" w:hAnsi="Verdana"/>
          <w:color w:val="2D659A"/>
          <w:szCs w:val="20"/>
        </w:rPr>
        <w:t xml:space="preserve">Ongoing compliance costs will probably account for an even bigger burden: as most of the EU Action Plan on Financing a Sustainable Growth (like the NFRD, or Taxonomy) is far from incomplete, FMP’s that are subjected to the SFDR (and other regulations) will most likely face significant costs of re-implementation once EU policies change. </w:t>
      </w:r>
    </w:p>
    <w:p w14:paraId="47F8D2D2" w14:textId="77777777" w:rsidR="00AC7597" w:rsidRPr="00C960DC" w:rsidRDefault="00AC7597" w:rsidP="00366DF2">
      <w:pPr>
        <w:jc w:val="both"/>
        <w:rPr>
          <w:rFonts w:ascii="Verdana" w:eastAsia="Century Gothic" w:hAnsi="Verdana"/>
          <w:color w:val="2D659A"/>
          <w:szCs w:val="20"/>
        </w:rPr>
      </w:pPr>
    </w:p>
    <w:p w14:paraId="2FBCAFFC" w14:textId="77777777" w:rsidR="00AC7597" w:rsidRPr="00D34E5C" w:rsidRDefault="00AC7597" w:rsidP="00366DF2">
      <w:pPr>
        <w:suppressAutoHyphens/>
        <w:jc w:val="both"/>
        <w:rPr>
          <w:rFonts w:ascii="Verdana" w:eastAsia="Century Gothic" w:hAnsi="Verdana"/>
          <w:color w:val="2D659A"/>
          <w:szCs w:val="20"/>
        </w:rPr>
      </w:pPr>
      <w:r>
        <w:rPr>
          <w:rFonts w:ascii="Verdana" w:eastAsia="Century Gothic" w:hAnsi="Verdana"/>
          <w:color w:val="2D659A"/>
          <w:szCs w:val="20"/>
        </w:rPr>
        <w:t>An i</w:t>
      </w:r>
      <w:r w:rsidRPr="00D34E5C">
        <w:rPr>
          <w:rFonts w:ascii="Verdana" w:eastAsia="Century Gothic" w:hAnsi="Verdana"/>
          <w:color w:val="2D659A"/>
          <w:szCs w:val="20"/>
        </w:rPr>
        <w:t>mpact assessment of a medium-sized bank</w:t>
      </w:r>
      <w:r>
        <w:rPr>
          <w:rFonts w:ascii="Verdana" w:eastAsia="Century Gothic" w:hAnsi="Verdana"/>
          <w:color w:val="2D659A"/>
          <w:szCs w:val="20"/>
        </w:rPr>
        <w:t xml:space="preserve"> could learn us the following</w:t>
      </w:r>
      <w:r w:rsidRPr="00D34E5C">
        <w:rPr>
          <w:rFonts w:ascii="Verdana" w:eastAsia="Century Gothic" w:hAnsi="Verdana"/>
          <w:color w:val="2D659A"/>
          <w:szCs w:val="20"/>
        </w:rPr>
        <w:t>:</w:t>
      </w:r>
    </w:p>
    <w:p w14:paraId="74B82D63" w14:textId="77777777" w:rsidR="00AC7597" w:rsidRPr="00D34E5C" w:rsidRDefault="00AC7597" w:rsidP="001313EE">
      <w:pPr>
        <w:numPr>
          <w:ilvl w:val="0"/>
          <w:numId w:val="63"/>
        </w:numPr>
        <w:suppressAutoHyphens/>
        <w:jc w:val="both"/>
        <w:rPr>
          <w:rFonts w:ascii="Verdana" w:eastAsia="Century Gothic" w:hAnsi="Verdana"/>
          <w:color w:val="2D659A"/>
          <w:szCs w:val="20"/>
        </w:rPr>
      </w:pPr>
      <w:r w:rsidRPr="00D34E5C">
        <w:rPr>
          <w:rFonts w:ascii="Verdana" w:eastAsia="Century Gothic" w:hAnsi="Verdana"/>
          <w:color w:val="2D659A"/>
          <w:szCs w:val="20"/>
        </w:rPr>
        <w:t>Data costs: significant (i.e. 1 million €, depending on Annex I, II and III)</w:t>
      </w:r>
    </w:p>
    <w:p w14:paraId="58B21CCF" w14:textId="77777777" w:rsidR="00AC7597" w:rsidRPr="00D34E5C" w:rsidRDefault="00AC7597" w:rsidP="001313EE">
      <w:pPr>
        <w:numPr>
          <w:ilvl w:val="0"/>
          <w:numId w:val="63"/>
        </w:numPr>
        <w:suppressAutoHyphens/>
        <w:jc w:val="both"/>
        <w:rPr>
          <w:rFonts w:ascii="Verdana" w:eastAsia="Century Gothic" w:hAnsi="Verdana"/>
          <w:color w:val="2D659A"/>
          <w:szCs w:val="20"/>
        </w:rPr>
      </w:pPr>
      <w:r w:rsidRPr="00D34E5C">
        <w:rPr>
          <w:rFonts w:ascii="Verdana" w:eastAsia="Century Gothic" w:hAnsi="Verdana"/>
          <w:color w:val="2D659A"/>
          <w:szCs w:val="20"/>
        </w:rPr>
        <w:t>Editing and publishing the data (1 FTE per year)</w:t>
      </w:r>
    </w:p>
    <w:p w14:paraId="44081621" w14:textId="77777777" w:rsidR="00AC7597" w:rsidRPr="00D34E5C" w:rsidRDefault="00AC7597" w:rsidP="001313EE">
      <w:pPr>
        <w:numPr>
          <w:ilvl w:val="0"/>
          <w:numId w:val="63"/>
        </w:numPr>
        <w:suppressAutoHyphens/>
        <w:jc w:val="both"/>
        <w:rPr>
          <w:rFonts w:ascii="Verdana" w:eastAsia="Century Gothic" w:hAnsi="Verdana"/>
          <w:color w:val="2D659A"/>
          <w:szCs w:val="20"/>
        </w:rPr>
      </w:pPr>
      <w:r w:rsidRPr="00D34E5C">
        <w:rPr>
          <w:rFonts w:ascii="Verdana" w:eastAsia="Century Gothic" w:hAnsi="Verdana"/>
          <w:color w:val="2D659A"/>
          <w:szCs w:val="20"/>
        </w:rPr>
        <w:t>Keeping the site up to date with all transparency obligations (0.5 FTE per year)</w:t>
      </w:r>
    </w:p>
    <w:p w14:paraId="0545BD2B" w14:textId="77777777" w:rsidR="00AC7597" w:rsidRPr="00D34E5C" w:rsidRDefault="00AC7597" w:rsidP="001313EE">
      <w:pPr>
        <w:numPr>
          <w:ilvl w:val="0"/>
          <w:numId w:val="63"/>
        </w:numPr>
        <w:suppressAutoHyphens/>
        <w:jc w:val="both"/>
        <w:rPr>
          <w:rFonts w:ascii="Verdana" w:eastAsia="Century Gothic" w:hAnsi="Verdana"/>
          <w:color w:val="2D659A"/>
          <w:szCs w:val="20"/>
        </w:rPr>
      </w:pPr>
      <w:r w:rsidRPr="00D34E5C">
        <w:rPr>
          <w:rFonts w:ascii="Verdana" w:eastAsia="Century Gothic" w:hAnsi="Verdana"/>
          <w:color w:val="2D659A"/>
          <w:szCs w:val="20"/>
        </w:rPr>
        <w:t>Integrating climate risks into the analysis (1 FTE per year)</w:t>
      </w:r>
    </w:p>
    <w:p w14:paraId="5F76D18B" w14:textId="77777777" w:rsidR="00AC7597" w:rsidRPr="00D34E5C" w:rsidRDefault="00AC7597" w:rsidP="001313EE">
      <w:pPr>
        <w:numPr>
          <w:ilvl w:val="0"/>
          <w:numId w:val="63"/>
        </w:numPr>
        <w:suppressAutoHyphens/>
        <w:jc w:val="both"/>
        <w:rPr>
          <w:rFonts w:ascii="Verdana" w:eastAsia="Century Gothic" w:hAnsi="Verdana"/>
          <w:color w:val="2D659A"/>
          <w:szCs w:val="20"/>
        </w:rPr>
      </w:pPr>
      <w:r w:rsidRPr="00D34E5C">
        <w:rPr>
          <w:rFonts w:ascii="Verdana" w:eastAsia="Century Gothic" w:hAnsi="Verdana"/>
          <w:color w:val="2D659A"/>
          <w:szCs w:val="20"/>
        </w:rPr>
        <w:t>Obligations as an asset manager (0.5 FTE per year)</w:t>
      </w:r>
    </w:p>
    <w:p w14:paraId="6C51A0CD" w14:textId="77777777" w:rsidR="00AC7597" w:rsidRPr="00D34E5C" w:rsidRDefault="00AC7597" w:rsidP="001313EE">
      <w:pPr>
        <w:numPr>
          <w:ilvl w:val="0"/>
          <w:numId w:val="63"/>
        </w:numPr>
        <w:suppressAutoHyphens/>
        <w:jc w:val="both"/>
        <w:rPr>
          <w:rFonts w:ascii="Verdana" w:eastAsia="Century Gothic" w:hAnsi="Verdana"/>
          <w:color w:val="2D659A"/>
          <w:szCs w:val="20"/>
        </w:rPr>
      </w:pPr>
      <w:r w:rsidRPr="00D34E5C">
        <w:rPr>
          <w:rFonts w:ascii="Verdana" w:eastAsia="Century Gothic" w:hAnsi="Verdana"/>
          <w:color w:val="2D659A"/>
          <w:szCs w:val="20"/>
        </w:rPr>
        <w:t>Compliance with regulations (0.5 FTE per year)</w:t>
      </w:r>
    </w:p>
    <w:p w14:paraId="1292DA7A" w14:textId="77777777" w:rsidR="00AC7597" w:rsidRDefault="00AC7597" w:rsidP="00366DF2">
      <w:pPr>
        <w:suppressAutoHyphens/>
        <w:jc w:val="both"/>
        <w:rPr>
          <w:rFonts w:ascii="Verdana" w:eastAsia="Century Gothic" w:hAnsi="Verdana"/>
          <w:color w:val="2D659A"/>
          <w:szCs w:val="20"/>
        </w:rPr>
      </w:pPr>
    </w:p>
    <w:p w14:paraId="26D4337E" w14:textId="77777777" w:rsidR="00AC7597" w:rsidRPr="00D34E5C" w:rsidRDefault="00AC7597" w:rsidP="00366DF2">
      <w:pPr>
        <w:suppressAutoHyphens/>
        <w:jc w:val="both"/>
        <w:rPr>
          <w:rFonts w:ascii="Verdana" w:eastAsia="Century Gothic" w:hAnsi="Verdana"/>
          <w:color w:val="2D659A"/>
          <w:szCs w:val="20"/>
        </w:rPr>
      </w:pPr>
      <w:r w:rsidRPr="00D34E5C">
        <w:rPr>
          <w:rFonts w:ascii="Verdana" w:eastAsia="Century Gothic" w:hAnsi="Verdana"/>
          <w:color w:val="2D659A"/>
          <w:szCs w:val="20"/>
        </w:rPr>
        <w:t>One-off costs for implementation:</w:t>
      </w:r>
    </w:p>
    <w:p w14:paraId="35C832F4" w14:textId="77777777" w:rsidR="00AC7597" w:rsidRPr="00D34E5C" w:rsidRDefault="00AC7597" w:rsidP="001313EE">
      <w:pPr>
        <w:numPr>
          <w:ilvl w:val="0"/>
          <w:numId w:val="63"/>
        </w:numPr>
        <w:suppressAutoHyphens/>
        <w:jc w:val="both"/>
        <w:rPr>
          <w:rFonts w:ascii="Verdana" w:eastAsia="Century Gothic" w:hAnsi="Verdana"/>
          <w:color w:val="2D659A"/>
          <w:szCs w:val="20"/>
        </w:rPr>
      </w:pPr>
      <w:r w:rsidRPr="00D34E5C">
        <w:rPr>
          <w:rFonts w:ascii="Verdana" w:eastAsia="Century Gothic" w:hAnsi="Verdana"/>
          <w:color w:val="2D659A"/>
          <w:szCs w:val="20"/>
        </w:rPr>
        <w:t>Adjusting processes (4 FTE)</w:t>
      </w:r>
    </w:p>
    <w:p w14:paraId="5C578DBC" w14:textId="77777777" w:rsidR="00AC7597" w:rsidRDefault="00AC7597" w:rsidP="001313EE">
      <w:pPr>
        <w:numPr>
          <w:ilvl w:val="0"/>
          <w:numId w:val="63"/>
        </w:numPr>
        <w:suppressAutoHyphens/>
        <w:jc w:val="both"/>
        <w:rPr>
          <w:rFonts w:ascii="Verdana" w:eastAsia="Century Gothic" w:hAnsi="Verdana"/>
          <w:color w:val="2D659A"/>
          <w:szCs w:val="20"/>
        </w:rPr>
      </w:pPr>
      <w:r w:rsidRPr="00D34E5C">
        <w:rPr>
          <w:rFonts w:ascii="Verdana" w:eastAsia="Century Gothic" w:hAnsi="Verdana"/>
          <w:color w:val="2D659A"/>
          <w:szCs w:val="20"/>
        </w:rPr>
        <w:t>Coordination adjustments (2 FTE)</w:t>
      </w:r>
    </w:p>
    <w:p w14:paraId="25E54FFF" w14:textId="77777777" w:rsidR="00AC7597" w:rsidRPr="00D34E5C" w:rsidRDefault="00AC7597" w:rsidP="00366DF2">
      <w:pPr>
        <w:suppressAutoHyphens/>
        <w:ind w:left="720"/>
        <w:jc w:val="both"/>
        <w:rPr>
          <w:rFonts w:ascii="Verdana" w:eastAsia="Century Gothic" w:hAnsi="Verdana"/>
          <w:color w:val="2D659A"/>
          <w:szCs w:val="20"/>
        </w:rPr>
      </w:pPr>
    </w:p>
    <w:p w14:paraId="693AB649" w14:textId="77777777" w:rsidR="00AC7597" w:rsidRPr="00D34E5C" w:rsidRDefault="00AC7597" w:rsidP="00366DF2">
      <w:pPr>
        <w:suppressAutoHyphens/>
        <w:spacing w:after="120"/>
        <w:jc w:val="both"/>
        <w:rPr>
          <w:rFonts w:ascii="Verdana" w:eastAsia="Century Gothic" w:hAnsi="Verdana"/>
          <w:color w:val="2D659A"/>
          <w:szCs w:val="20"/>
        </w:rPr>
      </w:pPr>
      <w:r w:rsidRPr="00D34E5C">
        <w:rPr>
          <w:rFonts w:ascii="Verdana" w:eastAsia="Century Gothic" w:hAnsi="Verdana"/>
          <w:color w:val="2D659A"/>
          <w:szCs w:val="20"/>
        </w:rPr>
        <w:t>Furthermore, we would like to highlight that these new requirements could have unintentional consequences. For example, because of behavioural effects, clients could drop out of onboarding processes. Clients could also fear that if costs rise significantly, return will shrink, therefore not deciding to invest. According to ESMA, costs are one of the main detrimental factors to lagging retail investor return.</w:t>
      </w:r>
      <w:r w:rsidRPr="00D34E5C">
        <w:rPr>
          <w:rFonts w:ascii="Verdana" w:eastAsia="Century Gothic" w:hAnsi="Verdana"/>
          <w:color w:val="2D659A"/>
          <w:szCs w:val="20"/>
          <w:vertAlign w:val="superscript"/>
        </w:rPr>
        <w:footnoteReference w:id="13"/>
      </w:r>
    </w:p>
    <w:p w14:paraId="0C5F8952" w14:textId="77777777" w:rsidR="00AC7597" w:rsidRDefault="00AC7597" w:rsidP="003E573C">
      <w:pPr>
        <w:rPr>
          <w:rFonts w:ascii="Verdana" w:eastAsia="Century Gothic" w:hAnsi="Verdana"/>
          <w:color w:val="2D659A"/>
          <w:szCs w:val="20"/>
        </w:rPr>
      </w:pPr>
      <w:r w:rsidRPr="00D34E5C">
        <w:rPr>
          <w:rFonts w:ascii="Verdana" w:eastAsia="Century Gothic" w:hAnsi="Verdana"/>
          <w:color w:val="2D659A"/>
          <w:szCs w:val="20"/>
        </w:rPr>
        <w:t xml:space="preserve">Taken together, non-measurable benefits and high costs in our opinion lead to disproportionate high costs. </w:t>
      </w:r>
    </w:p>
    <w:permEnd w:id="1007688109"/>
    <w:p w14:paraId="60AE9CFD" w14:textId="08825E12"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FCA0D" w14:textId="77777777" w:rsidR="001313EE" w:rsidRDefault="001313EE">
      <w:r>
        <w:separator/>
      </w:r>
    </w:p>
    <w:p w14:paraId="063713F7" w14:textId="77777777" w:rsidR="001313EE" w:rsidRDefault="001313EE"/>
  </w:endnote>
  <w:endnote w:type="continuationSeparator" w:id="0">
    <w:p w14:paraId="165394C1" w14:textId="77777777" w:rsidR="001313EE" w:rsidRDefault="001313EE">
      <w:r>
        <w:continuationSeparator/>
      </w:r>
    </w:p>
    <w:p w14:paraId="1F7E6C6F" w14:textId="77777777" w:rsidR="001313EE" w:rsidRDefault="001313EE"/>
  </w:endnote>
  <w:endnote w:type="continuationNotice" w:id="1">
    <w:p w14:paraId="74B50887" w14:textId="77777777" w:rsidR="001313EE" w:rsidRDefault="00131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1E5DFD" w:rsidRDefault="001E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E5DFD" w:rsidRPr="00616B9B" w14:paraId="6A3CB0EF" w14:textId="77777777" w:rsidTr="00315E96">
      <w:trPr>
        <w:trHeight w:val="284"/>
      </w:trPr>
      <w:tc>
        <w:tcPr>
          <w:tcW w:w="8460" w:type="dxa"/>
        </w:tcPr>
        <w:p w14:paraId="6A3CB0ED" w14:textId="77777777" w:rsidR="001E5DFD" w:rsidRPr="00315E96" w:rsidRDefault="001E5DFD" w:rsidP="00315E96">
          <w:pPr>
            <w:pStyle w:val="00Footer"/>
            <w:rPr>
              <w:lang w:val="fr-FR"/>
            </w:rPr>
          </w:pPr>
        </w:p>
      </w:tc>
      <w:tc>
        <w:tcPr>
          <w:tcW w:w="952" w:type="dxa"/>
        </w:tcPr>
        <w:p w14:paraId="6A3CB0EE" w14:textId="23180CB7" w:rsidR="001E5DFD" w:rsidRPr="00616B9B" w:rsidRDefault="001E5DF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3</w:t>
          </w:r>
          <w:r w:rsidRPr="00616B9B">
            <w:rPr>
              <w:rFonts w:cs="Arial"/>
              <w:noProof/>
              <w:sz w:val="22"/>
              <w:szCs w:val="22"/>
            </w:rPr>
            <w:fldChar w:fldCharType="end"/>
          </w:r>
        </w:p>
      </w:tc>
    </w:tr>
  </w:tbl>
  <w:p w14:paraId="6A3CB0F0" w14:textId="77777777" w:rsidR="001E5DFD" w:rsidRDefault="001E5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1E5DFD" w:rsidRDefault="001E5D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1E5DFD" w:rsidRDefault="001E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90FE2" w14:textId="77777777" w:rsidR="001313EE" w:rsidRDefault="001313EE">
      <w:r>
        <w:separator/>
      </w:r>
    </w:p>
    <w:p w14:paraId="6F03320E" w14:textId="77777777" w:rsidR="001313EE" w:rsidRDefault="001313EE"/>
  </w:footnote>
  <w:footnote w:type="continuationSeparator" w:id="0">
    <w:p w14:paraId="00F57CCA" w14:textId="77777777" w:rsidR="001313EE" w:rsidRDefault="001313EE">
      <w:r>
        <w:continuationSeparator/>
      </w:r>
    </w:p>
    <w:p w14:paraId="64C0FD70" w14:textId="77777777" w:rsidR="001313EE" w:rsidRDefault="001313EE"/>
  </w:footnote>
  <w:footnote w:type="continuationNotice" w:id="1">
    <w:p w14:paraId="38E0E1E6" w14:textId="77777777" w:rsidR="001313EE" w:rsidRDefault="001313EE"/>
  </w:footnote>
  <w:footnote w:id="2">
    <w:p w14:paraId="52F26208" w14:textId="77777777" w:rsidR="001E5DFD" w:rsidRDefault="001E5DFD"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3">
    <w:p w14:paraId="3371DEB3" w14:textId="77777777" w:rsidR="001E5DFD" w:rsidRPr="00C10040" w:rsidRDefault="001E5DFD" w:rsidP="001E5DFD">
      <w:pPr>
        <w:pStyle w:val="FootnoteText"/>
        <w:rPr>
          <w:color w:val="2D659A"/>
          <w:szCs w:val="16"/>
        </w:rPr>
      </w:pPr>
      <w:r w:rsidRPr="00C10040">
        <w:rPr>
          <w:rStyle w:val="FootnoteReference"/>
          <w:color w:val="2D659A"/>
          <w:szCs w:val="16"/>
        </w:rPr>
        <w:footnoteRef/>
      </w:r>
      <w:r w:rsidRPr="00C10040">
        <w:rPr>
          <w:color w:val="2D659A"/>
          <w:szCs w:val="16"/>
        </w:rPr>
        <w:t xml:space="preserve"> Although we also envisaged in our NFRD consultation reaction, that this list is non-exhaustive and – at the moment – not fully sufficient. </w:t>
      </w:r>
    </w:p>
  </w:footnote>
  <w:footnote w:id="4">
    <w:p w14:paraId="45FA9549" w14:textId="77777777" w:rsidR="001E5DFD" w:rsidRPr="00D63609" w:rsidRDefault="001E5DFD" w:rsidP="001E5DFD">
      <w:pPr>
        <w:pStyle w:val="FootnoteText"/>
        <w:rPr>
          <w:color w:val="2F5496"/>
          <w:szCs w:val="16"/>
        </w:rPr>
      </w:pPr>
      <w:r w:rsidRPr="00D63609">
        <w:rPr>
          <w:rStyle w:val="FootnoteReference"/>
          <w:color w:val="2F5496"/>
          <w:szCs w:val="16"/>
        </w:rPr>
        <w:footnoteRef/>
      </w:r>
      <w:r w:rsidRPr="00D63609">
        <w:rPr>
          <w:color w:val="2F5496"/>
          <w:szCs w:val="16"/>
        </w:rPr>
        <w:t xml:space="preserve"> EBF: a centralized register for ESG data in EU: EACB, EBF, EFAMA, ESBG, IE, PE joint letter. (</w:t>
      </w:r>
      <w:hyperlink r:id="rId1" w:history="1">
        <w:r w:rsidRPr="00D63609">
          <w:rPr>
            <w:rStyle w:val="Hyperlink"/>
            <w:color w:val="2F5496"/>
            <w:szCs w:val="16"/>
          </w:rPr>
          <w:t>hyperlink</w:t>
        </w:r>
      </w:hyperlink>
      <w:r w:rsidRPr="00D63609">
        <w:rPr>
          <w:color w:val="2F5496"/>
          <w:szCs w:val="16"/>
        </w:rPr>
        <w:t>)</w:t>
      </w:r>
    </w:p>
  </w:footnote>
  <w:footnote w:id="5">
    <w:p w14:paraId="6ED70C8F" w14:textId="77777777" w:rsidR="001E5DFD" w:rsidRPr="00D63609" w:rsidRDefault="001E5DFD" w:rsidP="001E5DFD">
      <w:pPr>
        <w:pStyle w:val="FootnoteText"/>
        <w:rPr>
          <w:color w:val="2F5496"/>
          <w:szCs w:val="16"/>
        </w:rPr>
      </w:pPr>
      <w:r w:rsidRPr="00D63609">
        <w:rPr>
          <w:rStyle w:val="FootnoteReference"/>
          <w:color w:val="2F5496"/>
          <w:szCs w:val="16"/>
        </w:rPr>
        <w:footnoteRef/>
      </w:r>
      <w:r w:rsidRPr="00D63609">
        <w:rPr>
          <w:color w:val="2F5496"/>
          <w:szCs w:val="16"/>
        </w:rPr>
        <w:t xml:space="preserve"> Please see NFRD CP (p.7-8, </w:t>
      </w:r>
      <w:hyperlink r:id="rId2" w:history="1">
        <w:r w:rsidRPr="00D63609">
          <w:rPr>
            <w:rStyle w:val="Hyperlink"/>
            <w:color w:val="2F5496"/>
            <w:szCs w:val="16"/>
          </w:rPr>
          <w:t>hyperlink</w:t>
        </w:r>
      </w:hyperlink>
      <w:r w:rsidRPr="00D63609">
        <w:rPr>
          <w:color w:val="2F5496"/>
          <w:szCs w:val="16"/>
        </w:rPr>
        <w:t xml:space="preserve">)  </w:t>
      </w:r>
    </w:p>
  </w:footnote>
  <w:footnote w:id="6">
    <w:p w14:paraId="76F4ADA9" w14:textId="77777777" w:rsidR="00AC7597" w:rsidRPr="00615989" w:rsidRDefault="00AC7597" w:rsidP="00AC7597">
      <w:pPr>
        <w:pStyle w:val="Default"/>
        <w:rPr>
          <w:rFonts w:eastAsia="Calibri"/>
          <w:sz w:val="16"/>
          <w:szCs w:val="16"/>
          <w:lang w:val="en-US"/>
        </w:rPr>
      </w:pPr>
      <w:r w:rsidRPr="00615989">
        <w:rPr>
          <w:rStyle w:val="FootnoteReference"/>
          <w:sz w:val="16"/>
          <w:szCs w:val="16"/>
        </w:rPr>
        <w:footnoteRef/>
      </w:r>
      <w:r w:rsidRPr="00AC7597">
        <w:rPr>
          <w:sz w:val="16"/>
          <w:szCs w:val="16"/>
          <w:lang w:val="en-GB"/>
        </w:rPr>
        <w:t xml:space="preserve"> </w:t>
      </w:r>
      <w:r w:rsidRPr="00615989">
        <w:rPr>
          <w:rFonts w:ascii="Verdana" w:hAnsi="Verdana" w:cs="Times New Roman"/>
          <w:color w:val="2D659A"/>
          <w:sz w:val="16"/>
          <w:szCs w:val="16"/>
          <w:lang w:val="en-GB"/>
        </w:rPr>
        <w:t>We believe backward calculations are not required before March 2021, according to RTS Article 6(2)</w:t>
      </w:r>
      <w:r>
        <w:rPr>
          <w:rFonts w:ascii="Verdana" w:hAnsi="Verdana" w:cs="Times New Roman"/>
          <w:color w:val="2D659A"/>
          <w:sz w:val="16"/>
          <w:szCs w:val="16"/>
          <w:lang w:val="en-GB"/>
        </w:rPr>
        <w:t>.</w:t>
      </w:r>
    </w:p>
    <w:p w14:paraId="23B73212" w14:textId="77777777" w:rsidR="00AC7597" w:rsidRDefault="00AC7597" w:rsidP="00AC7597">
      <w:pPr>
        <w:pStyle w:val="FootnoteText"/>
      </w:pPr>
    </w:p>
  </w:footnote>
  <w:footnote w:id="7">
    <w:p w14:paraId="03D6E778" w14:textId="77777777" w:rsidR="00AC7597" w:rsidRPr="00D63609" w:rsidRDefault="00AC7597" w:rsidP="00AC7597">
      <w:pPr>
        <w:pStyle w:val="FootnoteText"/>
        <w:rPr>
          <w:color w:val="2F5496"/>
          <w:szCs w:val="16"/>
        </w:rPr>
      </w:pPr>
      <w:r w:rsidRPr="00D63609">
        <w:rPr>
          <w:rStyle w:val="FootnoteReference"/>
          <w:color w:val="2F5496"/>
        </w:rPr>
        <w:footnoteRef/>
      </w:r>
      <w:r w:rsidRPr="00D63609">
        <w:rPr>
          <w:color w:val="2F5496"/>
        </w:rPr>
        <w:t xml:space="preserve"> </w:t>
      </w:r>
      <w:r w:rsidRPr="00D63609">
        <w:rPr>
          <w:color w:val="2F5496"/>
          <w:szCs w:val="16"/>
        </w:rPr>
        <w:t xml:space="preserve"> Please see NFRD CP (p.7-8, </w:t>
      </w:r>
      <w:hyperlink r:id="rId3" w:history="1">
        <w:r w:rsidRPr="00D63609">
          <w:rPr>
            <w:rStyle w:val="Hyperlink"/>
            <w:color w:val="2F5496"/>
            <w:szCs w:val="16"/>
          </w:rPr>
          <w:t>hyperlink</w:t>
        </w:r>
      </w:hyperlink>
      <w:r w:rsidRPr="00D63609">
        <w:rPr>
          <w:color w:val="2F5496"/>
          <w:szCs w:val="16"/>
        </w:rPr>
        <w:t xml:space="preserve">)  </w:t>
      </w:r>
    </w:p>
    <w:p w14:paraId="667A9054" w14:textId="77777777" w:rsidR="00AC7597" w:rsidRDefault="00AC7597" w:rsidP="00AC7597">
      <w:pPr>
        <w:pStyle w:val="FootnoteText"/>
      </w:pPr>
    </w:p>
  </w:footnote>
  <w:footnote w:id="8">
    <w:p w14:paraId="06FFC707" w14:textId="77777777" w:rsidR="00AC7597" w:rsidRPr="00D63609" w:rsidRDefault="00AC7597" w:rsidP="00AC7597">
      <w:pPr>
        <w:pStyle w:val="FootnoteText"/>
        <w:rPr>
          <w:color w:val="2F5496"/>
          <w:szCs w:val="16"/>
        </w:rPr>
      </w:pPr>
      <w:r w:rsidRPr="00D63609">
        <w:rPr>
          <w:rStyle w:val="FootnoteReference"/>
          <w:color w:val="2F5496"/>
          <w:szCs w:val="16"/>
        </w:rPr>
        <w:footnoteRef/>
      </w:r>
      <w:r w:rsidRPr="00D63609">
        <w:rPr>
          <w:color w:val="2F5496"/>
          <w:szCs w:val="16"/>
        </w:rPr>
        <w:t xml:space="preserve"> ‘The ESG Data challenge’, SSGA march 2019 (</w:t>
      </w:r>
      <w:hyperlink r:id="rId4" w:history="1">
        <w:r w:rsidRPr="00D63609">
          <w:rPr>
            <w:rStyle w:val="Hyperlink"/>
            <w:color w:val="2F5496"/>
            <w:szCs w:val="16"/>
          </w:rPr>
          <w:t>hyperlink</w:t>
        </w:r>
      </w:hyperlink>
      <w:r w:rsidRPr="00D63609">
        <w:rPr>
          <w:color w:val="2F5496"/>
          <w:szCs w:val="16"/>
        </w:rPr>
        <w:t>)</w:t>
      </w:r>
    </w:p>
  </w:footnote>
  <w:footnote w:id="9">
    <w:p w14:paraId="70C0AC1B" w14:textId="77777777" w:rsidR="00AC7597" w:rsidRPr="00D63609" w:rsidRDefault="00AC7597" w:rsidP="00AC7597">
      <w:pPr>
        <w:rPr>
          <w:color w:val="2F5496"/>
          <w:sz w:val="16"/>
          <w:szCs w:val="16"/>
        </w:rPr>
      </w:pPr>
      <w:r w:rsidRPr="00D63609">
        <w:rPr>
          <w:rStyle w:val="FootnoteReference"/>
          <w:color w:val="2F5496"/>
          <w:sz w:val="16"/>
          <w:szCs w:val="16"/>
        </w:rPr>
        <w:footnoteRef/>
      </w:r>
      <w:r w:rsidRPr="00D63609">
        <w:rPr>
          <w:color w:val="2F5496"/>
          <w:sz w:val="16"/>
          <w:szCs w:val="16"/>
        </w:rPr>
        <w:t xml:space="preserve"> See European Commission full list (</w:t>
      </w:r>
      <w:hyperlink r:id="rId5" w:history="1">
        <w:r w:rsidRPr="00D63609">
          <w:rPr>
            <w:rStyle w:val="Hyperlink"/>
            <w:color w:val="2F5496"/>
            <w:sz w:val="16"/>
            <w:szCs w:val="16"/>
          </w:rPr>
          <w:t>hyperlink</w:t>
        </w:r>
      </w:hyperlink>
      <w:r w:rsidRPr="00D63609">
        <w:rPr>
          <w:color w:val="2F5496"/>
          <w:sz w:val="16"/>
          <w:szCs w:val="16"/>
        </w:rPr>
        <w:t xml:space="preserve">) </w:t>
      </w:r>
    </w:p>
  </w:footnote>
  <w:footnote w:id="10">
    <w:p w14:paraId="7E0597E4" w14:textId="77777777" w:rsidR="00AC7597" w:rsidRDefault="00AC7597" w:rsidP="00AC7597">
      <w:pPr>
        <w:pStyle w:val="FootnoteText"/>
      </w:pPr>
      <w:r w:rsidRPr="00D63609">
        <w:rPr>
          <w:rStyle w:val="FootnoteReference"/>
          <w:color w:val="2F5496"/>
          <w:szCs w:val="16"/>
        </w:rPr>
        <w:footnoteRef/>
      </w:r>
      <w:r w:rsidRPr="00D63609">
        <w:rPr>
          <w:color w:val="2F5496"/>
          <w:szCs w:val="16"/>
        </w:rPr>
        <w:t xml:space="preserve"> See Eurosif definitions (</w:t>
      </w:r>
      <w:hyperlink r:id="rId6" w:history="1">
        <w:r w:rsidRPr="00D63609">
          <w:rPr>
            <w:rStyle w:val="Hyperlink"/>
            <w:color w:val="2F5496"/>
            <w:szCs w:val="16"/>
          </w:rPr>
          <w:t>hyperlink</w:t>
        </w:r>
      </w:hyperlink>
      <w:r w:rsidRPr="00D63609">
        <w:rPr>
          <w:color w:val="2F5496"/>
          <w:szCs w:val="16"/>
        </w:rPr>
        <w:t>)</w:t>
      </w:r>
      <w:r>
        <w:t xml:space="preserve"> </w:t>
      </w:r>
    </w:p>
  </w:footnote>
  <w:footnote w:id="11">
    <w:p w14:paraId="37A0EF54" w14:textId="77777777" w:rsidR="00AC7597" w:rsidRDefault="00AC7597" w:rsidP="00AC7597">
      <w:pPr>
        <w:pStyle w:val="FootnoteText"/>
      </w:pPr>
      <w:r>
        <w:rPr>
          <w:rStyle w:val="FootnoteReference"/>
        </w:rPr>
        <w:footnoteRef/>
      </w:r>
      <w:r>
        <w:t xml:space="preserve"> </w:t>
      </w:r>
      <w:r w:rsidRPr="00915131">
        <w:rPr>
          <w:color w:val="2F5496"/>
          <w:szCs w:val="16"/>
        </w:rPr>
        <w:t>ESA’s have mentioned in their public hearing that SRDII is out of their merit/mandate, and will therefore not be aligned actively with SFDR requirements</w:t>
      </w:r>
    </w:p>
  </w:footnote>
  <w:footnote w:id="12">
    <w:p w14:paraId="40E64CE8" w14:textId="77777777" w:rsidR="00AC7597" w:rsidRPr="00D63609" w:rsidRDefault="00AC7597" w:rsidP="00AC7597">
      <w:pPr>
        <w:pStyle w:val="FootnoteText"/>
        <w:rPr>
          <w:color w:val="2F5496"/>
          <w:szCs w:val="16"/>
        </w:rPr>
      </w:pPr>
      <w:r w:rsidRPr="00D63609">
        <w:rPr>
          <w:rStyle w:val="FootnoteReference"/>
          <w:color w:val="2F5496"/>
          <w:szCs w:val="16"/>
        </w:rPr>
        <w:footnoteRef/>
      </w:r>
      <w:r w:rsidRPr="00D63609">
        <w:rPr>
          <w:color w:val="2F5496"/>
          <w:szCs w:val="16"/>
        </w:rPr>
        <w:t xml:space="preserve"> Please see EFAMA annual reporting (</w:t>
      </w:r>
      <w:hyperlink r:id="rId7" w:history="1">
        <w:r w:rsidRPr="00D63609">
          <w:rPr>
            <w:rStyle w:val="Hyperlink"/>
            <w:color w:val="2F5496"/>
            <w:szCs w:val="16"/>
          </w:rPr>
          <w:t>hyperlink</w:t>
        </w:r>
      </w:hyperlink>
      <w:r w:rsidRPr="00D63609">
        <w:rPr>
          <w:color w:val="2F5496"/>
          <w:szCs w:val="16"/>
        </w:rPr>
        <w:t>)</w:t>
      </w:r>
    </w:p>
  </w:footnote>
  <w:footnote w:id="13">
    <w:p w14:paraId="5E21394B" w14:textId="77777777" w:rsidR="00AC7597" w:rsidRPr="00D63609" w:rsidRDefault="00AC7597" w:rsidP="00AC7597">
      <w:pPr>
        <w:pStyle w:val="FootnoteText"/>
        <w:rPr>
          <w:color w:val="2F5496"/>
          <w:szCs w:val="16"/>
        </w:rPr>
      </w:pPr>
      <w:r w:rsidRPr="00D63609">
        <w:rPr>
          <w:rStyle w:val="FootnoteReference"/>
          <w:color w:val="2F5496"/>
          <w:szCs w:val="16"/>
        </w:rPr>
        <w:footnoteRef/>
      </w:r>
      <w:r w:rsidRPr="00D63609">
        <w:rPr>
          <w:color w:val="2F5496"/>
          <w:szCs w:val="16"/>
        </w:rPr>
        <w:t xml:space="preserve"> </w:t>
      </w:r>
      <w:r w:rsidRPr="00D63609">
        <w:rPr>
          <w:rFonts w:ascii="Helvetica" w:hAnsi="Helvetica" w:cs="Helvetica"/>
          <w:color w:val="2F5496"/>
          <w:szCs w:val="16"/>
          <w:shd w:val="clear" w:color="auto" w:fill="FFFFFF"/>
        </w:rPr>
        <w:t>Costs continue to have a significant impact on the final value of an investment, with retail clients paying around 40% more than institutional investors on average across asset classes.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1E5DFD" w:rsidRDefault="001E5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1E5DFD" w:rsidRDefault="001E5DFD">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1E5DFD" w:rsidRDefault="001E5DFD"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1E5DFD" w:rsidRDefault="001E5DF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E5DFD" w:rsidRPr="002F4496" w14:paraId="6A3CB0F5" w14:textId="77777777" w:rsidTr="000C06C9">
      <w:trPr>
        <w:trHeight w:val="284"/>
      </w:trPr>
      <w:tc>
        <w:tcPr>
          <w:tcW w:w="8460" w:type="dxa"/>
        </w:tcPr>
        <w:p w14:paraId="6A3CB0F3" w14:textId="77777777" w:rsidR="001E5DFD" w:rsidRPr="000C3B6D" w:rsidRDefault="001E5DFD" w:rsidP="000C06C9">
          <w:pPr>
            <w:pStyle w:val="00Footer"/>
            <w:rPr>
              <w:lang w:val="fr-FR"/>
            </w:rPr>
          </w:pPr>
        </w:p>
      </w:tc>
      <w:tc>
        <w:tcPr>
          <w:tcW w:w="952" w:type="dxa"/>
        </w:tcPr>
        <w:p w14:paraId="6A3CB0F4" w14:textId="77777777" w:rsidR="001E5DFD" w:rsidRPr="00146B34" w:rsidRDefault="001E5DFD" w:rsidP="000C06C9">
          <w:pPr>
            <w:pStyle w:val="00aPagenumber"/>
            <w:rPr>
              <w:lang w:val="fr-FR"/>
            </w:rPr>
          </w:pPr>
        </w:p>
      </w:tc>
    </w:tr>
  </w:tbl>
  <w:p w14:paraId="6A3CB0F6" w14:textId="77777777" w:rsidR="001E5DFD" w:rsidRPr="00DB46C3" w:rsidRDefault="001E5DFD">
    <w:pPr>
      <w:rPr>
        <w:lang w:val="fr-FR"/>
      </w:rPr>
    </w:pPr>
  </w:p>
  <w:p w14:paraId="6A3CB0F7" w14:textId="77777777" w:rsidR="001E5DFD" w:rsidRPr="002F4496" w:rsidRDefault="001E5DFD">
    <w:pPr>
      <w:pStyle w:val="Header"/>
      <w:rPr>
        <w:lang w:val="fr-FR"/>
      </w:rPr>
    </w:pPr>
  </w:p>
  <w:p w14:paraId="6A3CB0F8" w14:textId="77777777" w:rsidR="001E5DFD" w:rsidRPr="002F4496" w:rsidRDefault="001E5DFD" w:rsidP="000C06C9">
    <w:pPr>
      <w:pStyle w:val="Header"/>
      <w:tabs>
        <w:tab w:val="clear" w:pos="4536"/>
        <w:tab w:val="clear" w:pos="9072"/>
        <w:tab w:val="left" w:pos="8227"/>
      </w:tabs>
      <w:rPr>
        <w:lang w:val="fr-FR"/>
      </w:rPr>
    </w:pPr>
  </w:p>
  <w:p w14:paraId="6A3CB0F9" w14:textId="77777777" w:rsidR="001E5DFD" w:rsidRPr="002F4496" w:rsidRDefault="001E5DFD" w:rsidP="000C06C9">
    <w:pPr>
      <w:pStyle w:val="Header"/>
      <w:tabs>
        <w:tab w:val="clear" w:pos="4536"/>
        <w:tab w:val="clear" w:pos="9072"/>
        <w:tab w:val="left" w:pos="8227"/>
      </w:tabs>
      <w:rPr>
        <w:lang w:val="fr-FR"/>
      </w:rPr>
    </w:pPr>
  </w:p>
  <w:p w14:paraId="6A3CB0FA" w14:textId="77777777" w:rsidR="001E5DFD" w:rsidRPr="002F4496" w:rsidRDefault="001E5DFD">
    <w:pPr>
      <w:pStyle w:val="Header"/>
      <w:rPr>
        <w:lang w:val="fr-FR"/>
      </w:rPr>
    </w:pPr>
  </w:p>
  <w:p w14:paraId="6A3CB0FB" w14:textId="77777777" w:rsidR="001E5DFD" w:rsidRPr="002F4496" w:rsidRDefault="001E5DFD">
    <w:pPr>
      <w:pStyle w:val="Header"/>
      <w:rPr>
        <w:lang w:val="fr-FR"/>
      </w:rPr>
    </w:pPr>
  </w:p>
  <w:p w14:paraId="6A3CB0FC" w14:textId="77777777" w:rsidR="001E5DFD" w:rsidRPr="002F4496" w:rsidRDefault="001E5DFD">
    <w:pPr>
      <w:pStyle w:val="Header"/>
      <w:rPr>
        <w:lang w:val="fr-FR"/>
      </w:rPr>
    </w:pPr>
  </w:p>
  <w:p w14:paraId="6A3CB0FD" w14:textId="77777777" w:rsidR="001E5DFD" w:rsidRPr="002F4496" w:rsidRDefault="001E5DFD">
    <w:pPr>
      <w:pStyle w:val="Header"/>
      <w:rPr>
        <w:lang w:val="fr-FR"/>
      </w:rPr>
    </w:pPr>
  </w:p>
  <w:p w14:paraId="6A3CB0FE" w14:textId="77777777" w:rsidR="001E5DFD" w:rsidRPr="002F4496" w:rsidRDefault="001E5DFD">
    <w:pPr>
      <w:pStyle w:val="Header"/>
      <w:rPr>
        <w:highlight w:val="yellow"/>
        <w:lang w:val="fr-FR"/>
      </w:rPr>
    </w:pPr>
  </w:p>
  <w:p w14:paraId="6A3CB0FF" w14:textId="05D5FF53" w:rsidR="001E5DFD" w:rsidRDefault="001E5DFD">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B96A3A"/>
    <w:multiLevelType w:val="hybridMultilevel"/>
    <w:tmpl w:val="130AAA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8C46764"/>
    <w:multiLevelType w:val="hybridMultilevel"/>
    <w:tmpl w:val="BFF6B4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365993"/>
    <w:multiLevelType w:val="hybridMultilevel"/>
    <w:tmpl w:val="42567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81505D"/>
    <w:multiLevelType w:val="hybridMultilevel"/>
    <w:tmpl w:val="720CAA0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5227D12"/>
    <w:multiLevelType w:val="hybridMultilevel"/>
    <w:tmpl w:val="C2B2C478"/>
    <w:lvl w:ilvl="0" w:tplc="1542FBD2">
      <w:start w:val="1"/>
      <w:numFmt w:val="decimal"/>
      <w:lvlText w:val="%1."/>
      <w:lvlJc w:val="left"/>
      <w:pPr>
        <w:ind w:left="216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020451"/>
    <w:multiLevelType w:val="hybridMultilevel"/>
    <w:tmpl w:val="D52A51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0"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EA10C2"/>
    <w:multiLevelType w:val="hybridMultilevel"/>
    <w:tmpl w:val="A32C3972"/>
    <w:lvl w:ilvl="0" w:tplc="3A123026">
      <w:start w:val="1"/>
      <w:numFmt w:val="decimal"/>
      <w:lvlText w:val="%1."/>
      <w:lvlJc w:val="left"/>
      <w:pPr>
        <w:ind w:left="720" w:hanging="360"/>
      </w:pPr>
      <w:rPr>
        <w:b/>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22F12759"/>
    <w:multiLevelType w:val="hybridMultilevel"/>
    <w:tmpl w:val="64EADCF8"/>
    <w:lvl w:ilvl="0" w:tplc="3F620CF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6AF4C92"/>
    <w:multiLevelType w:val="hybridMultilevel"/>
    <w:tmpl w:val="9B7A0400"/>
    <w:lvl w:ilvl="0" w:tplc="3F620CF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B64FFB"/>
    <w:multiLevelType w:val="hybridMultilevel"/>
    <w:tmpl w:val="3452A7A6"/>
    <w:lvl w:ilvl="0" w:tplc="18DE765C">
      <w:start w:val="2"/>
      <w:numFmt w:val="bullet"/>
      <w:lvlText w:val="-"/>
      <w:lvlJc w:val="left"/>
      <w:pPr>
        <w:ind w:left="1440" w:hanging="360"/>
      </w:pPr>
      <w:rPr>
        <w:rFonts w:ascii="Calibri" w:eastAsia="Calibri" w:hAnsi="Calibri" w:cs="Calibri" w:hint="default"/>
        <w:b/>
        <w:bC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2D653E0B"/>
    <w:multiLevelType w:val="hybridMultilevel"/>
    <w:tmpl w:val="BAE69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0055ED0"/>
    <w:multiLevelType w:val="hybridMultilevel"/>
    <w:tmpl w:val="1A047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D140AF"/>
    <w:multiLevelType w:val="hybridMultilevel"/>
    <w:tmpl w:val="4796CE6C"/>
    <w:lvl w:ilvl="0" w:tplc="04130017">
      <w:start w:val="1"/>
      <w:numFmt w:val="lowerLetter"/>
      <w:lvlText w:val="%1)"/>
      <w:lvlJc w:val="left"/>
      <w:pPr>
        <w:ind w:left="720" w:hanging="360"/>
      </w:pPr>
    </w:lvl>
    <w:lvl w:ilvl="1" w:tplc="04130003">
      <w:numFmt w:val="decimal"/>
      <w:lvlText w:val="o"/>
      <w:lvlJc w:val="left"/>
      <w:pPr>
        <w:ind w:left="1440" w:hanging="360"/>
      </w:pPr>
      <w:rPr>
        <w:rFonts w:ascii="Courier New" w:hAnsi="Courier New" w:cs="Courier New" w:hint="default"/>
      </w:rPr>
    </w:lvl>
    <w:lvl w:ilvl="2" w:tplc="04130005">
      <w:numFmt w:val="decimal"/>
      <w:lvlText w:val=""/>
      <w:lvlJc w:val="left"/>
      <w:pPr>
        <w:ind w:left="2160" w:hanging="360"/>
      </w:pPr>
      <w:rPr>
        <w:rFonts w:ascii="Wingdings" w:hAnsi="Wingdings" w:hint="default"/>
      </w:rPr>
    </w:lvl>
    <w:lvl w:ilvl="3" w:tplc="04130001">
      <w:numFmt w:val="decimal"/>
      <w:lvlText w:val=""/>
      <w:lvlJc w:val="left"/>
      <w:pPr>
        <w:ind w:left="2880" w:hanging="360"/>
      </w:pPr>
      <w:rPr>
        <w:rFonts w:ascii="Symbol" w:hAnsi="Symbol" w:hint="default"/>
      </w:rPr>
    </w:lvl>
    <w:lvl w:ilvl="4" w:tplc="04130003">
      <w:numFmt w:val="decimal"/>
      <w:lvlText w:val="o"/>
      <w:lvlJc w:val="left"/>
      <w:pPr>
        <w:ind w:left="3600" w:hanging="360"/>
      </w:pPr>
      <w:rPr>
        <w:rFonts w:ascii="Courier New" w:hAnsi="Courier New" w:cs="Courier New" w:hint="default"/>
      </w:rPr>
    </w:lvl>
    <w:lvl w:ilvl="5" w:tplc="04130005">
      <w:numFmt w:val="decimal"/>
      <w:lvlText w:val=""/>
      <w:lvlJc w:val="left"/>
      <w:pPr>
        <w:ind w:left="4320" w:hanging="360"/>
      </w:pPr>
      <w:rPr>
        <w:rFonts w:ascii="Wingdings" w:hAnsi="Wingdings" w:hint="default"/>
      </w:rPr>
    </w:lvl>
    <w:lvl w:ilvl="6" w:tplc="04130001">
      <w:numFmt w:val="decimal"/>
      <w:lvlText w:val=""/>
      <w:lvlJc w:val="left"/>
      <w:pPr>
        <w:ind w:left="5040" w:hanging="360"/>
      </w:pPr>
      <w:rPr>
        <w:rFonts w:ascii="Symbol" w:hAnsi="Symbol" w:hint="default"/>
      </w:rPr>
    </w:lvl>
    <w:lvl w:ilvl="7" w:tplc="04130003">
      <w:numFmt w:val="decimal"/>
      <w:lvlText w:val="o"/>
      <w:lvlJc w:val="left"/>
      <w:pPr>
        <w:ind w:left="5760" w:hanging="360"/>
      </w:pPr>
      <w:rPr>
        <w:rFonts w:ascii="Courier New" w:hAnsi="Courier New" w:cs="Courier New" w:hint="default"/>
      </w:rPr>
    </w:lvl>
    <w:lvl w:ilvl="8" w:tplc="04130005">
      <w:numFmt w:val="decimal"/>
      <w:lvlText w:val=""/>
      <w:lvlJc w:val="left"/>
      <w:pPr>
        <w:ind w:left="6480" w:hanging="360"/>
      </w:pPr>
      <w:rPr>
        <w:rFonts w:ascii="Wingdings" w:hAnsi="Wingdings" w:hint="default"/>
      </w:rPr>
    </w:lvl>
  </w:abstractNum>
  <w:abstractNum w:abstractNumId="24" w15:restartNumberingAfterBreak="0">
    <w:nsid w:val="36B3289F"/>
    <w:multiLevelType w:val="multilevel"/>
    <w:tmpl w:val="8BFA98C8"/>
    <w:lvl w:ilvl="0">
      <w:start w:val="4"/>
      <w:numFmt w:val="bullet"/>
      <w:lvlText w:val="-"/>
      <w:lvlJc w:val="left"/>
      <w:pPr>
        <w:tabs>
          <w:tab w:val="num" w:pos="1440"/>
        </w:tabs>
        <w:ind w:left="1440" w:hanging="360"/>
      </w:pPr>
      <w:rPr>
        <w:rFonts w:ascii="Arial" w:eastAsia="Calibri" w:hAnsi="Arial" w:cs="Aria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8" w15:restartNumberingAfterBreak="0">
    <w:nsid w:val="3A796390"/>
    <w:multiLevelType w:val="hybridMultilevel"/>
    <w:tmpl w:val="A326609A"/>
    <w:lvl w:ilvl="0" w:tplc="18DE765C">
      <w:start w:val="2"/>
      <w:numFmt w:val="bullet"/>
      <w:lvlText w:val="-"/>
      <w:lvlJc w:val="left"/>
      <w:pPr>
        <w:ind w:left="720" w:hanging="360"/>
      </w:pPr>
      <w:rPr>
        <w:rFonts w:ascii="Calibri" w:eastAsia="Calibri" w:hAnsi="Calibri" w:cs="Calibri" w:hint="default"/>
        <w:b/>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31"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33"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4" w15:restartNumberingAfterBreak="0">
    <w:nsid w:val="48256BAF"/>
    <w:multiLevelType w:val="hybridMultilevel"/>
    <w:tmpl w:val="D6806F1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49E803BC"/>
    <w:multiLevelType w:val="hybridMultilevel"/>
    <w:tmpl w:val="8A347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0620E5A"/>
    <w:multiLevelType w:val="hybridMultilevel"/>
    <w:tmpl w:val="AC720092"/>
    <w:lvl w:ilvl="0" w:tplc="04130001">
      <w:start w:val="1"/>
      <w:numFmt w:val="bullet"/>
      <w:lvlText w:val=""/>
      <w:lvlJc w:val="left"/>
      <w:pPr>
        <w:ind w:left="78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0F643C1"/>
    <w:multiLevelType w:val="hybridMultilevel"/>
    <w:tmpl w:val="7B5CE73C"/>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4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8" w15:restartNumberingAfterBreak="0">
    <w:nsid w:val="58E46717"/>
    <w:multiLevelType w:val="hybridMultilevel"/>
    <w:tmpl w:val="4AA2A91C"/>
    <w:lvl w:ilvl="0" w:tplc="3F620CFE">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192ED0"/>
    <w:multiLevelType w:val="hybridMultilevel"/>
    <w:tmpl w:val="244240BC"/>
    <w:lvl w:ilvl="0" w:tplc="0410000D">
      <w:start w:val="1"/>
      <w:numFmt w:val="bullet"/>
      <w:lvlText w:val=""/>
      <w:lvlJc w:val="left"/>
      <w:pPr>
        <w:ind w:left="1440" w:hanging="360"/>
      </w:pPr>
      <w:rPr>
        <w:rFonts w:ascii="Wingdings" w:hAnsi="Wingdings" w:cs="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55" w15:restartNumberingAfterBreak="0">
    <w:nsid w:val="68AF5625"/>
    <w:multiLevelType w:val="hybridMultilevel"/>
    <w:tmpl w:val="2960C40C"/>
    <w:lvl w:ilvl="0" w:tplc="3F620CFE">
      <w:start w:val="1"/>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69B92275"/>
    <w:multiLevelType w:val="hybridMultilevel"/>
    <w:tmpl w:val="C3369CDA"/>
    <w:lvl w:ilvl="0" w:tplc="A2AE96A6">
      <w:start w:val="1"/>
      <w:numFmt w:val="decimal"/>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8" w15:restartNumberingAfterBreak="0">
    <w:nsid w:val="6C1542D9"/>
    <w:multiLevelType w:val="hybridMultilevel"/>
    <w:tmpl w:val="5FC460BC"/>
    <w:lvl w:ilvl="0" w:tplc="04130001">
      <w:start w:val="1"/>
      <w:numFmt w:val="bullet"/>
      <w:lvlText w:val=""/>
      <w:lvlJc w:val="left"/>
      <w:pPr>
        <w:ind w:left="78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6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E32EF8"/>
    <w:multiLevelType w:val="hybridMultilevel"/>
    <w:tmpl w:val="A32C3972"/>
    <w:lvl w:ilvl="0" w:tplc="3A123026">
      <w:start w:val="1"/>
      <w:numFmt w:val="decimal"/>
      <w:lvlText w:val="%1."/>
      <w:lvlJc w:val="left"/>
      <w:pPr>
        <w:ind w:left="720" w:hanging="360"/>
      </w:pPr>
      <w:rPr>
        <w:b/>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6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31"/>
  </w:num>
  <w:num w:numId="2">
    <w:abstractNumId w:val="33"/>
  </w:num>
  <w:num w:numId="3">
    <w:abstractNumId w:val="25"/>
  </w:num>
  <w:num w:numId="4">
    <w:abstractNumId w:val="43"/>
  </w:num>
  <w:num w:numId="5">
    <w:abstractNumId w:val="46"/>
  </w:num>
  <w:num w:numId="6">
    <w:abstractNumId w:val="0"/>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num>
  <w:num w:numId="13">
    <w:abstractNumId w:val="52"/>
  </w:num>
  <w:num w:numId="14">
    <w:abstractNumId w:val="40"/>
  </w:num>
  <w:num w:numId="15">
    <w:abstractNumId w:val="18"/>
  </w:num>
  <w:num w:numId="16">
    <w:abstractNumId w:val="1"/>
  </w:num>
  <w:num w:numId="17">
    <w:abstractNumId w:val="29"/>
  </w:num>
  <w:num w:numId="18">
    <w:abstractNumId w:val="30"/>
  </w:num>
  <w:num w:numId="19">
    <w:abstractNumId w:val="32"/>
  </w:num>
  <w:num w:numId="20">
    <w:abstractNumId w:val="47"/>
  </w:num>
  <w:num w:numId="21">
    <w:abstractNumId w:val="63"/>
  </w:num>
  <w:num w:numId="22">
    <w:abstractNumId w:val="45"/>
  </w:num>
  <w:num w:numId="23">
    <w:abstractNumId w:val="17"/>
  </w:num>
  <w:num w:numId="24">
    <w:abstractNumId w:val="51"/>
  </w:num>
  <w:num w:numId="25">
    <w:abstractNumId w:val="50"/>
  </w:num>
  <w:num w:numId="26">
    <w:abstractNumId w:val="35"/>
  </w:num>
  <w:num w:numId="27">
    <w:abstractNumId w:val="56"/>
  </w:num>
  <w:num w:numId="28">
    <w:abstractNumId w:val="65"/>
  </w:num>
  <w:num w:numId="29">
    <w:abstractNumId w:val="13"/>
  </w:num>
  <w:num w:numId="30">
    <w:abstractNumId w:val="7"/>
  </w:num>
  <w:num w:numId="31">
    <w:abstractNumId w:val="39"/>
  </w:num>
  <w:num w:numId="32">
    <w:abstractNumId w:val="37"/>
  </w:num>
  <w:num w:numId="33">
    <w:abstractNumId w:val="61"/>
  </w:num>
  <w:num w:numId="34">
    <w:abstractNumId w:val="60"/>
  </w:num>
  <w:num w:numId="35">
    <w:abstractNumId w:val="20"/>
  </w:num>
  <w:num w:numId="36">
    <w:abstractNumId w:val="22"/>
  </w:num>
  <w:num w:numId="37">
    <w:abstractNumId w:val="26"/>
  </w:num>
  <w:num w:numId="38">
    <w:abstractNumId w:val="44"/>
  </w:num>
  <w:num w:numId="39">
    <w:abstractNumId w:val="38"/>
  </w:num>
  <w:num w:numId="40">
    <w:abstractNumId w:val="59"/>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
  </w:num>
  <w:num w:numId="44">
    <w:abstractNumId w:val="42"/>
  </w:num>
  <w:num w:numId="45">
    <w:abstractNumId w:val="53"/>
  </w:num>
  <w:num w:numId="46">
    <w:abstractNumId w:val="62"/>
  </w:num>
  <w:num w:numId="47">
    <w:abstractNumId w:val="28"/>
  </w:num>
  <w:num w:numId="48">
    <w:abstractNumId w:val="8"/>
  </w:num>
  <w:num w:numId="49">
    <w:abstractNumId w:val="24"/>
  </w:num>
  <w:num w:numId="50">
    <w:abstractNumId w:val="16"/>
  </w:num>
  <w:num w:numId="51">
    <w:abstractNumId w:val="57"/>
  </w:num>
  <w:num w:numId="52">
    <w:abstractNumId w:val="6"/>
  </w:num>
  <w:num w:numId="53">
    <w:abstractNumId w:val="5"/>
  </w:num>
  <w:num w:numId="54">
    <w:abstractNumId w:val="2"/>
  </w:num>
  <w:num w:numId="55">
    <w:abstractNumId w:val="34"/>
  </w:num>
  <w:num w:numId="56">
    <w:abstractNumId w:val="36"/>
  </w:num>
  <w:num w:numId="57">
    <w:abstractNumId w:val="19"/>
  </w:num>
  <w:num w:numId="58">
    <w:abstractNumId w:val="4"/>
  </w:num>
  <w:num w:numId="59">
    <w:abstractNumId w:val="15"/>
  </w:num>
  <w:num w:numId="60">
    <w:abstractNumId w:val="12"/>
  </w:num>
  <w:num w:numId="61">
    <w:abstractNumId w:val="48"/>
  </w:num>
  <w:num w:numId="62">
    <w:abstractNumId w:val="58"/>
  </w:num>
  <w:num w:numId="63">
    <w:abstractNumId w:val="55"/>
  </w:num>
  <w:num w:numId="64">
    <w:abstractNumId w:val="41"/>
  </w:num>
  <w:num w:numId="65">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6AB5"/>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13EE"/>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9A8"/>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5DFD"/>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3026"/>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C74"/>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64F"/>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56E3C"/>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07BE"/>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B664C"/>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C7597"/>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687D"/>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1D21"/>
    <w:rsid w:val="00DE3223"/>
    <w:rsid w:val="00DE64A6"/>
    <w:rsid w:val="00DE66EB"/>
    <w:rsid w:val="00DE7035"/>
    <w:rsid w:val="00DF12E3"/>
    <w:rsid w:val="00DF3F1D"/>
    <w:rsid w:val="00DF595C"/>
    <w:rsid w:val="00DF7EA7"/>
    <w:rsid w:val="00E041F6"/>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1C3F"/>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business_economy_euro/banking_and_finance/documents/2019-non-financial-reporting-guidelines-consultation-document_en.pdf" TargetMode="External"/><Relationship Id="rId7" Type="http://schemas.openxmlformats.org/officeDocument/2006/relationships/hyperlink" Target="https://www.efama.org/Pages/Submitted%20after%202018-03-12T16%2022%2007/European-assets-under-management-have-more-than-doubled-in-the-last-decade.aspx" TargetMode="External"/><Relationship Id="rId2" Type="http://schemas.openxmlformats.org/officeDocument/2006/relationships/hyperlink" Target="https://ec.europa.eu/info/sites/info/files/business_economy_euro/banking_and_finance/documents/2019-non-financial-reporting-guidelines-consultation-document_en.pdf" TargetMode="External"/><Relationship Id="rId1" Type="http://schemas.openxmlformats.org/officeDocument/2006/relationships/hyperlink" Target="https://www.ebf.eu/wp-content/uploads/2020/06/Joint-industry-letter-ESG-EU-data-register_EACB_EBF_EFAMA_ESBG_IE_PE.pdf" TargetMode="External"/><Relationship Id="rId6" Type="http://schemas.openxmlformats.org/officeDocument/2006/relationships/hyperlink" Target="http://www.eurosif.org/responsible-investment-strategies/" TargetMode="External"/><Relationship Id="rId5" Type="http://schemas.openxmlformats.org/officeDocument/2006/relationships/hyperlink" Target="file:///C:\Users\u304927\AppData\Local\Microsoft\Windows\INetCache\Content.Outlook\TZWGOHUV\%20http\ec.europa.eu\justice\civil\company-law\corporate-governance\%20index_en.html" TargetMode="External"/><Relationship Id="rId4" Type="http://schemas.openxmlformats.org/officeDocument/2006/relationships/hyperlink" Target="https://www.ssga.com/investment-topics/environmental-social-governance/2019/03/esg-data-challeng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139C0BCE-3CBD-46A8-BFA9-FA4E801C00F2}">
  <ds:schemaRefs>
    <ds:schemaRef ds:uri="http://schemas.openxmlformats.org/officeDocument/2006/bibliography"/>
  </ds:schemaRefs>
</ds:datastoreItem>
</file>

<file path=customXml/itemProps4.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9D61AA-2E21-45D8-9235-11FFFB3A4DA6}">
  <ds:schemaRefs>
    <ds:schemaRef ds:uri="http://schemas.openxmlformats.org/officeDocument/2006/bibliography"/>
  </ds:schemaRefs>
</ds:datastoreItem>
</file>

<file path=customXml/itemProps6.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19173</Words>
  <Characters>109292</Characters>
  <Application>Microsoft Office Word</Application>
  <DocSecurity>8</DocSecurity>
  <Lines>910</Lines>
  <Paragraphs>256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128209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Daniel Bouzas</cp:lastModifiedBy>
  <cp:revision>15</cp:revision>
  <cp:lastPrinted>2015-02-18T11:01:00Z</cp:lastPrinted>
  <dcterms:created xsi:type="dcterms:W3CDTF">2020-04-23T07:26:00Z</dcterms:created>
  <dcterms:modified xsi:type="dcterms:W3CDTF">2020-08-31T17:16:00Z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