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58D3465" w14:textId="77777777" w:rsidTr="00315E96">
        <w:trPr>
          <w:trHeight w:val="284"/>
        </w:trPr>
        <w:tc>
          <w:tcPr>
            <w:tcW w:w="9412" w:type="dxa"/>
          </w:tcPr>
          <w:p w14:paraId="619AAA89" w14:textId="5C9F47C5"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151FCC61" w14:textId="5480C78E"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B7C619D" w14:textId="77777777" w:rsidTr="005B77D2">
        <w:trPr>
          <w:trHeight w:hRule="exact" w:val="1985"/>
        </w:trPr>
        <w:tc>
          <w:tcPr>
            <w:tcW w:w="9397" w:type="dxa"/>
            <w:vAlign w:val="bottom"/>
          </w:tcPr>
          <w:p w14:paraId="02EA8EFE" w14:textId="47632661"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09DB4A26" w14:textId="77777777" w:rsidTr="005B77D2">
        <w:trPr>
          <w:trHeight w:hRule="exact" w:val="605"/>
        </w:trPr>
        <w:tc>
          <w:tcPr>
            <w:tcW w:w="9397" w:type="dxa"/>
            <w:tcMar>
              <w:top w:w="142" w:type="dxa"/>
            </w:tcMar>
          </w:tcPr>
          <w:p w14:paraId="6DB9BED8"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54388B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A344258" w14:textId="77777777" w:rsidTr="00315E96">
        <w:trPr>
          <w:trHeight w:hRule="exact" w:val="964"/>
        </w:trPr>
        <w:tc>
          <w:tcPr>
            <w:tcW w:w="2325" w:type="dxa"/>
          </w:tcPr>
          <w:p w14:paraId="3E5066E0"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185EDC40" w14:textId="536E86F9" w:rsidR="002E0B20" w:rsidRPr="00A52EBB" w:rsidRDefault="002E0B20" w:rsidP="00B1467D">
            <w:pPr>
              <w:pStyle w:val="02Date"/>
              <w:rPr>
                <w:rFonts w:cs="Arial"/>
              </w:rPr>
            </w:pPr>
            <w:r w:rsidRPr="002E0B20">
              <w:rPr>
                <w:rFonts w:cs="Arial"/>
              </w:rPr>
              <w:t>ESMA70-156-2</w:t>
            </w:r>
            <w:r>
              <w:rPr>
                <w:rFonts w:cs="Arial"/>
              </w:rPr>
              <w:t xml:space="preserve">803: </w:t>
            </w:r>
          </w:p>
        </w:tc>
      </w:tr>
    </w:tbl>
    <w:p w14:paraId="11E1DB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DBF93E" w14:textId="5590C8A1"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20A2F3F8" w14:textId="674E533B" w:rsidR="00F574D0" w:rsidRPr="00EF0769" w:rsidRDefault="00F574D0" w:rsidP="00F574D0">
      <w:pPr>
        <w:pStyle w:val="04BodyText"/>
        <w:spacing w:before="120" w:after="120"/>
        <w:rPr>
          <w:rFonts w:cs="Arial"/>
        </w:rPr>
      </w:pPr>
    </w:p>
    <w:p w14:paraId="26762CAA" w14:textId="77777777" w:rsidR="001D000A" w:rsidRDefault="001D000A" w:rsidP="00F574D0">
      <w:pPr>
        <w:autoSpaceDE w:val="0"/>
        <w:autoSpaceDN w:val="0"/>
        <w:adjustRightInd w:val="0"/>
        <w:spacing w:before="120" w:after="120" w:line="276" w:lineRule="auto"/>
        <w:jc w:val="both"/>
        <w:rPr>
          <w:rStyle w:val="Strong4"/>
          <w:rFonts w:cs="Arial"/>
          <w:i/>
        </w:rPr>
      </w:pPr>
    </w:p>
    <w:p w14:paraId="1E9C38B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A39B9B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395D85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6699C3BE"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33F74211"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FAE4B30"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C872F14"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925E668"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E05234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66286D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7FEE076" w14:textId="77777777" w:rsidR="001D000A" w:rsidRDefault="001D000A" w:rsidP="000D17AA">
      <w:pPr>
        <w:pStyle w:val="04BodyText"/>
        <w:spacing w:before="120" w:after="120"/>
        <w:jc w:val="left"/>
        <w:rPr>
          <w:rFonts w:cs="Arial"/>
          <w:b/>
        </w:rPr>
      </w:pPr>
    </w:p>
    <w:p w14:paraId="47F5D17A" w14:textId="77777777" w:rsidR="000D17AA" w:rsidRPr="00EF0769" w:rsidRDefault="00606240" w:rsidP="000D17AA">
      <w:pPr>
        <w:pStyle w:val="04BodyText"/>
        <w:spacing w:before="120" w:after="120"/>
        <w:jc w:val="left"/>
        <w:rPr>
          <w:rFonts w:cs="Arial"/>
          <w:b/>
        </w:rPr>
      </w:pPr>
      <w:r>
        <w:rPr>
          <w:rFonts w:cs="Arial"/>
          <w:b/>
        </w:rPr>
        <w:t>Naming protocol</w:t>
      </w:r>
    </w:p>
    <w:p w14:paraId="3C72218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17CA9E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268E1048"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3135115"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071A571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188B5E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5A9374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7BBA80E" w14:textId="4B8E8DE3"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352AF4D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4C00523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36008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3EE9C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9C604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82722F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0764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5702F14"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5BCAD5D9" w14:textId="77777777" w:rsidR="00332304" w:rsidRDefault="00332304">
      <w:pPr>
        <w:rPr>
          <w:rFonts w:cs="Arial"/>
          <w:b/>
          <w:bCs/>
          <w:kern w:val="32"/>
          <w:sz w:val="24"/>
          <w:szCs w:val="32"/>
        </w:rPr>
      </w:pPr>
      <w:r>
        <w:br w:type="page"/>
      </w:r>
    </w:p>
    <w:p w14:paraId="0F7ADFE5"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E44113A" w14:textId="77777777" w:rsidTr="00FA5524">
        <w:tc>
          <w:tcPr>
            <w:tcW w:w="3929" w:type="dxa"/>
            <w:shd w:val="clear" w:color="auto" w:fill="auto"/>
          </w:tcPr>
          <w:p w14:paraId="77EC038B" w14:textId="77777777" w:rsidR="00C2682A" w:rsidRPr="00E40A5C" w:rsidRDefault="00C2682A" w:rsidP="00FA5524">
            <w:pPr>
              <w:rPr>
                <w:rFonts w:cs="Arial"/>
                <w:sz w:val="22"/>
              </w:rPr>
            </w:pPr>
            <w:permStart w:id="37402948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450E3E8" w14:textId="5F5D8DA6" w:rsidR="00C2682A" w:rsidRPr="00AB6D88" w:rsidRDefault="00961026" w:rsidP="00FA5524">
                <w:pPr>
                  <w:rPr>
                    <w:rStyle w:val="PlaceholderText"/>
                    <w:rFonts w:cs="Arial"/>
                  </w:rPr>
                </w:pPr>
                <w:r>
                  <w:rPr>
                    <w:rStyle w:val="PlaceholderText"/>
                    <w:rFonts w:cs="Arial"/>
                  </w:rPr>
                  <w:t>ZAGREB STOCK EXCHANGE</w:t>
                </w:r>
              </w:p>
            </w:tc>
          </w:sdtContent>
        </w:sdt>
      </w:tr>
      <w:tr w:rsidR="00C2682A" w:rsidRPr="00AB6D88" w14:paraId="4F0E92A9" w14:textId="77777777" w:rsidTr="00FA5524">
        <w:tc>
          <w:tcPr>
            <w:tcW w:w="3929" w:type="dxa"/>
            <w:shd w:val="clear" w:color="auto" w:fill="auto"/>
          </w:tcPr>
          <w:p w14:paraId="34559EA9" w14:textId="77777777" w:rsidR="00C2682A" w:rsidRPr="00E40A5C" w:rsidRDefault="00C2682A" w:rsidP="00FA5524">
            <w:pPr>
              <w:rPr>
                <w:rFonts w:cs="Arial"/>
                <w:sz w:val="22"/>
              </w:rPr>
            </w:pPr>
            <w:permStart w:id="547750455" w:edGrp="everyone" w:colFirst="1" w:colLast="1"/>
            <w:permEnd w:id="374029489"/>
            <w:r w:rsidRPr="00E40A5C">
              <w:rPr>
                <w:rFonts w:cs="Arial"/>
                <w:sz w:val="22"/>
              </w:rPr>
              <w:t>Activity</w:t>
            </w:r>
          </w:p>
        </w:tc>
        <w:tc>
          <w:tcPr>
            <w:tcW w:w="5595" w:type="dxa"/>
            <w:shd w:val="clear" w:color="auto" w:fill="auto"/>
          </w:tcPr>
          <w:p w14:paraId="53B482E6" w14:textId="54BB0142" w:rsidR="00C2682A" w:rsidRPr="00AB6D88" w:rsidRDefault="008C1613"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61026">
                  <w:rPr>
                    <w:rFonts w:cs="Arial"/>
                  </w:rPr>
                  <w:t>Regulated markets/Exchanges/Trading Systems</w:t>
                </w:r>
              </w:sdtContent>
            </w:sdt>
          </w:p>
        </w:tc>
      </w:tr>
      <w:tr w:rsidR="00C2682A" w:rsidRPr="00AB6D88" w14:paraId="1E864065" w14:textId="77777777" w:rsidTr="00FA5524">
        <w:tc>
          <w:tcPr>
            <w:tcW w:w="3929" w:type="dxa"/>
            <w:shd w:val="clear" w:color="auto" w:fill="auto"/>
          </w:tcPr>
          <w:p w14:paraId="7D1D46D1" w14:textId="77777777" w:rsidR="00C2682A" w:rsidRPr="00E40A5C" w:rsidRDefault="00C2682A" w:rsidP="00FA5524">
            <w:pPr>
              <w:rPr>
                <w:rFonts w:cs="Arial"/>
                <w:sz w:val="22"/>
              </w:rPr>
            </w:pPr>
            <w:permStart w:id="1311585204" w:edGrp="everyone" w:colFirst="1" w:colLast="1"/>
            <w:permEnd w:id="547750455"/>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6732AF91" w14:textId="1FAB919A" w:rsidR="00C2682A" w:rsidRPr="00AB6D88" w:rsidRDefault="0078300A" w:rsidP="00FA5524">
                <w:pPr>
                  <w:rPr>
                    <w:rFonts w:cs="Arial"/>
                  </w:rPr>
                </w:pPr>
                <w:r>
                  <w:rPr>
                    <w:rFonts w:ascii="MS Gothic" w:eastAsia="MS Gothic" w:hAnsi="MS Gothic" w:cs="Arial" w:hint="eastAsia"/>
                  </w:rPr>
                  <w:t>☐</w:t>
                </w:r>
              </w:p>
            </w:tc>
          </w:sdtContent>
        </w:sdt>
      </w:tr>
      <w:tr w:rsidR="00C2682A" w:rsidRPr="00AB6D88" w14:paraId="466F247F" w14:textId="77777777" w:rsidTr="00FA5524">
        <w:tc>
          <w:tcPr>
            <w:tcW w:w="3929" w:type="dxa"/>
            <w:shd w:val="clear" w:color="auto" w:fill="auto"/>
          </w:tcPr>
          <w:p w14:paraId="1F6119B1" w14:textId="77777777" w:rsidR="00C2682A" w:rsidRPr="00E40A5C" w:rsidRDefault="00C2682A" w:rsidP="00FA5524">
            <w:pPr>
              <w:rPr>
                <w:rFonts w:cs="Arial"/>
                <w:sz w:val="22"/>
              </w:rPr>
            </w:pPr>
            <w:permStart w:id="1446795094" w:edGrp="everyone" w:colFirst="1" w:colLast="1"/>
            <w:permEnd w:id="1311585204"/>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235B36" w14:textId="6C80797F" w:rsidR="00C2682A" w:rsidRPr="00AB6D88" w:rsidRDefault="00961026" w:rsidP="00FA5524">
                <w:pPr>
                  <w:rPr>
                    <w:rFonts w:cs="Arial"/>
                  </w:rPr>
                </w:pPr>
                <w:r>
                  <w:rPr>
                    <w:rFonts w:cs="Arial"/>
                  </w:rPr>
                  <w:t>Croatia</w:t>
                </w:r>
              </w:p>
            </w:tc>
          </w:sdtContent>
        </w:sdt>
      </w:tr>
      <w:permEnd w:id="1446795094"/>
    </w:tbl>
    <w:p w14:paraId="30D7FBF9" w14:textId="77777777" w:rsidR="00C2682A" w:rsidRDefault="00C2682A" w:rsidP="00F87897">
      <w:pPr>
        <w:spacing w:after="120" w:line="264" w:lineRule="auto"/>
      </w:pPr>
    </w:p>
    <w:p w14:paraId="68EA3F25" w14:textId="77777777" w:rsidR="00F87897" w:rsidRDefault="00F87897" w:rsidP="00F87897">
      <w:pPr>
        <w:spacing w:after="120" w:line="264" w:lineRule="auto"/>
      </w:pPr>
    </w:p>
    <w:p w14:paraId="7D85576A" w14:textId="77777777" w:rsidR="00F87897" w:rsidRDefault="00F87897" w:rsidP="00F87897">
      <w:pPr>
        <w:pStyle w:val="Heading1"/>
        <w:numPr>
          <w:ilvl w:val="0"/>
          <w:numId w:val="0"/>
        </w:numPr>
        <w:ind w:left="431" w:hanging="431"/>
      </w:pPr>
      <w:r>
        <w:t>Introduction</w:t>
      </w:r>
    </w:p>
    <w:p w14:paraId="7F7769B3" w14:textId="77777777" w:rsidR="00F87897" w:rsidRPr="001D47A5" w:rsidRDefault="00F87897" w:rsidP="00F87897">
      <w:pPr>
        <w:rPr>
          <w:rStyle w:val="IntenseEmphasis"/>
        </w:rPr>
      </w:pPr>
      <w:r w:rsidRPr="001D47A5">
        <w:rPr>
          <w:rStyle w:val="IntenseEmphasis"/>
        </w:rPr>
        <w:t>Please make your introductory comments below, if any:</w:t>
      </w:r>
    </w:p>
    <w:p w14:paraId="231F0352" w14:textId="77777777" w:rsidR="00F87897" w:rsidRPr="00BF28DA" w:rsidRDefault="00F87897" w:rsidP="00F87897"/>
    <w:p w14:paraId="77CF2E09" w14:textId="77777777" w:rsidR="00F87897" w:rsidRPr="006F4535" w:rsidRDefault="00F87897" w:rsidP="00F87897">
      <w:r w:rsidRPr="006F4535">
        <w:t>&lt;ESMA_COMMENT_</w:t>
      </w:r>
      <w:r w:rsidR="00227C1A">
        <w:t>CP</w:t>
      </w:r>
      <w:r w:rsidR="00D72869">
        <w:t>_SME_</w:t>
      </w:r>
      <w:r w:rsidRPr="006F4535">
        <w:t>1&gt;</w:t>
      </w:r>
    </w:p>
    <w:p w14:paraId="78F2EE17" w14:textId="199C6146" w:rsidR="004D6EFF" w:rsidRDefault="004D6EFF" w:rsidP="004D6EFF">
      <w:permStart w:id="426801697" w:edGrp="everyone"/>
      <w:r>
        <w:t>ZAGREB STOCK EXCHANGE LTD operates two markets: regulated market (divided into three segments) and MTF registered as SME Growth Market. The business strategy include</w:t>
      </w:r>
      <w:r w:rsidR="00EE11EA">
        <w:t>s</w:t>
      </w:r>
      <w:r>
        <w:t xml:space="preserve"> regional cooperation and business expansion, so in the last decade, ZSE leads the </w:t>
      </w:r>
      <w:r w:rsidR="00187CD9">
        <w:t xml:space="preserve">regional </w:t>
      </w:r>
      <w:r>
        <w:t>development of the capital markets.</w:t>
      </w:r>
      <w:r w:rsidR="00AD1E57">
        <w:t xml:space="preserve"> </w:t>
      </w:r>
      <w:r>
        <w:t>The main goal was to grow in two directions: to establish regional cooperation with other</w:t>
      </w:r>
      <w:r w:rsidR="00B202E4">
        <w:t xml:space="preserve"> Exchanges</w:t>
      </w:r>
      <w:r>
        <w:t xml:space="preserve"> and capital markets stakeholders and to expand and develop through acquisitions or joint ventures. Together with Bulgarian and Macedonian stock exchanges, Zagreb Stock Exchange has established the SEE LINK company in 2104, with the objective of creating a regional infrastructure. </w:t>
      </w:r>
      <w:r w:rsidR="00B202E4">
        <w:t>Further</w:t>
      </w:r>
      <w:r>
        <w:t xml:space="preserve"> development included acquisitions, so in 2015 Zagreb Stock Exchange acquired 100% ownership of Ljubljana Stock Exchange, and </w:t>
      </w:r>
      <w:r w:rsidR="00B202E4">
        <w:t xml:space="preserve">in 2020 Zagreb Stock Exchange acquired </w:t>
      </w:r>
      <w:r>
        <w:t>5.3% shares of the Macedonian Stock Exchange.</w:t>
      </w:r>
    </w:p>
    <w:p w14:paraId="622619E3" w14:textId="1DDFCE55" w:rsidR="00F87897" w:rsidRDefault="004D6EFF" w:rsidP="00F87897">
      <w:r>
        <w:t xml:space="preserve">Furthermore, for a small market, it is important to be up-to-date with new trends and technologies in order to provide innovative solutions to the local capital market. In 2016 Zagreb Stock Exchange launched a partnership project with Estonian </w:t>
      </w:r>
      <w:proofErr w:type="spellStart"/>
      <w:r>
        <w:t>Funderbeam</w:t>
      </w:r>
      <w:proofErr w:type="spellEnd"/>
      <w:r>
        <w:t>. New global fundraising and trading platform based on blockchain technology, provides early-stage companies new financing solutions, and for the Exchange way to create a pipeline of new issuers</w:t>
      </w:r>
      <w:r w:rsidR="00F80107">
        <w:t>.</w:t>
      </w:r>
      <w:r w:rsidR="00C84200">
        <w:t xml:space="preserve"> </w:t>
      </w:r>
      <w:r w:rsidR="005427B8">
        <w:t>Although s</w:t>
      </w:r>
      <w:r w:rsidR="005427B8" w:rsidRPr="005427B8">
        <w:t>tock markets in transition economies are generally underdeveloped, with low market capitalization and turnover</w:t>
      </w:r>
      <w:r w:rsidR="005427B8">
        <w:t>, p</w:t>
      </w:r>
      <w:r w:rsidR="009805E5" w:rsidRPr="009805E5">
        <w:t xml:space="preserve">rincipal objective </w:t>
      </w:r>
      <w:r w:rsidR="009805E5">
        <w:t xml:space="preserve">is to create positive investment environment </w:t>
      </w:r>
      <w:r w:rsidR="005427B8">
        <w:t>and bridge between the European Union and the rest of the region</w:t>
      </w:r>
      <w:r w:rsidR="009805E5">
        <w:t>.</w:t>
      </w:r>
      <w:r w:rsidR="00507F67">
        <w:t xml:space="preserve"> </w:t>
      </w:r>
      <w:permEnd w:id="426801697"/>
    </w:p>
    <w:p w14:paraId="6ABBF4CD" w14:textId="77777777" w:rsidR="00F87897" w:rsidRPr="00BF28DA" w:rsidRDefault="00F87897" w:rsidP="00F87897">
      <w:r w:rsidRPr="00BF28DA">
        <w:t>&lt;ESMA_COMMENT_</w:t>
      </w:r>
      <w:r w:rsidR="00227C1A">
        <w:t>CP</w:t>
      </w:r>
      <w:r w:rsidR="00D72869">
        <w:t>_SME_</w:t>
      </w:r>
      <w:r w:rsidRPr="00BF28DA">
        <w:t>1&gt;</w:t>
      </w:r>
    </w:p>
    <w:p w14:paraId="47AB466C" w14:textId="77777777" w:rsidR="00F87897" w:rsidRDefault="00F87897">
      <w:pPr>
        <w:rPr>
          <w:rFonts w:eastAsiaTheme="minorEastAsia" w:cstheme="minorBidi"/>
          <w:b/>
          <w:sz w:val="22"/>
          <w:szCs w:val="20"/>
          <w:lang w:eastAsia="en-US"/>
        </w:rPr>
      </w:pPr>
      <w:r>
        <w:br w:type="page"/>
      </w:r>
    </w:p>
    <w:p w14:paraId="10B970EF" w14:textId="30386EF5"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352E302E" w14:textId="77777777" w:rsidR="00A8728B" w:rsidRDefault="00A8728B" w:rsidP="00A8728B">
      <w:r>
        <w:t>&lt;ESMA_QUESTION</w:t>
      </w:r>
      <w:r w:rsidR="00D920D1">
        <w:t>_</w:t>
      </w:r>
      <w:r w:rsidR="00227C1A">
        <w:t>CP</w:t>
      </w:r>
      <w:r w:rsidR="00D72869">
        <w:t>_SME_</w:t>
      </w:r>
      <w:r>
        <w:t>1&gt;</w:t>
      </w:r>
    </w:p>
    <w:p w14:paraId="47FB26C2" w14:textId="77777777" w:rsidR="00A8728B" w:rsidRDefault="00A8728B" w:rsidP="00A8728B">
      <w:permStart w:id="1472079269" w:edGrp="everyone"/>
      <w:r>
        <w:t>TYPE YOUR TEXT HERE</w:t>
      </w:r>
      <w:permEnd w:id="1472079269"/>
    </w:p>
    <w:p w14:paraId="090AB659" w14:textId="77777777" w:rsidR="00A8728B" w:rsidRDefault="00A8728B" w:rsidP="00A8728B">
      <w:r>
        <w:t>&lt;ESMA_QUESTION</w:t>
      </w:r>
      <w:r w:rsidR="00D920D1">
        <w:t>_</w:t>
      </w:r>
      <w:r w:rsidR="00227C1A">
        <w:t>CP</w:t>
      </w:r>
      <w:r w:rsidR="00D72869">
        <w:t>_SME_</w:t>
      </w:r>
      <w:r>
        <w:t>1&gt;</w:t>
      </w:r>
    </w:p>
    <w:p w14:paraId="7B022DF3" w14:textId="77777777" w:rsidR="00C228C1" w:rsidRDefault="00C228C1" w:rsidP="00A8728B"/>
    <w:p w14:paraId="1DA9B745" w14:textId="3AFE610A"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12E88C70" w14:textId="77777777" w:rsidR="00A8728B" w:rsidRDefault="00A8728B" w:rsidP="00A8728B">
      <w:r>
        <w:t>&lt;ESMA_QUESTION</w:t>
      </w:r>
      <w:r w:rsidR="00D920D1">
        <w:t>_</w:t>
      </w:r>
      <w:r w:rsidR="00227C1A">
        <w:t>CP</w:t>
      </w:r>
      <w:r w:rsidR="00D72869">
        <w:t>_SME_</w:t>
      </w:r>
      <w:r>
        <w:t>2&gt;</w:t>
      </w:r>
    </w:p>
    <w:p w14:paraId="7E606B44" w14:textId="77777777" w:rsidR="00A8728B" w:rsidRDefault="00A8728B" w:rsidP="00A8728B">
      <w:permStart w:id="1018121392" w:edGrp="everyone"/>
      <w:r>
        <w:t>TYPE YOUR TEXT HERE</w:t>
      </w:r>
      <w:permEnd w:id="1018121392"/>
    </w:p>
    <w:p w14:paraId="540013F3" w14:textId="77777777" w:rsidR="00A8728B" w:rsidRDefault="00A8728B" w:rsidP="00A8728B">
      <w:r>
        <w:t>&lt;ESMA_QUESTION</w:t>
      </w:r>
      <w:r w:rsidR="00D920D1">
        <w:t>_</w:t>
      </w:r>
      <w:r w:rsidR="00227C1A">
        <w:t>CP</w:t>
      </w:r>
      <w:r w:rsidR="00D72869">
        <w:t>_SME_</w:t>
      </w:r>
      <w:r>
        <w:t>2&gt;</w:t>
      </w:r>
    </w:p>
    <w:p w14:paraId="220A420C" w14:textId="77777777" w:rsidR="002E1760" w:rsidRDefault="002E1760" w:rsidP="00A8728B"/>
    <w:p w14:paraId="7E9487FE" w14:textId="27C6832F" w:rsidR="002E1760" w:rsidRPr="00431DA4" w:rsidRDefault="00EC5B27" w:rsidP="00293D78">
      <w:pPr>
        <w:pStyle w:val="CPQuestions"/>
      </w:pPr>
      <w:r w:rsidRPr="00EC5B27">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3321FF9" w14:textId="77777777" w:rsidR="002E1760" w:rsidRDefault="002E1760" w:rsidP="002E1760">
      <w:r>
        <w:t>&lt;ESMA_QUESTION_</w:t>
      </w:r>
      <w:r w:rsidR="00227C1A">
        <w:t>CP</w:t>
      </w:r>
      <w:r w:rsidR="00D72869">
        <w:t>_SME_</w:t>
      </w:r>
      <w:r>
        <w:t>3&gt;</w:t>
      </w:r>
    </w:p>
    <w:p w14:paraId="5501614E" w14:textId="47E57D4D" w:rsidR="002E1760" w:rsidRDefault="00492B46" w:rsidP="002E1760">
      <w:permStart w:id="1430405890" w:edGrp="everyone"/>
      <w:r w:rsidRPr="00492B46">
        <w:t>Taking into account that smaller markets are underdeveloped, primarily due to increased debt financing and the SME’s lack of trust in equity financing, we consider that 50 % is an appropriate threshold to ensure the success of the SME GM. Exchanges must have the opportunity to use SME GM as a pipeline for new issuers. Furthermore, some industries/sectors (manufacturing/construction industry) have difficulties following at least two of the three (EU) 2017/565 criteria, either because of the number of employees or the total balance sheet. Although interested in the capital markets these “large” companies are usually not yet ready to enter a regulated market, and a threshold above 50% will force SME GM to refuse potential issuers. Following (EU) 2019/2115 SME GM should not be perceived as a final step in the scaling up of issuers. SME GM should enable successful companies to grow and move one day to regulated markets, in order to benefit from greater liquidity and a larger ‘investors pool’. Allowing 50% threshold, gives SME GM’s possibility to prepare and “transfer” these companies to the regulated market</w:t>
      </w:r>
      <w:r w:rsidR="00E777BB">
        <w:t>.</w:t>
      </w:r>
      <w:permEnd w:id="1430405890"/>
    </w:p>
    <w:p w14:paraId="30FEE2F9" w14:textId="77777777" w:rsidR="002E1760" w:rsidRDefault="002E1760" w:rsidP="002E1760">
      <w:r>
        <w:t>&lt;ESMA_QUESTION_</w:t>
      </w:r>
      <w:r w:rsidR="00227C1A">
        <w:t>CP</w:t>
      </w:r>
      <w:r w:rsidR="00D72869">
        <w:t>_SME_</w:t>
      </w:r>
      <w:r>
        <w:t>3&gt;</w:t>
      </w:r>
    </w:p>
    <w:p w14:paraId="3D564B0A" w14:textId="77777777" w:rsidR="002E1760" w:rsidRDefault="002E1760" w:rsidP="00A8728B"/>
    <w:p w14:paraId="32899DA5" w14:textId="3F2F3D76"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647182B4" w14:textId="77777777" w:rsidR="002E1760" w:rsidRDefault="002E1760" w:rsidP="002E1760">
      <w:r>
        <w:t>&lt;ESMA_QUESTION_</w:t>
      </w:r>
      <w:r w:rsidR="00227C1A">
        <w:t>CP</w:t>
      </w:r>
      <w:r w:rsidR="00D72869">
        <w:t>_SME_</w:t>
      </w:r>
      <w:r>
        <w:t>4&gt;</w:t>
      </w:r>
    </w:p>
    <w:p w14:paraId="7E633C0A" w14:textId="3FDA682A" w:rsidR="002E1760" w:rsidRDefault="006D0076" w:rsidP="002E1760">
      <w:permStart w:id="815333937" w:edGrp="everyone"/>
      <w:r w:rsidRPr="006D0076">
        <w:t xml:space="preserve">SME definition must consider sector-based inputs, whereas knowledge-based industries differ from </w:t>
      </w:r>
      <w:proofErr w:type="spellStart"/>
      <w:r w:rsidRPr="006D0076">
        <w:t>labor-intensive</w:t>
      </w:r>
      <w:proofErr w:type="spellEnd"/>
      <w:r w:rsidRPr="006D0076">
        <w:t xml:space="preserve"> industries by type of resources, especially the number of employees and assets. </w:t>
      </w:r>
      <w:r w:rsidR="00CA2B48">
        <w:t>High-growth firms, as measured by employment expansion rates, account for a significant share of jobs created and are key players in economic growth.</w:t>
      </w:r>
      <w:r w:rsidR="00C43E16">
        <w:t xml:space="preserve"> Some industries (manufacturing, retail, agriculture) are closely linked to “manpower” and SME expansion depends on </w:t>
      </w:r>
      <w:r w:rsidR="006927C7">
        <w:t xml:space="preserve">the </w:t>
      </w:r>
      <w:r w:rsidR="00C43E16">
        <w:t>number of employees.</w:t>
      </w:r>
      <w:r w:rsidR="00940AF7">
        <w:t xml:space="preserve"> </w:t>
      </w:r>
      <w:r w:rsidRPr="006D0076">
        <w:t xml:space="preserve">Alignment should be made in terms </w:t>
      </w:r>
      <w:r w:rsidR="006927C7">
        <w:t xml:space="preserve">of </w:t>
      </w:r>
      <w:r w:rsidR="006927C7" w:rsidRPr="00492B46">
        <w:t>(EU) 2017/565 criteria</w:t>
      </w:r>
      <w:r w:rsidRPr="006D0076">
        <w:t>. We recommend amendments to the “headcount” definition</w:t>
      </w:r>
      <w:r w:rsidR="006927C7">
        <w:t xml:space="preserve"> (max 250)</w:t>
      </w:r>
      <w:r w:rsidRPr="006D0076">
        <w:t xml:space="preserve"> to make it more relevant for high-growth enterprises</w:t>
      </w:r>
      <w:r>
        <w:t>.</w:t>
      </w:r>
      <w:permEnd w:id="815333937"/>
    </w:p>
    <w:p w14:paraId="0D485BF5" w14:textId="77777777" w:rsidR="002E1760" w:rsidRDefault="002E1760" w:rsidP="002E1760">
      <w:r>
        <w:t>&lt;ESMA_QUESTION_</w:t>
      </w:r>
      <w:r w:rsidR="00227C1A">
        <w:t>CP</w:t>
      </w:r>
      <w:r w:rsidR="00D72869">
        <w:t>_SME_</w:t>
      </w:r>
      <w:r>
        <w:t>4&gt;</w:t>
      </w:r>
    </w:p>
    <w:p w14:paraId="2BFC8505" w14:textId="77777777" w:rsidR="002E1760" w:rsidRDefault="002E1760" w:rsidP="002E1760"/>
    <w:p w14:paraId="1187E171" w14:textId="5ED84054" w:rsidR="002E1760" w:rsidRPr="00431DA4" w:rsidRDefault="00EC5B27" w:rsidP="00293D78">
      <w:pPr>
        <w:pStyle w:val="CPQuestions"/>
      </w:pPr>
      <w:r w:rsidRPr="00EC5B27">
        <w:lastRenderedPageBreak/>
        <w:t>Which are your views on the regime applicable to SME GMs regarding the initial and ongoing admission to trading of financial instruments? Are there requirements which should be specified</w:t>
      </w:r>
      <w:r>
        <w:t>?</w:t>
      </w:r>
    </w:p>
    <w:p w14:paraId="24E0709D" w14:textId="77777777" w:rsidR="00227C1A" w:rsidRDefault="00227C1A" w:rsidP="00227C1A">
      <w:r>
        <w:t>&lt;ESMA_QUESTION_CP</w:t>
      </w:r>
      <w:r w:rsidR="00D72869">
        <w:t>_SME_</w:t>
      </w:r>
      <w:r w:rsidR="0062022D">
        <w:t>5</w:t>
      </w:r>
      <w:r>
        <w:t>&gt;</w:t>
      </w:r>
    </w:p>
    <w:p w14:paraId="514CF23A" w14:textId="77777777" w:rsidR="00227C1A" w:rsidRDefault="00227C1A" w:rsidP="00227C1A">
      <w:permStart w:id="1998791765" w:edGrp="everyone"/>
      <w:r>
        <w:t>TYPE YOUR TEXT HERE</w:t>
      </w:r>
      <w:permEnd w:id="1998791765"/>
    </w:p>
    <w:p w14:paraId="0FF587F2" w14:textId="77777777" w:rsidR="00227C1A" w:rsidRDefault="00227C1A" w:rsidP="00227C1A">
      <w:r>
        <w:t>&lt;ESMA_QUESTION_CP</w:t>
      </w:r>
      <w:r w:rsidR="00D72869">
        <w:t>_SME_</w:t>
      </w:r>
      <w:r w:rsidR="0062022D">
        <w:t>5</w:t>
      </w:r>
      <w:r>
        <w:t>&gt;</w:t>
      </w:r>
    </w:p>
    <w:p w14:paraId="596CFF77" w14:textId="77777777" w:rsidR="002E1760" w:rsidRDefault="002E1760" w:rsidP="002E1760"/>
    <w:p w14:paraId="45916D0B" w14:textId="1CF70B06"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77111FA7" w14:textId="77777777" w:rsidR="0062022D" w:rsidRDefault="0062022D" w:rsidP="0062022D">
      <w:r>
        <w:t>&lt;ESMA_QUESTION_CP</w:t>
      </w:r>
      <w:r w:rsidR="00D72869">
        <w:t>_SME_</w:t>
      </w:r>
      <w:r w:rsidR="00A263DF">
        <w:t>6</w:t>
      </w:r>
      <w:r>
        <w:t>&gt;</w:t>
      </w:r>
    </w:p>
    <w:p w14:paraId="66F82FA5" w14:textId="6863A80D" w:rsidR="0062022D" w:rsidRDefault="00D42111" w:rsidP="0062022D">
      <w:permStart w:id="893603295" w:edGrp="everyone"/>
      <w:r w:rsidRPr="00D42111">
        <w:t>Harmonization of accounting standards only for SME GM issuers can be burdensome and could operate in a discriminatory manner. Today, non-listed SMEs are subject to national accounting rules based on the EU Accounting Directives, which sets common basic principles that Member States have to apply when designing their national accounting frameworks for SMEs. Harmonization of accounting standards could lead to setting new accounting rules for listed SME’s or “future SME GM issuers” and could ultimately result in a new administrative burden. Furthermore, SME’s would have to adapt existing accounting IT-systems to new requirements, which would result in higher costs and more administrative burden</w:t>
      </w:r>
      <w:r w:rsidR="00BB444B">
        <w:t>.</w:t>
      </w:r>
      <w:r w:rsidR="00A9785C">
        <w:t xml:space="preserve"> </w:t>
      </w:r>
      <w:permEnd w:id="893603295"/>
    </w:p>
    <w:p w14:paraId="5A48AF05" w14:textId="77777777" w:rsidR="0062022D" w:rsidRDefault="0062022D" w:rsidP="0062022D">
      <w:r>
        <w:t>&lt;ESMA_QUESTION_CP</w:t>
      </w:r>
      <w:r w:rsidR="00D72869">
        <w:t>_SME_</w:t>
      </w:r>
      <w:r w:rsidR="00A263DF">
        <w:t>6</w:t>
      </w:r>
      <w:r>
        <w:t>&gt;</w:t>
      </w:r>
    </w:p>
    <w:p w14:paraId="157AA7E2" w14:textId="7947DA3B" w:rsidR="002E1760" w:rsidRPr="00431DA4" w:rsidRDefault="00EC5B27" w:rsidP="00293D78">
      <w:pPr>
        <w:pStyle w:val="CPQuestions"/>
      </w:pPr>
      <w:r w:rsidRPr="00EC5B27">
        <w:t>Should ESMA propose to create homogeneous admission requirements for issuers admitted to trading on SME GMs? Should such requirements be tailored depending on the size of the issuer (e.g. providing less burdensome requirements for Micro-SMEs)</w:t>
      </w:r>
      <w:r>
        <w:t>?</w:t>
      </w:r>
    </w:p>
    <w:p w14:paraId="1D8733D0" w14:textId="77777777" w:rsidR="00A263DF" w:rsidRDefault="00A263DF" w:rsidP="00A263DF">
      <w:r>
        <w:t>&lt;ESMA_QUESTION_CP</w:t>
      </w:r>
      <w:r w:rsidR="00D72869">
        <w:t>_SME_</w:t>
      </w:r>
      <w:r>
        <w:t>7&gt;</w:t>
      </w:r>
    </w:p>
    <w:p w14:paraId="66DB7A91" w14:textId="766B2F31" w:rsidR="00A263DF" w:rsidRDefault="00307A46" w:rsidP="00A263DF">
      <w:permStart w:id="1517158952" w:edGrp="everyone"/>
      <w:r>
        <w:t>No, admission requirement</w:t>
      </w:r>
      <w:r w:rsidR="008C0E6F">
        <w:t>s</w:t>
      </w:r>
      <w:r>
        <w:t xml:space="preserve"> should be left to </w:t>
      </w:r>
      <w:r w:rsidR="00D42111">
        <w:t>SME GM (</w:t>
      </w:r>
      <w:r>
        <w:t>MTF</w:t>
      </w:r>
      <w:r w:rsidR="00D42111">
        <w:t>)</w:t>
      </w:r>
      <w:r>
        <w:t xml:space="preserve"> operators. Markets, investor and legal requirements, differ from state to state</w:t>
      </w:r>
      <w:r w:rsidR="00BF4D55">
        <w:t xml:space="preserve"> and there is large difference between markets and investors in EU states</w:t>
      </w:r>
      <w:r>
        <w:t xml:space="preserve">. In particular, article 33(3) of MiFID II ensures </w:t>
      </w:r>
      <w:r w:rsidR="002B08C3">
        <w:t xml:space="preserve">all SME GM have </w:t>
      </w:r>
      <w:r w:rsidR="002B08C3" w:rsidRPr="002B08C3">
        <w:t>effective rules, systems and procedures</w:t>
      </w:r>
      <w:r w:rsidR="008C1613">
        <w:t>.</w:t>
      </w:r>
      <w:r w:rsidR="0037111C" w:rsidRPr="0037111C">
        <w:t xml:space="preserve"> </w:t>
      </w:r>
      <w:permEnd w:id="1517158952"/>
    </w:p>
    <w:p w14:paraId="0CF9FBDF" w14:textId="77777777" w:rsidR="00A263DF" w:rsidRDefault="00A263DF" w:rsidP="00A263DF">
      <w:r>
        <w:t>&lt;ESMA_QUESTION_CP</w:t>
      </w:r>
      <w:r w:rsidR="00D72869">
        <w:t>_SME_</w:t>
      </w:r>
      <w:r>
        <w:t>7&gt;</w:t>
      </w:r>
    </w:p>
    <w:p w14:paraId="6D4062C4" w14:textId="77777777" w:rsidR="00C228C1" w:rsidRDefault="00C228C1" w:rsidP="00A263DF"/>
    <w:p w14:paraId="5A19E15A" w14:textId="4A3AFB41"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2DE7261E" w14:textId="77777777" w:rsidR="00A263DF" w:rsidRDefault="00A263DF" w:rsidP="00A263DF">
      <w:r>
        <w:t>&lt;ESMA_QUESTION_CP</w:t>
      </w:r>
      <w:r w:rsidR="00D72869">
        <w:t>_SME_</w:t>
      </w:r>
      <w:r w:rsidR="00C228C1">
        <w:t>8</w:t>
      </w:r>
      <w:r>
        <w:t>&gt;</w:t>
      </w:r>
    </w:p>
    <w:p w14:paraId="17AE205F" w14:textId="77777777" w:rsidR="00A263DF" w:rsidRDefault="00A263DF" w:rsidP="00A263DF">
      <w:permStart w:id="1657668776" w:edGrp="everyone"/>
      <w:r>
        <w:t>TYPE YOUR TEXT HERE</w:t>
      </w:r>
      <w:permEnd w:id="1657668776"/>
    </w:p>
    <w:p w14:paraId="0E1C9D54" w14:textId="77777777" w:rsidR="00A263DF" w:rsidRDefault="00A263DF" w:rsidP="00A263DF">
      <w:r>
        <w:t>&lt;ESMA_QUESTION_CP</w:t>
      </w:r>
      <w:r w:rsidR="00D72869">
        <w:t>_SME_</w:t>
      </w:r>
      <w:r w:rsidR="00C228C1">
        <w:t>8</w:t>
      </w:r>
      <w:r>
        <w:t>&gt;</w:t>
      </w:r>
    </w:p>
    <w:p w14:paraId="7ACC578F" w14:textId="77777777" w:rsidR="00C228C1" w:rsidRDefault="00C228C1" w:rsidP="00A263DF"/>
    <w:p w14:paraId="0C48040F" w14:textId="49802E3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41D077B6" w14:textId="77777777" w:rsidR="002E1760" w:rsidRDefault="002E1760" w:rsidP="002E1760">
      <w:r>
        <w:t>&lt;ESMA_QUESTION_</w:t>
      </w:r>
      <w:r w:rsidR="00227C1A">
        <w:t>CP</w:t>
      </w:r>
      <w:r w:rsidR="00D72869">
        <w:t>_SME_</w:t>
      </w:r>
      <w:r>
        <w:t>9&gt;</w:t>
      </w:r>
    </w:p>
    <w:p w14:paraId="758D46CC" w14:textId="341F5673" w:rsidR="002E1760" w:rsidRDefault="00270D33" w:rsidP="002E1760">
      <w:permStart w:id="1982217876" w:edGrp="everyone"/>
      <w:r>
        <w:t>Standardised format for financial report</w:t>
      </w:r>
      <w:r w:rsidR="00767743">
        <w:t>s</w:t>
      </w:r>
      <w:r w:rsidRPr="00270D33">
        <w:t xml:space="preserve"> could operate in a discriminatory manner</w:t>
      </w:r>
      <w:r>
        <w:t xml:space="preserve"> for SME GM issuers</w:t>
      </w:r>
      <w:r w:rsidRPr="00270D33">
        <w:t>.</w:t>
      </w:r>
      <w:r w:rsidR="00E4236B">
        <w:t xml:space="preserve"> </w:t>
      </w:r>
      <w:r w:rsidRPr="00270D33">
        <w:t xml:space="preserve">Today, non-listed SMEs are subject to national accounting rules based on the EU Accounting Directives, </w:t>
      </w:r>
      <w:r w:rsidRPr="00270D33">
        <w:lastRenderedPageBreak/>
        <w:t xml:space="preserve">which sets common basic principles that Member States have to apply when designing their national accounting frameworks for SMEs. </w:t>
      </w:r>
      <w:r>
        <w:t xml:space="preserve">Each national authority (and thus EU member state), set national rules for financial reporting and </w:t>
      </w:r>
      <w:r w:rsidR="00E4236B">
        <w:t xml:space="preserve">“one-size-fits-all” </w:t>
      </w:r>
      <w:r>
        <w:t xml:space="preserve">standardization </w:t>
      </w:r>
      <w:r w:rsidRPr="00270D33">
        <w:t xml:space="preserve">could ultimately result in a new administrative burden. Furthermore, </w:t>
      </w:r>
      <w:r w:rsidR="000C109F">
        <w:t xml:space="preserve">(same as ad Q6) </w:t>
      </w:r>
      <w:r w:rsidRPr="00270D33">
        <w:t xml:space="preserve">SME’s would have to adapt existing accounting IT-systems to new requirements, which would result in higher costs and </w:t>
      </w:r>
      <w:r w:rsidR="00E4236B">
        <w:t>compliance</w:t>
      </w:r>
      <w:r w:rsidRPr="00270D33">
        <w:t xml:space="preserve"> burden</w:t>
      </w:r>
      <w:r w:rsidR="000C109F">
        <w:t>.</w:t>
      </w:r>
      <w:permEnd w:id="1982217876"/>
    </w:p>
    <w:p w14:paraId="47E1FD77" w14:textId="77777777" w:rsidR="002E1760" w:rsidRDefault="002E1760" w:rsidP="002E1760">
      <w:r>
        <w:t>&lt;ESMA_QUESTION_</w:t>
      </w:r>
      <w:r w:rsidR="00227C1A">
        <w:t>CP</w:t>
      </w:r>
      <w:r w:rsidR="00D72869">
        <w:t>_SME_</w:t>
      </w:r>
      <w:r>
        <w:t>9&gt;</w:t>
      </w:r>
    </w:p>
    <w:p w14:paraId="43C593B9" w14:textId="77777777" w:rsidR="00C228C1" w:rsidRDefault="00C228C1" w:rsidP="002E1760"/>
    <w:p w14:paraId="0DC103B7" w14:textId="7B3B3697" w:rsidR="002E1760" w:rsidRPr="00431DA4" w:rsidRDefault="00EC5B27" w:rsidP="00293D78">
      <w:pPr>
        <w:pStyle w:val="CPQuestions"/>
      </w:pPr>
      <w:r w:rsidRPr="00EC5B27">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40B83F59" w14:textId="77777777" w:rsidR="008418E3" w:rsidRDefault="008418E3" w:rsidP="008418E3">
      <w:r>
        <w:t>&lt;ESMA_QUESTION_CP</w:t>
      </w:r>
      <w:r w:rsidR="00D72869">
        <w:t>_SME_</w:t>
      </w:r>
      <w:r>
        <w:t>10&gt;</w:t>
      </w:r>
    </w:p>
    <w:p w14:paraId="1EF0C041" w14:textId="327F8CD1" w:rsidR="006D0113" w:rsidRDefault="00BD46F7" w:rsidP="006D0113">
      <w:permStart w:id="986606513" w:edGrp="everyone"/>
      <w:r>
        <w:t>E</w:t>
      </w:r>
      <w:r w:rsidR="006D0113">
        <w:t>quity investments in start-ups/micro SMEs have been intensified through private-equity/crowdfunding or VC investments</w:t>
      </w:r>
      <w:r>
        <w:t xml:space="preserve"> in past years</w:t>
      </w:r>
      <w:r w:rsidR="00517348">
        <w:t xml:space="preserve">, but the </w:t>
      </w:r>
      <w:r w:rsidR="006D0113">
        <w:t xml:space="preserve">fact is that such investors </w:t>
      </w:r>
      <w:proofErr w:type="spellStart"/>
      <w:r w:rsidR="006D0113">
        <w:t>favor</w:t>
      </w:r>
      <w:proofErr w:type="spellEnd"/>
      <w:r w:rsidR="006D0113">
        <w:t xml:space="preserve"> investments in certain “high-growth” industries such as IT or </w:t>
      </w:r>
      <w:r w:rsidR="004907BF">
        <w:t>Fintech</w:t>
      </w:r>
      <w:r w:rsidR="006D0113">
        <w:t xml:space="preserve">. Micro SMEs from other </w:t>
      </w:r>
      <w:proofErr w:type="spellStart"/>
      <w:r w:rsidR="006D0113">
        <w:t>labor</w:t>
      </w:r>
      <w:proofErr w:type="spellEnd"/>
      <w:r w:rsidR="006D0113">
        <w:t>-intense industries (manufacturing</w:t>
      </w:r>
      <w:r w:rsidR="003763DD">
        <w:t xml:space="preserve">, </w:t>
      </w:r>
      <w:r w:rsidR="00015F7B">
        <w:t xml:space="preserve">agriculture, </w:t>
      </w:r>
      <w:r w:rsidR="003763DD">
        <w:t>transport etc</w:t>
      </w:r>
      <w:r w:rsidR="006D0113">
        <w:t xml:space="preserve">) could also benefit from equity financing but are unable to offer to investors high returns to capital in a short time. Micro-SMEs are often heavily reliant on traditional debt to </w:t>
      </w:r>
      <w:proofErr w:type="spellStart"/>
      <w:r w:rsidR="006D0113">
        <w:t>fulfill</w:t>
      </w:r>
      <w:proofErr w:type="spellEnd"/>
      <w:r w:rsidR="006D0113">
        <w:t xml:space="preserve"> their cash flow and investment needs, and that makes them vulnerable and less resilient in times of crisis. The recent crisis has shown us that it is important to foster traditional industries (like agriculture and manufacturing) within EU members. Capital markets will play a crucial role in the EU members' recovery and harmonized approaches of all EU members could encourage investments in “non-attractive” and traditional industries. </w:t>
      </w:r>
    </w:p>
    <w:p w14:paraId="77631830" w14:textId="3C0C2EE4" w:rsidR="008418E3" w:rsidRDefault="006D0113" w:rsidP="008418E3">
      <w:r>
        <w:t>Encouraging micro-SMEs to enter capital markets should be considered in a broader context: tax alleviations, administrative support, listing alleviations through easier listing requirements and covered listing costs. Although crowdfunding platforms are great alternative for raising additional capital, only capital markets can offer transparency and investor protection. The measures proposed for micro-SME are set out under three areas: MAR proportionately lower fines (compared to issuers on a regulated market), Tax incentives for the SME listed on SME GM (reduced corporate income tax for the first 3 years after going public) and Tax incentives for investors (reduced tax on capital income for investments in SME) and financial support measures (pre-listing programmes, subsidise/cover listing fees or direct running costs of the selected SMEs</w:t>
      </w:r>
      <w:r w:rsidR="00015F7B">
        <w:t xml:space="preserve">. Great example is </w:t>
      </w:r>
      <w:r w:rsidR="00015F7B" w:rsidRPr="00015F7B">
        <w:t xml:space="preserve">tax relief for </w:t>
      </w:r>
      <w:r w:rsidR="00015F7B">
        <w:t>R&amp;D (</w:t>
      </w:r>
      <w:r w:rsidR="00015F7B" w:rsidRPr="00015F7B">
        <w:t>research and development</w:t>
      </w:r>
      <w:r w:rsidR="00015F7B">
        <w:t>)</w:t>
      </w:r>
      <w:r w:rsidR="00015F7B" w:rsidRPr="00015F7B">
        <w:t xml:space="preserve"> projects and feasibility studies (income tax base reduction)</w:t>
      </w:r>
      <w:r w:rsidR="00015F7B">
        <w:t>, where each EU member state applied EU policies on a national level.</w:t>
      </w:r>
      <w:r w:rsidR="00B80A38">
        <w:t xml:space="preserve"> </w:t>
      </w:r>
      <w:permEnd w:id="986606513"/>
    </w:p>
    <w:p w14:paraId="2FA3E7FE" w14:textId="77777777" w:rsidR="008418E3" w:rsidRDefault="008418E3" w:rsidP="008418E3">
      <w:r>
        <w:t>&lt;ESMA_QUESTION_CP</w:t>
      </w:r>
      <w:r w:rsidR="00D72869">
        <w:t>_SME_</w:t>
      </w:r>
      <w:r>
        <w:t>10&gt;</w:t>
      </w:r>
    </w:p>
    <w:p w14:paraId="3E07CD2C" w14:textId="77777777" w:rsidR="00C228C1" w:rsidRDefault="00C228C1" w:rsidP="008418E3"/>
    <w:p w14:paraId="4C56D8EA" w14:textId="65DE8680"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3ACC713C" w14:textId="77777777" w:rsidR="00F469F8" w:rsidRDefault="00F469F8" w:rsidP="00F469F8">
      <w:r>
        <w:t>&lt;ESMA_QUESTION_CP</w:t>
      </w:r>
      <w:r w:rsidR="00D72869">
        <w:t>_SME_</w:t>
      </w:r>
      <w:r>
        <w:t>11&gt;</w:t>
      </w:r>
    </w:p>
    <w:p w14:paraId="5020D7AC" w14:textId="77777777" w:rsidR="00F469F8" w:rsidRDefault="00F469F8" w:rsidP="00F469F8">
      <w:permStart w:id="836447976" w:edGrp="everyone"/>
      <w:r>
        <w:t>TYPE YOUR TEXT HERE</w:t>
      </w:r>
      <w:permEnd w:id="836447976"/>
    </w:p>
    <w:p w14:paraId="16FEC943" w14:textId="77777777" w:rsidR="00F469F8" w:rsidRDefault="00F469F8" w:rsidP="00F469F8">
      <w:r>
        <w:t>&lt;ESMA_QUESTION_CP</w:t>
      </w:r>
      <w:r w:rsidR="00D72869">
        <w:t>_SME_</w:t>
      </w:r>
      <w:r>
        <w:t>11&gt;</w:t>
      </w:r>
    </w:p>
    <w:p w14:paraId="477BD8C5" w14:textId="77777777" w:rsidR="00C228C1" w:rsidRDefault="00C228C1" w:rsidP="00F469F8"/>
    <w:p w14:paraId="7537D7B4" w14:textId="1C99ED4D" w:rsidR="00F469F8" w:rsidRDefault="00EC5B27" w:rsidP="00F469F8">
      <w:pPr>
        <w:pStyle w:val="CPQuestions"/>
      </w:pPr>
      <w:r w:rsidRPr="00EC5B27">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7A5B01EF" w14:textId="77777777" w:rsidR="00F469F8" w:rsidRDefault="00F469F8" w:rsidP="00F469F8">
      <w:r>
        <w:lastRenderedPageBreak/>
        <w:t>&lt;ESMA_QUESTION_CP</w:t>
      </w:r>
      <w:r w:rsidR="00D72869">
        <w:t>_SME_</w:t>
      </w:r>
      <w:r>
        <w:t>1</w:t>
      </w:r>
      <w:r w:rsidR="002868FC">
        <w:t>2</w:t>
      </w:r>
      <w:r>
        <w:t>&gt;</w:t>
      </w:r>
    </w:p>
    <w:p w14:paraId="10661D3F" w14:textId="77777777" w:rsidR="00F469F8" w:rsidRDefault="00F469F8" w:rsidP="00F469F8">
      <w:permStart w:id="1246451605" w:edGrp="everyone"/>
      <w:r>
        <w:t>TYPE YOUR TEXT HERE</w:t>
      </w:r>
      <w:permEnd w:id="1246451605"/>
    </w:p>
    <w:p w14:paraId="387CB142" w14:textId="77777777" w:rsidR="00F469F8" w:rsidRDefault="00F469F8" w:rsidP="00F469F8">
      <w:r>
        <w:t>&lt;ESMA_QUESTION_CP</w:t>
      </w:r>
      <w:r w:rsidR="00D72869">
        <w:t>_SME_</w:t>
      </w:r>
      <w:r>
        <w:t>1</w:t>
      </w:r>
      <w:r w:rsidR="002868FC">
        <w:t>2</w:t>
      </w:r>
      <w:r>
        <w:t>&gt;</w:t>
      </w:r>
    </w:p>
    <w:p w14:paraId="22A913BC" w14:textId="77777777" w:rsidR="009003B8" w:rsidRDefault="009003B8" w:rsidP="002E1760"/>
    <w:p w14:paraId="4B66D635" w14:textId="0E8F310A" w:rsidR="00646C30" w:rsidRDefault="00EC5B27" w:rsidP="00646C30">
      <w:pPr>
        <w:pStyle w:val="CPQuestions"/>
      </w:pPr>
      <w:r w:rsidRPr="00EC5B27">
        <w:t>Do you think that it should be specified that obligations relating to corporate governance or initial, ongoing or ad hoc disclosure should still hold in case of admission to trading in multiple jurisdiction</w:t>
      </w:r>
      <w:r w:rsidR="00C228C1">
        <w:t>?</w:t>
      </w:r>
    </w:p>
    <w:p w14:paraId="433490F6" w14:textId="77777777" w:rsidR="00646C30" w:rsidRDefault="00646C30" w:rsidP="00646C30">
      <w:r>
        <w:t>&lt;ESMA_QUESTION_CP</w:t>
      </w:r>
      <w:r w:rsidR="00D72869">
        <w:t>_SME_</w:t>
      </w:r>
      <w:r>
        <w:t>1</w:t>
      </w:r>
      <w:r w:rsidR="00101BF1">
        <w:t>3</w:t>
      </w:r>
      <w:r>
        <w:t>&gt;</w:t>
      </w:r>
    </w:p>
    <w:p w14:paraId="52AA01D0" w14:textId="77777777" w:rsidR="00646C30" w:rsidRDefault="00646C30" w:rsidP="00646C30">
      <w:permStart w:id="1809603952" w:edGrp="everyone"/>
      <w:r>
        <w:t>TYPE YOUR TEXT HERE</w:t>
      </w:r>
      <w:permEnd w:id="1809603952"/>
    </w:p>
    <w:p w14:paraId="5F14573C" w14:textId="77777777" w:rsidR="00646C30" w:rsidRDefault="00646C30" w:rsidP="00646C30">
      <w:r>
        <w:t>&lt;ESMA_QUESTION_CP</w:t>
      </w:r>
      <w:r w:rsidR="00D72869">
        <w:t>_SME_</w:t>
      </w:r>
      <w:r>
        <w:t>1</w:t>
      </w:r>
      <w:r w:rsidR="002F1683">
        <w:t>3</w:t>
      </w:r>
      <w:r>
        <w:t>&gt;</w:t>
      </w:r>
    </w:p>
    <w:p w14:paraId="2A638E5C" w14:textId="77777777" w:rsidR="002868FC" w:rsidRDefault="002868FC" w:rsidP="002E1760"/>
    <w:p w14:paraId="48593909" w14:textId="38A1A906" w:rsidR="00646C30" w:rsidRDefault="00EC5B27" w:rsidP="00646C30">
      <w:pPr>
        <w:pStyle w:val="CPQuestions"/>
      </w:pPr>
      <w:r w:rsidRPr="00EC5B27">
        <w:t>How do you think the availability of research on SMEs could be increased</w:t>
      </w:r>
      <w:r w:rsidR="00C228C1">
        <w:t>?</w:t>
      </w:r>
    </w:p>
    <w:p w14:paraId="21EDF167" w14:textId="77777777" w:rsidR="00646C30" w:rsidRDefault="00646C30" w:rsidP="00646C30">
      <w:r>
        <w:t>&lt;ESMA_QUESTION_CP</w:t>
      </w:r>
      <w:r w:rsidR="00D72869">
        <w:t>_SME_</w:t>
      </w:r>
      <w:r>
        <w:t>1</w:t>
      </w:r>
      <w:r w:rsidR="00101BF1">
        <w:t>4</w:t>
      </w:r>
      <w:r>
        <w:t>&gt;</w:t>
      </w:r>
    </w:p>
    <w:p w14:paraId="4052BBCF" w14:textId="487DAEDD" w:rsidR="00646C30" w:rsidRDefault="002F420E" w:rsidP="00646C30">
      <w:permStart w:id="1911234748" w:edGrp="everyone"/>
      <w:r w:rsidRPr="002F420E">
        <w:t xml:space="preserve">In times of high market volatility, the availability of reliable information and research coverage is crucial to make informed investment decisions. When there is no information or insufficient information about SME’s there is always great risk to invest. Lack of information and high-quality reports about SME, reject potential investors because costs (analysis) are disproportionate to benefits (revenue). SME Growth Markets could benefit from the establishment of a special rating-agency for </w:t>
      </w:r>
      <w:r w:rsidR="00620112">
        <w:t xml:space="preserve">SME analyses and </w:t>
      </w:r>
      <w:r w:rsidRPr="002F420E">
        <w:t xml:space="preserve">investment </w:t>
      </w:r>
      <w:r w:rsidR="00620112">
        <w:t>research</w:t>
      </w:r>
      <w:r w:rsidRPr="002F420E">
        <w:t>.</w:t>
      </w:r>
      <w:r w:rsidR="004D7665">
        <w:t xml:space="preserve"> </w:t>
      </w:r>
      <w:r w:rsidRPr="002F420E">
        <w:t>The research results would be a great benefit for brokerage houses, stock exchange, regulator, investors, and other stakeholders</w:t>
      </w:r>
      <w:r w:rsidR="00620112">
        <w:t xml:space="preserve"> willing to invest</w:t>
      </w:r>
      <w:r w:rsidR="006D564D" w:rsidRPr="00F50CD8">
        <w:t>.</w:t>
      </w:r>
      <w:permEnd w:id="1911234748"/>
    </w:p>
    <w:p w14:paraId="40FBC14D" w14:textId="77777777" w:rsidR="00646C30" w:rsidRDefault="00646C30" w:rsidP="00646C30">
      <w:r>
        <w:t>&lt;ESMA_QUESTION_CP</w:t>
      </w:r>
      <w:r w:rsidR="00D72869">
        <w:t>_SME_</w:t>
      </w:r>
      <w:r>
        <w:t>1</w:t>
      </w:r>
      <w:r w:rsidR="00101BF1">
        <w:t>4</w:t>
      </w:r>
      <w:r>
        <w:t>&gt;</w:t>
      </w:r>
    </w:p>
    <w:p w14:paraId="15337D4B" w14:textId="77777777" w:rsidR="002868FC" w:rsidRDefault="002868FC" w:rsidP="002E1760"/>
    <w:p w14:paraId="735A634F" w14:textId="241CFCEC" w:rsidR="00646C30" w:rsidRDefault="00EC5B27" w:rsidP="00646C30">
      <w:pPr>
        <w:pStyle w:val="CPQuestions"/>
      </w:pPr>
      <w:r w:rsidRPr="00EC5B27">
        <w:t>Do you agree with the proposed limits on resources or would you propose different ones? If so, please provide a justification</w:t>
      </w:r>
      <w:r w:rsidR="00292E82">
        <w:t>.</w:t>
      </w:r>
    </w:p>
    <w:p w14:paraId="6DA0CF53" w14:textId="77777777" w:rsidR="00646C30" w:rsidRDefault="00646C30" w:rsidP="00646C30">
      <w:r>
        <w:t>&lt;ESMA_QUESTION_CP</w:t>
      </w:r>
      <w:r w:rsidR="00D72869">
        <w:t>_SME_</w:t>
      </w:r>
      <w:r>
        <w:t>1</w:t>
      </w:r>
      <w:r w:rsidR="00101BF1">
        <w:t>5</w:t>
      </w:r>
      <w:r>
        <w:t>&gt;</w:t>
      </w:r>
    </w:p>
    <w:p w14:paraId="4D3E8648" w14:textId="77777777" w:rsidR="00646C30" w:rsidRDefault="00646C30" w:rsidP="00646C30">
      <w:permStart w:id="548804830" w:edGrp="everyone"/>
      <w:r>
        <w:t>TYPE YOUR TEXT HERE</w:t>
      </w:r>
      <w:permEnd w:id="548804830"/>
    </w:p>
    <w:p w14:paraId="72B25DFB" w14:textId="77777777" w:rsidR="00646C30" w:rsidRDefault="00646C30" w:rsidP="00646C30">
      <w:r>
        <w:t>&lt;ESMA_QUESTION_CP</w:t>
      </w:r>
      <w:r w:rsidR="00D72869">
        <w:t>_SME_</w:t>
      </w:r>
      <w:r>
        <w:t>1</w:t>
      </w:r>
      <w:r w:rsidR="00101BF1">
        <w:t>5</w:t>
      </w:r>
      <w:r>
        <w:t>&gt;</w:t>
      </w:r>
    </w:p>
    <w:p w14:paraId="3FCC609E" w14:textId="77777777" w:rsidR="002868FC" w:rsidRDefault="002868FC" w:rsidP="002E1760"/>
    <w:p w14:paraId="1EA35FBF" w14:textId="38FC0CEA"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7C9CEDC3" w14:textId="77777777" w:rsidR="00646C30" w:rsidRDefault="00646C30" w:rsidP="00646C30">
      <w:r>
        <w:t>&lt;ESMA_QUESTION_CP</w:t>
      </w:r>
      <w:r w:rsidR="00D72869">
        <w:t>_SME_</w:t>
      </w:r>
      <w:r>
        <w:t>1</w:t>
      </w:r>
      <w:r w:rsidR="00101BF1">
        <w:t>6</w:t>
      </w:r>
      <w:r>
        <w:t>&gt;</w:t>
      </w:r>
    </w:p>
    <w:p w14:paraId="2B5A47B4" w14:textId="77777777" w:rsidR="00646C30" w:rsidRDefault="00646C30" w:rsidP="00646C30">
      <w:permStart w:id="742271790" w:edGrp="everyone"/>
      <w:r>
        <w:t>TYPE YOUR TEXT HERE</w:t>
      </w:r>
      <w:permEnd w:id="742271790"/>
    </w:p>
    <w:p w14:paraId="417D9397" w14:textId="77777777" w:rsidR="00646C30" w:rsidRDefault="00646C30" w:rsidP="00646C30">
      <w:r>
        <w:t>&lt;ESMA_QUESTION_CP</w:t>
      </w:r>
      <w:r w:rsidR="00D72869">
        <w:t>_SME_</w:t>
      </w:r>
      <w:r>
        <w:t>1</w:t>
      </w:r>
      <w:r w:rsidR="00101BF1">
        <w:t>6</w:t>
      </w:r>
      <w:r>
        <w:t>&gt;</w:t>
      </w:r>
    </w:p>
    <w:p w14:paraId="0993E179" w14:textId="77777777" w:rsidR="002868FC" w:rsidRDefault="002868FC" w:rsidP="002E1760"/>
    <w:p w14:paraId="093D9BBA" w14:textId="340A0B18" w:rsidR="00646C30" w:rsidRDefault="00EC5B27" w:rsidP="00646C30">
      <w:pPr>
        <w:pStyle w:val="CPQuestions"/>
      </w:pPr>
      <w:r w:rsidRPr="00EC5B27">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1B8BEDF6" w14:textId="77777777" w:rsidR="00646C30" w:rsidRDefault="00646C30" w:rsidP="00646C30">
      <w:r>
        <w:t>&lt;ESMA_QUESTION_CP</w:t>
      </w:r>
      <w:r w:rsidR="00D72869">
        <w:t>_SME_</w:t>
      </w:r>
      <w:r>
        <w:t>1</w:t>
      </w:r>
      <w:r w:rsidR="00101BF1">
        <w:t>7</w:t>
      </w:r>
      <w:r>
        <w:t>&gt;</w:t>
      </w:r>
    </w:p>
    <w:p w14:paraId="6234C377" w14:textId="77777777" w:rsidR="00646C30" w:rsidRDefault="00646C30" w:rsidP="00646C30">
      <w:permStart w:id="159910378" w:edGrp="everyone"/>
      <w:r>
        <w:t>TYPE YOUR TEXT HERE</w:t>
      </w:r>
      <w:permEnd w:id="159910378"/>
    </w:p>
    <w:p w14:paraId="1D3BA8EA" w14:textId="77777777" w:rsidR="00646C30" w:rsidRDefault="00646C30" w:rsidP="00646C30">
      <w:r>
        <w:t>&lt;ESMA_QUESTION_CP</w:t>
      </w:r>
      <w:r w:rsidR="00D72869">
        <w:t>_SME_</w:t>
      </w:r>
      <w:r>
        <w:t>1</w:t>
      </w:r>
      <w:r w:rsidR="00101BF1">
        <w:t>7</w:t>
      </w:r>
      <w:r>
        <w:t>&gt;</w:t>
      </w:r>
    </w:p>
    <w:p w14:paraId="6AE0722A" w14:textId="67872D7E" w:rsidR="00646C30" w:rsidRDefault="00EC5B27" w:rsidP="00646C30">
      <w:pPr>
        <w:pStyle w:val="CPQuestions"/>
      </w:pPr>
      <w:r w:rsidRPr="00EC5B27">
        <w:lastRenderedPageBreak/>
        <w:t>Do you agree with ESMA’s view that the liquidity contract may cover large orders only in limited circumstances as described in paragraph 118</w:t>
      </w:r>
      <w:r>
        <w:t>?</w:t>
      </w:r>
    </w:p>
    <w:p w14:paraId="3F88983D" w14:textId="77777777" w:rsidR="00646C30" w:rsidRDefault="00646C30" w:rsidP="00646C30">
      <w:r>
        <w:t>&lt;ESMA_QUESTION_CP</w:t>
      </w:r>
      <w:r w:rsidR="00D72869">
        <w:t>_SME_</w:t>
      </w:r>
      <w:r>
        <w:t>1</w:t>
      </w:r>
      <w:r w:rsidR="00101BF1">
        <w:t>8</w:t>
      </w:r>
      <w:r>
        <w:t>&gt;</w:t>
      </w:r>
    </w:p>
    <w:p w14:paraId="7645340C" w14:textId="77777777" w:rsidR="00646C30" w:rsidRDefault="00646C30" w:rsidP="00646C30">
      <w:permStart w:id="503998741" w:edGrp="everyone"/>
      <w:r>
        <w:t>TYPE YOUR TEXT HERE</w:t>
      </w:r>
      <w:permEnd w:id="503998741"/>
    </w:p>
    <w:p w14:paraId="57EAB308" w14:textId="77777777" w:rsidR="00646C30" w:rsidRDefault="00646C30" w:rsidP="00646C30">
      <w:r>
        <w:t>&lt;ESMA_QUESTION_CP</w:t>
      </w:r>
      <w:r w:rsidR="00D72869">
        <w:t>_SME_</w:t>
      </w:r>
      <w:r>
        <w:t>1</w:t>
      </w:r>
      <w:r w:rsidR="00101BF1">
        <w:t>8</w:t>
      </w:r>
      <w:r>
        <w:t>&gt;</w:t>
      </w:r>
    </w:p>
    <w:p w14:paraId="61E331B7" w14:textId="77777777" w:rsidR="002868FC" w:rsidRDefault="002868FC" w:rsidP="002E1760"/>
    <w:p w14:paraId="63F72454" w14:textId="41A7021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B39851B" w14:textId="77777777" w:rsidR="00646C30" w:rsidRDefault="00646C30" w:rsidP="00646C30">
      <w:r>
        <w:t>&lt;ESMA_QUESTION_CP</w:t>
      </w:r>
      <w:r w:rsidR="00D72869">
        <w:t>_SME_</w:t>
      </w:r>
      <w:r>
        <w:t>1</w:t>
      </w:r>
      <w:r w:rsidR="00101BF1">
        <w:t>9</w:t>
      </w:r>
      <w:r>
        <w:t>&gt;</w:t>
      </w:r>
    </w:p>
    <w:p w14:paraId="08B42771" w14:textId="77777777" w:rsidR="00646C30" w:rsidRDefault="00646C30" w:rsidP="00646C30">
      <w:permStart w:id="324808430" w:edGrp="everyone"/>
      <w:r>
        <w:t>TYPE YOUR TEXT HERE</w:t>
      </w:r>
      <w:permEnd w:id="324808430"/>
    </w:p>
    <w:p w14:paraId="0259CA3C" w14:textId="77777777" w:rsidR="00646C30" w:rsidRDefault="00646C30" w:rsidP="00646C30">
      <w:r>
        <w:t>&lt;ESMA_QUESTION_CP</w:t>
      </w:r>
      <w:r w:rsidR="00D72869">
        <w:t>_SME_</w:t>
      </w:r>
      <w:r>
        <w:t>1</w:t>
      </w:r>
      <w:r w:rsidR="00101BF1">
        <w:t>9</w:t>
      </w:r>
      <w:r>
        <w:t>&gt;</w:t>
      </w:r>
    </w:p>
    <w:p w14:paraId="49B00B68" w14:textId="77777777" w:rsidR="002868FC" w:rsidRDefault="002868FC" w:rsidP="002E1760"/>
    <w:p w14:paraId="6B296609" w14:textId="1DE7E18C" w:rsidR="006D4E38" w:rsidRDefault="006D4E38" w:rsidP="006D4E38">
      <w:pPr>
        <w:pStyle w:val="CPQuestions"/>
      </w:pPr>
      <w:r>
        <w:t xml:space="preserve">CBA: </w:t>
      </w:r>
      <w:r w:rsidRPr="006D4E38">
        <w:t>Can you identify any other costs and benefits? Please elaborate</w:t>
      </w:r>
      <w:r>
        <w:t>.</w:t>
      </w:r>
    </w:p>
    <w:p w14:paraId="2E3C5D35" w14:textId="2DE1883E" w:rsidR="006D4E38" w:rsidRDefault="006D4E38" w:rsidP="006D4E38">
      <w:r>
        <w:t>&lt;ESMA_QUESTION_CP_SME_</w:t>
      </w:r>
      <w:r w:rsidR="00FB1F11">
        <w:t>20</w:t>
      </w:r>
      <w:r>
        <w:t>&gt;</w:t>
      </w:r>
    </w:p>
    <w:p w14:paraId="1961B90E" w14:textId="29A96F79" w:rsidR="00784F40" w:rsidRPr="00784F40" w:rsidRDefault="00784F40" w:rsidP="002B2A79">
      <w:permStart w:id="966160956" w:edGrp="everyone"/>
      <w:r w:rsidRPr="00784F40">
        <w:rPr>
          <w:b/>
          <w:bCs/>
        </w:rPr>
        <w:t xml:space="preserve">(a)Proportional administrative sanctions (MAR): </w:t>
      </w:r>
      <w:r w:rsidRPr="00784F40">
        <w:t>The Market Abuse Regulation has extended the scope of its obligations to issuers whose financial instruments have been admitted to trading on an MTF (including SME Growth Markets). In doing so, the Market Abuse Regulation has created a 'one-size-fits-all' regulatory environment by making all its requirements applicable in the same manner to all issuers. SME GM aims to encourage small and medium companies to enter capital markets, to accept investors and equity financing and overcome the basics of corporate governance. Considering administrative and therefore financial requirements, entering capital markets can be great challenge for SME’s. In terms of investor protection it is important to deliver a proportionate regulatory framework, but for smaller markets and SME issuers, the regulatory burden can be sometimes overwhelming. Even for large companies, with corporate governance and in-house attorneys, MAR compliance can be overwhelming, but minimum (or maximum) penalties (fines) would not jeopardise the future of the large company. On the contrary “one-size-fits-all” model, mostly used in the context of EU level legislative frameworks, is less proportional for smaller markets and brings disproportionate administrative and therefore financial requirements for SME GM issuers. Afraid that high penalties (fines) could jeopardise the company’s survival, SME’s prefer to de-list and to resort to private equity. In order to promote SME GM, we propose substantially lower sanctions for SME GM issuers. For issuers on SME GM markets, penalties should be proportionately lower compared to issuers on a regulated market. Proposal goes towards adjusting the amount of the minimum penalty and the</w:t>
      </w:r>
      <w:r w:rsidR="00052653">
        <w:t xml:space="preserve"> penalties </w:t>
      </w:r>
      <w:r w:rsidR="00052653" w:rsidRPr="00052653">
        <w:t xml:space="preserve">determined on the basis of </w:t>
      </w:r>
      <w:r w:rsidRPr="00784F40">
        <w:t xml:space="preserve">total revenues for SME GM issuers. </w:t>
      </w:r>
    </w:p>
    <w:p w14:paraId="4D332525" w14:textId="2C782CF7" w:rsidR="00572568" w:rsidRPr="002B2A79" w:rsidRDefault="002B2A79" w:rsidP="002B2A79">
      <w:pPr>
        <w:rPr>
          <w:b/>
          <w:bCs/>
        </w:rPr>
      </w:pPr>
      <w:r>
        <w:rPr>
          <w:b/>
          <w:bCs/>
        </w:rPr>
        <w:t>(b)</w:t>
      </w:r>
      <w:r w:rsidR="0063085F" w:rsidRPr="002B2A79">
        <w:rPr>
          <w:b/>
          <w:bCs/>
        </w:rPr>
        <w:t>New deadline to publicly disclose managers' transactions (</w:t>
      </w:r>
      <w:r w:rsidR="002A5EB9" w:rsidRPr="002B2A79">
        <w:rPr>
          <w:b/>
          <w:bCs/>
        </w:rPr>
        <w:t>MAR art</w:t>
      </w:r>
      <w:r w:rsidR="0063085F" w:rsidRPr="002B2A79">
        <w:rPr>
          <w:b/>
          <w:bCs/>
        </w:rPr>
        <w:t xml:space="preserve"> 19 (3))</w:t>
      </w:r>
    </w:p>
    <w:p w14:paraId="10A31002" w14:textId="3DD22C99" w:rsidR="004F22BF" w:rsidRDefault="005270B4" w:rsidP="006D4E38">
      <w:pPr>
        <w:rPr>
          <w:color w:val="000000"/>
          <w:bdr w:val="none" w:sz="0" w:space="0" w:color="auto" w:frame="1"/>
          <w:shd w:val="clear" w:color="auto" w:fill="FFFFFF"/>
        </w:rPr>
      </w:pPr>
      <w:r>
        <w:rPr>
          <w:color w:val="000000"/>
          <w:bdr w:val="none" w:sz="0" w:space="0" w:color="auto" w:frame="1"/>
          <w:shd w:val="clear" w:color="auto" w:fill="FFFFFF"/>
        </w:rPr>
        <w:t>T</w:t>
      </w:r>
      <w:r w:rsidRPr="005270B4">
        <w:rPr>
          <w:color w:val="000000"/>
          <w:bdr w:val="none" w:sz="0" w:space="0" w:color="auto" w:frame="1"/>
          <w:shd w:val="clear" w:color="auto" w:fill="FFFFFF"/>
        </w:rPr>
        <w:t xml:space="preserve">aking into account that </w:t>
      </w:r>
      <w:r>
        <w:rPr>
          <w:color w:val="000000"/>
          <w:bdr w:val="none" w:sz="0" w:space="0" w:color="auto" w:frame="1"/>
          <w:shd w:val="clear" w:color="auto" w:fill="FFFFFF"/>
        </w:rPr>
        <w:t xml:space="preserve">most </w:t>
      </w:r>
      <w:r w:rsidRPr="005270B4">
        <w:rPr>
          <w:color w:val="000000"/>
          <w:bdr w:val="none" w:sz="0" w:space="0" w:color="auto" w:frame="1"/>
          <w:shd w:val="clear" w:color="auto" w:fill="FFFFFF"/>
        </w:rPr>
        <w:t xml:space="preserve">SMEs </w:t>
      </w:r>
      <w:r>
        <w:rPr>
          <w:color w:val="000000"/>
          <w:bdr w:val="none" w:sz="0" w:space="0" w:color="auto" w:frame="1"/>
          <w:shd w:val="clear" w:color="auto" w:fill="FFFFFF"/>
        </w:rPr>
        <w:t xml:space="preserve">have no” in-house” legal support, </w:t>
      </w:r>
      <w:r w:rsidR="001B7DCF">
        <w:rPr>
          <w:color w:val="000000"/>
          <w:bdr w:val="none" w:sz="0" w:space="0" w:color="auto" w:frame="1"/>
          <w:shd w:val="clear" w:color="auto" w:fill="FFFFFF"/>
        </w:rPr>
        <w:t xml:space="preserve">and </w:t>
      </w:r>
      <w:r w:rsidR="00BA686C">
        <w:rPr>
          <w:color w:val="000000"/>
          <w:bdr w:val="none" w:sz="0" w:space="0" w:color="auto" w:frame="1"/>
          <w:shd w:val="clear" w:color="auto" w:fill="FFFFFF"/>
        </w:rPr>
        <w:t>“</w:t>
      </w:r>
      <w:r w:rsidR="001B7DCF">
        <w:rPr>
          <w:color w:val="000000"/>
          <w:bdr w:val="none" w:sz="0" w:space="0" w:color="auto" w:frame="1"/>
          <w:shd w:val="clear" w:color="auto" w:fill="FFFFFF"/>
        </w:rPr>
        <w:t xml:space="preserve">timeframe” </w:t>
      </w:r>
      <w:r w:rsidR="00BA686C">
        <w:rPr>
          <w:color w:val="000000"/>
          <w:bdr w:val="none" w:sz="0" w:space="0" w:color="auto" w:frame="1"/>
          <w:shd w:val="clear" w:color="auto" w:fill="FFFFFF"/>
        </w:rPr>
        <w:t xml:space="preserve">to send notification </w:t>
      </w:r>
      <w:r w:rsidR="001B7DCF">
        <w:rPr>
          <w:color w:val="000000"/>
          <w:bdr w:val="none" w:sz="0" w:space="0" w:color="auto" w:frame="1"/>
          <w:shd w:val="clear" w:color="auto" w:fill="FFFFFF"/>
        </w:rPr>
        <w:t>can be particularly challenging when the issuer is seeking legal advice about whether a specific transaction should be disclosed or not. C</w:t>
      </w:r>
      <w:r w:rsidR="001B7DCF" w:rsidRPr="001B7DCF">
        <w:rPr>
          <w:color w:val="000000"/>
          <w:bdr w:val="none" w:sz="0" w:space="0" w:color="auto" w:frame="1"/>
          <w:shd w:val="clear" w:color="auto" w:fill="FFFFFF"/>
        </w:rPr>
        <w:t xml:space="preserve">urrent </w:t>
      </w:r>
      <w:r w:rsidR="001B7DCF">
        <w:rPr>
          <w:color w:val="000000"/>
          <w:bdr w:val="none" w:sz="0" w:space="0" w:color="auto" w:frame="1"/>
          <w:shd w:val="clear" w:color="auto" w:fill="FFFFFF"/>
        </w:rPr>
        <w:t>“</w:t>
      </w:r>
      <w:r w:rsidR="001B7DCF" w:rsidRPr="001B7DCF">
        <w:rPr>
          <w:color w:val="000000"/>
          <w:bdr w:val="none" w:sz="0" w:space="0" w:color="auto" w:frame="1"/>
          <w:shd w:val="clear" w:color="auto" w:fill="FFFFFF"/>
        </w:rPr>
        <w:t>three working-day rule</w:t>
      </w:r>
      <w:r w:rsidR="001B7DCF">
        <w:rPr>
          <w:color w:val="000000"/>
          <w:bdr w:val="none" w:sz="0" w:space="0" w:color="auto" w:frame="1"/>
          <w:shd w:val="clear" w:color="auto" w:fill="FFFFFF"/>
        </w:rPr>
        <w:t>”</w:t>
      </w:r>
      <w:r w:rsidR="001B7DCF" w:rsidRPr="001B7DCF">
        <w:rPr>
          <w:color w:val="000000"/>
          <w:bdr w:val="none" w:sz="0" w:space="0" w:color="auto" w:frame="1"/>
          <w:shd w:val="clear" w:color="auto" w:fill="FFFFFF"/>
        </w:rPr>
        <w:t xml:space="preserve"> may not allow issuers to have sufficient time to disclose the transactions to the market, while they face potential sanctions in case of non-compliance with this requirement</w:t>
      </w:r>
      <w:r w:rsidR="001B7DCF">
        <w:rPr>
          <w:color w:val="000000"/>
          <w:bdr w:val="none" w:sz="0" w:space="0" w:color="auto" w:frame="1"/>
          <w:shd w:val="clear" w:color="auto" w:fill="FFFFFF"/>
        </w:rPr>
        <w:t xml:space="preserve">. </w:t>
      </w:r>
      <w:r w:rsidR="00375185">
        <w:rPr>
          <w:color w:val="000000"/>
          <w:bdr w:val="none" w:sz="0" w:space="0" w:color="auto" w:frame="1"/>
          <w:shd w:val="clear" w:color="auto" w:fill="FFFFFF"/>
        </w:rPr>
        <w:t>Following</w:t>
      </w:r>
      <w:r w:rsidR="00EB542F">
        <w:rPr>
          <w:color w:val="000000"/>
          <w:bdr w:val="none" w:sz="0" w:space="0" w:color="auto" w:frame="1"/>
          <w:shd w:val="clear" w:color="auto" w:fill="FFFFFF"/>
        </w:rPr>
        <w:t xml:space="preserve"> </w:t>
      </w:r>
      <w:r w:rsidR="009363AE">
        <w:rPr>
          <w:color w:val="000000"/>
          <w:bdr w:val="none" w:sz="0" w:space="0" w:color="auto" w:frame="1"/>
          <w:shd w:val="clear" w:color="auto" w:fill="FFFFFF"/>
        </w:rPr>
        <w:t xml:space="preserve">Regulation (EU) 2019/2115 </w:t>
      </w:r>
      <w:r w:rsidR="00EB542F">
        <w:rPr>
          <w:color w:val="000000"/>
          <w:bdr w:val="none" w:sz="0" w:space="0" w:color="auto" w:frame="1"/>
          <w:shd w:val="clear" w:color="auto" w:fill="FFFFFF"/>
        </w:rPr>
        <w:t xml:space="preserve">preamble (12) </w:t>
      </w:r>
      <w:r w:rsidR="00375185">
        <w:rPr>
          <w:color w:val="000000"/>
          <w:bdr w:val="none" w:sz="0" w:space="0" w:color="auto" w:frame="1"/>
          <w:shd w:val="clear" w:color="auto" w:fill="FFFFFF"/>
        </w:rPr>
        <w:t xml:space="preserve">and Article 1 (5) amending Regulation </w:t>
      </w:r>
      <w:r w:rsidR="00375185" w:rsidRPr="009363AE">
        <w:rPr>
          <w:color w:val="000000"/>
          <w:bdr w:val="none" w:sz="0" w:space="0" w:color="auto" w:frame="1"/>
          <w:shd w:val="clear" w:color="auto" w:fill="FFFFFF"/>
        </w:rPr>
        <w:t>(EU) No 596/2014</w:t>
      </w:r>
      <w:r w:rsidR="00BA686C">
        <w:rPr>
          <w:color w:val="000000"/>
          <w:bdr w:val="none" w:sz="0" w:space="0" w:color="auto" w:frame="1"/>
          <w:shd w:val="clear" w:color="auto" w:fill="FFFFFF"/>
        </w:rPr>
        <w:t>,</w:t>
      </w:r>
      <w:r w:rsidR="00375185">
        <w:rPr>
          <w:color w:val="000000"/>
          <w:bdr w:val="none" w:sz="0" w:space="0" w:color="auto" w:frame="1"/>
          <w:shd w:val="clear" w:color="auto" w:fill="FFFFFF"/>
        </w:rPr>
        <w:t xml:space="preserve"> whereas </w:t>
      </w:r>
      <w:r w:rsidR="00375185" w:rsidRPr="009363AE">
        <w:rPr>
          <w:color w:val="000000"/>
          <w:bdr w:val="none" w:sz="0" w:space="0" w:color="auto" w:frame="1"/>
          <w:shd w:val="clear" w:color="auto" w:fill="FFFFFF"/>
        </w:rPr>
        <w:t>emission allowance market participants</w:t>
      </w:r>
      <w:r w:rsidR="00375185" w:rsidRPr="00375185">
        <w:rPr>
          <w:color w:val="000000"/>
          <w:bdr w:val="none" w:sz="0" w:space="0" w:color="auto" w:frame="1"/>
          <w:shd w:val="clear" w:color="auto" w:fill="FFFFFF"/>
        </w:rPr>
        <w:t xml:space="preserve"> </w:t>
      </w:r>
      <w:r w:rsidR="00375185">
        <w:rPr>
          <w:color w:val="000000"/>
          <w:bdr w:val="none" w:sz="0" w:space="0" w:color="auto" w:frame="1"/>
          <w:shd w:val="clear" w:color="auto" w:fill="FFFFFF"/>
        </w:rPr>
        <w:t xml:space="preserve">are </w:t>
      </w:r>
      <w:r w:rsidR="00375185" w:rsidRPr="009363AE">
        <w:rPr>
          <w:color w:val="000000"/>
          <w:bdr w:val="none" w:sz="0" w:space="0" w:color="auto" w:frame="1"/>
          <w:shd w:val="clear" w:color="auto" w:fill="FFFFFF"/>
        </w:rPr>
        <w:t>allowed to disclose transactions within two business days of receipt of notification of those transactions by the PDMRs or the PCA</w:t>
      </w:r>
      <w:r w:rsidR="00375185">
        <w:rPr>
          <w:color w:val="000000"/>
          <w:bdr w:val="none" w:sz="0" w:space="0" w:color="auto" w:frame="1"/>
          <w:shd w:val="clear" w:color="auto" w:fill="FFFFFF"/>
        </w:rPr>
        <w:t>, same should ap</w:t>
      </w:r>
      <w:r w:rsidR="0060788C">
        <w:rPr>
          <w:color w:val="000000"/>
          <w:bdr w:val="none" w:sz="0" w:space="0" w:color="auto" w:frame="1"/>
          <w:shd w:val="clear" w:color="auto" w:fill="FFFFFF"/>
        </w:rPr>
        <w:t>p</w:t>
      </w:r>
      <w:r w:rsidR="00375185">
        <w:rPr>
          <w:color w:val="000000"/>
          <w:bdr w:val="none" w:sz="0" w:space="0" w:color="auto" w:frame="1"/>
          <w:shd w:val="clear" w:color="auto" w:fill="FFFFFF"/>
        </w:rPr>
        <w:t>ly for SME GM issuers in order to promote SME GM</w:t>
      </w:r>
      <w:r w:rsidR="00375185" w:rsidRPr="00375185">
        <w:rPr>
          <w:color w:val="000000"/>
          <w:bdr w:val="none" w:sz="0" w:space="0" w:color="auto" w:frame="1"/>
          <w:shd w:val="clear" w:color="auto" w:fill="FFFFFF"/>
        </w:rPr>
        <w:t xml:space="preserve"> </w:t>
      </w:r>
      <w:r w:rsidR="00375185">
        <w:rPr>
          <w:color w:val="000000"/>
          <w:bdr w:val="none" w:sz="0" w:space="0" w:color="auto" w:frame="1"/>
          <w:shd w:val="clear" w:color="auto" w:fill="FFFFFF"/>
        </w:rPr>
        <w:t xml:space="preserve">and </w:t>
      </w:r>
      <w:r w:rsidR="00375185" w:rsidRPr="002A5EB9">
        <w:rPr>
          <w:color w:val="000000"/>
          <w:bdr w:val="none" w:sz="0" w:space="0" w:color="auto" w:frame="1"/>
          <w:shd w:val="clear" w:color="auto" w:fill="FFFFFF"/>
        </w:rPr>
        <w:t>alleviate the administrative burden</w:t>
      </w:r>
      <w:r w:rsidR="00375185">
        <w:rPr>
          <w:color w:val="000000"/>
          <w:bdr w:val="none" w:sz="0" w:space="0" w:color="auto" w:frame="1"/>
          <w:shd w:val="clear" w:color="auto" w:fill="FFFFFF"/>
        </w:rPr>
        <w:t xml:space="preserve"> for SME GM issuers. </w:t>
      </w:r>
      <w:r w:rsidR="00BA686C">
        <w:rPr>
          <w:color w:val="000000"/>
          <w:bdr w:val="none" w:sz="0" w:space="0" w:color="auto" w:frame="1"/>
          <w:shd w:val="clear" w:color="auto" w:fill="FFFFFF"/>
        </w:rPr>
        <w:t xml:space="preserve">As the settlement of a transaction takes at least two working days and can lead to late notification, the current three working-day rule may not allow issuers to have sufficient time to disclose the transactions to the market, while they face potential sanctions in case of non-compliance with this requirement. </w:t>
      </w:r>
      <w:r w:rsidR="002A5EB9" w:rsidRPr="002A5EB9">
        <w:rPr>
          <w:color w:val="000000"/>
          <w:bdr w:val="none" w:sz="0" w:space="0" w:color="auto" w:frame="1"/>
          <w:shd w:val="clear" w:color="auto" w:fill="FFFFFF"/>
        </w:rPr>
        <w:t>It is important that the two-business day timeline applies from the point the issuer was notified as opposed to when the transaction took place as this will allow sufficient time for issuers to notify the market accordingly</w:t>
      </w:r>
      <w:r w:rsidR="00EC5F68">
        <w:rPr>
          <w:color w:val="000000"/>
          <w:bdr w:val="none" w:sz="0" w:space="0" w:color="auto" w:frame="1"/>
          <w:shd w:val="clear" w:color="auto" w:fill="FFFFFF"/>
        </w:rPr>
        <w:t>.</w:t>
      </w:r>
    </w:p>
    <w:p w14:paraId="42400E8F" w14:textId="562C24A6" w:rsidR="004F22BF" w:rsidRDefault="004F22BF" w:rsidP="006D4E38">
      <w:r>
        <w:rPr>
          <w:color w:val="000000"/>
          <w:bdr w:val="none" w:sz="0" w:space="0" w:color="auto" w:frame="1"/>
          <w:shd w:val="clear" w:color="auto" w:fill="FFFFFF"/>
        </w:rPr>
        <w:t>(c)</w:t>
      </w:r>
      <w:r w:rsidRPr="004F22BF">
        <w:rPr>
          <w:b/>
          <w:bCs/>
        </w:rPr>
        <w:t>Foster financial education:</w:t>
      </w:r>
      <w:r>
        <w:t xml:space="preserve"> </w:t>
      </w:r>
    </w:p>
    <w:p w14:paraId="19AB70D0" w14:textId="2F1DAFD3" w:rsidR="004F22BF" w:rsidRPr="005B30EE" w:rsidRDefault="00F468F4" w:rsidP="006D4E38">
      <w:r>
        <w:t xml:space="preserve">Foster financial education, </w:t>
      </w:r>
      <w:r w:rsidR="004F22BF" w:rsidRPr="004F22BF">
        <w:t>for both investors and entrepreneurs</w:t>
      </w:r>
      <w:r>
        <w:t xml:space="preserve">, </w:t>
      </w:r>
      <w:r w:rsidR="00022E69">
        <w:t>e</w:t>
      </w:r>
      <w:r>
        <w:t xml:space="preserve">specially on markets with “over-debt SME” and weak equity culture. </w:t>
      </w:r>
      <w:r w:rsidR="004F22BF" w:rsidRPr="004F22BF">
        <w:rPr>
          <w:color w:val="000000"/>
          <w:bdr w:val="none" w:sz="0" w:space="0" w:color="auto" w:frame="1"/>
          <w:shd w:val="clear" w:color="auto" w:fill="FFFFFF"/>
        </w:rPr>
        <w:t xml:space="preserve">Promotion of </w:t>
      </w:r>
      <w:r w:rsidR="005B30EE">
        <w:rPr>
          <w:color w:val="000000"/>
          <w:bdr w:val="none" w:sz="0" w:space="0" w:color="auto" w:frame="1"/>
          <w:shd w:val="clear" w:color="auto" w:fill="FFFFFF"/>
        </w:rPr>
        <w:t xml:space="preserve">SME GM </w:t>
      </w:r>
      <w:r w:rsidR="004F22BF" w:rsidRPr="004F22BF">
        <w:rPr>
          <w:color w:val="000000"/>
          <w:bdr w:val="none" w:sz="0" w:space="0" w:color="auto" w:frame="1"/>
          <w:shd w:val="clear" w:color="auto" w:fill="FFFFFF"/>
        </w:rPr>
        <w:t xml:space="preserve">markets must go hand in hand with measures to </w:t>
      </w:r>
      <w:r w:rsidR="004F22BF" w:rsidRPr="004F22BF">
        <w:rPr>
          <w:color w:val="000000"/>
          <w:bdr w:val="none" w:sz="0" w:space="0" w:color="auto" w:frame="1"/>
          <w:shd w:val="clear" w:color="auto" w:fill="FFFFFF"/>
        </w:rPr>
        <w:lastRenderedPageBreak/>
        <w:t>sustain confidence in markets</w:t>
      </w:r>
      <w:r w:rsidR="005B30EE">
        <w:rPr>
          <w:color w:val="000000"/>
          <w:bdr w:val="none" w:sz="0" w:space="0" w:color="auto" w:frame="1"/>
          <w:shd w:val="clear" w:color="auto" w:fill="FFFFFF"/>
        </w:rPr>
        <w:t>, so it is important to e</w:t>
      </w:r>
      <w:r w:rsidR="004F22BF" w:rsidRPr="004F22BF">
        <w:rPr>
          <w:color w:val="000000"/>
          <w:bdr w:val="none" w:sz="0" w:space="0" w:color="auto" w:frame="1"/>
          <w:shd w:val="clear" w:color="auto" w:fill="FFFFFF"/>
        </w:rPr>
        <w:t xml:space="preserve">laborate </w:t>
      </w:r>
      <w:r w:rsidR="005B30EE">
        <w:rPr>
          <w:color w:val="000000"/>
          <w:bdr w:val="none" w:sz="0" w:space="0" w:color="auto" w:frame="1"/>
          <w:shd w:val="clear" w:color="auto" w:fill="FFFFFF"/>
        </w:rPr>
        <w:t xml:space="preserve">CMU strategy </w:t>
      </w:r>
      <w:r w:rsidR="004F22BF" w:rsidRPr="004F22BF">
        <w:rPr>
          <w:color w:val="000000"/>
          <w:bdr w:val="none" w:sz="0" w:space="0" w:color="auto" w:frame="1"/>
          <w:shd w:val="clear" w:color="auto" w:fill="FFFFFF"/>
        </w:rPr>
        <w:t xml:space="preserve">EU-wide and/or </w:t>
      </w:r>
      <w:r w:rsidR="005B30EE">
        <w:rPr>
          <w:color w:val="000000"/>
          <w:bdr w:val="none" w:sz="0" w:space="0" w:color="auto" w:frame="1"/>
          <w:shd w:val="clear" w:color="auto" w:fill="FFFFFF"/>
        </w:rPr>
        <w:t xml:space="preserve">through </w:t>
      </w:r>
      <w:r w:rsidR="004F22BF" w:rsidRPr="004F22BF">
        <w:rPr>
          <w:color w:val="000000"/>
          <w:bdr w:val="none" w:sz="0" w:space="0" w:color="auto" w:frame="1"/>
          <w:shd w:val="clear" w:color="auto" w:fill="FFFFFF"/>
        </w:rPr>
        <w:t>EU-funded national educational campaigns</w:t>
      </w:r>
      <w:r w:rsidR="005B30EE">
        <w:rPr>
          <w:color w:val="000000"/>
          <w:bdr w:val="none" w:sz="0" w:space="0" w:color="auto" w:frame="1"/>
          <w:shd w:val="clear" w:color="auto" w:fill="FFFFFF"/>
        </w:rPr>
        <w:t>.</w:t>
      </w:r>
    </w:p>
    <w:p w14:paraId="48212C96" w14:textId="153A4B72" w:rsidR="004F22BF" w:rsidRPr="004F22BF" w:rsidRDefault="004F22BF" w:rsidP="004F22BF">
      <w:pPr>
        <w:rPr>
          <w:color w:val="000000"/>
          <w:bdr w:val="none" w:sz="0" w:space="0" w:color="auto" w:frame="1"/>
          <w:shd w:val="clear" w:color="auto" w:fill="FFFFFF"/>
        </w:rPr>
      </w:pPr>
      <w:r>
        <w:rPr>
          <w:color w:val="000000"/>
          <w:bdr w:val="none" w:sz="0" w:space="0" w:color="auto" w:frame="1"/>
          <w:shd w:val="clear" w:color="auto" w:fill="FFFFFF"/>
        </w:rPr>
        <w:t>(</w:t>
      </w:r>
      <w:r w:rsidRPr="00D915DF">
        <w:rPr>
          <w:b/>
          <w:bCs/>
          <w:color w:val="000000"/>
          <w:bdr w:val="none" w:sz="0" w:space="0" w:color="auto" w:frame="1"/>
          <w:shd w:val="clear" w:color="auto" w:fill="FFFFFF"/>
        </w:rPr>
        <w:t>d</w:t>
      </w:r>
      <w:r w:rsidRPr="006F7019">
        <w:rPr>
          <w:b/>
          <w:bCs/>
          <w:color w:val="000000"/>
          <w:bdr w:val="none" w:sz="0" w:space="0" w:color="auto" w:frame="1"/>
          <w:shd w:val="clear" w:color="auto" w:fill="FFFFFF"/>
        </w:rPr>
        <w:t>)Undo the tax bias toward debt</w:t>
      </w:r>
    </w:p>
    <w:p w14:paraId="342215F6" w14:textId="65E43AF3" w:rsidR="004F22BF" w:rsidRDefault="00583209" w:rsidP="00583209">
      <w:pPr>
        <w:rPr>
          <w:color w:val="000000"/>
          <w:bdr w:val="none" w:sz="0" w:space="0" w:color="auto" w:frame="1"/>
          <w:shd w:val="clear" w:color="auto" w:fill="FFFFFF"/>
        </w:rPr>
      </w:pPr>
      <w:r w:rsidRPr="00583209">
        <w:rPr>
          <w:color w:val="000000"/>
          <w:bdr w:val="none" w:sz="0" w:space="0" w:color="auto" w:frame="1"/>
          <w:shd w:val="clear" w:color="auto" w:fill="FFFFFF"/>
        </w:rPr>
        <w:t>We encourage EU policy-makers to consider the different characteristics of public equity and debt markets when undertaking capital markets regulatory initiatives. In particular, some of the current fiscal arrangements in place act as a barrier to the development of public capital markets in Europe.</w:t>
      </w:r>
      <w:r w:rsidR="00C75792">
        <w:rPr>
          <w:color w:val="000000"/>
          <w:bdr w:val="none" w:sz="0" w:space="0" w:color="auto" w:frame="1"/>
          <w:shd w:val="clear" w:color="auto" w:fill="FFFFFF"/>
        </w:rPr>
        <w:t xml:space="preserve"> </w:t>
      </w:r>
      <w:r w:rsidRPr="00583209">
        <w:rPr>
          <w:color w:val="000000"/>
          <w:bdr w:val="none" w:sz="0" w:space="0" w:color="auto" w:frame="1"/>
          <w:shd w:val="clear" w:color="auto" w:fill="FFFFFF"/>
        </w:rPr>
        <w:t>We understand that taxation is the competence of the Members States. Nonetheless, Member States should be encouraged to use tax policies to stimulate long-term investing of listed equity of smaller companies and to ensure the fair treatment of debt and equity financing. We encourage Member States to review fiscal incentives against equity financing in Europe given the high potential positive impact such changes could deliver for the overall attractiveness of European public capital markets.</w:t>
      </w:r>
      <w:r w:rsidR="00C75792">
        <w:rPr>
          <w:color w:val="000000"/>
          <w:bdr w:val="none" w:sz="0" w:space="0" w:color="auto" w:frame="1"/>
          <w:shd w:val="clear" w:color="auto" w:fill="FFFFFF"/>
        </w:rPr>
        <w:t xml:space="preserve"> </w:t>
      </w:r>
      <w:r w:rsidRPr="00583209">
        <w:rPr>
          <w:color w:val="000000"/>
          <w:bdr w:val="none" w:sz="0" w:space="0" w:color="auto" w:frame="1"/>
          <w:shd w:val="clear" w:color="auto" w:fill="FFFFFF"/>
        </w:rPr>
        <w:t xml:space="preserve">Currently, in many European countries, we either observe a lack of positive tax incentives, or the presence of significant disincentives, whereby the tax system is more </w:t>
      </w:r>
      <w:proofErr w:type="spellStart"/>
      <w:r w:rsidRPr="00583209">
        <w:rPr>
          <w:color w:val="000000"/>
          <w:bdr w:val="none" w:sz="0" w:space="0" w:color="auto" w:frame="1"/>
          <w:shd w:val="clear" w:color="auto" w:fill="FFFFFF"/>
        </w:rPr>
        <w:t>favorable</w:t>
      </w:r>
      <w:proofErr w:type="spellEnd"/>
      <w:r w:rsidRPr="00583209">
        <w:rPr>
          <w:color w:val="000000"/>
          <w:bdr w:val="none" w:sz="0" w:space="0" w:color="auto" w:frame="1"/>
          <w:shd w:val="clear" w:color="auto" w:fill="FFFFFF"/>
        </w:rPr>
        <w:t xml:space="preserve"> to debt issuance than to equity. To orient, more investor flows into listed equity, bond and derivatives instruments, new or existing tax and regulatory disincentives that suppress investor demand should be avoided. And tax exemptions for any type of longer-term investment products should be encouraged</w:t>
      </w:r>
      <w:r w:rsidR="004F22BF" w:rsidRPr="004F22BF">
        <w:rPr>
          <w:color w:val="000000"/>
          <w:bdr w:val="none" w:sz="0" w:space="0" w:color="auto" w:frame="1"/>
          <w:shd w:val="clear" w:color="auto" w:fill="FFFFFF"/>
        </w:rPr>
        <w:t>.</w:t>
      </w:r>
    </w:p>
    <w:p w14:paraId="525D5D2F" w14:textId="439759E6" w:rsidR="00D915DF" w:rsidRPr="00DE1E7F" w:rsidRDefault="00D915DF" w:rsidP="00D915DF">
      <w:pPr>
        <w:rPr>
          <w:b/>
          <w:bCs/>
          <w:color w:val="000000"/>
          <w:bdr w:val="none" w:sz="0" w:space="0" w:color="auto" w:frame="1"/>
          <w:shd w:val="clear" w:color="auto" w:fill="FFFFFF"/>
        </w:rPr>
      </w:pPr>
      <w:r w:rsidRPr="00DE1E7F">
        <w:rPr>
          <w:b/>
          <w:bCs/>
          <w:color w:val="000000"/>
          <w:bdr w:val="none" w:sz="0" w:space="0" w:color="auto" w:frame="1"/>
          <w:shd w:val="clear" w:color="auto" w:fill="FFFFFF"/>
        </w:rPr>
        <w:t xml:space="preserve">(e)Foster equity investment through </w:t>
      </w:r>
      <w:r w:rsidR="006B1A20">
        <w:rPr>
          <w:b/>
          <w:bCs/>
          <w:color w:val="000000"/>
          <w:bdr w:val="none" w:sz="0" w:space="0" w:color="auto" w:frame="1"/>
          <w:shd w:val="clear" w:color="auto" w:fill="FFFFFF"/>
        </w:rPr>
        <w:t xml:space="preserve">IPO </w:t>
      </w:r>
      <w:r w:rsidRPr="00DE1E7F">
        <w:rPr>
          <w:b/>
          <w:bCs/>
          <w:color w:val="000000"/>
          <w:bdr w:val="none" w:sz="0" w:space="0" w:color="auto" w:frame="1"/>
          <w:shd w:val="clear" w:color="auto" w:fill="FFFFFF"/>
        </w:rPr>
        <w:t xml:space="preserve">fund </w:t>
      </w:r>
    </w:p>
    <w:p w14:paraId="503F9E40" w14:textId="1C3CC159" w:rsidR="006D4E38" w:rsidRDefault="00583209" w:rsidP="006D4E38">
      <w:r w:rsidRPr="00583209">
        <w:rPr>
          <w:color w:val="000000"/>
          <w:bdr w:val="none" w:sz="0" w:space="0" w:color="auto" w:frame="1"/>
          <w:shd w:val="clear" w:color="auto" w:fill="FFFFFF"/>
        </w:rPr>
        <w:t>Smaller markets are suffering from low-liquidity and lack of investors willing to invest in SME. VC/Private equity funds are bypassing stock exchanges and looking for majority ownership and direct investments in specialized industries/sectors. Pension funds could play a significant role in SME equity financing, but they still consider they take a big risk and maximum exposure for minimum gain. Therefore, the creation of an ‘IPO Fund’ could tackle SME investment gap and boost liquidity on SME G</w:t>
      </w:r>
      <w:r w:rsidR="00D1784E">
        <w:rPr>
          <w:color w:val="000000"/>
          <w:bdr w:val="none" w:sz="0" w:space="0" w:color="auto" w:frame="1"/>
          <w:shd w:val="clear" w:color="auto" w:fill="FFFFFF"/>
        </w:rPr>
        <w:t>M</w:t>
      </w:r>
      <w:r w:rsidR="00DB200B">
        <w:rPr>
          <w:color w:val="000000"/>
          <w:bdr w:val="none" w:sz="0" w:space="0" w:color="auto" w:frame="1"/>
          <w:shd w:val="clear" w:color="auto" w:fill="FFFFFF"/>
        </w:rPr>
        <w:t>.</w:t>
      </w:r>
      <w:permEnd w:id="966160956"/>
    </w:p>
    <w:p w14:paraId="48443499" w14:textId="18B800F1" w:rsidR="006D4E38" w:rsidRDefault="006D4E38" w:rsidP="006D4E38">
      <w:r>
        <w:t>&lt;ESMA_QUESTION_CP_SME_</w:t>
      </w:r>
      <w:r w:rsidR="00FB1F11">
        <w:t>20</w:t>
      </w:r>
      <w:r>
        <w:t>&gt;</w:t>
      </w:r>
    </w:p>
    <w:p w14:paraId="01B263B0"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BEE49" w14:textId="77777777" w:rsidR="00EA3016" w:rsidRDefault="00EA3016">
      <w:r>
        <w:separator/>
      </w:r>
    </w:p>
    <w:p w14:paraId="70816B5D" w14:textId="77777777" w:rsidR="00EA3016" w:rsidRDefault="00EA3016"/>
  </w:endnote>
  <w:endnote w:type="continuationSeparator" w:id="0">
    <w:p w14:paraId="2A5C4E4C" w14:textId="77777777" w:rsidR="00EA3016" w:rsidRDefault="00EA3016">
      <w:r>
        <w:continuationSeparator/>
      </w:r>
    </w:p>
    <w:p w14:paraId="32347B8C" w14:textId="77777777" w:rsidR="00EA3016" w:rsidRDefault="00EA3016"/>
  </w:endnote>
  <w:endnote w:type="continuationNotice" w:id="1">
    <w:p w14:paraId="6A07460B" w14:textId="77777777" w:rsidR="00EA3016" w:rsidRDefault="00EA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5C1E92C" w14:textId="77777777" w:rsidTr="00315E96">
      <w:trPr>
        <w:trHeight w:val="284"/>
      </w:trPr>
      <w:tc>
        <w:tcPr>
          <w:tcW w:w="8460" w:type="dxa"/>
        </w:tcPr>
        <w:p w14:paraId="7DE21B2A" w14:textId="77777777" w:rsidR="00F107EF" w:rsidRPr="00315E96" w:rsidRDefault="00F107EF" w:rsidP="00315E96">
          <w:pPr>
            <w:pStyle w:val="00Footer"/>
            <w:rPr>
              <w:lang w:val="fr-FR"/>
            </w:rPr>
          </w:pPr>
        </w:p>
      </w:tc>
      <w:tc>
        <w:tcPr>
          <w:tcW w:w="952" w:type="dxa"/>
        </w:tcPr>
        <w:p w14:paraId="66390D58"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6B1B0EA7"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8CA2"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8DF87"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91749" w14:textId="77777777" w:rsidR="00EA3016" w:rsidRDefault="00EA3016">
      <w:r>
        <w:separator/>
      </w:r>
    </w:p>
    <w:p w14:paraId="29FF30C0" w14:textId="77777777" w:rsidR="00EA3016" w:rsidRDefault="00EA3016"/>
  </w:footnote>
  <w:footnote w:type="continuationSeparator" w:id="0">
    <w:p w14:paraId="53338D5C" w14:textId="77777777" w:rsidR="00EA3016" w:rsidRDefault="00EA3016">
      <w:r>
        <w:continuationSeparator/>
      </w:r>
    </w:p>
    <w:p w14:paraId="7BC2DF1B" w14:textId="77777777" w:rsidR="00EA3016" w:rsidRDefault="00EA3016"/>
  </w:footnote>
  <w:footnote w:type="continuationNotice" w:id="1">
    <w:p w14:paraId="61E1AC53" w14:textId="77777777" w:rsidR="00EA3016" w:rsidRDefault="00EA3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C5836" w14:textId="77777777" w:rsidR="00F107EF" w:rsidRDefault="00F107EF">
    <w:pPr>
      <w:pStyle w:val="Header"/>
    </w:pPr>
    <w:r>
      <w:rPr>
        <w:noProof/>
        <w:lang w:eastAsia="en-GB"/>
      </w:rPr>
      <w:drawing>
        <wp:anchor distT="0" distB="0" distL="114300" distR="114300" simplePos="0" relativeHeight="251658240" behindDoc="0" locked="0" layoutInCell="1" allowOverlap="1" wp14:anchorId="5F91B41D" wp14:editId="73B7B53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9B0FD43" wp14:editId="45F0E95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6D5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2989"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4634FEC2" wp14:editId="7A1E22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2CF9BC" wp14:editId="6575A5F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DB962"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4B31F082" w14:textId="77777777" w:rsidTr="000C06C9">
      <w:trPr>
        <w:trHeight w:val="284"/>
      </w:trPr>
      <w:tc>
        <w:tcPr>
          <w:tcW w:w="8460" w:type="dxa"/>
        </w:tcPr>
        <w:p w14:paraId="3D380F51" w14:textId="77777777" w:rsidR="00F107EF" w:rsidRPr="000C3B6D" w:rsidRDefault="00F107EF" w:rsidP="000C06C9">
          <w:pPr>
            <w:pStyle w:val="00Footer"/>
            <w:rPr>
              <w:lang w:val="fr-FR"/>
            </w:rPr>
          </w:pPr>
        </w:p>
      </w:tc>
      <w:tc>
        <w:tcPr>
          <w:tcW w:w="952" w:type="dxa"/>
        </w:tcPr>
        <w:p w14:paraId="2AB05ECF" w14:textId="77777777" w:rsidR="00F107EF" w:rsidRPr="00146B34" w:rsidRDefault="00F107EF" w:rsidP="000C06C9">
          <w:pPr>
            <w:pStyle w:val="00aPagenumber"/>
            <w:rPr>
              <w:lang w:val="fr-FR"/>
            </w:rPr>
          </w:pPr>
        </w:p>
      </w:tc>
    </w:tr>
  </w:tbl>
  <w:p w14:paraId="55E485BD" w14:textId="77777777" w:rsidR="00F107EF" w:rsidRPr="00DB46C3" w:rsidRDefault="00F107EF">
    <w:pPr>
      <w:rPr>
        <w:lang w:val="fr-FR"/>
      </w:rPr>
    </w:pPr>
  </w:p>
  <w:p w14:paraId="3AEB8DAF" w14:textId="77777777" w:rsidR="00F107EF" w:rsidRPr="002F4496" w:rsidRDefault="00F107EF">
    <w:pPr>
      <w:pStyle w:val="Header"/>
      <w:rPr>
        <w:lang w:val="fr-FR"/>
      </w:rPr>
    </w:pPr>
  </w:p>
  <w:p w14:paraId="79A74D3C" w14:textId="77777777" w:rsidR="00F107EF" w:rsidRPr="002F4496" w:rsidRDefault="00F107EF" w:rsidP="000C06C9">
    <w:pPr>
      <w:pStyle w:val="Header"/>
      <w:tabs>
        <w:tab w:val="clear" w:pos="4536"/>
        <w:tab w:val="clear" w:pos="9072"/>
        <w:tab w:val="left" w:pos="8227"/>
      </w:tabs>
      <w:rPr>
        <w:lang w:val="fr-FR"/>
      </w:rPr>
    </w:pPr>
  </w:p>
  <w:p w14:paraId="224AEEC2" w14:textId="77777777" w:rsidR="00F107EF" w:rsidRPr="002F4496" w:rsidRDefault="00F107EF" w:rsidP="00583885">
    <w:pPr>
      <w:pStyle w:val="Header"/>
      <w:jc w:val="right"/>
      <w:rPr>
        <w:lang w:val="fr-FR"/>
      </w:rPr>
    </w:pPr>
  </w:p>
  <w:p w14:paraId="2FB65AF9" w14:textId="77777777" w:rsidR="00F107EF" w:rsidRPr="002F4496" w:rsidRDefault="00F107EF">
    <w:pPr>
      <w:pStyle w:val="Header"/>
      <w:rPr>
        <w:lang w:val="fr-FR"/>
      </w:rPr>
    </w:pPr>
  </w:p>
  <w:p w14:paraId="01CCDBC7" w14:textId="77777777" w:rsidR="00F107EF" w:rsidRPr="002F4496" w:rsidRDefault="00F107EF">
    <w:pPr>
      <w:pStyle w:val="Header"/>
      <w:rPr>
        <w:lang w:val="fr-FR"/>
      </w:rPr>
    </w:pPr>
  </w:p>
  <w:p w14:paraId="2B180230" w14:textId="77777777" w:rsidR="00F107EF" w:rsidRPr="002F4496" w:rsidRDefault="00F107EF">
    <w:pPr>
      <w:pStyle w:val="Header"/>
      <w:rPr>
        <w:lang w:val="fr-FR"/>
      </w:rPr>
    </w:pPr>
  </w:p>
  <w:p w14:paraId="5318BB50" w14:textId="77777777" w:rsidR="00F107EF" w:rsidRPr="002F4496" w:rsidRDefault="00F107EF">
    <w:pPr>
      <w:pStyle w:val="Header"/>
      <w:rPr>
        <w:highlight w:val="yellow"/>
        <w:lang w:val="fr-FR"/>
      </w:rPr>
    </w:pPr>
  </w:p>
  <w:p w14:paraId="76D6CEAA"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6D6DF57C" wp14:editId="2E6F8BB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4F6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84E994F" wp14:editId="4A5C324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7563690"/>
    <w:multiLevelType w:val="hybridMultilevel"/>
    <w:tmpl w:val="B46E62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9"/>
    <w:lvlOverride w:ilvl="0">
      <w:startOverride w:val="1"/>
    </w:lvlOverride>
  </w:num>
  <w:num w:numId="38">
    <w:abstractNumId w:val="19"/>
  </w:num>
  <w:num w:numId="39">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3686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5F7B"/>
    <w:rsid w:val="0001774B"/>
    <w:rsid w:val="00020D0F"/>
    <w:rsid w:val="000215EB"/>
    <w:rsid w:val="00021E83"/>
    <w:rsid w:val="00022E69"/>
    <w:rsid w:val="00023713"/>
    <w:rsid w:val="00023C4D"/>
    <w:rsid w:val="00025765"/>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653"/>
    <w:rsid w:val="00052F47"/>
    <w:rsid w:val="000537BB"/>
    <w:rsid w:val="0005399B"/>
    <w:rsid w:val="00054DE6"/>
    <w:rsid w:val="000569D7"/>
    <w:rsid w:val="000576D7"/>
    <w:rsid w:val="00060F72"/>
    <w:rsid w:val="00062592"/>
    <w:rsid w:val="000636A1"/>
    <w:rsid w:val="000646A3"/>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288E"/>
    <w:rsid w:val="000A358F"/>
    <w:rsid w:val="000A43CC"/>
    <w:rsid w:val="000A7314"/>
    <w:rsid w:val="000A7B53"/>
    <w:rsid w:val="000A7B64"/>
    <w:rsid w:val="000B275C"/>
    <w:rsid w:val="000B2C3D"/>
    <w:rsid w:val="000B55C0"/>
    <w:rsid w:val="000B5DF2"/>
    <w:rsid w:val="000C0496"/>
    <w:rsid w:val="000C06C9"/>
    <w:rsid w:val="000C109F"/>
    <w:rsid w:val="000C1DCC"/>
    <w:rsid w:val="000C1FBC"/>
    <w:rsid w:val="000C2B6A"/>
    <w:rsid w:val="000C2F88"/>
    <w:rsid w:val="000C3CA9"/>
    <w:rsid w:val="000C55C8"/>
    <w:rsid w:val="000C57C4"/>
    <w:rsid w:val="000C5FD3"/>
    <w:rsid w:val="000C701D"/>
    <w:rsid w:val="000C7C4A"/>
    <w:rsid w:val="000D17AA"/>
    <w:rsid w:val="000D2D0B"/>
    <w:rsid w:val="000D4660"/>
    <w:rsid w:val="000D4F58"/>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65B6"/>
    <w:rsid w:val="00106D87"/>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1695"/>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128"/>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4D6"/>
    <w:rsid w:val="001875BE"/>
    <w:rsid w:val="00187CD9"/>
    <w:rsid w:val="0019017A"/>
    <w:rsid w:val="00190B8C"/>
    <w:rsid w:val="00190FF8"/>
    <w:rsid w:val="0019311A"/>
    <w:rsid w:val="0019508A"/>
    <w:rsid w:val="001960D8"/>
    <w:rsid w:val="001A1642"/>
    <w:rsid w:val="001A371B"/>
    <w:rsid w:val="001A4766"/>
    <w:rsid w:val="001A6A0D"/>
    <w:rsid w:val="001A6C51"/>
    <w:rsid w:val="001A6FAA"/>
    <w:rsid w:val="001A7D73"/>
    <w:rsid w:val="001A7EB5"/>
    <w:rsid w:val="001B0363"/>
    <w:rsid w:val="001B1355"/>
    <w:rsid w:val="001B2FC9"/>
    <w:rsid w:val="001B3138"/>
    <w:rsid w:val="001B4E4B"/>
    <w:rsid w:val="001B50AC"/>
    <w:rsid w:val="001B5E05"/>
    <w:rsid w:val="001B6D68"/>
    <w:rsid w:val="001B6F2E"/>
    <w:rsid w:val="001B7DCF"/>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27AA"/>
    <w:rsid w:val="001E407D"/>
    <w:rsid w:val="001E40FB"/>
    <w:rsid w:val="001E66EC"/>
    <w:rsid w:val="001E68C5"/>
    <w:rsid w:val="001E6FB0"/>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27FE1"/>
    <w:rsid w:val="002301E6"/>
    <w:rsid w:val="00232F90"/>
    <w:rsid w:val="00233B08"/>
    <w:rsid w:val="00233C3B"/>
    <w:rsid w:val="0023499C"/>
    <w:rsid w:val="00235CE3"/>
    <w:rsid w:val="0023636A"/>
    <w:rsid w:val="00236F34"/>
    <w:rsid w:val="002372F7"/>
    <w:rsid w:val="00240651"/>
    <w:rsid w:val="00240803"/>
    <w:rsid w:val="00240D0D"/>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66F81"/>
    <w:rsid w:val="00270D33"/>
    <w:rsid w:val="00270E54"/>
    <w:rsid w:val="002729EF"/>
    <w:rsid w:val="00273633"/>
    <w:rsid w:val="00273681"/>
    <w:rsid w:val="002754B5"/>
    <w:rsid w:val="002764C5"/>
    <w:rsid w:val="00276A5A"/>
    <w:rsid w:val="002772AE"/>
    <w:rsid w:val="00280613"/>
    <w:rsid w:val="00280CF6"/>
    <w:rsid w:val="002819C4"/>
    <w:rsid w:val="0028274D"/>
    <w:rsid w:val="00282B96"/>
    <w:rsid w:val="002833D6"/>
    <w:rsid w:val="00283F51"/>
    <w:rsid w:val="00286064"/>
    <w:rsid w:val="002867B1"/>
    <w:rsid w:val="002868FC"/>
    <w:rsid w:val="00287348"/>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A5EB9"/>
    <w:rsid w:val="002B08C3"/>
    <w:rsid w:val="002B1FEF"/>
    <w:rsid w:val="002B2A79"/>
    <w:rsid w:val="002B2DF8"/>
    <w:rsid w:val="002B354F"/>
    <w:rsid w:val="002B3614"/>
    <w:rsid w:val="002B45D1"/>
    <w:rsid w:val="002B4ED8"/>
    <w:rsid w:val="002B4FAA"/>
    <w:rsid w:val="002B52C2"/>
    <w:rsid w:val="002B7656"/>
    <w:rsid w:val="002C0642"/>
    <w:rsid w:val="002C1492"/>
    <w:rsid w:val="002C19A8"/>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387F"/>
    <w:rsid w:val="002E76FC"/>
    <w:rsid w:val="002E7F4B"/>
    <w:rsid w:val="002F0C91"/>
    <w:rsid w:val="002F0E3E"/>
    <w:rsid w:val="002F1683"/>
    <w:rsid w:val="002F1B19"/>
    <w:rsid w:val="002F1FBF"/>
    <w:rsid w:val="002F4139"/>
    <w:rsid w:val="002F420E"/>
    <w:rsid w:val="00300624"/>
    <w:rsid w:val="00300F56"/>
    <w:rsid w:val="00301006"/>
    <w:rsid w:val="00301C2B"/>
    <w:rsid w:val="00304A71"/>
    <w:rsid w:val="003051EE"/>
    <w:rsid w:val="003066C8"/>
    <w:rsid w:val="0030739D"/>
    <w:rsid w:val="00307A46"/>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151"/>
    <w:rsid w:val="00344496"/>
    <w:rsid w:val="00345968"/>
    <w:rsid w:val="00347667"/>
    <w:rsid w:val="003507E2"/>
    <w:rsid w:val="00351711"/>
    <w:rsid w:val="003522B2"/>
    <w:rsid w:val="0035455E"/>
    <w:rsid w:val="00354A6F"/>
    <w:rsid w:val="00354B48"/>
    <w:rsid w:val="00355789"/>
    <w:rsid w:val="003609B6"/>
    <w:rsid w:val="00361119"/>
    <w:rsid w:val="0036538D"/>
    <w:rsid w:val="00365D12"/>
    <w:rsid w:val="00366E20"/>
    <w:rsid w:val="0037018D"/>
    <w:rsid w:val="0037111C"/>
    <w:rsid w:val="00372299"/>
    <w:rsid w:val="00372F02"/>
    <w:rsid w:val="00373729"/>
    <w:rsid w:val="00373C91"/>
    <w:rsid w:val="003748F0"/>
    <w:rsid w:val="00374D4C"/>
    <w:rsid w:val="00375185"/>
    <w:rsid w:val="003755C6"/>
    <w:rsid w:val="00375AEF"/>
    <w:rsid w:val="00376367"/>
    <w:rsid w:val="003763DD"/>
    <w:rsid w:val="00376B02"/>
    <w:rsid w:val="0037733A"/>
    <w:rsid w:val="003776DC"/>
    <w:rsid w:val="003779C1"/>
    <w:rsid w:val="00380FEC"/>
    <w:rsid w:val="00381226"/>
    <w:rsid w:val="00381B1B"/>
    <w:rsid w:val="00381FF6"/>
    <w:rsid w:val="0038347D"/>
    <w:rsid w:val="00383D7D"/>
    <w:rsid w:val="00384CCE"/>
    <w:rsid w:val="003865E5"/>
    <w:rsid w:val="003926C1"/>
    <w:rsid w:val="00392900"/>
    <w:rsid w:val="00393357"/>
    <w:rsid w:val="00395E7B"/>
    <w:rsid w:val="00395F4C"/>
    <w:rsid w:val="003A2D44"/>
    <w:rsid w:val="003A4B6C"/>
    <w:rsid w:val="003A51C5"/>
    <w:rsid w:val="003A5DAC"/>
    <w:rsid w:val="003A6591"/>
    <w:rsid w:val="003A6E9A"/>
    <w:rsid w:val="003B08C8"/>
    <w:rsid w:val="003B2567"/>
    <w:rsid w:val="003B381A"/>
    <w:rsid w:val="003B4976"/>
    <w:rsid w:val="003B4B3F"/>
    <w:rsid w:val="003B5F40"/>
    <w:rsid w:val="003B6258"/>
    <w:rsid w:val="003B7A99"/>
    <w:rsid w:val="003C0343"/>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086"/>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45A0"/>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07BF"/>
    <w:rsid w:val="00492457"/>
    <w:rsid w:val="004924A8"/>
    <w:rsid w:val="00492AF2"/>
    <w:rsid w:val="00492B46"/>
    <w:rsid w:val="004934E9"/>
    <w:rsid w:val="00494737"/>
    <w:rsid w:val="00494D5C"/>
    <w:rsid w:val="00495A6A"/>
    <w:rsid w:val="004964F6"/>
    <w:rsid w:val="00496821"/>
    <w:rsid w:val="00497750"/>
    <w:rsid w:val="00497B44"/>
    <w:rsid w:val="004A00E5"/>
    <w:rsid w:val="004A01A7"/>
    <w:rsid w:val="004A0D09"/>
    <w:rsid w:val="004A116E"/>
    <w:rsid w:val="004A20EF"/>
    <w:rsid w:val="004A357F"/>
    <w:rsid w:val="004A3DAD"/>
    <w:rsid w:val="004A6A73"/>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EFF"/>
    <w:rsid w:val="004D7665"/>
    <w:rsid w:val="004D7910"/>
    <w:rsid w:val="004D7DEA"/>
    <w:rsid w:val="004E0A28"/>
    <w:rsid w:val="004E1A0F"/>
    <w:rsid w:val="004E2E89"/>
    <w:rsid w:val="004E33C2"/>
    <w:rsid w:val="004E3B9A"/>
    <w:rsid w:val="004E49B0"/>
    <w:rsid w:val="004E62DE"/>
    <w:rsid w:val="004E6B05"/>
    <w:rsid w:val="004E76A1"/>
    <w:rsid w:val="004F05DE"/>
    <w:rsid w:val="004F133D"/>
    <w:rsid w:val="004F22BF"/>
    <w:rsid w:val="004F6376"/>
    <w:rsid w:val="004F6A93"/>
    <w:rsid w:val="004F6F14"/>
    <w:rsid w:val="004F728D"/>
    <w:rsid w:val="004F76D9"/>
    <w:rsid w:val="004F79A6"/>
    <w:rsid w:val="00501BF5"/>
    <w:rsid w:val="00501D8B"/>
    <w:rsid w:val="00502F75"/>
    <w:rsid w:val="00503A3E"/>
    <w:rsid w:val="00503F59"/>
    <w:rsid w:val="00504762"/>
    <w:rsid w:val="005049A7"/>
    <w:rsid w:val="005053B2"/>
    <w:rsid w:val="00506331"/>
    <w:rsid w:val="00507D11"/>
    <w:rsid w:val="00507F67"/>
    <w:rsid w:val="00510662"/>
    <w:rsid w:val="005109B7"/>
    <w:rsid w:val="00510A19"/>
    <w:rsid w:val="00511AAB"/>
    <w:rsid w:val="00514D10"/>
    <w:rsid w:val="00516783"/>
    <w:rsid w:val="005171FB"/>
    <w:rsid w:val="00517348"/>
    <w:rsid w:val="00517EF8"/>
    <w:rsid w:val="00520083"/>
    <w:rsid w:val="0052029E"/>
    <w:rsid w:val="0052076A"/>
    <w:rsid w:val="00520A2C"/>
    <w:rsid w:val="00520E25"/>
    <w:rsid w:val="0052183D"/>
    <w:rsid w:val="00522B01"/>
    <w:rsid w:val="00522F44"/>
    <w:rsid w:val="0052360A"/>
    <w:rsid w:val="005242BA"/>
    <w:rsid w:val="005243B8"/>
    <w:rsid w:val="005252DD"/>
    <w:rsid w:val="005270B4"/>
    <w:rsid w:val="00530A8D"/>
    <w:rsid w:val="00531C6D"/>
    <w:rsid w:val="00532EF4"/>
    <w:rsid w:val="005347CE"/>
    <w:rsid w:val="00535477"/>
    <w:rsid w:val="00535DEA"/>
    <w:rsid w:val="0053723A"/>
    <w:rsid w:val="00537636"/>
    <w:rsid w:val="00537B1D"/>
    <w:rsid w:val="00540191"/>
    <w:rsid w:val="00540722"/>
    <w:rsid w:val="00540A2A"/>
    <w:rsid w:val="005411AE"/>
    <w:rsid w:val="00541F27"/>
    <w:rsid w:val="00542297"/>
    <w:rsid w:val="005424BC"/>
    <w:rsid w:val="005427B8"/>
    <w:rsid w:val="00542A28"/>
    <w:rsid w:val="005441D4"/>
    <w:rsid w:val="0054672D"/>
    <w:rsid w:val="00547AD2"/>
    <w:rsid w:val="00550F4E"/>
    <w:rsid w:val="00551E98"/>
    <w:rsid w:val="005532B5"/>
    <w:rsid w:val="00554A05"/>
    <w:rsid w:val="00555849"/>
    <w:rsid w:val="005559A8"/>
    <w:rsid w:val="00557048"/>
    <w:rsid w:val="00557FB5"/>
    <w:rsid w:val="0056094C"/>
    <w:rsid w:val="00561AED"/>
    <w:rsid w:val="005648A8"/>
    <w:rsid w:val="00564DE3"/>
    <w:rsid w:val="00564E44"/>
    <w:rsid w:val="00566C6A"/>
    <w:rsid w:val="00566CE5"/>
    <w:rsid w:val="00566D36"/>
    <w:rsid w:val="00572568"/>
    <w:rsid w:val="00573569"/>
    <w:rsid w:val="00573871"/>
    <w:rsid w:val="0057389E"/>
    <w:rsid w:val="005765C0"/>
    <w:rsid w:val="005778DE"/>
    <w:rsid w:val="00580B3F"/>
    <w:rsid w:val="00581DF6"/>
    <w:rsid w:val="005825F2"/>
    <w:rsid w:val="00583209"/>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5ED"/>
    <w:rsid w:val="005B30EE"/>
    <w:rsid w:val="005B4079"/>
    <w:rsid w:val="005B428E"/>
    <w:rsid w:val="005B4EFB"/>
    <w:rsid w:val="005B5B3C"/>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296F"/>
    <w:rsid w:val="005E3926"/>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D75"/>
    <w:rsid w:val="00606F77"/>
    <w:rsid w:val="00607832"/>
    <w:rsid w:val="0060784B"/>
    <w:rsid w:val="0060788C"/>
    <w:rsid w:val="00610254"/>
    <w:rsid w:val="006105FB"/>
    <w:rsid w:val="00610F94"/>
    <w:rsid w:val="00611293"/>
    <w:rsid w:val="0061135E"/>
    <w:rsid w:val="0061263A"/>
    <w:rsid w:val="00612C41"/>
    <w:rsid w:val="006145DE"/>
    <w:rsid w:val="0061478E"/>
    <w:rsid w:val="00614F25"/>
    <w:rsid w:val="00616A11"/>
    <w:rsid w:val="00616B9B"/>
    <w:rsid w:val="00617520"/>
    <w:rsid w:val="00620112"/>
    <w:rsid w:val="0062022D"/>
    <w:rsid w:val="00620D7C"/>
    <w:rsid w:val="00621089"/>
    <w:rsid w:val="00621E1F"/>
    <w:rsid w:val="006228B2"/>
    <w:rsid w:val="006228E1"/>
    <w:rsid w:val="00622E32"/>
    <w:rsid w:val="00623688"/>
    <w:rsid w:val="006247E0"/>
    <w:rsid w:val="00625F82"/>
    <w:rsid w:val="00627999"/>
    <w:rsid w:val="0063085F"/>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7C7"/>
    <w:rsid w:val="00694B73"/>
    <w:rsid w:val="00694DF2"/>
    <w:rsid w:val="00695F80"/>
    <w:rsid w:val="006966CD"/>
    <w:rsid w:val="00696735"/>
    <w:rsid w:val="0069780E"/>
    <w:rsid w:val="006A2CA2"/>
    <w:rsid w:val="006B1A20"/>
    <w:rsid w:val="006B2D40"/>
    <w:rsid w:val="006B34DF"/>
    <w:rsid w:val="006B39B2"/>
    <w:rsid w:val="006B3AF9"/>
    <w:rsid w:val="006B45A0"/>
    <w:rsid w:val="006B5668"/>
    <w:rsid w:val="006B5F71"/>
    <w:rsid w:val="006B6E44"/>
    <w:rsid w:val="006B7059"/>
    <w:rsid w:val="006B7287"/>
    <w:rsid w:val="006B7F2E"/>
    <w:rsid w:val="006B7F4E"/>
    <w:rsid w:val="006C0BF8"/>
    <w:rsid w:val="006C2253"/>
    <w:rsid w:val="006C2CCB"/>
    <w:rsid w:val="006C4334"/>
    <w:rsid w:val="006C4B0F"/>
    <w:rsid w:val="006C5E96"/>
    <w:rsid w:val="006C709A"/>
    <w:rsid w:val="006D0076"/>
    <w:rsid w:val="006D0113"/>
    <w:rsid w:val="006D399F"/>
    <w:rsid w:val="006D4E38"/>
    <w:rsid w:val="006D4F0C"/>
    <w:rsid w:val="006D5645"/>
    <w:rsid w:val="006D564D"/>
    <w:rsid w:val="006E0C5C"/>
    <w:rsid w:val="006E0C8A"/>
    <w:rsid w:val="006E2A23"/>
    <w:rsid w:val="006E35E5"/>
    <w:rsid w:val="006E3C72"/>
    <w:rsid w:val="006E4F20"/>
    <w:rsid w:val="006E649A"/>
    <w:rsid w:val="006E7632"/>
    <w:rsid w:val="006F08DC"/>
    <w:rsid w:val="006F285F"/>
    <w:rsid w:val="006F3948"/>
    <w:rsid w:val="006F3F8F"/>
    <w:rsid w:val="006F4403"/>
    <w:rsid w:val="006F45EC"/>
    <w:rsid w:val="006F47B8"/>
    <w:rsid w:val="006F47D2"/>
    <w:rsid w:val="006F4B04"/>
    <w:rsid w:val="006F5456"/>
    <w:rsid w:val="006F57F2"/>
    <w:rsid w:val="006F6468"/>
    <w:rsid w:val="006F7019"/>
    <w:rsid w:val="006F71FA"/>
    <w:rsid w:val="00700247"/>
    <w:rsid w:val="00701051"/>
    <w:rsid w:val="00701E69"/>
    <w:rsid w:val="007021C2"/>
    <w:rsid w:val="00702502"/>
    <w:rsid w:val="007033A8"/>
    <w:rsid w:val="0070421B"/>
    <w:rsid w:val="007043F0"/>
    <w:rsid w:val="0070482E"/>
    <w:rsid w:val="00704D25"/>
    <w:rsid w:val="00705777"/>
    <w:rsid w:val="00710519"/>
    <w:rsid w:val="00710F6E"/>
    <w:rsid w:val="00711663"/>
    <w:rsid w:val="007116B4"/>
    <w:rsid w:val="00712580"/>
    <w:rsid w:val="00713233"/>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1132"/>
    <w:rsid w:val="007436BD"/>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CAB"/>
    <w:rsid w:val="00766F4D"/>
    <w:rsid w:val="00767743"/>
    <w:rsid w:val="00770268"/>
    <w:rsid w:val="007706B9"/>
    <w:rsid w:val="007707ED"/>
    <w:rsid w:val="00771C3B"/>
    <w:rsid w:val="007726F9"/>
    <w:rsid w:val="007734CE"/>
    <w:rsid w:val="00773B94"/>
    <w:rsid w:val="00773C65"/>
    <w:rsid w:val="00775937"/>
    <w:rsid w:val="00777046"/>
    <w:rsid w:val="007770DA"/>
    <w:rsid w:val="007805B9"/>
    <w:rsid w:val="00780C3A"/>
    <w:rsid w:val="0078300A"/>
    <w:rsid w:val="007834A1"/>
    <w:rsid w:val="00784F40"/>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2AFF"/>
    <w:rsid w:val="007A31A5"/>
    <w:rsid w:val="007A411B"/>
    <w:rsid w:val="007A45E6"/>
    <w:rsid w:val="007A4B28"/>
    <w:rsid w:val="007A5C2C"/>
    <w:rsid w:val="007A7678"/>
    <w:rsid w:val="007B0CD8"/>
    <w:rsid w:val="007B0DE0"/>
    <w:rsid w:val="007B10C5"/>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DFF"/>
    <w:rsid w:val="007D3E8D"/>
    <w:rsid w:val="007D563C"/>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6B2E"/>
    <w:rsid w:val="007F7155"/>
    <w:rsid w:val="00800C28"/>
    <w:rsid w:val="0080245E"/>
    <w:rsid w:val="00802E10"/>
    <w:rsid w:val="00803480"/>
    <w:rsid w:val="0080359C"/>
    <w:rsid w:val="008037AE"/>
    <w:rsid w:val="008043F4"/>
    <w:rsid w:val="00804BB4"/>
    <w:rsid w:val="00805D9F"/>
    <w:rsid w:val="008076A9"/>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575F9"/>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1F5"/>
    <w:rsid w:val="008B4C79"/>
    <w:rsid w:val="008B5D2D"/>
    <w:rsid w:val="008B6361"/>
    <w:rsid w:val="008C0320"/>
    <w:rsid w:val="008C0E6F"/>
    <w:rsid w:val="008C1613"/>
    <w:rsid w:val="008C2A81"/>
    <w:rsid w:val="008C3760"/>
    <w:rsid w:val="008C3863"/>
    <w:rsid w:val="008C3B6B"/>
    <w:rsid w:val="008C48B0"/>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2544"/>
    <w:rsid w:val="00903868"/>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63AE"/>
    <w:rsid w:val="009371DC"/>
    <w:rsid w:val="0093759D"/>
    <w:rsid w:val="00940239"/>
    <w:rsid w:val="00940AF7"/>
    <w:rsid w:val="00940E6D"/>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1026"/>
    <w:rsid w:val="00961D9F"/>
    <w:rsid w:val="009620B4"/>
    <w:rsid w:val="00962CEF"/>
    <w:rsid w:val="00963766"/>
    <w:rsid w:val="00963FDF"/>
    <w:rsid w:val="00964C32"/>
    <w:rsid w:val="0096528F"/>
    <w:rsid w:val="009653F2"/>
    <w:rsid w:val="009661DF"/>
    <w:rsid w:val="0096650B"/>
    <w:rsid w:val="009667BD"/>
    <w:rsid w:val="00967CE2"/>
    <w:rsid w:val="00971DA3"/>
    <w:rsid w:val="00972161"/>
    <w:rsid w:val="0097261B"/>
    <w:rsid w:val="00973142"/>
    <w:rsid w:val="00974881"/>
    <w:rsid w:val="0097606C"/>
    <w:rsid w:val="009771D1"/>
    <w:rsid w:val="0098012D"/>
    <w:rsid w:val="009805E5"/>
    <w:rsid w:val="00980845"/>
    <w:rsid w:val="00981BD9"/>
    <w:rsid w:val="0098225F"/>
    <w:rsid w:val="00983A3C"/>
    <w:rsid w:val="00983EFA"/>
    <w:rsid w:val="00984C15"/>
    <w:rsid w:val="00984E4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1E8"/>
    <w:rsid w:val="009B7658"/>
    <w:rsid w:val="009B7CD1"/>
    <w:rsid w:val="009B7E22"/>
    <w:rsid w:val="009B7E78"/>
    <w:rsid w:val="009C10FE"/>
    <w:rsid w:val="009C13BC"/>
    <w:rsid w:val="009C1CA4"/>
    <w:rsid w:val="009C2532"/>
    <w:rsid w:val="009C2BA4"/>
    <w:rsid w:val="009C2FA5"/>
    <w:rsid w:val="009C6091"/>
    <w:rsid w:val="009C634F"/>
    <w:rsid w:val="009D0219"/>
    <w:rsid w:val="009D0D55"/>
    <w:rsid w:val="009D2295"/>
    <w:rsid w:val="009D2511"/>
    <w:rsid w:val="009D3E7C"/>
    <w:rsid w:val="009D55CA"/>
    <w:rsid w:val="009D5EF0"/>
    <w:rsid w:val="009D6401"/>
    <w:rsid w:val="009E0711"/>
    <w:rsid w:val="009E1917"/>
    <w:rsid w:val="009E3594"/>
    <w:rsid w:val="009E39F7"/>
    <w:rsid w:val="009E4AAA"/>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3C31"/>
    <w:rsid w:val="00A24269"/>
    <w:rsid w:val="00A243E4"/>
    <w:rsid w:val="00A25392"/>
    <w:rsid w:val="00A25ED4"/>
    <w:rsid w:val="00A263DF"/>
    <w:rsid w:val="00A2651E"/>
    <w:rsid w:val="00A26C5C"/>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471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9785C"/>
    <w:rsid w:val="00AA003B"/>
    <w:rsid w:val="00AA016B"/>
    <w:rsid w:val="00AA15DD"/>
    <w:rsid w:val="00AA1C09"/>
    <w:rsid w:val="00AA2F67"/>
    <w:rsid w:val="00AA3569"/>
    <w:rsid w:val="00AA5F4C"/>
    <w:rsid w:val="00AA615C"/>
    <w:rsid w:val="00AA6711"/>
    <w:rsid w:val="00AB2AEC"/>
    <w:rsid w:val="00AB2D81"/>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E57"/>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AF669A"/>
    <w:rsid w:val="00B000B6"/>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2E4"/>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3EB"/>
    <w:rsid w:val="00B34885"/>
    <w:rsid w:val="00B34D68"/>
    <w:rsid w:val="00B36117"/>
    <w:rsid w:val="00B362E3"/>
    <w:rsid w:val="00B3648C"/>
    <w:rsid w:val="00B37C73"/>
    <w:rsid w:val="00B4009B"/>
    <w:rsid w:val="00B400A1"/>
    <w:rsid w:val="00B40212"/>
    <w:rsid w:val="00B40A2B"/>
    <w:rsid w:val="00B420CB"/>
    <w:rsid w:val="00B42277"/>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0A38"/>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1B96"/>
    <w:rsid w:val="00BA24F8"/>
    <w:rsid w:val="00BA31AA"/>
    <w:rsid w:val="00BA45D8"/>
    <w:rsid w:val="00BA5828"/>
    <w:rsid w:val="00BA64B3"/>
    <w:rsid w:val="00BA686C"/>
    <w:rsid w:val="00BA754A"/>
    <w:rsid w:val="00BA7820"/>
    <w:rsid w:val="00BA794C"/>
    <w:rsid w:val="00BB09FB"/>
    <w:rsid w:val="00BB238D"/>
    <w:rsid w:val="00BB37CC"/>
    <w:rsid w:val="00BB444B"/>
    <w:rsid w:val="00BB48C4"/>
    <w:rsid w:val="00BB6907"/>
    <w:rsid w:val="00BB7A20"/>
    <w:rsid w:val="00BC15B1"/>
    <w:rsid w:val="00BC3C06"/>
    <w:rsid w:val="00BC44A7"/>
    <w:rsid w:val="00BC4E8B"/>
    <w:rsid w:val="00BC5622"/>
    <w:rsid w:val="00BC5B68"/>
    <w:rsid w:val="00BC6060"/>
    <w:rsid w:val="00BC6A9F"/>
    <w:rsid w:val="00BC7897"/>
    <w:rsid w:val="00BD06D7"/>
    <w:rsid w:val="00BD0F35"/>
    <w:rsid w:val="00BD187F"/>
    <w:rsid w:val="00BD45A4"/>
    <w:rsid w:val="00BD46F7"/>
    <w:rsid w:val="00BD4A5F"/>
    <w:rsid w:val="00BD4EAB"/>
    <w:rsid w:val="00BD59AA"/>
    <w:rsid w:val="00BD65E6"/>
    <w:rsid w:val="00BD6AF7"/>
    <w:rsid w:val="00BE19EF"/>
    <w:rsid w:val="00BE425B"/>
    <w:rsid w:val="00BE51BB"/>
    <w:rsid w:val="00BE7595"/>
    <w:rsid w:val="00BE77D3"/>
    <w:rsid w:val="00BF0138"/>
    <w:rsid w:val="00BF114B"/>
    <w:rsid w:val="00BF1620"/>
    <w:rsid w:val="00BF1AC3"/>
    <w:rsid w:val="00BF2D73"/>
    <w:rsid w:val="00BF373A"/>
    <w:rsid w:val="00BF3AFA"/>
    <w:rsid w:val="00BF409D"/>
    <w:rsid w:val="00BF4D55"/>
    <w:rsid w:val="00BF62D2"/>
    <w:rsid w:val="00BF6D9E"/>
    <w:rsid w:val="00BF71BB"/>
    <w:rsid w:val="00BF76F7"/>
    <w:rsid w:val="00BF7C9F"/>
    <w:rsid w:val="00C00012"/>
    <w:rsid w:val="00C000A5"/>
    <w:rsid w:val="00C006B4"/>
    <w:rsid w:val="00C00938"/>
    <w:rsid w:val="00C00E2A"/>
    <w:rsid w:val="00C025B9"/>
    <w:rsid w:val="00C044B4"/>
    <w:rsid w:val="00C045B0"/>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43AB"/>
    <w:rsid w:val="00C353A0"/>
    <w:rsid w:val="00C368D7"/>
    <w:rsid w:val="00C36FD1"/>
    <w:rsid w:val="00C371A5"/>
    <w:rsid w:val="00C3769A"/>
    <w:rsid w:val="00C400B0"/>
    <w:rsid w:val="00C413FC"/>
    <w:rsid w:val="00C42424"/>
    <w:rsid w:val="00C43D33"/>
    <w:rsid w:val="00C43E16"/>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6D8"/>
    <w:rsid w:val="00C638C2"/>
    <w:rsid w:val="00C651D4"/>
    <w:rsid w:val="00C6669E"/>
    <w:rsid w:val="00C672B0"/>
    <w:rsid w:val="00C729C7"/>
    <w:rsid w:val="00C75792"/>
    <w:rsid w:val="00C777AD"/>
    <w:rsid w:val="00C80C53"/>
    <w:rsid w:val="00C81195"/>
    <w:rsid w:val="00C81798"/>
    <w:rsid w:val="00C83274"/>
    <w:rsid w:val="00C84200"/>
    <w:rsid w:val="00C85387"/>
    <w:rsid w:val="00C85E52"/>
    <w:rsid w:val="00C86471"/>
    <w:rsid w:val="00C8677B"/>
    <w:rsid w:val="00C86F96"/>
    <w:rsid w:val="00C909C6"/>
    <w:rsid w:val="00C923B7"/>
    <w:rsid w:val="00C94D4C"/>
    <w:rsid w:val="00C96C1E"/>
    <w:rsid w:val="00C96CA4"/>
    <w:rsid w:val="00CA012C"/>
    <w:rsid w:val="00CA0AA6"/>
    <w:rsid w:val="00CA2897"/>
    <w:rsid w:val="00CA2B48"/>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4666"/>
    <w:rsid w:val="00CE6FC6"/>
    <w:rsid w:val="00CF2056"/>
    <w:rsid w:val="00CF4471"/>
    <w:rsid w:val="00CF51C0"/>
    <w:rsid w:val="00CF5B2A"/>
    <w:rsid w:val="00CF5F57"/>
    <w:rsid w:val="00CF64A7"/>
    <w:rsid w:val="00CF6730"/>
    <w:rsid w:val="00CF70E5"/>
    <w:rsid w:val="00CF7CEC"/>
    <w:rsid w:val="00D00B0F"/>
    <w:rsid w:val="00D01790"/>
    <w:rsid w:val="00D01BF4"/>
    <w:rsid w:val="00D0272C"/>
    <w:rsid w:val="00D045CE"/>
    <w:rsid w:val="00D05082"/>
    <w:rsid w:val="00D06163"/>
    <w:rsid w:val="00D06937"/>
    <w:rsid w:val="00D07AFD"/>
    <w:rsid w:val="00D11749"/>
    <w:rsid w:val="00D12A7D"/>
    <w:rsid w:val="00D13AB0"/>
    <w:rsid w:val="00D1519E"/>
    <w:rsid w:val="00D152B7"/>
    <w:rsid w:val="00D16EDC"/>
    <w:rsid w:val="00D1784E"/>
    <w:rsid w:val="00D17FDE"/>
    <w:rsid w:val="00D201CB"/>
    <w:rsid w:val="00D22786"/>
    <w:rsid w:val="00D228B4"/>
    <w:rsid w:val="00D25AC4"/>
    <w:rsid w:val="00D305F6"/>
    <w:rsid w:val="00D30B25"/>
    <w:rsid w:val="00D3175A"/>
    <w:rsid w:val="00D31785"/>
    <w:rsid w:val="00D31A00"/>
    <w:rsid w:val="00D323E4"/>
    <w:rsid w:val="00D32871"/>
    <w:rsid w:val="00D329F6"/>
    <w:rsid w:val="00D33881"/>
    <w:rsid w:val="00D34282"/>
    <w:rsid w:val="00D366B1"/>
    <w:rsid w:val="00D37AE0"/>
    <w:rsid w:val="00D416A8"/>
    <w:rsid w:val="00D42111"/>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71C6"/>
    <w:rsid w:val="00D91010"/>
    <w:rsid w:val="00D9143D"/>
    <w:rsid w:val="00D915DF"/>
    <w:rsid w:val="00D920D1"/>
    <w:rsid w:val="00DA0FA7"/>
    <w:rsid w:val="00DA12B0"/>
    <w:rsid w:val="00DA2BA0"/>
    <w:rsid w:val="00DA39AD"/>
    <w:rsid w:val="00DA5B13"/>
    <w:rsid w:val="00DA6917"/>
    <w:rsid w:val="00DA6926"/>
    <w:rsid w:val="00DB0965"/>
    <w:rsid w:val="00DB0E47"/>
    <w:rsid w:val="00DB200B"/>
    <w:rsid w:val="00DB2BDD"/>
    <w:rsid w:val="00DB4121"/>
    <w:rsid w:val="00DB46C3"/>
    <w:rsid w:val="00DB5742"/>
    <w:rsid w:val="00DB5C98"/>
    <w:rsid w:val="00DB5EDF"/>
    <w:rsid w:val="00DB6C46"/>
    <w:rsid w:val="00DB72B8"/>
    <w:rsid w:val="00DC16AF"/>
    <w:rsid w:val="00DC2A9A"/>
    <w:rsid w:val="00DC2E2E"/>
    <w:rsid w:val="00DC4D68"/>
    <w:rsid w:val="00DC538A"/>
    <w:rsid w:val="00DC6463"/>
    <w:rsid w:val="00DC7822"/>
    <w:rsid w:val="00DC7AF1"/>
    <w:rsid w:val="00DD2CDA"/>
    <w:rsid w:val="00DD2D92"/>
    <w:rsid w:val="00DD3026"/>
    <w:rsid w:val="00DD33DC"/>
    <w:rsid w:val="00DD3BB0"/>
    <w:rsid w:val="00DD61F5"/>
    <w:rsid w:val="00DD7418"/>
    <w:rsid w:val="00DE1E7F"/>
    <w:rsid w:val="00DE50F6"/>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42F5"/>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36B"/>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6C9C"/>
    <w:rsid w:val="00E777BB"/>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A7A0A"/>
    <w:rsid w:val="00EB018B"/>
    <w:rsid w:val="00EB1003"/>
    <w:rsid w:val="00EB167E"/>
    <w:rsid w:val="00EB24ED"/>
    <w:rsid w:val="00EB2A00"/>
    <w:rsid w:val="00EB309B"/>
    <w:rsid w:val="00EB3AA2"/>
    <w:rsid w:val="00EB4763"/>
    <w:rsid w:val="00EB542F"/>
    <w:rsid w:val="00EB6CB7"/>
    <w:rsid w:val="00EC078B"/>
    <w:rsid w:val="00EC07A0"/>
    <w:rsid w:val="00EC08E4"/>
    <w:rsid w:val="00EC3CB4"/>
    <w:rsid w:val="00EC443E"/>
    <w:rsid w:val="00EC4D83"/>
    <w:rsid w:val="00EC4EEE"/>
    <w:rsid w:val="00EC5B27"/>
    <w:rsid w:val="00EC5F68"/>
    <w:rsid w:val="00EC634F"/>
    <w:rsid w:val="00EC6848"/>
    <w:rsid w:val="00EC6C6E"/>
    <w:rsid w:val="00EC7B97"/>
    <w:rsid w:val="00ED049C"/>
    <w:rsid w:val="00ED07B7"/>
    <w:rsid w:val="00ED19D7"/>
    <w:rsid w:val="00ED2167"/>
    <w:rsid w:val="00ED351E"/>
    <w:rsid w:val="00ED40C0"/>
    <w:rsid w:val="00ED4B27"/>
    <w:rsid w:val="00ED543C"/>
    <w:rsid w:val="00ED6BA4"/>
    <w:rsid w:val="00ED7DA7"/>
    <w:rsid w:val="00EE0598"/>
    <w:rsid w:val="00EE11EA"/>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3A5"/>
    <w:rsid w:val="00F40C3B"/>
    <w:rsid w:val="00F40CE0"/>
    <w:rsid w:val="00F42DBC"/>
    <w:rsid w:val="00F4308D"/>
    <w:rsid w:val="00F44012"/>
    <w:rsid w:val="00F44947"/>
    <w:rsid w:val="00F458EF"/>
    <w:rsid w:val="00F468F4"/>
    <w:rsid w:val="00F469F8"/>
    <w:rsid w:val="00F47121"/>
    <w:rsid w:val="00F4775D"/>
    <w:rsid w:val="00F504DD"/>
    <w:rsid w:val="00F50874"/>
    <w:rsid w:val="00F50CD8"/>
    <w:rsid w:val="00F516C6"/>
    <w:rsid w:val="00F52221"/>
    <w:rsid w:val="00F52B28"/>
    <w:rsid w:val="00F536BB"/>
    <w:rsid w:val="00F53755"/>
    <w:rsid w:val="00F53E59"/>
    <w:rsid w:val="00F546FD"/>
    <w:rsid w:val="00F5475B"/>
    <w:rsid w:val="00F574D0"/>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107"/>
    <w:rsid w:val="00F80953"/>
    <w:rsid w:val="00F80B5C"/>
    <w:rsid w:val="00F81312"/>
    <w:rsid w:val="00F81B90"/>
    <w:rsid w:val="00F81E6F"/>
    <w:rsid w:val="00F82F98"/>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3C2"/>
    <w:rsid w:val="00FA2528"/>
    <w:rsid w:val="00FA5524"/>
    <w:rsid w:val="00FA5535"/>
    <w:rsid w:val="00FA7206"/>
    <w:rsid w:val="00FA7EFB"/>
    <w:rsid w:val="00FB0816"/>
    <w:rsid w:val="00FB08C2"/>
    <w:rsid w:val="00FB1F1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E4550"/>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2d4491,#283583"/>
    </o:shapedefaults>
    <o:shapelayout v:ext="edit">
      <o:idmap v:ext="edit" data="1"/>
    </o:shapelayout>
  </w:shapeDefaults>
  <w:decimalSymbol w:val=","/>
  <w:listSeparator w:val=";"/>
  <w14:docId w14:val="36E3BA5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Subtitle">
    <w:name w:val="Subtitle"/>
    <w:basedOn w:val="Normal"/>
    <w:next w:val="Normal"/>
    <w:link w:val="SubtitleChar"/>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77D2"/>
    <w:rPr>
      <w:rFonts w:asciiTheme="minorHAnsi" w:eastAsiaTheme="minorEastAsia" w:hAnsiTheme="minorHAnsi" w:cstheme="minorBidi"/>
      <w:color w:val="5A5A5A" w:themeColor="text1" w:themeTint="A5"/>
      <w:spacing w:val="15"/>
      <w:sz w:val="22"/>
      <w:szCs w:val="22"/>
      <w:lang w:eastAsia="de-DE"/>
    </w:rPr>
  </w:style>
  <w:style w:type="character" w:customStyle="1" w:styleId="footnotereference0">
    <w:name w:val="footnotereference"/>
    <w:basedOn w:val="DefaultParagraphFont"/>
    <w:rsid w:val="00EC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6.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8957F-5A6B-47AB-B63C-4C0FB3E0769E}">
  <ds:schemaRefs>
    <ds:schemaRef ds:uri="http://schemas.openxmlformats.org/officeDocument/2006/bibliography"/>
  </ds:schemaRefs>
</ds:datastoreItem>
</file>

<file path=customXml/itemProps2.xml><?xml version="1.0" encoding="utf-8"?>
<ds:datastoreItem xmlns:ds="http://schemas.openxmlformats.org/officeDocument/2006/customXml" ds:itemID="{82E07320-0156-4670-B39F-1E7451ABEB26}">
  <ds:schemaRefs>
    <ds:schemaRef ds:uri="http://schemas.openxmlformats.org/officeDocument/2006/bibliography"/>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6.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3265</Words>
  <Characters>18858</Characters>
  <Application>Microsoft Office Word</Application>
  <DocSecurity>8</DocSecurity>
  <Lines>157</Lines>
  <Paragraphs>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22079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mplejic</cp:lastModifiedBy>
  <cp:revision>4</cp:revision>
  <cp:lastPrinted>2020-05-07T08:45:00Z</cp:lastPrinted>
  <dcterms:created xsi:type="dcterms:W3CDTF">2020-06-30T11:36:00Z</dcterms:created>
  <dcterms:modified xsi:type="dcterms:W3CDTF">2020-07-03T12:37:00Z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ies>
</file>